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3F55A" w14:textId="5F87F02B" w:rsidR="00974C3F" w:rsidRPr="00256ACC" w:rsidRDefault="00543A0E" w:rsidP="00256ACC">
      <w:pPr>
        <w:spacing w:line="276" w:lineRule="auto"/>
        <w:rPr>
          <w:rFonts w:ascii="Arial" w:hAnsi="Arial" w:cs="Arial"/>
          <w:sz w:val="24"/>
          <w:szCs w:val="24"/>
          <w:u w:val="single"/>
        </w:rPr>
      </w:pPr>
      <w:r w:rsidRPr="00256ACC">
        <w:rPr>
          <w:rFonts w:ascii="Arial" w:hAnsi="Arial" w:cs="Arial"/>
          <w:sz w:val="24"/>
          <w:szCs w:val="24"/>
          <w:u w:val="single"/>
        </w:rPr>
        <w:t>Experiences of Family Therapy for Eating Disorders: A Systematic Literature Review</w:t>
      </w:r>
    </w:p>
    <w:p w14:paraId="558AE0F8" w14:textId="0FBC99AA" w:rsidR="00BF712D" w:rsidRPr="00256ACC" w:rsidRDefault="00BF712D" w:rsidP="00256ACC">
      <w:pPr>
        <w:spacing w:line="276" w:lineRule="auto"/>
        <w:rPr>
          <w:rFonts w:ascii="Arial" w:hAnsi="Arial" w:cs="Arial"/>
          <w:sz w:val="24"/>
          <w:szCs w:val="24"/>
          <w:u w:val="single"/>
        </w:rPr>
      </w:pPr>
      <w:r w:rsidRPr="00256ACC">
        <w:rPr>
          <w:rFonts w:ascii="Arial" w:hAnsi="Arial" w:cs="Arial"/>
          <w:sz w:val="24"/>
          <w:szCs w:val="24"/>
          <w:u w:val="single"/>
        </w:rPr>
        <w:t>A</w:t>
      </w:r>
      <w:r w:rsidR="003D340A">
        <w:rPr>
          <w:rFonts w:ascii="Arial" w:hAnsi="Arial" w:cs="Arial"/>
          <w:sz w:val="24"/>
          <w:szCs w:val="24"/>
          <w:u w:val="single"/>
        </w:rPr>
        <w:t>I</w:t>
      </w:r>
      <w:r w:rsidRPr="00256ACC">
        <w:rPr>
          <w:rFonts w:ascii="Arial" w:hAnsi="Arial" w:cs="Arial"/>
          <w:sz w:val="24"/>
          <w:szCs w:val="24"/>
          <w:u w:val="single"/>
        </w:rPr>
        <w:t xml:space="preserve"> Acknowledgment</w:t>
      </w:r>
    </w:p>
    <w:p w14:paraId="57EC2838" w14:textId="77777777" w:rsidR="00764D5B" w:rsidRPr="00256ACC" w:rsidRDefault="00764D5B" w:rsidP="00256ACC">
      <w:pPr>
        <w:spacing w:line="276" w:lineRule="auto"/>
        <w:rPr>
          <w:rFonts w:ascii="Arial" w:hAnsi="Arial" w:cs="Arial"/>
          <w:sz w:val="24"/>
          <w:szCs w:val="24"/>
        </w:rPr>
      </w:pPr>
      <w:r w:rsidRPr="00256ACC">
        <w:rPr>
          <w:rFonts w:ascii="Arial" w:hAnsi="Arial" w:cs="Arial"/>
          <w:sz w:val="24"/>
          <w:szCs w:val="24"/>
        </w:rPr>
        <w:t>I acknowledge the use of the following forms of AI:</w:t>
      </w:r>
    </w:p>
    <w:p w14:paraId="620097DC" w14:textId="2CE47D1E" w:rsidR="00BF712D" w:rsidRPr="00256ACC" w:rsidRDefault="00764D5B" w:rsidP="00256ACC">
      <w:pPr>
        <w:spacing w:line="276" w:lineRule="auto"/>
        <w:rPr>
          <w:rFonts w:ascii="Arial" w:hAnsi="Arial" w:cs="Arial"/>
          <w:sz w:val="24"/>
          <w:szCs w:val="24"/>
        </w:rPr>
      </w:pPr>
      <w:r w:rsidRPr="00256ACC">
        <w:rPr>
          <w:rFonts w:ascii="Arial" w:hAnsi="Arial" w:cs="Arial"/>
          <w:sz w:val="24"/>
          <w:szCs w:val="24"/>
        </w:rPr>
        <w:t>Proofreading through Grammarly</w:t>
      </w:r>
    </w:p>
    <w:p w14:paraId="058E41C9" w14:textId="26FACAD4" w:rsidR="00726A25" w:rsidRPr="00256ACC" w:rsidRDefault="00726A25" w:rsidP="00256ACC">
      <w:pPr>
        <w:spacing w:before="120" w:after="120" w:line="276" w:lineRule="auto"/>
        <w:rPr>
          <w:rFonts w:ascii="Arial" w:hAnsi="Arial" w:cs="Arial"/>
          <w:sz w:val="24"/>
          <w:szCs w:val="24"/>
        </w:rPr>
      </w:pPr>
      <w:r w:rsidRPr="00256ACC">
        <w:rPr>
          <w:rFonts w:ascii="Arial" w:hAnsi="Arial" w:cs="Arial"/>
          <w:sz w:val="24"/>
          <w:szCs w:val="24"/>
        </w:rPr>
        <w:t>I confirm that no AI-generated text has been presented as my own work. I also confirm that I retain copies of all drafts, notes, and resources used before and after employing AI tools, which can be provided upon request.</w:t>
      </w:r>
    </w:p>
    <w:p w14:paraId="7A7D534C" w14:textId="1A5C3B8F" w:rsidR="00E14BEC" w:rsidRPr="00256ACC" w:rsidRDefault="00E14BEC" w:rsidP="00256ACC">
      <w:pPr>
        <w:spacing w:line="276" w:lineRule="auto"/>
        <w:rPr>
          <w:rFonts w:ascii="Arial" w:hAnsi="Arial" w:cs="Arial"/>
          <w:sz w:val="24"/>
          <w:szCs w:val="24"/>
          <w:u w:val="single"/>
        </w:rPr>
      </w:pPr>
      <w:r w:rsidRPr="00256ACC">
        <w:rPr>
          <w:rFonts w:ascii="Arial" w:hAnsi="Arial" w:cs="Arial"/>
          <w:sz w:val="24"/>
          <w:szCs w:val="24"/>
          <w:u w:val="single"/>
        </w:rPr>
        <w:t>Abstract</w:t>
      </w:r>
    </w:p>
    <w:p w14:paraId="30DF881A" w14:textId="77777777" w:rsidR="00866E76" w:rsidRPr="00256ACC" w:rsidRDefault="00811AB6" w:rsidP="00256ACC">
      <w:pPr>
        <w:spacing w:line="276" w:lineRule="auto"/>
        <w:rPr>
          <w:rFonts w:ascii="Arial" w:hAnsi="Arial" w:cs="Arial"/>
          <w:sz w:val="24"/>
          <w:szCs w:val="24"/>
        </w:rPr>
      </w:pPr>
      <w:r w:rsidRPr="00256ACC">
        <w:rPr>
          <w:rFonts w:ascii="Arial" w:hAnsi="Arial" w:cs="Arial"/>
          <w:sz w:val="24"/>
          <w:szCs w:val="24"/>
        </w:rPr>
        <w:t>For young people and their families, eating disorders</w:t>
      </w:r>
      <w:r w:rsidR="00866E76" w:rsidRPr="00256ACC">
        <w:rPr>
          <w:rFonts w:ascii="Arial" w:hAnsi="Arial" w:cs="Arial"/>
          <w:sz w:val="24"/>
          <w:szCs w:val="24"/>
        </w:rPr>
        <w:t xml:space="preserve">, </w:t>
      </w:r>
      <w:r w:rsidRPr="00256ACC">
        <w:rPr>
          <w:rFonts w:ascii="Arial" w:hAnsi="Arial" w:cs="Arial"/>
          <w:sz w:val="24"/>
          <w:szCs w:val="24"/>
        </w:rPr>
        <w:t>particularly anorexia nervosa</w:t>
      </w:r>
      <w:r w:rsidR="00866E76" w:rsidRPr="00256ACC">
        <w:rPr>
          <w:rFonts w:ascii="Arial" w:hAnsi="Arial" w:cs="Arial"/>
          <w:sz w:val="24"/>
          <w:szCs w:val="24"/>
        </w:rPr>
        <w:t xml:space="preserve">, </w:t>
      </w:r>
      <w:r w:rsidRPr="00256ACC">
        <w:rPr>
          <w:rFonts w:ascii="Arial" w:hAnsi="Arial" w:cs="Arial"/>
          <w:sz w:val="24"/>
          <w:szCs w:val="24"/>
        </w:rPr>
        <w:t>present serious psychological, physical, and social challenges. Understanding how these therapies are perceived in real</w:t>
      </w:r>
      <w:r w:rsidRPr="00256ACC">
        <w:rPr>
          <w:rFonts w:ascii="Arial" w:hAnsi="Arial" w:cs="Arial"/>
          <w:sz w:val="24"/>
          <w:szCs w:val="24"/>
        </w:rPr>
        <w:noBreakHyphen/>
        <w:t>world settings has become increasingly important as treatment has shifted from individually focused approaches toward systemic, family</w:t>
      </w:r>
      <w:r w:rsidRPr="00256ACC">
        <w:rPr>
          <w:rFonts w:ascii="Arial" w:hAnsi="Arial" w:cs="Arial"/>
          <w:sz w:val="24"/>
          <w:szCs w:val="24"/>
        </w:rPr>
        <w:noBreakHyphen/>
        <w:t>centred interventions. This systematic literature review examined the lived experiences of adolescents, parents, and families participating in family</w:t>
      </w:r>
      <w:r w:rsidRPr="00256ACC">
        <w:rPr>
          <w:rFonts w:ascii="Arial" w:hAnsi="Arial" w:cs="Arial"/>
          <w:sz w:val="24"/>
          <w:szCs w:val="24"/>
        </w:rPr>
        <w:noBreakHyphen/>
        <w:t>based treatment (FBT) and multi</w:t>
      </w:r>
      <w:r w:rsidRPr="00256ACC">
        <w:rPr>
          <w:rFonts w:ascii="Arial" w:hAnsi="Arial" w:cs="Arial"/>
          <w:sz w:val="24"/>
          <w:szCs w:val="24"/>
        </w:rPr>
        <w:noBreakHyphen/>
        <w:t>family therapy (MFT), synthesising qualitative data from six peer</w:t>
      </w:r>
      <w:r w:rsidRPr="00256ACC">
        <w:rPr>
          <w:rFonts w:ascii="Arial" w:hAnsi="Arial" w:cs="Arial"/>
          <w:sz w:val="24"/>
          <w:szCs w:val="24"/>
        </w:rPr>
        <w:noBreakHyphen/>
        <w:t xml:space="preserve">reviewed studies published between 2016 and 2026 using the CASP Qualitative Checklist. </w:t>
      </w:r>
    </w:p>
    <w:p w14:paraId="5A22B9F3" w14:textId="6650E318" w:rsidR="00811AB6" w:rsidRPr="00256ACC" w:rsidRDefault="00811AB6" w:rsidP="00256ACC">
      <w:pPr>
        <w:spacing w:line="276" w:lineRule="auto"/>
        <w:rPr>
          <w:rFonts w:ascii="Arial" w:hAnsi="Arial" w:cs="Arial"/>
          <w:sz w:val="24"/>
          <w:szCs w:val="24"/>
        </w:rPr>
      </w:pPr>
      <w:r w:rsidRPr="00256ACC">
        <w:rPr>
          <w:rFonts w:ascii="Arial" w:hAnsi="Arial" w:cs="Arial"/>
          <w:sz w:val="24"/>
          <w:szCs w:val="24"/>
        </w:rPr>
        <w:t>Thematic analysis identified three recurring themes across the six studies: Connection, Recognition, and the Power of Shared Experience, highlighting how shared understanding reduced isolation and strengthened communication; Control, Conflict, and the Emotional Weight of Family</w:t>
      </w:r>
      <w:r w:rsidRPr="00256ACC">
        <w:rPr>
          <w:rFonts w:ascii="Arial" w:hAnsi="Arial" w:cs="Arial"/>
          <w:sz w:val="24"/>
          <w:szCs w:val="24"/>
        </w:rPr>
        <w:noBreakHyphen/>
        <w:t>Centred Treatment, capturing tensions around autonomy, responsibility, and emotional burden; and Reclaiming Identity and Development</w:t>
      </w:r>
      <w:r w:rsidR="00984F86" w:rsidRPr="00256ACC">
        <w:rPr>
          <w:rFonts w:ascii="Arial" w:hAnsi="Arial" w:cs="Arial"/>
          <w:sz w:val="24"/>
          <w:szCs w:val="24"/>
        </w:rPr>
        <w:t>,</w:t>
      </w:r>
      <w:r w:rsidRPr="00256ACC">
        <w:rPr>
          <w:rFonts w:ascii="Arial" w:hAnsi="Arial" w:cs="Arial"/>
          <w:sz w:val="24"/>
          <w:szCs w:val="24"/>
        </w:rPr>
        <w:t xml:space="preserve"> Emerging Beyond the Eating Disorder, illustrating how recovery involved rediscovering autonomy, identity, and developmental progression</w:t>
      </w:r>
      <w:r w:rsidR="00256ACC" w:rsidRPr="00256ACC">
        <w:rPr>
          <w:rFonts w:ascii="Arial" w:hAnsi="Arial" w:cs="Arial"/>
          <w:sz w:val="24"/>
          <w:szCs w:val="24"/>
        </w:rPr>
        <w:t>.</w:t>
      </w:r>
    </w:p>
    <w:p w14:paraId="50C2484D" w14:textId="24F3D0E3" w:rsidR="00BF712D" w:rsidRPr="00256ACC" w:rsidRDefault="00BF712D" w:rsidP="00256ACC">
      <w:pPr>
        <w:spacing w:line="276" w:lineRule="auto"/>
        <w:rPr>
          <w:rFonts w:ascii="Arial" w:hAnsi="Arial" w:cs="Arial"/>
          <w:sz w:val="24"/>
          <w:szCs w:val="24"/>
          <w:u w:val="single"/>
        </w:rPr>
      </w:pPr>
      <w:r w:rsidRPr="00256ACC">
        <w:rPr>
          <w:rFonts w:ascii="Arial" w:hAnsi="Arial" w:cs="Arial"/>
          <w:sz w:val="24"/>
          <w:szCs w:val="24"/>
          <w:u w:val="single"/>
        </w:rPr>
        <w:t>Introduction</w:t>
      </w:r>
    </w:p>
    <w:p w14:paraId="6E12B507" w14:textId="77777777"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Eating Disorders can appear in a variety of forms and are a category with multiple illnesses that coincide within. With serious medical, psychological, and social repercussions for both patients and their families, eating disorders such as anorexia nervosa remain among the most complicated, complex and threatening psychiatric mental illnesses prevalent among teenagers and young adults. Recent increases in hospital admissions, alongside the high mortality and relapse rates associated with anorexia nervosa, have intensified the need for effective, developmentally attuned interventions that support both the young person and their wider family system.</w:t>
      </w:r>
    </w:p>
    <w:p w14:paraId="5EB7B0AC" w14:textId="10A4C210"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 xml:space="preserve">Family-based treatment (FBT) and multi-family therapy (MFT) are becoming essential components of current care, as treatment models transition from individual to relational and systemic methods. These theories view the family as an active agency in recovery, emphasising teamwork, shared accountability, and the restructuring of relational patterns that generate the </w:t>
      </w:r>
      <w:r w:rsidR="00FA747C" w:rsidRPr="00256ACC">
        <w:rPr>
          <w:rFonts w:ascii="Arial" w:hAnsi="Arial" w:cs="Arial"/>
          <w:sz w:val="24"/>
          <w:szCs w:val="24"/>
        </w:rPr>
        <w:t>illness</w:t>
      </w:r>
      <w:r w:rsidRPr="00256ACC">
        <w:rPr>
          <w:rFonts w:ascii="Arial" w:hAnsi="Arial" w:cs="Arial"/>
          <w:sz w:val="24"/>
          <w:szCs w:val="24"/>
        </w:rPr>
        <w:t xml:space="preserve">. </w:t>
      </w:r>
      <w:r w:rsidR="005F641A" w:rsidRPr="00256ACC">
        <w:rPr>
          <w:rFonts w:ascii="Arial" w:hAnsi="Arial" w:cs="Arial"/>
          <w:sz w:val="24"/>
          <w:szCs w:val="24"/>
        </w:rPr>
        <w:t xml:space="preserve">Although both FBT and MFT demonstrate clinical effectiveness in supporting recovery, this review focuses </w:t>
      </w:r>
      <w:r w:rsidR="005F641A" w:rsidRPr="00256ACC">
        <w:rPr>
          <w:rFonts w:ascii="Arial" w:hAnsi="Arial" w:cs="Arial"/>
          <w:sz w:val="24"/>
          <w:szCs w:val="24"/>
        </w:rPr>
        <w:lastRenderedPageBreak/>
        <w:t xml:space="preserve">on how these interventions are experienced by families and adolescents rather than on outcome measures. </w:t>
      </w:r>
      <w:r w:rsidRPr="00256ACC">
        <w:rPr>
          <w:rFonts w:ascii="Arial" w:hAnsi="Arial" w:cs="Arial"/>
          <w:sz w:val="24"/>
          <w:szCs w:val="24"/>
        </w:rPr>
        <w:t>FBT is a manualised, behaviourally focused model that positions parents as the primary agents of refeeding, whereas MFT brings multiple families together to promote shared learning, emotional expression, and collective problem-solving. Even though these therapy approaches are widely used in both inpatient and outpatient settings, the lived experiences of young people and their families within them are still poorly studied, inconsistent between studies, and methodologically varied.</w:t>
      </w:r>
    </w:p>
    <w:p w14:paraId="48019C50" w14:textId="77777777"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Current qualitative research offers informative but scattered information. Brinchmann and Krvavac (2021), for instance, underscore the emotional intensity and relational changes that take place throughout therapy by describing how families in MFT described the process as "breaking down the wall." Adolescents frequently believed they were following "somebody else's roadmap," according to Conti et al. (2017), highlighting conflicts between treatment structure and their own independence. Research like Medway et al. (2019) and Coopey and Johnson (2022) sheds more light on how young people navigate identity, autonomy, and developmental needs in highly structured family-centred treatments. While Nilsen et al. (2021) examine how family members reflect on the difficulties and changes related to inpatient family-based programs, more recent research, such as Gao et al. (2025), emphasises the perspectives of teenagers on FBT.</w:t>
      </w:r>
    </w:p>
    <w:p w14:paraId="00D67D23" w14:textId="703C4C39"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 xml:space="preserve">The perspectives of teenagers, parents, and families in both FBT and MFT contexts are currently not included in any synthesis, despite the fact that these studies provide extensive narratives. The field's capacity to recognise common treatment mechanisms, uncover engagement barriers, and improve family-centred models to better meet the developmental, emotional, and relational needs of young people is hampered by the lack of cohesive knowledge. </w:t>
      </w:r>
      <w:r w:rsidR="00C00D94" w:rsidRPr="00256ACC">
        <w:rPr>
          <w:rFonts w:ascii="Arial" w:hAnsi="Arial" w:cs="Arial"/>
          <w:sz w:val="24"/>
          <w:szCs w:val="24"/>
        </w:rPr>
        <w:t>F</w:t>
      </w:r>
      <w:r w:rsidRPr="00256ACC">
        <w:rPr>
          <w:rFonts w:ascii="Arial" w:hAnsi="Arial" w:cs="Arial"/>
          <w:sz w:val="24"/>
          <w:szCs w:val="24"/>
        </w:rPr>
        <w:t>amily-centred interventions operate through relational, emotional, and developmental processes, qualitative synthesis is uniquely positioned to illuminate how these treatments are actually experienced by those</w:t>
      </w:r>
      <w:r w:rsidR="00076F90" w:rsidRPr="00256ACC">
        <w:rPr>
          <w:rFonts w:ascii="Arial" w:hAnsi="Arial" w:cs="Arial"/>
          <w:sz w:val="24"/>
          <w:szCs w:val="24"/>
        </w:rPr>
        <w:t xml:space="preserve"> who are </w:t>
      </w:r>
      <w:r w:rsidR="00794758" w:rsidRPr="00256ACC">
        <w:rPr>
          <w:rFonts w:ascii="Arial" w:hAnsi="Arial" w:cs="Arial"/>
          <w:sz w:val="24"/>
          <w:szCs w:val="24"/>
        </w:rPr>
        <w:t>directly involved</w:t>
      </w:r>
      <w:r w:rsidRPr="00256ACC">
        <w:rPr>
          <w:rFonts w:ascii="Arial" w:hAnsi="Arial" w:cs="Arial"/>
          <w:sz w:val="24"/>
          <w:szCs w:val="24"/>
        </w:rPr>
        <w:t xml:space="preserve"> within them.</w:t>
      </w:r>
      <w:r w:rsidR="00C00D94" w:rsidRPr="00256ACC">
        <w:rPr>
          <w:rFonts w:ascii="Arial" w:hAnsi="Arial" w:cs="Arial"/>
          <w:sz w:val="24"/>
          <w:szCs w:val="24"/>
        </w:rPr>
        <w:t xml:space="preserve"> To ensure transparency and methodological rigour, the review follows PRISMA</w:t>
      </w:r>
      <w:r w:rsidR="00C00D94" w:rsidRPr="00256ACC">
        <w:rPr>
          <w:rFonts w:ascii="Cambria Math" w:hAnsi="Cambria Math" w:cs="Cambria Math"/>
          <w:sz w:val="24"/>
          <w:szCs w:val="24"/>
        </w:rPr>
        <w:t>‑</w:t>
      </w:r>
      <w:r w:rsidR="00C00D94" w:rsidRPr="00256ACC">
        <w:rPr>
          <w:rFonts w:ascii="Arial" w:hAnsi="Arial" w:cs="Arial"/>
          <w:sz w:val="24"/>
          <w:szCs w:val="24"/>
        </w:rPr>
        <w:t>P guidelines (Shamseer et al., 2015) and applies the CASP Qualitative Checklist to appraise study quality.</w:t>
      </w:r>
    </w:p>
    <w:p w14:paraId="2B132DF7" w14:textId="77777777"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To bring these qualitative insights together, identify consistent themes, and provide clarity on how families and young people experience these interventions in real-world contexts, a methodical synthesis is therefore required. This systematic literature review aims to synthesise qualitative evidence on the lived experiences of adolescents, parents, and families participating in family</w:t>
      </w:r>
      <w:r w:rsidRPr="00256ACC">
        <w:rPr>
          <w:rFonts w:ascii="Cambria Math" w:hAnsi="Cambria Math" w:cs="Cambria Math"/>
          <w:sz w:val="24"/>
          <w:szCs w:val="24"/>
        </w:rPr>
        <w:t>‑</w:t>
      </w:r>
      <w:r w:rsidRPr="00256ACC">
        <w:rPr>
          <w:rFonts w:ascii="Arial" w:hAnsi="Arial" w:cs="Arial"/>
          <w:sz w:val="24"/>
          <w:szCs w:val="24"/>
        </w:rPr>
        <w:t>based treatment (FBT) and multi</w:t>
      </w:r>
      <w:r w:rsidRPr="00256ACC">
        <w:rPr>
          <w:rFonts w:ascii="Cambria Math" w:hAnsi="Cambria Math" w:cs="Cambria Math"/>
          <w:sz w:val="24"/>
          <w:szCs w:val="24"/>
        </w:rPr>
        <w:t>‑</w:t>
      </w:r>
      <w:r w:rsidRPr="00256ACC">
        <w:rPr>
          <w:rFonts w:ascii="Arial" w:hAnsi="Arial" w:cs="Arial"/>
          <w:sz w:val="24"/>
          <w:szCs w:val="24"/>
        </w:rPr>
        <w:t>family therapy (MFT) for anorexia nervosa. By integrating findings across six peer</w:t>
      </w:r>
      <w:r w:rsidRPr="00256ACC">
        <w:rPr>
          <w:rFonts w:ascii="Cambria Math" w:hAnsi="Cambria Math" w:cs="Cambria Math"/>
          <w:sz w:val="24"/>
          <w:szCs w:val="24"/>
        </w:rPr>
        <w:t>‑</w:t>
      </w:r>
      <w:r w:rsidRPr="00256ACC">
        <w:rPr>
          <w:rFonts w:ascii="Arial" w:hAnsi="Arial" w:cs="Arial"/>
          <w:sz w:val="24"/>
          <w:szCs w:val="24"/>
        </w:rPr>
        <w:t>reviewed studies, the review seeks to illuminate shared patterns, identify therapeutic facilitators and barriers, and contribute to a more nuanced understanding of how family</w:t>
      </w:r>
      <w:r w:rsidRPr="00256ACC">
        <w:rPr>
          <w:rFonts w:ascii="Cambria Math" w:hAnsi="Cambria Math" w:cs="Cambria Math"/>
          <w:sz w:val="24"/>
          <w:szCs w:val="24"/>
        </w:rPr>
        <w:t>‑</w:t>
      </w:r>
      <w:r w:rsidRPr="00256ACC">
        <w:rPr>
          <w:rFonts w:ascii="Arial" w:hAnsi="Arial" w:cs="Arial"/>
          <w:sz w:val="24"/>
          <w:szCs w:val="24"/>
        </w:rPr>
        <w:t>centred interventions are experienced by those most directly involved.</w:t>
      </w:r>
    </w:p>
    <w:p w14:paraId="24568B56" w14:textId="5F1105AA" w:rsidR="00251348" w:rsidRPr="00256ACC" w:rsidRDefault="00251348" w:rsidP="00256ACC">
      <w:pPr>
        <w:spacing w:line="276" w:lineRule="auto"/>
        <w:rPr>
          <w:rFonts w:ascii="Arial" w:hAnsi="Arial" w:cs="Arial"/>
          <w:sz w:val="24"/>
          <w:szCs w:val="24"/>
          <w:u w:val="single"/>
        </w:rPr>
      </w:pPr>
      <w:r w:rsidRPr="00256ACC">
        <w:rPr>
          <w:rFonts w:ascii="Arial" w:hAnsi="Arial" w:cs="Arial"/>
          <w:sz w:val="24"/>
          <w:szCs w:val="24"/>
          <w:u w:val="single"/>
        </w:rPr>
        <w:t>Methods</w:t>
      </w:r>
    </w:p>
    <w:p w14:paraId="272C1891" w14:textId="77777777" w:rsidR="00251348" w:rsidRPr="00256ACC" w:rsidRDefault="00251348" w:rsidP="00256ACC">
      <w:pPr>
        <w:spacing w:line="276" w:lineRule="auto"/>
        <w:rPr>
          <w:rFonts w:ascii="Arial" w:hAnsi="Arial" w:cs="Arial"/>
          <w:i/>
          <w:iCs/>
          <w:sz w:val="24"/>
          <w:szCs w:val="24"/>
        </w:rPr>
      </w:pPr>
      <w:r w:rsidRPr="00256ACC">
        <w:rPr>
          <w:rFonts w:ascii="Arial" w:hAnsi="Arial" w:cs="Arial"/>
          <w:i/>
          <w:iCs/>
          <w:sz w:val="24"/>
          <w:szCs w:val="24"/>
        </w:rPr>
        <w:lastRenderedPageBreak/>
        <w:t>The Search Process</w:t>
      </w:r>
    </w:p>
    <w:p w14:paraId="61B74099"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In order to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PsycARTICLES, EBSCOhost, and Google Scholar.</w:t>
      </w:r>
    </w:p>
    <w:p w14:paraId="4E362A30"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Search terms were developed using Boolean operators and truncations to maximise retrieval. Core search strings included combinations of: “eating disorder” OR “anorexia nervosa” OR “bulimia nervosa”* “family therapy” OR “family-based treatment” OR “Maudsley” OR “multifamily therapy” “experience” OR “perception*” OR “lived experience” OR “qualitative”* “adolescent” OR “young people” OR “child*”*</w:t>
      </w:r>
    </w:p>
    <w:p w14:paraId="26EF09F1" w14:textId="41B6413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Reference lists of included papers were also hand-searched to identify any additional relevant studies. Grey literature was excluded because the review focused on peer-reviewed empirical evidence.</w:t>
      </w:r>
    </w:p>
    <w:p w14:paraId="3B5D1ECB" w14:textId="77777777" w:rsidR="00251348" w:rsidRPr="00256ACC" w:rsidRDefault="00251348" w:rsidP="00256ACC">
      <w:pPr>
        <w:spacing w:line="276" w:lineRule="auto"/>
        <w:rPr>
          <w:rFonts w:ascii="Arial" w:hAnsi="Arial" w:cs="Arial"/>
          <w:sz w:val="24"/>
          <w:szCs w:val="24"/>
          <w:u w:val="single"/>
        </w:rPr>
      </w:pPr>
      <w:r w:rsidRPr="00256ACC">
        <w:rPr>
          <w:rFonts w:ascii="Arial" w:hAnsi="Arial" w:cs="Arial"/>
          <w:sz w:val="24"/>
          <w:szCs w:val="24"/>
          <w:u w:val="single"/>
        </w:rPr>
        <w:t>Inclusion and Exclusion Criteria</w:t>
      </w:r>
    </w:p>
    <w:p w14:paraId="7E732D15"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Studies were selected according to predefined inclusion and exclusion criteria.</w:t>
      </w:r>
    </w:p>
    <w:p w14:paraId="23956894"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Inclusion criteria:</w:t>
      </w:r>
    </w:p>
    <w:p w14:paraId="35D9C99D"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Published between January 2016 – April 2026</w:t>
      </w:r>
    </w:p>
    <w:p w14:paraId="7F184953"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Peer-reviewed journal articles</w:t>
      </w:r>
    </w:p>
    <w:p w14:paraId="61C1E551"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Qualitative empirical design (e.g., interviews, focus groups, thematic analysis, IPA)</w:t>
      </w:r>
    </w:p>
    <w:p w14:paraId="6687517B"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Focus on family therapy / family-based interventions (including FBT, Maudsley, multifamily therapy)</w:t>
      </w:r>
    </w:p>
    <w:p w14:paraId="704DBB97"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Participants included young people with eating disorders and/or their families</w:t>
      </w:r>
    </w:p>
    <w:p w14:paraId="71227CE0"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English language publications</w:t>
      </w:r>
    </w:p>
    <w:p w14:paraId="531D824D"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Exclusion criteria:</w:t>
      </w:r>
    </w:p>
    <w:p w14:paraId="2E1CB797"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Quantitative-only studies</w:t>
      </w:r>
    </w:p>
    <w:p w14:paraId="1EBBD9C0"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Reviews, meta-analyses, editorials, or commentaries</w:t>
      </w:r>
    </w:p>
    <w:p w14:paraId="279D4F94"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Adult-only samples (unless family therapy is delivered within youth services)</w:t>
      </w:r>
    </w:p>
    <w:p w14:paraId="5902966A"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Studies not focused on treatment/intervention experience</w:t>
      </w:r>
    </w:p>
    <w:p w14:paraId="53513C72"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Non-peer-reviewed literature</w:t>
      </w:r>
    </w:p>
    <w:p w14:paraId="0DC9A6B2" w14:textId="576F4A7E"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Following screening, six papers met the inclusion criteria.</w:t>
      </w:r>
    </w:p>
    <w:p w14:paraId="314543A6" w14:textId="77777777" w:rsidR="00A52D87" w:rsidRPr="00256ACC" w:rsidRDefault="00A52D87" w:rsidP="00256ACC">
      <w:pPr>
        <w:spacing w:line="276" w:lineRule="auto"/>
        <w:rPr>
          <w:rFonts w:ascii="Arial" w:hAnsi="Arial" w:cs="Arial"/>
          <w:sz w:val="24"/>
          <w:szCs w:val="24"/>
        </w:rPr>
      </w:pPr>
    </w:p>
    <w:p w14:paraId="0C0CAD18" w14:textId="77777777" w:rsidR="00251348" w:rsidRPr="00256ACC" w:rsidRDefault="00251348" w:rsidP="00256ACC">
      <w:pPr>
        <w:spacing w:line="276" w:lineRule="auto"/>
        <w:rPr>
          <w:rFonts w:ascii="Arial" w:hAnsi="Arial" w:cs="Arial"/>
          <w:i/>
          <w:iCs/>
          <w:sz w:val="24"/>
          <w:szCs w:val="24"/>
        </w:rPr>
      </w:pPr>
      <w:r w:rsidRPr="00256ACC">
        <w:rPr>
          <w:rFonts w:ascii="Arial" w:hAnsi="Arial" w:cs="Arial"/>
          <w:i/>
          <w:iCs/>
          <w:sz w:val="24"/>
          <w:szCs w:val="24"/>
        </w:rPr>
        <w:t>Quality Assessment, Screening and Coding</w:t>
      </w:r>
    </w:p>
    <w:p w14:paraId="5D592E8F"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Screening followed a staged approach aligned with the guidance of systematic reviews.</w:t>
      </w:r>
    </w:p>
    <w:p w14:paraId="415C10AC"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lastRenderedPageBreak/>
        <w:t>Title screening - removal of clearly irrelevant studies</w:t>
      </w:r>
    </w:p>
    <w:p w14:paraId="03F85F78"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Abstract screening - assessment against inclusion criteria</w:t>
      </w:r>
    </w:p>
    <w:p w14:paraId="6A732EEC"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Full-text review - eligibility confirmation</w:t>
      </w:r>
    </w:p>
    <w:p w14:paraId="5FDBF3A4"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Quality appraisal - CASP checklist applied</w:t>
      </w:r>
    </w:p>
    <w:p w14:paraId="141EC79A"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Data extraction and coding - thematic synthesis preparation</w:t>
      </w:r>
    </w:p>
    <w:p w14:paraId="7BDC1D6F" w14:textId="77777777" w:rsidR="00251348" w:rsidRPr="00256ACC" w:rsidRDefault="00251348" w:rsidP="00256ACC">
      <w:pPr>
        <w:pStyle w:val="ListParagraph"/>
        <w:spacing w:line="276" w:lineRule="auto"/>
        <w:rPr>
          <w:rFonts w:ascii="Arial" w:hAnsi="Arial" w:cs="Arial"/>
          <w:sz w:val="24"/>
          <w:szCs w:val="24"/>
        </w:rPr>
      </w:pPr>
    </w:p>
    <w:p w14:paraId="466217E5"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The six studies included in the final synthesis are summarised below in Table 1.</w:t>
      </w:r>
    </w:p>
    <w:p w14:paraId="3C3B8DAC" w14:textId="77777777" w:rsidR="00251348" w:rsidRPr="00256ACC" w:rsidRDefault="00251348" w:rsidP="00256ACC">
      <w:pPr>
        <w:spacing w:line="276" w:lineRule="auto"/>
        <w:rPr>
          <w:rFonts w:ascii="Arial" w:hAnsi="Arial" w:cs="Arial"/>
          <w:sz w:val="24"/>
          <w:szCs w:val="24"/>
        </w:rPr>
      </w:pPr>
    </w:p>
    <w:p w14:paraId="53B6E563"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Table 1: Summary characteristics of studies reporting 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4"/>
        <w:gridCol w:w="994"/>
        <w:gridCol w:w="1708"/>
        <w:gridCol w:w="1753"/>
        <w:gridCol w:w="2697"/>
      </w:tblGrid>
      <w:tr w:rsidR="00251348" w:rsidRPr="00256ACC" w14:paraId="5D6D8A38" w14:textId="77777777" w:rsidTr="007B4C7B">
        <w:trPr>
          <w:tblHeader/>
          <w:tblCellSpacing w:w="15" w:type="dxa"/>
        </w:trPr>
        <w:tc>
          <w:tcPr>
            <w:tcW w:w="0" w:type="auto"/>
            <w:vAlign w:val="center"/>
            <w:hideMark/>
          </w:tcPr>
          <w:p w14:paraId="2A8AE20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Study</w:t>
            </w:r>
          </w:p>
        </w:tc>
        <w:tc>
          <w:tcPr>
            <w:tcW w:w="0" w:type="auto"/>
            <w:vAlign w:val="center"/>
            <w:hideMark/>
          </w:tcPr>
          <w:p w14:paraId="2D0D0E7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Country</w:t>
            </w:r>
          </w:p>
        </w:tc>
        <w:tc>
          <w:tcPr>
            <w:tcW w:w="0" w:type="auto"/>
            <w:vAlign w:val="center"/>
            <w:hideMark/>
          </w:tcPr>
          <w:p w14:paraId="68EFC2DD"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Study Design</w:t>
            </w:r>
          </w:p>
        </w:tc>
        <w:tc>
          <w:tcPr>
            <w:tcW w:w="0" w:type="auto"/>
            <w:vAlign w:val="center"/>
            <w:hideMark/>
          </w:tcPr>
          <w:p w14:paraId="511392DE"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Data Collection Method</w:t>
            </w:r>
          </w:p>
        </w:tc>
        <w:tc>
          <w:tcPr>
            <w:tcW w:w="0" w:type="auto"/>
            <w:vAlign w:val="center"/>
            <w:hideMark/>
          </w:tcPr>
          <w:p w14:paraId="76F62EC7"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Sample</w:t>
            </w:r>
          </w:p>
        </w:tc>
      </w:tr>
      <w:tr w:rsidR="00251348" w:rsidRPr="00256ACC" w14:paraId="08115604" w14:textId="77777777" w:rsidTr="007B4C7B">
        <w:trPr>
          <w:tblCellSpacing w:w="15" w:type="dxa"/>
        </w:trPr>
        <w:tc>
          <w:tcPr>
            <w:tcW w:w="0" w:type="auto"/>
            <w:vAlign w:val="center"/>
            <w:hideMark/>
          </w:tcPr>
          <w:p w14:paraId="4E5C5EFC"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Brinchmann &amp; Krvavac (2021)</w:t>
            </w:r>
          </w:p>
        </w:tc>
        <w:tc>
          <w:tcPr>
            <w:tcW w:w="0" w:type="auto"/>
            <w:vAlign w:val="center"/>
            <w:hideMark/>
          </w:tcPr>
          <w:p w14:paraId="48B4BED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Norway</w:t>
            </w:r>
          </w:p>
        </w:tc>
        <w:tc>
          <w:tcPr>
            <w:tcW w:w="0" w:type="auto"/>
            <w:vAlign w:val="center"/>
            <w:hideMark/>
          </w:tcPr>
          <w:p w14:paraId="5909268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w:t>
            </w:r>
          </w:p>
        </w:tc>
        <w:tc>
          <w:tcPr>
            <w:tcW w:w="0" w:type="auto"/>
            <w:vAlign w:val="center"/>
            <w:hideMark/>
          </w:tcPr>
          <w:p w14:paraId="4F17D14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Semi-structured interviews</w:t>
            </w:r>
          </w:p>
        </w:tc>
        <w:tc>
          <w:tcPr>
            <w:tcW w:w="0" w:type="auto"/>
            <w:vAlign w:val="center"/>
            <w:hideMark/>
          </w:tcPr>
          <w:p w14:paraId="5FC4482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Young adult women + families in multifamily therapy</w:t>
            </w:r>
          </w:p>
        </w:tc>
      </w:tr>
      <w:tr w:rsidR="00251348" w:rsidRPr="00256ACC" w14:paraId="34CA3212" w14:textId="77777777" w:rsidTr="007B4C7B">
        <w:trPr>
          <w:tblCellSpacing w:w="15" w:type="dxa"/>
        </w:trPr>
        <w:tc>
          <w:tcPr>
            <w:tcW w:w="0" w:type="auto"/>
            <w:vAlign w:val="center"/>
            <w:hideMark/>
          </w:tcPr>
          <w:p w14:paraId="1C1D9A5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Conti et al. (2017)</w:t>
            </w:r>
          </w:p>
        </w:tc>
        <w:tc>
          <w:tcPr>
            <w:tcW w:w="0" w:type="auto"/>
            <w:vAlign w:val="center"/>
            <w:hideMark/>
          </w:tcPr>
          <w:p w14:paraId="36B7C37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Australia</w:t>
            </w:r>
          </w:p>
        </w:tc>
        <w:tc>
          <w:tcPr>
            <w:tcW w:w="0" w:type="auto"/>
            <w:vAlign w:val="center"/>
            <w:hideMark/>
          </w:tcPr>
          <w:p w14:paraId="42D38D3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w:t>
            </w:r>
          </w:p>
        </w:tc>
        <w:tc>
          <w:tcPr>
            <w:tcW w:w="0" w:type="auto"/>
            <w:vAlign w:val="center"/>
            <w:hideMark/>
          </w:tcPr>
          <w:p w14:paraId="48DD6C05"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In-depth interviews</w:t>
            </w:r>
          </w:p>
        </w:tc>
        <w:tc>
          <w:tcPr>
            <w:tcW w:w="0" w:type="auto"/>
            <w:vAlign w:val="center"/>
            <w:hideMark/>
          </w:tcPr>
          <w:p w14:paraId="7185CB0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Adolescents with AN receiving Maudsley/FBT</w:t>
            </w:r>
          </w:p>
        </w:tc>
      </w:tr>
      <w:tr w:rsidR="00251348" w:rsidRPr="00256ACC" w14:paraId="1027A12F" w14:textId="77777777" w:rsidTr="007B4C7B">
        <w:trPr>
          <w:tblCellSpacing w:w="15" w:type="dxa"/>
        </w:trPr>
        <w:tc>
          <w:tcPr>
            <w:tcW w:w="0" w:type="auto"/>
            <w:vAlign w:val="center"/>
            <w:hideMark/>
          </w:tcPr>
          <w:p w14:paraId="4BEF994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Coopey &amp; Johnson (2022)</w:t>
            </w:r>
          </w:p>
        </w:tc>
        <w:tc>
          <w:tcPr>
            <w:tcW w:w="0" w:type="auto"/>
            <w:vAlign w:val="center"/>
            <w:hideMark/>
          </w:tcPr>
          <w:p w14:paraId="41D92B1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UK</w:t>
            </w:r>
          </w:p>
        </w:tc>
        <w:tc>
          <w:tcPr>
            <w:tcW w:w="0" w:type="auto"/>
            <w:vAlign w:val="center"/>
            <w:hideMark/>
          </w:tcPr>
          <w:p w14:paraId="4356DE75"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w:t>
            </w:r>
          </w:p>
        </w:tc>
        <w:tc>
          <w:tcPr>
            <w:tcW w:w="0" w:type="auto"/>
            <w:vAlign w:val="center"/>
            <w:hideMark/>
          </w:tcPr>
          <w:p w14:paraId="76A104D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Interviews</w:t>
            </w:r>
          </w:p>
        </w:tc>
        <w:tc>
          <w:tcPr>
            <w:tcW w:w="0" w:type="auto"/>
            <w:vAlign w:val="center"/>
            <w:hideMark/>
          </w:tcPr>
          <w:p w14:paraId="1A42CFB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Young people in inpatient FT &amp; MFT</w:t>
            </w:r>
          </w:p>
        </w:tc>
      </w:tr>
      <w:tr w:rsidR="00251348" w:rsidRPr="00256ACC" w14:paraId="78F9D392" w14:textId="77777777" w:rsidTr="007B4C7B">
        <w:trPr>
          <w:tblCellSpacing w:w="15" w:type="dxa"/>
        </w:trPr>
        <w:tc>
          <w:tcPr>
            <w:tcW w:w="0" w:type="auto"/>
            <w:vAlign w:val="center"/>
            <w:hideMark/>
          </w:tcPr>
          <w:p w14:paraId="5B5F4BA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Gao et al. (2025)</w:t>
            </w:r>
          </w:p>
        </w:tc>
        <w:tc>
          <w:tcPr>
            <w:tcW w:w="0" w:type="auto"/>
            <w:vAlign w:val="center"/>
            <w:hideMark/>
          </w:tcPr>
          <w:p w14:paraId="71E6661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USA</w:t>
            </w:r>
          </w:p>
        </w:tc>
        <w:tc>
          <w:tcPr>
            <w:tcW w:w="0" w:type="auto"/>
            <w:vAlign w:val="center"/>
            <w:hideMark/>
          </w:tcPr>
          <w:p w14:paraId="2EE7561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 pilot study</w:t>
            </w:r>
          </w:p>
        </w:tc>
        <w:tc>
          <w:tcPr>
            <w:tcW w:w="0" w:type="auto"/>
            <w:vAlign w:val="center"/>
            <w:hideMark/>
          </w:tcPr>
          <w:p w14:paraId="7BDDE8F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Semi-structured interviews</w:t>
            </w:r>
          </w:p>
        </w:tc>
        <w:tc>
          <w:tcPr>
            <w:tcW w:w="0" w:type="auto"/>
            <w:vAlign w:val="center"/>
            <w:hideMark/>
          </w:tcPr>
          <w:p w14:paraId="0B3E882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Adolescents receiving FBT</w:t>
            </w:r>
          </w:p>
        </w:tc>
      </w:tr>
      <w:tr w:rsidR="00251348" w:rsidRPr="00256ACC" w14:paraId="46083AD9" w14:textId="77777777" w:rsidTr="007B4C7B">
        <w:trPr>
          <w:tblCellSpacing w:w="15" w:type="dxa"/>
        </w:trPr>
        <w:tc>
          <w:tcPr>
            <w:tcW w:w="0" w:type="auto"/>
            <w:vAlign w:val="center"/>
            <w:hideMark/>
          </w:tcPr>
          <w:p w14:paraId="233689F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Medway et al. (2019)</w:t>
            </w:r>
          </w:p>
        </w:tc>
        <w:tc>
          <w:tcPr>
            <w:tcW w:w="0" w:type="auto"/>
            <w:vAlign w:val="center"/>
            <w:hideMark/>
          </w:tcPr>
          <w:p w14:paraId="7E57A15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Australia</w:t>
            </w:r>
          </w:p>
        </w:tc>
        <w:tc>
          <w:tcPr>
            <w:tcW w:w="0" w:type="auto"/>
            <w:vAlign w:val="center"/>
            <w:hideMark/>
          </w:tcPr>
          <w:p w14:paraId="02D68EC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 narrative study</w:t>
            </w:r>
          </w:p>
        </w:tc>
        <w:tc>
          <w:tcPr>
            <w:tcW w:w="0" w:type="auto"/>
            <w:vAlign w:val="center"/>
            <w:hideMark/>
          </w:tcPr>
          <w:p w14:paraId="7C305D6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Interviews</w:t>
            </w:r>
          </w:p>
        </w:tc>
        <w:tc>
          <w:tcPr>
            <w:tcW w:w="0" w:type="auto"/>
            <w:vAlign w:val="center"/>
            <w:hideMark/>
          </w:tcPr>
          <w:p w14:paraId="667C34F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Adolescents + parents in FBT</w:t>
            </w:r>
          </w:p>
        </w:tc>
      </w:tr>
      <w:tr w:rsidR="00251348" w:rsidRPr="00256ACC" w14:paraId="1510F9CB" w14:textId="77777777" w:rsidTr="007B4C7B">
        <w:trPr>
          <w:tblCellSpacing w:w="15" w:type="dxa"/>
        </w:trPr>
        <w:tc>
          <w:tcPr>
            <w:tcW w:w="0" w:type="auto"/>
            <w:vAlign w:val="center"/>
            <w:hideMark/>
          </w:tcPr>
          <w:p w14:paraId="44C6783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Nilsen et al. (2021)</w:t>
            </w:r>
          </w:p>
        </w:tc>
        <w:tc>
          <w:tcPr>
            <w:tcW w:w="0" w:type="auto"/>
            <w:vAlign w:val="center"/>
            <w:hideMark/>
          </w:tcPr>
          <w:p w14:paraId="0CFF9B1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Norway</w:t>
            </w:r>
          </w:p>
        </w:tc>
        <w:tc>
          <w:tcPr>
            <w:tcW w:w="0" w:type="auto"/>
            <w:vAlign w:val="center"/>
            <w:hideMark/>
          </w:tcPr>
          <w:p w14:paraId="44EDC6E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 thematic analysis</w:t>
            </w:r>
          </w:p>
        </w:tc>
        <w:tc>
          <w:tcPr>
            <w:tcW w:w="0" w:type="auto"/>
            <w:vAlign w:val="center"/>
            <w:hideMark/>
          </w:tcPr>
          <w:p w14:paraId="70F3737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Family interviews / reflections</w:t>
            </w:r>
          </w:p>
        </w:tc>
        <w:tc>
          <w:tcPr>
            <w:tcW w:w="0" w:type="auto"/>
            <w:vAlign w:val="center"/>
            <w:hideMark/>
          </w:tcPr>
          <w:p w14:paraId="46A0776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Families in inpatient FBT programme</w:t>
            </w:r>
          </w:p>
        </w:tc>
      </w:tr>
    </w:tbl>
    <w:p w14:paraId="474B98A4" w14:textId="77777777" w:rsidR="00251348" w:rsidRPr="00256ACC" w:rsidRDefault="00251348" w:rsidP="00256ACC">
      <w:pPr>
        <w:spacing w:after="0" w:line="276" w:lineRule="auto"/>
        <w:rPr>
          <w:rFonts w:ascii="Arial" w:eastAsia="Times New Roman" w:hAnsi="Arial" w:cs="Arial"/>
          <w:kern w:val="0"/>
          <w:sz w:val="24"/>
          <w:szCs w:val="24"/>
          <w14:ligatures w14:val="none"/>
        </w:rPr>
      </w:pPr>
    </w:p>
    <w:p w14:paraId="3A2BB8C0" w14:textId="77777777" w:rsidR="00251348" w:rsidRPr="00256ACC" w:rsidRDefault="00251348" w:rsidP="00256ACC">
      <w:pPr>
        <w:spacing w:after="0" w:line="276" w:lineRule="auto"/>
        <w:rPr>
          <w:rFonts w:ascii="Arial" w:eastAsia="Times New Roman" w:hAnsi="Arial" w:cs="Arial"/>
          <w:kern w:val="0"/>
          <w:sz w:val="24"/>
          <w:szCs w:val="24"/>
          <w14:ligatures w14:val="none"/>
        </w:rPr>
      </w:pPr>
    </w:p>
    <w:p w14:paraId="3A5B6A2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600524AD" w14:textId="77777777" w:rsidR="00251348" w:rsidRPr="00256ACC" w:rsidRDefault="00251348" w:rsidP="00256ACC">
      <w:pPr>
        <w:spacing w:before="100" w:beforeAutospacing="1" w:after="100" w:afterAutospacing="1" w:line="276" w:lineRule="auto"/>
        <w:outlineLvl w:val="1"/>
        <w:rPr>
          <w:rFonts w:ascii="Arial" w:eastAsia="Times New Roman" w:hAnsi="Arial" w:cs="Arial"/>
          <w:b/>
          <w:bCs/>
          <w:kern w:val="0"/>
          <w:sz w:val="24"/>
          <w:szCs w:val="24"/>
          <w14:ligatures w14:val="none"/>
        </w:rPr>
      </w:pPr>
      <w:r w:rsidRPr="00256ACC">
        <w:rPr>
          <w:rFonts w:ascii="Arial" w:eastAsia="Times New Roman" w:hAnsi="Arial" w:cs="Arial"/>
          <w:kern w:val="0"/>
          <w:sz w:val="24"/>
          <w:szCs w:val="24"/>
          <w14:ligatures w14:val="none"/>
        </w:rPr>
        <w:t xml:space="preserve">Table 2: 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5"/>
        <w:gridCol w:w="473"/>
        <w:gridCol w:w="1086"/>
        <w:gridCol w:w="802"/>
        <w:gridCol w:w="1022"/>
        <w:gridCol w:w="857"/>
        <w:gridCol w:w="884"/>
        <w:gridCol w:w="600"/>
        <w:gridCol w:w="738"/>
        <w:gridCol w:w="746"/>
        <w:gridCol w:w="863"/>
      </w:tblGrid>
      <w:tr w:rsidR="00251348" w:rsidRPr="00256ACC" w14:paraId="55E88101" w14:textId="77777777" w:rsidTr="007B4C7B">
        <w:trPr>
          <w:tblHeader/>
          <w:tblCellSpacing w:w="15" w:type="dxa"/>
        </w:trPr>
        <w:tc>
          <w:tcPr>
            <w:tcW w:w="0" w:type="auto"/>
            <w:vAlign w:val="center"/>
            <w:hideMark/>
          </w:tcPr>
          <w:p w14:paraId="405CE30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lastRenderedPageBreak/>
              <w:t>Study</w:t>
            </w:r>
          </w:p>
        </w:tc>
        <w:tc>
          <w:tcPr>
            <w:tcW w:w="0" w:type="auto"/>
            <w:vAlign w:val="center"/>
            <w:hideMark/>
          </w:tcPr>
          <w:p w14:paraId="467D754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Clear Aims</w:t>
            </w:r>
          </w:p>
        </w:tc>
        <w:tc>
          <w:tcPr>
            <w:tcW w:w="0" w:type="auto"/>
            <w:vAlign w:val="center"/>
            <w:hideMark/>
          </w:tcPr>
          <w:p w14:paraId="56081AED"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Appropriate Methodology</w:t>
            </w:r>
          </w:p>
        </w:tc>
        <w:tc>
          <w:tcPr>
            <w:tcW w:w="0" w:type="auto"/>
            <w:vAlign w:val="center"/>
            <w:hideMark/>
          </w:tcPr>
          <w:p w14:paraId="0FFDC78C"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Research Design</w:t>
            </w:r>
          </w:p>
        </w:tc>
        <w:tc>
          <w:tcPr>
            <w:tcW w:w="0" w:type="auto"/>
            <w:vAlign w:val="center"/>
            <w:hideMark/>
          </w:tcPr>
          <w:p w14:paraId="15DD0A59"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Recruitment Strategy</w:t>
            </w:r>
          </w:p>
        </w:tc>
        <w:tc>
          <w:tcPr>
            <w:tcW w:w="0" w:type="auto"/>
            <w:vAlign w:val="center"/>
            <w:hideMark/>
          </w:tcPr>
          <w:p w14:paraId="5BE2AC8E"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Data Collection</w:t>
            </w:r>
          </w:p>
        </w:tc>
        <w:tc>
          <w:tcPr>
            <w:tcW w:w="0" w:type="auto"/>
            <w:vAlign w:val="center"/>
            <w:hideMark/>
          </w:tcPr>
          <w:p w14:paraId="2202B494"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Reflexivity</w:t>
            </w:r>
          </w:p>
        </w:tc>
        <w:tc>
          <w:tcPr>
            <w:tcW w:w="0" w:type="auto"/>
            <w:vAlign w:val="center"/>
            <w:hideMark/>
          </w:tcPr>
          <w:p w14:paraId="5CD6684E"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Ethical Issues</w:t>
            </w:r>
          </w:p>
        </w:tc>
        <w:tc>
          <w:tcPr>
            <w:tcW w:w="0" w:type="auto"/>
            <w:vAlign w:val="center"/>
            <w:hideMark/>
          </w:tcPr>
          <w:p w14:paraId="286C70AC"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Data Analysis</w:t>
            </w:r>
          </w:p>
        </w:tc>
        <w:tc>
          <w:tcPr>
            <w:tcW w:w="0" w:type="auto"/>
            <w:vAlign w:val="center"/>
            <w:hideMark/>
          </w:tcPr>
          <w:p w14:paraId="632B4562"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Findings Clear</w:t>
            </w:r>
          </w:p>
        </w:tc>
        <w:tc>
          <w:tcPr>
            <w:tcW w:w="0" w:type="auto"/>
            <w:vAlign w:val="center"/>
            <w:hideMark/>
          </w:tcPr>
          <w:p w14:paraId="0E11A4B6"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Value</w:t>
            </w:r>
          </w:p>
        </w:tc>
      </w:tr>
      <w:tr w:rsidR="00251348" w:rsidRPr="00256ACC" w14:paraId="561C693E" w14:textId="77777777" w:rsidTr="007B4C7B">
        <w:trPr>
          <w:tblCellSpacing w:w="15" w:type="dxa"/>
        </w:trPr>
        <w:tc>
          <w:tcPr>
            <w:tcW w:w="0" w:type="auto"/>
            <w:vAlign w:val="center"/>
            <w:hideMark/>
          </w:tcPr>
          <w:p w14:paraId="53A9E79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Brinchmann &amp; Krvavac (2021)</w:t>
            </w:r>
          </w:p>
        </w:tc>
        <w:tc>
          <w:tcPr>
            <w:tcW w:w="0" w:type="auto"/>
            <w:vAlign w:val="center"/>
            <w:hideMark/>
          </w:tcPr>
          <w:p w14:paraId="3827739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C8A1D8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99AB9C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FD6C27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CEE422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B6C37D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Partial</w:t>
            </w:r>
          </w:p>
        </w:tc>
        <w:tc>
          <w:tcPr>
            <w:tcW w:w="0" w:type="auto"/>
            <w:vAlign w:val="center"/>
            <w:hideMark/>
          </w:tcPr>
          <w:p w14:paraId="51A822E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A50D1C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98CF73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FF5DC9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2C8C89CA" w14:textId="77777777" w:rsidTr="007B4C7B">
        <w:trPr>
          <w:tblCellSpacing w:w="15" w:type="dxa"/>
        </w:trPr>
        <w:tc>
          <w:tcPr>
            <w:tcW w:w="0" w:type="auto"/>
            <w:vAlign w:val="center"/>
            <w:hideMark/>
          </w:tcPr>
          <w:p w14:paraId="1AFE47F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Conti et al. (2017)</w:t>
            </w:r>
          </w:p>
        </w:tc>
        <w:tc>
          <w:tcPr>
            <w:tcW w:w="0" w:type="auto"/>
            <w:vAlign w:val="center"/>
            <w:hideMark/>
          </w:tcPr>
          <w:p w14:paraId="281AA8E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21CEF3F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B725E9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DA2A29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34534E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10A7F6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AC60F8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B4D51C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0463D8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1B44A1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444074AD" w14:textId="77777777" w:rsidTr="007B4C7B">
        <w:trPr>
          <w:tblCellSpacing w:w="15" w:type="dxa"/>
        </w:trPr>
        <w:tc>
          <w:tcPr>
            <w:tcW w:w="0" w:type="auto"/>
            <w:vAlign w:val="center"/>
            <w:hideMark/>
          </w:tcPr>
          <w:p w14:paraId="268ECE0C"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Coopey &amp; Johnson (2022)</w:t>
            </w:r>
          </w:p>
        </w:tc>
        <w:tc>
          <w:tcPr>
            <w:tcW w:w="0" w:type="auto"/>
            <w:vAlign w:val="center"/>
            <w:hideMark/>
          </w:tcPr>
          <w:p w14:paraId="4F8356A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CA062F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0027CB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A768B0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0BFBD7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6D4741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Partial</w:t>
            </w:r>
          </w:p>
        </w:tc>
        <w:tc>
          <w:tcPr>
            <w:tcW w:w="0" w:type="auto"/>
            <w:vAlign w:val="center"/>
            <w:hideMark/>
          </w:tcPr>
          <w:p w14:paraId="0F768BD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1DFB01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D742FC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D5A176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5FBF3E50" w14:textId="77777777" w:rsidTr="007B4C7B">
        <w:trPr>
          <w:tblCellSpacing w:w="15" w:type="dxa"/>
        </w:trPr>
        <w:tc>
          <w:tcPr>
            <w:tcW w:w="0" w:type="auto"/>
            <w:vAlign w:val="center"/>
            <w:hideMark/>
          </w:tcPr>
          <w:p w14:paraId="77C8FBC4"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Gao et al. (2025)</w:t>
            </w:r>
          </w:p>
        </w:tc>
        <w:tc>
          <w:tcPr>
            <w:tcW w:w="0" w:type="auto"/>
            <w:vAlign w:val="center"/>
            <w:hideMark/>
          </w:tcPr>
          <w:p w14:paraId="746F961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7DF104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3807F1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3983C3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24BFAC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7E07F7B"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Limited</w:t>
            </w:r>
          </w:p>
        </w:tc>
        <w:tc>
          <w:tcPr>
            <w:tcW w:w="0" w:type="auto"/>
            <w:vAlign w:val="center"/>
            <w:hideMark/>
          </w:tcPr>
          <w:p w14:paraId="2A876DC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288B017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7C44FC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1366B4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Moderate–High</w:t>
            </w:r>
          </w:p>
        </w:tc>
      </w:tr>
      <w:tr w:rsidR="00251348" w:rsidRPr="00256ACC" w14:paraId="33D1BD68" w14:textId="77777777" w:rsidTr="007B4C7B">
        <w:trPr>
          <w:tblCellSpacing w:w="15" w:type="dxa"/>
        </w:trPr>
        <w:tc>
          <w:tcPr>
            <w:tcW w:w="0" w:type="auto"/>
            <w:vAlign w:val="center"/>
            <w:hideMark/>
          </w:tcPr>
          <w:p w14:paraId="46C67EF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Medway et al. (2019)</w:t>
            </w:r>
          </w:p>
        </w:tc>
        <w:tc>
          <w:tcPr>
            <w:tcW w:w="0" w:type="auto"/>
            <w:vAlign w:val="center"/>
            <w:hideMark/>
          </w:tcPr>
          <w:p w14:paraId="4802C0B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2CA93D8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3A9105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7E5E12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8FC857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A9810D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6CA412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832281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739F484"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566623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548B867F" w14:textId="77777777" w:rsidTr="007B4C7B">
        <w:trPr>
          <w:tblCellSpacing w:w="15" w:type="dxa"/>
        </w:trPr>
        <w:tc>
          <w:tcPr>
            <w:tcW w:w="0" w:type="auto"/>
            <w:vAlign w:val="center"/>
            <w:hideMark/>
          </w:tcPr>
          <w:p w14:paraId="105BFCD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Nilsen et al. (2021)</w:t>
            </w:r>
          </w:p>
        </w:tc>
        <w:tc>
          <w:tcPr>
            <w:tcW w:w="0" w:type="auto"/>
            <w:vAlign w:val="center"/>
            <w:hideMark/>
          </w:tcPr>
          <w:p w14:paraId="33FEED6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5E6CF4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2AAB37B"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9B4439C"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3928DE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85B267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Partial</w:t>
            </w:r>
          </w:p>
        </w:tc>
        <w:tc>
          <w:tcPr>
            <w:tcW w:w="0" w:type="auto"/>
            <w:vAlign w:val="center"/>
            <w:hideMark/>
          </w:tcPr>
          <w:p w14:paraId="1BDFA8FB"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E62616C"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F406DE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5C653D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bl>
    <w:p w14:paraId="07B387E3" w14:textId="77777777" w:rsidR="00251348" w:rsidRPr="00256ACC" w:rsidRDefault="00251348" w:rsidP="00256ACC">
      <w:pPr>
        <w:spacing w:before="100" w:beforeAutospacing="1" w:after="100" w:afterAutospacing="1" w:line="276" w:lineRule="auto"/>
        <w:rPr>
          <w:rFonts w:ascii="Arial" w:eastAsia="Times New Roman" w:hAnsi="Arial" w:cs="Arial"/>
          <w:kern w:val="0"/>
          <w:sz w:val="24"/>
          <w:szCs w:val="24"/>
          <w14:ligatures w14:val="none"/>
        </w:rPr>
      </w:pPr>
      <w:r w:rsidRPr="00256ACC">
        <w:rPr>
          <w:rFonts w:ascii="Arial" w:eastAsia="Times New Roman" w:hAnsi="Arial" w:cs="Arial"/>
          <w:b/>
          <w:bCs/>
          <w:kern w:val="0"/>
          <w:sz w:val="24"/>
          <w:szCs w:val="24"/>
          <w14:ligatures w14:val="none"/>
        </w:rPr>
        <w:t>Key:</w:t>
      </w:r>
      <w:r w:rsidRPr="00256ACC">
        <w:rPr>
          <w:rFonts w:ascii="Arial" w:eastAsia="Times New Roman" w:hAnsi="Arial" w:cs="Arial"/>
          <w:kern w:val="0"/>
          <w:sz w:val="24"/>
          <w:szCs w:val="24"/>
          <w14:ligatures w14:val="none"/>
        </w:rPr>
        <w:t xml:space="preserve"> </w:t>
      </w:r>
      <w:r w:rsidRPr="00256ACC">
        <w:rPr>
          <w:rFonts w:ascii="Segoe UI Symbol" w:eastAsia="Times New Roman" w:hAnsi="Segoe UI Symbol" w:cs="Segoe UI Symbol"/>
          <w:kern w:val="0"/>
          <w:sz w:val="24"/>
          <w:szCs w:val="24"/>
          <w14:ligatures w14:val="none"/>
        </w:rPr>
        <w:t>✔</w:t>
      </w:r>
      <w:r w:rsidRPr="00256ACC">
        <w:rPr>
          <w:rFonts w:ascii="Arial" w:eastAsia="Times New Roman" w:hAnsi="Arial" w:cs="Arial"/>
          <w:kern w:val="0"/>
          <w:sz w:val="24"/>
          <w:szCs w:val="24"/>
          <w14:ligatures w14:val="none"/>
        </w:rPr>
        <w:t xml:space="preserve"> = Criterion met</w:t>
      </w:r>
    </w:p>
    <w:p w14:paraId="0D70C976" w14:textId="77777777" w:rsidR="00251348" w:rsidRPr="00256ACC" w:rsidRDefault="00251348" w:rsidP="00256ACC">
      <w:pPr>
        <w:spacing w:before="100" w:beforeAutospacing="1" w:after="100" w:afterAutospacing="1"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Overall, all six studies were deemed methodologically robust, with minor limitations relating primarily to reflexivity reporting and sample size in pilot work.</w:t>
      </w:r>
    </w:p>
    <w:p w14:paraId="3AED7DF9" w14:textId="77777777" w:rsidR="00251348" w:rsidRPr="00256ACC" w:rsidRDefault="00251348" w:rsidP="00256ACC">
      <w:pPr>
        <w:spacing w:after="0" w:line="276" w:lineRule="auto"/>
        <w:rPr>
          <w:rFonts w:ascii="Arial" w:eastAsia="Times New Roman" w:hAnsi="Arial" w:cs="Arial"/>
          <w:kern w:val="0"/>
          <w:sz w:val="24"/>
          <w:szCs w:val="24"/>
          <w14:ligatures w14:val="none"/>
        </w:rPr>
      </w:pPr>
    </w:p>
    <w:p w14:paraId="4406859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b/>
          <w:bCs/>
          <w:kern w:val="0"/>
          <w:sz w:val="24"/>
          <w:szCs w:val="24"/>
          <w14:ligatures w14:val="none"/>
        </w:rPr>
        <w:t>Figure 1:</w:t>
      </w:r>
      <w:r w:rsidRPr="00256ACC">
        <w:rPr>
          <w:rFonts w:ascii="Arial" w:eastAsia="Times New Roman" w:hAnsi="Arial" w:cs="Arial"/>
          <w:kern w:val="0"/>
          <w:sz w:val="24"/>
          <w:szCs w:val="24"/>
          <w14:ligatures w14:val="none"/>
        </w:rPr>
        <w:t xml:space="preserve"> </w:t>
      </w:r>
      <w:r w:rsidRPr="00256ACC">
        <w:rPr>
          <w:rFonts w:ascii="Arial" w:eastAsia="Times New Roman" w:hAnsi="Arial" w:cs="Arial"/>
          <w:kern w:val="0"/>
          <w:sz w:val="24"/>
          <w:szCs w:val="24"/>
          <w:lang w:val="fr-FR"/>
          <w14:ligatures w14:val="none"/>
        </w:rPr>
        <w:t xml:space="preserve">PRISMA-P Flow chart      </w:t>
      </w:r>
    </w:p>
    <w:p w14:paraId="493F93F3" w14:textId="77777777" w:rsidR="00251348" w:rsidRPr="00256ACC" w:rsidRDefault="00251348" w:rsidP="00256ACC">
      <w:pPr>
        <w:spacing w:before="100" w:beforeAutospacing="1" w:after="100" w:afterAutospacing="1" w:line="276" w:lineRule="auto"/>
        <w:outlineLvl w:val="1"/>
        <w:rPr>
          <w:rFonts w:ascii="Arial" w:eastAsia="Times New Roman" w:hAnsi="Arial" w:cs="Arial"/>
          <w:b/>
          <w:bCs/>
          <w:kern w:val="0"/>
          <w:sz w:val="24"/>
          <w:szCs w:val="24"/>
          <w14:ligatures w14:val="none"/>
        </w:rPr>
      </w:pPr>
      <w:r w:rsidRPr="00256ACC">
        <w:rPr>
          <w:rFonts w:ascii="Arial" w:eastAsia="Times New Roman" w:hAnsi="Arial" w:cs="Arial"/>
          <w:b/>
          <w:bCs/>
          <w:noProof/>
          <w:kern w:val="0"/>
          <w:sz w:val="24"/>
          <w:szCs w:val="24"/>
          <w14:ligatures w14:val="none"/>
        </w:rPr>
        <w:lastRenderedPageBreak/>
        <w:drawing>
          <wp:inline distT="0" distB="0" distL="0" distR="0" wp14:anchorId="697826FA" wp14:editId="417C2F38">
            <wp:extent cx="2133344" cy="3756025"/>
            <wp:effectExtent l="0" t="0" r="635" b="0"/>
            <wp:docPr id="1890632065" name="Picture 1" descr="The diagram illustrates the process of identifying and screening records for a research study, including steps like database searching, duplicate removal, title/abstract screening, full-text article assessment, and eligibility criteria for inclu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32065" name="Picture 1" descr="The diagram illustrates the process of identifying and screening records for a research study, including steps like database searching, duplicate removal, title/abstract screening, full-text article assessment, and eligibility criteria for inclusion.&#10;&#10;AI-generated content may be incorrect."/>
                    <pic:cNvPicPr/>
                  </pic:nvPicPr>
                  <pic:blipFill>
                    <a:blip r:embed="rId5"/>
                    <a:stretch>
                      <a:fillRect/>
                    </a:stretch>
                  </pic:blipFill>
                  <pic:spPr>
                    <a:xfrm>
                      <a:off x="0" y="0"/>
                      <a:ext cx="2144922" cy="3776410"/>
                    </a:xfrm>
                    <a:prstGeom prst="rect">
                      <a:avLst/>
                    </a:prstGeom>
                  </pic:spPr>
                </pic:pic>
              </a:graphicData>
            </a:graphic>
          </wp:inline>
        </w:drawing>
      </w:r>
    </w:p>
    <w:p w14:paraId="271B9D8E" w14:textId="44333D96" w:rsidR="00251348" w:rsidRPr="00256ACC" w:rsidRDefault="000561A0" w:rsidP="00256ACC">
      <w:pPr>
        <w:spacing w:line="276" w:lineRule="auto"/>
        <w:rPr>
          <w:rFonts w:ascii="Arial" w:hAnsi="Arial" w:cs="Arial"/>
          <w:sz w:val="24"/>
          <w:szCs w:val="24"/>
        </w:rPr>
      </w:pPr>
      <w:r w:rsidRPr="00256ACC">
        <w:rPr>
          <w:rFonts w:ascii="Arial" w:hAnsi="Arial" w:cs="Arial"/>
          <w:sz w:val="24"/>
          <w:szCs w:val="24"/>
        </w:rPr>
        <w:t>The initial database search produced a large number of qualitative studies exploring family</w:t>
      </w:r>
      <w:r w:rsidRPr="00256ACC">
        <w:rPr>
          <w:rFonts w:ascii="Cambria Math" w:hAnsi="Cambria Math" w:cs="Cambria Math"/>
          <w:sz w:val="24"/>
          <w:szCs w:val="24"/>
        </w:rPr>
        <w:t>‑</w:t>
      </w:r>
      <w:r w:rsidRPr="00256ACC">
        <w:rPr>
          <w:rFonts w:ascii="Arial" w:hAnsi="Arial" w:cs="Arial"/>
          <w:sz w:val="24"/>
          <w:szCs w:val="24"/>
        </w:rPr>
        <w:t>based therapies for eating disorders, many of which were unrelated to the specific focus of this review or presented conflicting findings. Following the PRISMA phases, duplicate records were removed before titles and abstracts were screened using the predetermined inclusion and exclusion criteria. Full</w:t>
      </w:r>
      <w:r w:rsidRPr="00256ACC">
        <w:rPr>
          <w:rFonts w:ascii="Cambria Math" w:hAnsi="Cambria Math" w:cs="Cambria Math"/>
          <w:sz w:val="24"/>
          <w:szCs w:val="24"/>
        </w:rPr>
        <w:t>‑</w:t>
      </w:r>
      <w:r w:rsidRPr="00256ACC">
        <w:rPr>
          <w:rFonts w:ascii="Arial" w:hAnsi="Arial" w:cs="Arial"/>
          <w:sz w:val="24"/>
          <w:szCs w:val="24"/>
        </w:rPr>
        <w:t>text papers were then assessed for eligibility, with emphasis placed on studies that examined family therapy, adolescent or family perspectives, and qualitative methodologies. After completing the identification, screening, and eligibility stages, six studies met the criteria for inclusion in the final synthesis. The PRISMA flow diagram outlines each stage of this process through stage including, including identification, screening, eligibility, and inclusion. Helping in providing a transparent audit trail of how the evidence base for this review was constructed (Page et al., 2021)</w:t>
      </w:r>
    </w:p>
    <w:p w14:paraId="51B4B67E" w14:textId="5FF013F7" w:rsidR="00EB6022" w:rsidRPr="00256ACC" w:rsidRDefault="00EB6022" w:rsidP="00256ACC">
      <w:pPr>
        <w:spacing w:line="276" w:lineRule="auto"/>
        <w:rPr>
          <w:rFonts w:ascii="Arial" w:hAnsi="Arial" w:cs="Arial"/>
          <w:sz w:val="24"/>
          <w:szCs w:val="24"/>
          <w:u w:val="single"/>
        </w:rPr>
      </w:pPr>
      <w:r w:rsidRPr="00256ACC">
        <w:rPr>
          <w:rFonts w:ascii="Arial" w:hAnsi="Arial" w:cs="Arial"/>
          <w:sz w:val="24"/>
          <w:szCs w:val="24"/>
          <w:u w:val="single"/>
        </w:rPr>
        <w:t>Results</w:t>
      </w:r>
    </w:p>
    <w:tbl>
      <w:tblPr>
        <w:tblStyle w:val="PlainTable2"/>
        <w:tblW w:w="9781" w:type="dxa"/>
        <w:tblLook w:val="04A0" w:firstRow="1" w:lastRow="0" w:firstColumn="1" w:lastColumn="0" w:noHBand="0" w:noVBand="1"/>
      </w:tblPr>
      <w:tblGrid>
        <w:gridCol w:w="2127"/>
        <w:gridCol w:w="3260"/>
        <w:gridCol w:w="4394"/>
      </w:tblGrid>
      <w:tr w:rsidR="003E0FFF" w:rsidRPr="00256ACC" w14:paraId="3201FA96" w14:textId="77777777" w:rsidTr="003E0FFF">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2DA4B2DB" w14:textId="77777777" w:rsidR="003E0FFF" w:rsidRPr="00256ACC" w:rsidRDefault="003E0FFF" w:rsidP="00256ACC">
            <w:pPr>
              <w:spacing w:line="276" w:lineRule="auto"/>
              <w:ind w:left="175"/>
              <w:rPr>
                <w:rFonts w:ascii="Arial" w:hAnsi="Arial" w:cs="Arial"/>
                <w:b w:val="0"/>
                <w:bCs w:val="0"/>
                <w:i/>
                <w:iCs/>
                <w:sz w:val="24"/>
                <w:szCs w:val="24"/>
              </w:rPr>
            </w:pPr>
            <w:r w:rsidRPr="00256ACC">
              <w:rPr>
                <w:rFonts w:ascii="Arial" w:hAnsi="Arial" w:cs="Arial"/>
                <w:b w:val="0"/>
                <w:bCs w:val="0"/>
                <w:i/>
                <w:iCs/>
                <w:sz w:val="24"/>
                <w:szCs w:val="24"/>
              </w:rPr>
              <w:t>Theme</w:t>
            </w:r>
          </w:p>
        </w:tc>
        <w:tc>
          <w:tcPr>
            <w:tcW w:w="3260" w:type="dxa"/>
          </w:tcPr>
          <w:p w14:paraId="226E539A" w14:textId="77777777" w:rsidR="003E0FFF" w:rsidRPr="00256ACC" w:rsidRDefault="003E0FFF" w:rsidP="00256ACC">
            <w:pPr>
              <w:spacing w:line="276" w:lineRule="auto"/>
              <w:ind w:left="212" w:right="-36"/>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256ACC">
              <w:rPr>
                <w:rFonts w:ascii="Arial" w:hAnsi="Arial" w:cs="Arial"/>
                <w:b w:val="0"/>
                <w:bCs w:val="0"/>
                <w:i/>
                <w:iCs/>
                <w:sz w:val="24"/>
                <w:szCs w:val="24"/>
              </w:rPr>
              <w:t xml:space="preserve">    Sub-theme</w:t>
            </w:r>
          </w:p>
        </w:tc>
        <w:tc>
          <w:tcPr>
            <w:tcW w:w="4394" w:type="dxa"/>
          </w:tcPr>
          <w:p w14:paraId="7D89FED4" w14:textId="77777777" w:rsidR="003E0FFF" w:rsidRPr="00256ACC" w:rsidRDefault="003E0FFF" w:rsidP="00256ACC">
            <w:pPr>
              <w:spacing w:line="276" w:lineRule="auto"/>
              <w:ind w:left="212" w:right="-36"/>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256ACC">
              <w:rPr>
                <w:rFonts w:ascii="Arial" w:hAnsi="Arial" w:cs="Arial"/>
                <w:b w:val="0"/>
                <w:bCs w:val="0"/>
                <w:i/>
                <w:iCs/>
                <w:sz w:val="24"/>
                <w:szCs w:val="24"/>
              </w:rPr>
              <w:t>Example quotes</w:t>
            </w:r>
          </w:p>
        </w:tc>
      </w:tr>
      <w:tr w:rsidR="003E0FFF" w:rsidRPr="00256ACC" w14:paraId="709CEC5E" w14:textId="77777777" w:rsidTr="003E0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2A5ECFE5" w14:textId="77777777"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t>Connection, Recognition, and the Power of Shared Experience</w:t>
            </w:r>
          </w:p>
        </w:tc>
        <w:tc>
          <w:tcPr>
            <w:tcW w:w="3260" w:type="dxa"/>
          </w:tcPr>
          <w:p w14:paraId="6A4EF242"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Shared understanding reduces isolation</w:t>
            </w:r>
          </w:p>
          <w:p w14:paraId="71B0BE71" w14:textId="3C7CEA4D"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Validation through meeting others with similar struggles</w:t>
            </w:r>
          </w:p>
          <w:p w14:paraId="2486E78B" w14:textId="7E0A954C"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Strengthening communication within the family</w:t>
            </w:r>
          </w:p>
          <w:p w14:paraId="666D87F3" w14:textId="66AE07A1"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lastRenderedPageBreak/>
              <w:t>Emotional safety created through group belonging</w:t>
            </w:r>
          </w:p>
          <w:p w14:paraId="125A58DD" w14:textId="2726D63E"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Collective learning and mutual support across families</w:t>
            </w:r>
          </w:p>
        </w:tc>
        <w:tc>
          <w:tcPr>
            <w:tcW w:w="4394" w:type="dxa"/>
          </w:tcPr>
          <w:p w14:paraId="2F0FD381"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lastRenderedPageBreak/>
              <w:t>At last there were people who understood what I was talking about… it was quite liberating.” (Mother, Brinchmann &amp; Krvavac)</w:t>
            </w:r>
          </w:p>
          <w:p w14:paraId="0D31BEB4"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86DB3C4"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“It was nice to talk to other people… they knew they weren’t alone.” (Young person, Coopey &amp; Johnson)</w:t>
            </w:r>
          </w:p>
          <w:p w14:paraId="33963EC5"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F2D9DE"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“We became just like one big family and everyone opened up.” (Mother, Brinchmann &amp; Krvavac)</w:t>
            </w:r>
          </w:p>
        </w:tc>
      </w:tr>
      <w:tr w:rsidR="003E0FFF" w:rsidRPr="00256ACC" w14:paraId="6B8E2799" w14:textId="77777777" w:rsidTr="003E0FFF">
        <w:tc>
          <w:tcPr>
            <w:cnfStyle w:val="001000000000" w:firstRow="0" w:lastRow="0" w:firstColumn="1" w:lastColumn="0" w:oddVBand="0" w:evenVBand="0" w:oddHBand="0" w:evenHBand="0" w:firstRowFirstColumn="0" w:firstRowLastColumn="0" w:lastRowFirstColumn="0" w:lastRowLastColumn="0"/>
            <w:tcW w:w="2127" w:type="dxa"/>
          </w:tcPr>
          <w:p w14:paraId="4F24C05E" w14:textId="77777777"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lastRenderedPageBreak/>
              <w:t>Control, Conflict, and the Emotional Weight of Family</w:t>
            </w:r>
            <w:r w:rsidRPr="00256ACC">
              <w:rPr>
                <w:rFonts w:ascii="Cambria Math" w:hAnsi="Cambria Math" w:cs="Cambria Math"/>
                <w:sz w:val="24"/>
                <w:szCs w:val="24"/>
              </w:rPr>
              <w:t>‑</w:t>
            </w:r>
            <w:r w:rsidRPr="00256ACC">
              <w:rPr>
                <w:rFonts w:ascii="Arial" w:hAnsi="Arial" w:cs="Arial"/>
                <w:sz w:val="24"/>
                <w:szCs w:val="24"/>
              </w:rPr>
              <w:t>Centred Treatment</w:t>
            </w:r>
          </w:p>
        </w:tc>
        <w:tc>
          <w:tcPr>
            <w:tcW w:w="3260" w:type="dxa"/>
          </w:tcPr>
          <w:p w14:paraId="1D08FEBC"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Loss of autonomy and perceived restriction</w:t>
            </w:r>
          </w:p>
          <w:p w14:paraId="7D214324" w14:textId="3CC54B2B"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Heightened conflict between young people and parents</w:t>
            </w:r>
          </w:p>
          <w:p w14:paraId="0019BBE9" w14:textId="7FEE2A35"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Parental guilt, scrutiny, and fear of failure</w:t>
            </w:r>
          </w:p>
          <w:p w14:paraId="764A889F" w14:textId="6892C6EF"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Emotional overload within structured treatment environments</w:t>
            </w:r>
          </w:p>
          <w:p w14:paraId="4FF4B77B" w14:textId="3CE4EFCD"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Tension between therapeutic authority and adolescent independence</w:t>
            </w:r>
          </w:p>
        </w:tc>
        <w:tc>
          <w:tcPr>
            <w:tcW w:w="4394" w:type="dxa"/>
          </w:tcPr>
          <w:p w14:paraId="7A2FC1A5"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“It was horrible, the lack of control… they’d literally decide everything for you.” (Offord et al., in Peebles et al.)</w:t>
            </w:r>
          </w:p>
          <w:p w14:paraId="1524E096"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2C8A7E5"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“We were on trial… her failure to put on weight was my failure.” (Father, Conti et al.)</w:t>
            </w:r>
          </w:p>
          <w:p w14:paraId="26DDC805"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54F3AC4"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“It didn’t focus on my emotions… it caused a battle between me and my parents.” (Hayley, Conti et al.)</w:t>
            </w:r>
          </w:p>
        </w:tc>
      </w:tr>
      <w:tr w:rsidR="003E0FFF" w:rsidRPr="00256ACC" w14:paraId="051F4800" w14:textId="77777777" w:rsidTr="003E0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479213D7" w14:textId="77777777"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t>Reclaiming Identity and Development — Emerging Beyond the Eating Disorder</w:t>
            </w:r>
          </w:p>
        </w:tc>
        <w:tc>
          <w:tcPr>
            <w:tcW w:w="3260" w:type="dxa"/>
          </w:tcPr>
          <w:p w14:paraId="792F96F1" w14:textId="11F7129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Realising the depth of immersion in the illness</w:t>
            </w:r>
          </w:p>
          <w:p w14:paraId="31BE8C8B" w14:textId="23A92599"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Experiences of developmental regression during early treatment</w:t>
            </w:r>
          </w:p>
          <w:p w14:paraId="76228709" w14:textId="23EDDB8A"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Gradual rebuilding of autonomy and independence</w:t>
            </w:r>
          </w:p>
          <w:p w14:paraId="25A35C9B" w14:textId="4E073BC6"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Re</w:t>
            </w:r>
            <w:r w:rsidRPr="00256ACC">
              <w:rPr>
                <w:rFonts w:ascii="Cambria Math" w:hAnsi="Cambria Math" w:cs="Cambria Math"/>
                <w:sz w:val="24"/>
                <w:szCs w:val="24"/>
              </w:rPr>
              <w:t>‑</w:t>
            </w:r>
            <w:r w:rsidRPr="00256ACC">
              <w:rPr>
                <w:rFonts w:ascii="Arial" w:hAnsi="Arial" w:cs="Arial"/>
                <w:sz w:val="24"/>
                <w:szCs w:val="24"/>
              </w:rPr>
              <w:t>establishing emotional expression and self</w:t>
            </w:r>
            <w:r w:rsidRPr="00256ACC">
              <w:rPr>
                <w:rFonts w:ascii="Cambria Math" w:hAnsi="Cambria Math" w:cs="Cambria Math"/>
                <w:sz w:val="24"/>
                <w:szCs w:val="24"/>
              </w:rPr>
              <w:t>‑</w:t>
            </w:r>
            <w:r w:rsidRPr="00256ACC">
              <w:rPr>
                <w:rFonts w:ascii="Arial" w:hAnsi="Arial" w:cs="Arial"/>
                <w:sz w:val="24"/>
                <w:szCs w:val="24"/>
              </w:rPr>
              <w:t>understanding</w:t>
            </w:r>
          </w:p>
          <w:p w14:paraId="4A0FF14D" w14:textId="41A228FC"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Reconnecting with peers, hobbies, and age</w:t>
            </w:r>
            <w:r w:rsidRPr="00256ACC">
              <w:rPr>
                <w:rFonts w:ascii="Cambria Math" w:hAnsi="Cambria Math" w:cs="Cambria Math"/>
                <w:sz w:val="24"/>
                <w:szCs w:val="24"/>
              </w:rPr>
              <w:t>‑</w:t>
            </w:r>
            <w:r w:rsidRPr="00256ACC">
              <w:rPr>
                <w:rFonts w:ascii="Arial" w:hAnsi="Arial" w:cs="Arial"/>
                <w:sz w:val="24"/>
                <w:szCs w:val="24"/>
              </w:rPr>
              <w:t>appropriate milestones</w:t>
            </w:r>
          </w:p>
        </w:tc>
        <w:tc>
          <w:tcPr>
            <w:tcW w:w="4394" w:type="dxa"/>
          </w:tcPr>
          <w:p w14:paraId="60A8FAC7"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“I look back and realise how bad I used to be… now I’m eating.” (Meghan, Coopey &amp; Johnson)</w:t>
            </w:r>
          </w:p>
          <w:p w14:paraId="4DA97C09"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A0833A4"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“I felt thrown straight back to when I was 10 years old.” (Rebecca, Medway et al.)</w:t>
            </w:r>
          </w:p>
          <w:p w14:paraId="27B21AA2"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6B47CA9"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“They know how to manage my meltdowns now… they know how to support me.” (Lilly, Coopey &amp; Johnson)</w:t>
            </w:r>
          </w:p>
        </w:tc>
      </w:tr>
    </w:tbl>
    <w:p w14:paraId="10F711CE" w14:textId="77777777" w:rsidR="003E0FFF" w:rsidRPr="00256ACC" w:rsidRDefault="003E0FFF" w:rsidP="00256ACC">
      <w:pPr>
        <w:spacing w:line="276" w:lineRule="auto"/>
        <w:rPr>
          <w:rFonts w:ascii="Arial" w:hAnsi="Arial" w:cs="Arial"/>
          <w:sz w:val="24"/>
          <w:szCs w:val="24"/>
        </w:rPr>
      </w:pPr>
    </w:p>
    <w:p w14:paraId="73F2333D" w14:textId="77777777" w:rsidR="003E0FFF" w:rsidRPr="00256ACC" w:rsidRDefault="003E0FFF" w:rsidP="00256ACC">
      <w:pPr>
        <w:spacing w:line="276" w:lineRule="auto"/>
        <w:rPr>
          <w:rFonts w:ascii="Arial" w:hAnsi="Arial" w:cs="Arial"/>
          <w:sz w:val="24"/>
          <w:szCs w:val="24"/>
        </w:rPr>
      </w:pPr>
    </w:p>
    <w:p w14:paraId="0C93FCD1" w14:textId="623B56D9" w:rsidR="00251348" w:rsidRPr="00256ACC" w:rsidRDefault="003E0FFF" w:rsidP="00256ACC">
      <w:pPr>
        <w:spacing w:line="276" w:lineRule="auto"/>
        <w:rPr>
          <w:rFonts w:ascii="Arial" w:hAnsi="Arial" w:cs="Arial"/>
          <w:sz w:val="24"/>
          <w:szCs w:val="24"/>
        </w:rPr>
      </w:pPr>
      <w:r w:rsidRPr="00256ACC">
        <w:rPr>
          <w:rFonts w:ascii="Arial" w:hAnsi="Arial" w:cs="Arial"/>
          <w:sz w:val="24"/>
          <w:szCs w:val="24"/>
        </w:rPr>
        <w:t>Theme 1: Connection, Recognition, and the Power of Shared Experience</w:t>
      </w:r>
    </w:p>
    <w:p w14:paraId="5372F893" w14:textId="41C2E632"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t>When exploring all 6 papers</w:t>
      </w:r>
      <w:r w:rsidR="00C834CC" w:rsidRPr="00256ACC">
        <w:rPr>
          <w:rFonts w:ascii="Arial" w:hAnsi="Arial" w:cs="Arial"/>
          <w:sz w:val="24"/>
          <w:szCs w:val="24"/>
        </w:rPr>
        <w:t>,</w:t>
      </w:r>
      <w:r w:rsidRPr="00256ACC">
        <w:rPr>
          <w:rFonts w:ascii="Arial" w:hAnsi="Arial" w:cs="Arial"/>
          <w:sz w:val="24"/>
          <w:szCs w:val="24"/>
        </w:rPr>
        <w:t xml:space="preserve"> </w:t>
      </w:r>
      <w:r w:rsidR="00C834CC" w:rsidRPr="00256ACC">
        <w:rPr>
          <w:rFonts w:ascii="Arial" w:hAnsi="Arial" w:cs="Arial"/>
          <w:sz w:val="24"/>
          <w:szCs w:val="24"/>
        </w:rPr>
        <w:t xml:space="preserve">having the support and mechanisms to change was commonly associated with having a rooted connection. Family-centred interventions create a space where young people and their families feel accepted, understood and less isolated on their journey as a family within the barrier they may face when within the situation. Having the knowledge and support that others have faced what they have face and gotten through it provides insight into how connections provide hope and relational support. This in therefore, highlights a theme where it portrays the </w:t>
      </w:r>
      <w:r w:rsidR="00C834CC" w:rsidRPr="00256ACC">
        <w:rPr>
          <w:rFonts w:ascii="Arial" w:hAnsi="Arial" w:cs="Arial"/>
          <w:sz w:val="24"/>
          <w:szCs w:val="24"/>
        </w:rPr>
        <w:lastRenderedPageBreak/>
        <w:t>relational and emotional processes that facilitate engagement and strengthen the therapeutic alliance that is fundamental to support change.</w:t>
      </w:r>
    </w:p>
    <w:p w14:paraId="13FC7FC3" w14:textId="559AB172" w:rsidR="006101D8" w:rsidRPr="00256ACC" w:rsidRDefault="006101D8" w:rsidP="00256ACC">
      <w:pPr>
        <w:spacing w:line="276" w:lineRule="auto"/>
        <w:rPr>
          <w:rFonts w:ascii="Arial" w:hAnsi="Arial" w:cs="Arial"/>
          <w:sz w:val="24"/>
          <w:szCs w:val="24"/>
        </w:rPr>
      </w:pPr>
      <w:r w:rsidRPr="00256ACC">
        <w:rPr>
          <w:rFonts w:ascii="Arial" w:hAnsi="Arial" w:cs="Arial"/>
          <w:sz w:val="24"/>
          <w:szCs w:val="24"/>
        </w:rPr>
        <w:t xml:space="preserve">Through sharing and collaborating with others who are on a similar </w:t>
      </w:r>
      <w:r w:rsidR="0079387E" w:rsidRPr="00256ACC">
        <w:rPr>
          <w:rFonts w:ascii="Arial" w:hAnsi="Arial" w:cs="Arial"/>
          <w:sz w:val="24"/>
          <w:szCs w:val="24"/>
        </w:rPr>
        <w:t>journey,</w:t>
      </w:r>
      <w:r w:rsidRPr="00256ACC">
        <w:rPr>
          <w:rFonts w:ascii="Arial" w:hAnsi="Arial" w:cs="Arial"/>
          <w:sz w:val="24"/>
          <w:szCs w:val="24"/>
        </w:rPr>
        <w:t xml:space="preserve"> isolation is less common</w:t>
      </w:r>
      <w:r w:rsidR="00A52D87" w:rsidRPr="00256ACC">
        <w:rPr>
          <w:rFonts w:ascii="Arial" w:hAnsi="Arial" w:cs="Arial"/>
          <w:sz w:val="24"/>
          <w:szCs w:val="24"/>
        </w:rPr>
        <w:t>,</w:t>
      </w:r>
      <w:r w:rsidRPr="00256ACC">
        <w:rPr>
          <w:rFonts w:ascii="Arial" w:hAnsi="Arial" w:cs="Arial"/>
          <w:sz w:val="24"/>
          <w:szCs w:val="24"/>
        </w:rPr>
        <w:t xml:space="preserve"> as,  upon entering it is not only a change to the person with the eating disorder but a change as a family. Families commonly expressed</w:t>
      </w:r>
      <w:r w:rsidR="0079387E" w:rsidRPr="00256ACC">
        <w:rPr>
          <w:rFonts w:ascii="Arial" w:hAnsi="Arial" w:cs="Arial"/>
          <w:sz w:val="24"/>
          <w:szCs w:val="24"/>
        </w:rPr>
        <w:t>, upon</w:t>
      </w:r>
      <w:r w:rsidRPr="00256ACC">
        <w:rPr>
          <w:rFonts w:ascii="Arial" w:hAnsi="Arial" w:cs="Arial"/>
          <w:sz w:val="24"/>
          <w:szCs w:val="24"/>
        </w:rPr>
        <w:t xml:space="preserve"> beginning treatment</w:t>
      </w:r>
      <w:r w:rsidR="0079387E" w:rsidRPr="00256ACC">
        <w:rPr>
          <w:rFonts w:ascii="Arial" w:hAnsi="Arial" w:cs="Arial"/>
          <w:sz w:val="24"/>
          <w:szCs w:val="24"/>
        </w:rPr>
        <w:t>,</w:t>
      </w:r>
      <w:r w:rsidRPr="00256ACC">
        <w:rPr>
          <w:rFonts w:ascii="Arial" w:hAnsi="Arial" w:cs="Arial"/>
          <w:sz w:val="24"/>
          <w:szCs w:val="24"/>
        </w:rPr>
        <w:t xml:space="preserve"> feeling overwhelmed, alienated, and misunderstood. Yet through Multi-Therapy Treatment and inpatient treatments, in particular, provided a sense of shared experience, reducing guilt and validating emotional responses. A mother in Brinchmann and Krvavac’s study described the moment she realised others shared her struggles</w:t>
      </w:r>
      <w:r w:rsidR="00A52D87" w:rsidRPr="00256ACC">
        <w:rPr>
          <w:rFonts w:ascii="Arial" w:hAnsi="Arial" w:cs="Arial"/>
          <w:sz w:val="24"/>
          <w:szCs w:val="24"/>
        </w:rPr>
        <w:t>:</w:t>
      </w:r>
      <w:r w:rsidRPr="00256ACC">
        <w:rPr>
          <w:rFonts w:ascii="Arial" w:hAnsi="Arial" w:cs="Arial"/>
          <w:sz w:val="24"/>
          <w:szCs w:val="24"/>
        </w:rPr>
        <w:t xml:space="preserve"> “At last there were people who understood what I was talking about… it was quite liberating.” This </w:t>
      </w:r>
      <w:r w:rsidR="00A52D87" w:rsidRPr="00256ACC">
        <w:rPr>
          <w:rFonts w:ascii="Arial" w:hAnsi="Arial" w:cs="Arial"/>
          <w:sz w:val="24"/>
          <w:szCs w:val="24"/>
        </w:rPr>
        <w:t>highlights</w:t>
      </w:r>
      <w:r w:rsidRPr="00256ACC">
        <w:rPr>
          <w:rFonts w:ascii="Arial" w:hAnsi="Arial" w:cs="Arial"/>
          <w:sz w:val="24"/>
          <w:szCs w:val="24"/>
        </w:rPr>
        <w:t xml:space="preserve"> the relief brought with the realisation she was not alone, others knew what she was feeling and thinking and had shared similar </w:t>
      </w:r>
      <w:r w:rsidR="0079387E" w:rsidRPr="00256ACC">
        <w:rPr>
          <w:rFonts w:ascii="Arial" w:hAnsi="Arial" w:cs="Arial"/>
          <w:sz w:val="24"/>
          <w:szCs w:val="24"/>
        </w:rPr>
        <w:t>experiences</w:t>
      </w:r>
      <w:r w:rsidRPr="00256ACC">
        <w:rPr>
          <w:rFonts w:ascii="Arial" w:hAnsi="Arial" w:cs="Arial"/>
          <w:sz w:val="24"/>
          <w:szCs w:val="24"/>
        </w:rPr>
        <w:t xml:space="preserve"> and emotions to her. “It was nice to talk to other people… they knew they weren’t alone.” (Coopey &amp; Johnson) This realisation served as a therapeutic stimulus in addition to being </w:t>
      </w:r>
      <w:r w:rsidR="00E85D95" w:rsidRPr="00256ACC">
        <w:rPr>
          <w:rFonts w:ascii="Arial" w:hAnsi="Arial" w:cs="Arial"/>
          <w:sz w:val="24"/>
          <w:szCs w:val="24"/>
        </w:rPr>
        <w:t xml:space="preserve">a relief upon shared </w:t>
      </w:r>
      <w:r w:rsidR="0079387E" w:rsidRPr="00256ACC">
        <w:rPr>
          <w:rFonts w:ascii="Arial" w:hAnsi="Arial" w:cs="Arial"/>
          <w:sz w:val="24"/>
          <w:szCs w:val="24"/>
        </w:rPr>
        <w:t>experiences</w:t>
      </w:r>
      <w:r w:rsidRPr="00256ACC">
        <w:rPr>
          <w:rFonts w:ascii="Arial" w:hAnsi="Arial" w:cs="Arial"/>
          <w:sz w:val="24"/>
          <w:szCs w:val="24"/>
        </w:rPr>
        <w:t xml:space="preserve">. When families learned their experiences were shared, they reported feeling more </w:t>
      </w:r>
      <w:r w:rsidR="00E85D95" w:rsidRPr="00256ACC">
        <w:rPr>
          <w:rFonts w:ascii="Arial" w:hAnsi="Arial" w:cs="Arial"/>
          <w:sz w:val="24"/>
          <w:szCs w:val="24"/>
        </w:rPr>
        <w:t>open, more willing to participate, and more hopeful.</w:t>
      </w:r>
    </w:p>
    <w:p w14:paraId="7F396674" w14:textId="2C9D8D6E" w:rsidR="009F0BBB" w:rsidRPr="00256ACC" w:rsidRDefault="00E85D95" w:rsidP="00256ACC">
      <w:pPr>
        <w:spacing w:line="276" w:lineRule="auto"/>
        <w:rPr>
          <w:rFonts w:ascii="Arial" w:hAnsi="Arial" w:cs="Arial"/>
          <w:sz w:val="24"/>
          <w:szCs w:val="24"/>
        </w:rPr>
      </w:pPr>
      <w:r w:rsidRPr="00256ACC">
        <w:rPr>
          <w:rFonts w:ascii="Arial" w:hAnsi="Arial" w:cs="Arial"/>
          <w:sz w:val="24"/>
          <w:szCs w:val="24"/>
        </w:rPr>
        <w:t>This leads to the willingness to participate in Family-centred interventions “We became just like one big family</w:t>
      </w:r>
      <w:r w:rsidR="0079387E" w:rsidRPr="00256ACC">
        <w:rPr>
          <w:rFonts w:ascii="Arial" w:hAnsi="Arial" w:cs="Arial"/>
          <w:sz w:val="24"/>
          <w:szCs w:val="24"/>
        </w:rPr>
        <w:t>,</w:t>
      </w:r>
      <w:r w:rsidRPr="00256ACC">
        <w:rPr>
          <w:rFonts w:ascii="Arial" w:hAnsi="Arial" w:cs="Arial"/>
          <w:sz w:val="24"/>
          <w:szCs w:val="24"/>
        </w:rPr>
        <w:t xml:space="preserve"> and everyone opened up.” (Brinchmann &amp; Krvavac), </w:t>
      </w:r>
      <w:r w:rsidR="009F0BBB" w:rsidRPr="00256ACC">
        <w:rPr>
          <w:rFonts w:ascii="Arial" w:hAnsi="Arial" w:cs="Arial"/>
          <w:sz w:val="24"/>
          <w:szCs w:val="24"/>
        </w:rPr>
        <w:t>highlighting</w:t>
      </w:r>
      <w:r w:rsidRPr="00256ACC">
        <w:rPr>
          <w:rFonts w:ascii="Arial" w:hAnsi="Arial" w:cs="Arial"/>
          <w:sz w:val="24"/>
          <w:szCs w:val="24"/>
        </w:rPr>
        <w:t xml:space="preserve"> how such connections </w:t>
      </w:r>
      <w:r w:rsidR="009F0BBB" w:rsidRPr="00256ACC">
        <w:rPr>
          <w:rFonts w:ascii="Arial" w:hAnsi="Arial" w:cs="Arial"/>
          <w:sz w:val="24"/>
          <w:szCs w:val="24"/>
        </w:rPr>
        <w:t>promote an</w:t>
      </w:r>
      <w:r w:rsidRPr="00256ACC">
        <w:rPr>
          <w:rFonts w:ascii="Arial" w:hAnsi="Arial" w:cs="Arial"/>
          <w:sz w:val="24"/>
          <w:szCs w:val="24"/>
        </w:rPr>
        <w:t xml:space="preserve"> atmosphere of communication and security where families </w:t>
      </w:r>
      <w:r w:rsidR="009F0BBB" w:rsidRPr="00256ACC">
        <w:rPr>
          <w:rFonts w:ascii="Arial" w:hAnsi="Arial" w:cs="Arial"/>
          <w:sz w:val="24"/>
          <w:szCs w:val="24"/>
        </w:rPr>
        <w:t>can</w:t>
      </w:r>
      <w:r w:rsidRPr="00256ACC">
        <w:rPr>
          <w:rFonts w:ascii="Arial" w:hAnsi="Arial" w:cs="Arial"/>
          <w:sz w:val="24"/>
          <w:szCs w:val="24"/>
        </w:rPr>
        <w:t xml:space="preserve"> "open up," "talk again," and "understand each other differently." </w:t>
      </w:r>
    </w:p>
    <w:p w14:paraId="127E16CF" w14:textId="75CEB2A7" w:rsidR="009F0BBB" w:rsidRPr="00256ACC" w:rsidRDefault="00E85D95" w:rsidP="00256ACC">
      <w:pPr>
        <w:spacing w:line="276" w:lineRule="auto"/>
        <w:rPr>
          <w:rFonts w:ascii="Arial" w:hAnsi="Arial" w:cs="Arial"/>
          <w:sz w:val="24"/>
          <w:szCs w:val="24"/>
        </w:rPr>
      </w:pPr>
      <w:r w:rsidRPr="00256ACC">
        <w:rPr>
          <w:rFonts w:ascii="Arial" w:hAnsi="Arial" w:cs="Arial"/>
          <w:sz w:val="24"/>
          <w:szCs w:val="24"/>
        </w:rPr>
        <w:t xml:space="preserve">Structured activities, shared meals, and supported discussions allowed families to express feelings that were previously hidden or misunderstood due to the emotional factors that can be associated with not only having an eating disorder yourself but </w:t>
      </w:r>
      <w:r w:rsidR="0079387E" w:rsidRPr="00256ACC">
        <w:rPr>
          <w:rFonts w:ascii="Arial" w:hAnsi="Arial" w:cs="Arial"/>
          <w:sz w:val="24"/>
          <w:szCs w:val="24"/>
        </w:rPr>
        <w:t xml:space="preserve">also </w:t>
      </w:r>
      <w:r w:rsidRPr="00256ACC">
        <w:rPr>
          <w:rFonts w:ascii="Arial" w:hAnsi="Arial" w:cs="Arial"/>
          <w:sz w:val="24"/>
          <w:szCs w:val="24"/>
        </w:rPr>
        <w:t>as a parent trying to understand the mindset behind the eating disorder and the behaviour associated.</w:t>
      </w:r>
      <w:r w:rsidR="009F0BBB" w:rsidRPr="00256ACC">
        <w:rPr>
          <w:rFonts w:ascii="Arial" w:hAnsi="Arial" w:cs="Arial"/>
          <w:sz w:val="24"/>
          <w:szCs w:val="24"/>
        </w:rPr>
        <w:t xml:space="preserve"> Young people also reported that treatment helped their parents understand their emotional world from the perspective of a person with an eating disorder more clearly. “It helped them understand the emotions… it’s always two sides.” (Coopey &amp; Johnson)</w:t>
      </w:r>
    </w:p>
    <w:p w14:paraId="06D5829D" w14:textId="0F48BAEF" w:rsidR="00E85D95" w:rsidRPr="00256ACC" w:rsidRDefault="009F0BBB" w:rsidP="00256ACC">
      <w:pPr>
        <w:spacing w:line="276" w:lineRule="auto"/>
        <w:rPr>
          <w:rFonts w:ascii="Arial" w:hAnsi="Arial" w:cs="Arial"/>
          <w:sz w:val="24"/>
          <w:szCs w:val="24"/>
        </w:rPr>
      </w:pPr>
      <w:r w:rsidRPr="00256ACC">
        <w:rPr>
          <w:rFonts w:ascii="Arial" w:hAnsi="Arial" w:cs="Arial"/>
          <w:sz w:val="24"/>
          <w:szCs w:val="24"/>
        </w:rPr>
        <w:t>This helped within improving the foundations of communication and deepening understanding of each other's perspectives and how vital it is</w:t>
      </w:r>
      <w:r w:rsidR="0079387E" w:rsidRPr="00256ACC">
        <w:rPr>
          <w:rFonts w:ascii="Arial" w:hAnsi="Arial" w:cs="Arial"/>
          <w:sz w:val="24"/>
          <w:szCs w:val="24"/>
        </w:rPr>
        <w:t xml:space="preserve"> </w:t>
      </w:r>
      <w:r w:rsidRPr="00256ACC">
        <w:rPr>
          <w:rFonts w:ascii="Arial" w:hAnsi="Arial" w:cs="Arial"/>
          <w:sz w:val="24"/>
          <w:szCs w:val="24"/>
        </w:rPr>
        <w:t>in day-to-day interactions. Providing the mechanisms of effective communication and understanding that could carry beyond the therapy room. Overall, improving and influencing daily interactions and reducing conflict at home</w:t>
      </w:r>
    </w:p>
    <w:p w14:paraId="68DB9093" w14:textId="3BD5B2B9" w:rsidR="008A6B3B" w:rsidRPr="00256ACC" w:rsidRDefault="008A6B3B" w:rsidP="00256ACC">
      <w:pPr>
        <w:spacing w:line="276" w:lineRule="auto"/>
        <w:rPr>
          <w:rFonts w:ascii="Arial" w:hAnsi="Arial" w:cs="Arial"/>
          <w:sz w:val="24"/>
          <w:szCs w:val="24"/>
        </w:rPr>
      </w:pPr>
      <w:r w:rsidRPr="00256ACC">
        <w:rPr>
          <w:rFonts w:ascii="Arial" w:hAnsi="Arial" w:cs="Arial"/>
          <w:sz w:val="24"/>
          <w:szCs w:val="24"/>
        </w:rPr>
        <w:t xml:space="preserve">Externalisation, or isolating the young person from the disorder, was a major facilitator of empathy and blame reduction in all of the research included. Families reported being able to "see the illness" rather than attributing behaviours to the young person's personality. Therefore, providing </w:t>
      </w:r>
      <w:r w:rsidR="0079387E" w:rsidRPr="00256ACC">
        <w:rPr>
          <w:rFonts w:ascii="Arial" w:hAnsi="Arial" w:cs="Arial"/>
          <w:sz w:val="24"/>
          <w:szCs w:val="24"/>
        </w:rPr>
        <w:t>an</w:t>
      </w:r>
      <w:r w:rsidRPr="00256ACC">
        <w:rPr>
          <w:rFonts w:ascii="Arial" w:hAnsi="Arial" w:cs="Arial"/>
          <w:sz w:val="24"/>
          <w:szCs w:val="24"/>
        </w:rPr>
        <w:t xml:space="preserve"> alternative perspective on the behaviours that were occurring as part of the eating disorder rather than </w:t>
      </w:r>
      <w:r w:rsidR="0079387E" w:rsidRPr="00256ACC">
        <w:rPr>
          <w:rFonts w:ascii="Arial" w:hAnsi="Arial" w:cs="Arial"/>
          <w:sz w:val="24"/>
          <w:szCs w:val="24"/>
        </w:rPr>
        <w:t>the</w:t>
      </w:r>
      <w:r w:rsidRPr="00256ACC">
        <w:rPr>
          <w:rFonts w:ascii="Arial" w:hAnsi="Arial" w:cs="Arial"/>
          <w:sz w:val="24"/>
          <w:szCs w:val="24"/>
        </w:rPr>
        <w:t xml:space="preserve"> one made by choice to present undesirable behaviours. Dissociating the behaviours </w:t>
      </w:r>
      <w:r w:rsidRPr="00256ACC">
        <w:rPr>
          <w:rFonts w:ascii="Arial" w:hAnsi="Arial" w:cs="Arial"/>
          <w:sz w:val="24"/>
          <w:szCs w:val="24"/>
        </w:rPr>
        <w:lastRenderedPageBreak/>
        <w:t>presented from the illness allowed a more reflective</w:t>
      </w:r>
      <w:r w:rsidR="0079387E" w:rsidRPr="00256ACC">
        <w:rPr>
          <w:rFonts w:ascii="Arial" w:hAnsi="Arial" w:cs="Arial"/>
          <w:sz w:val="24"/>
          <w:szCs w:val="24"/>
        </w:rPr>
        <w:t>,</w:t>
      </w:r>
      <w:r w:rsidRPr="00256ACC">
        <w:rPr>
          <w:rFonts w:ascii="Arial" w:hAnsi="Arial" w:cs="Arial"/>
          <w:sz w:val="24"/>
          <w:szCs w:val="24"/>
        </w:rPr>
        <w:t xml:space="preserve"> </w:t>
      </w:r>
      <w:r w:rsidR="0079387E" w:rsidRPr="00256ACC">
        <w:rPr>
          <w:rFonts w:ascii="Arial" w:hAnsi="Arial" w:cs="Arial"/>
          <w:sz w:val="24"/>
          <w:szCs w:val="24"/>
        </w:rPr>
        <w:t>considerate perspective</w:t>
      </w:r>
      <w:r w:rsidRPr="00256ACC">
        <w:rPr>
          <w:rFonts w:ascii="Arial" w:hAnsi="Arial" w:cs="Arial"/>
          <w:sz w:val="24"/>
          <w:szCs w:val="24"/>
        </w:rPr>
        <w:t xml:space="preserve"> that altered the emotional tone of interactions and minimised conflict. One adolescent stated, "They didn't mean what they said… everyone was going through a really tough time" (Conti et al.). This reframing helped families in interpreting undesirable behaviours as indicators of anorexia rather than purposeful defiance, allowing them to respond with greater tolerance and compassion. Externalising oneself from the eating disorder and undesirable behaviours attached helped </w:t>
      </w:r>
      <w:r w:rsidR="0079387E" w:rsidRPr="00256ACC">
        <w:rPr>
          <w:rFonts w:ascii="Arial" w:hAnsi="Arial" w:cs="Arial"/>
          <w:sz w:val="24"/>
          <w:szCs w:val="24"/>
        </w:rPr>
        <w:t>in</w:t>
      </w:r>
      <w:r w:rsidRPr="00256ACC">
        <w:rPr>
          <w:rFonts w:ascii="Arial" w:hAnsi="Arial" w:cs="Arial"/>
          <w:sz w:val="24"/>
          <w:szCs w:val="24"/>
        </w:rPr>
        <w:t xml:space="preserve"> realising it was not themselves but rather, the effect </w:t>
      </w:r>
      <w:r w:rsidR="0079387E" w:rsidRPr="00256ACC">
        <w:rPr>
          <w:rFonts w:ascii="Arial" w:hAnsi="Arial" w:cs="Arial"/>
          <w:sz w:val="24"/>
          <w:szCs w:val="24"/>
        </w:rPr>
        <w:t>of</w:t>
      </w:r>
      <w:r w:rsidRPr="00256ACC">
        <w:rPr>
          <w:rFonts w:ascii="Arial" w:hAnsi="Arial" w:cs="Arial"/>
          <w:sz w:val="24"/>
          <w:szCs w:val="24"/>
        </w:rPr>
        <w:t xml:space="preserve"> the eating disorder. This supported and alleviated young people's emotions of guilt and personal failure, allowing them to feel less stigmatised and more understood within their families.</w:t>
      </w:r>
    </w:p>
    <w:p w14:paraId="39510A52" w14:textId="71677FEF" w:rsidR="008A6B3B" w:rsidRPr="00256ACC" w:rsidRDefault="008A6B3B" w:rsidP="00256ACC">
      <w:pPr>
        <w:spacing w:line="276" w:lineRule="auto"/>
        <w:rPr>
          <w:rFonts w:ascii="Arial" w:hAnsi="Arial" w:cs="Arial"/>
          <w:sz w:val="24"/>
          <w:szCs w:val="24"/>
        </w:rPr>
      </w:pPr>
      <w:r w:rsidRPr="00256ACC">
        <w:rPr>
          <w:rFonts w:ascii="Arial" w:hAnsi="Arial" w:cs="Arial"/>
          <w:sz w:val="24"/>
          <w:szCs w:val="24"/>
        </w:rPr>
        <w:t>Theme One highlights the importance of connection and recognition in making family-centered interventions effective and healing. Families reported feeling less isolated, more understood, and emotionally supported when they interacted with others who shared their experiences. These moments of recognition not only reduced feelings of guilt and loneliness but also improved family communication and strengthened overall resilience. Externalisation aided this process by bringing families together against the illness rather than each other. Together, these relationships changes demonstrate that the effectiveness of FBT and MFT depends not just in behavioural change, but also in the development of emotionally safe, validating environments where families can reconnect, communicate, and begin healing and understanding one another again.</w:t>
      </w:r>
    </w:p>
    <w:p w14:paraId="6BBF05C7" w14:textId="17C71A00" w:rsidR="007C2FEA" w:rsidRPr="00256ACC" w:rsidRDefault="007C2FEA" w:rsidP="00256ACC">
      <w:pPr>
        <w:spacing w:line="276" w:lineRule="auto"/>
        <w:rPr>
          <w:rFonts w:ascii="Arial" w:hAnsi="Arial" w:cs="Arial"/>
          <w:sz w:val="24"/>
          <w:szCs w:val="24"/>
        </w:rPr>
      </w:pPr>
      <w:r w:rsidRPr="00256ACC">
        <w:rPr>
          <w:rFonts w:ascii="Arial" w:hAnsi="Arial" w:cs="Arial"/>
          <w:sz w:val="24"/>
          <w:szCs w:val="24"/>
        </w:rPr>
        <w:t>Theme 2: Control, Conflict, and the Emotional Weight of Family</w:t>
      </w:r>
      <w:r w:rsidRPr="00256ACC">
        <w:rPr>
          <w:rFonts w:ascii="Cambria Math" w:hAnsi="Cambria Math" w:cs="Cambria Math"/>
          <w:sz w:val="24"/>
          <w:szCs w:val="24"/>
        </w:rPr>
        <w:t>‑</w:t>
      </w:r>
      <w:r w:rsidRPr="00256ACC">
        <w:rPr>
          <w:rFonts w:ascii="Arial" w:hAnsi="Arial" w:cs="Arial"/>
          <w:sz w:val="24"/>
          <w:szCs w:val="24"/>
        </w:rPr>
        <w:t>Centred Treatment</w:t>
      </w:r>
    </w:p>
    <w:p w14:paraId="6390EB6F" w14:textId="0DF496CB" w:rsidR="007C2FEA" w:rsidRPr="00256ACC" w:rsidRDefault="007C2FEA" w:rsidP="00256ACC">
      <w:pPr>
        <w:spacing w:line="276" w:lineRule="auto"/>
        <w:rPr>
          <w:rFonts w:ascii="Arial" w:hAnsi="Arial" w:cs="Arial"/>
          <w:sz w:val="24"/>
          <w:szCs w:val="24"/>
        </w:rPr>
      </w:pPr>
      <w:r w:rsidRPr="00256ACC">
        <w:rPr>
          <w:rFonts w:ascii="Arial" w:hAnsi="Arial" w:cs="Arial"/>
          <w:sz w:val="24"/>
          <w:szCs w:val="24"/>
        </w:rPr>
        <w:t>Although family-centred therapies increased the sense of connection, they also caused emotional distress. The tensions between authority, autonomy, responsibility, and emotional overload affected participants' experiences.</w:t>
      </w:r>
    </w:p>
    <w:p w14:paraId="520ED3E5" w14:textId="213047A8" w:rsidR="00CB7CAF" w:rsidRPr="00256ACC" w:rsidRDefault="00CB7CAF" w:rsidP="00256ACC">
      <w:pPr>
        <w:spacing w:line="276" w:lineRule="auto"/>
        <w:rPr>
          <w:rFonts w:ascii="Arial" w:hAnsi="Arial" w:cs="Arial"/>
          <w:sz w:val="24"/>
          <w:szCs w:val="24"/>
        </w:rPr>
      </w:pPr>
      <w:r w:rsidRPr="00256ACC">
        <w:rPr>
          <w:rFonts w:ascii="Arial" w:hAnsi="Arial" w:cs="Arial"/>
          <w:sz w:val="24"/>
          <w:szCs w:val="24"/>
        </w:rPr>
        <w:t>In Family Based Therapy and inpatient settings, young people often expressed feeling monitored, controlled, or silenced, especially in the early phases of therapy when structure is most rigid. Strict requirements, such as constantly being monitored in meals and how much you ate and the lack of independence on any decision in that period</w:t>
      </w:r>
      <w:r w:rsidR="0079387E" w:rsidRPr="00256ACC">
        <w:rPr>
          <w:rFonts w:ascii="Arial" w:hAnsi="Arial" w:cs="Arial"/>
          <w:sz w:val="24"/>
          <w:szCs w:val="24"/>
        </w:rPr>
        <w:t xml:space="preserve">, </w:t>
      </w:r>
      <w:r w:rsidRPr="00256ACC">
        <w:rPr>
          <w:rFonts w:ascii="Arial" w:hAnsi="Arial" w:cs="Arial"/>
          <w:sz w:val="24"/>
          <w:szCs w:val="24"/>
        </w:rPr>
        <w:t xml:space="preserve">alongside little autonomy within any </w:t>
      </w:r>
      <w:r w:rsidR="0079387E" w:rsidRPr="00256ACC">
        <w:rPr>
          <w:rFonts w:ascii="Arial" w:hAnsi="Arial" w:cs="Arial"/>
          <w:sz w:val="24"/>
          <w:szCs w:val="24"/>
        </w:rPr>
        <w:t>decisions,</w:t>
      </w:r>
      <w:r w:rsidRPr="00256ACC">
        <w:rPr>
          <w:rFonts w:ascii="Arial" w:hAnsi="Arial" w:cs="Arial"/>
          <w:sz w:val="24"/>
          <w:szCs w:val="24"/>
        </w:rPr>
        <w:t> were frequently perceived as invasive and dehumanising, giving the impression that one was being controlled rather than helped. One young person captured this loss of agency when describing inpatient treatment as, “It was horrible, the lack of control… they’d literally decide everything for you” (Offord et al., in Peebles et al.).</w:t>
      </w:r>
    </w:p>
    <w:p w14:paraId="251A3E7A" w14:textId="3CD4128B" w:rsidR="00CB7CAF" w:rsidRPr="00256ACC" w:rsidRDefault="00CB7CAF" w:rsidP="00256ACC">
      <w:pPr>
        <w:spacing w:line="276" w:lineRule="auto"/>
        <w:rPr>
          <w:rFonts w:ascii="Arial" w:hAnsi="Arial" w:cs="Arial"/>
          <w:sz w:val="24"/>
          <w:szCs w:val="24"/>
        </w:rPr>
      </w:pPr>
      <w:r w:rsidRPr="00256ACC">
        <w:rPr>
          <w:rFonts w:ascii="Arial" w:hAnsi="Arial" w:cs="Arial"/>
          <w:sz w:val="24"/>
          <w:szCs w:val="24"/>
        </w:rPr>
        <w:t>These experiences were not restricted to inpatient care; throughout family-based therapy</w:t>
      </w:r>
      <w:r w:rsidR="0079387E" w:rsidRPr="00256ACC">
        <w:rPr>
          <w:rFonts w:ascii="Arial" w:hAnsi="Arial" w:cs="Arial"/>
          <w:sz w:val="24"/>
          <w:szCs w:val="24"/>
        </w:rPr>
        <w:t>,</w:t>
      </w:r>
      <w:r w:rsidRPr="00256ACC">
        <w:rPr>
          <w:rFonts w:ascii="Arial" w:hAnsi="Arial" w:cs="Arial"/>
          <w:sz w:val="24"/>
          <w:szCs w:val="24"/>
        </w:rPr>
        <w:t xml:space="preserve"> Phase 1, adolescents frequently felt "pushed backwards" developmentally as parents took responsibility for tasks they had previously carried out independently. This regression, while meant to assure safety and provide support </w:t>
      </w:r>
      <w:r w:rsidR="0079387E" w:rsidRPr="00256ACC">
        <w:rPr>
          <w:rFonts w:ascii="Arial" w:hAnsi="Arial" w:cs="Arial"/>
          <w:sz w:val="24"/>
          <w:szCs w:val="24"/>
        </w:rPr>
        <w:t>in</w:t>
      </w:r>
      <w:r w:rsidRPr="00256ACC">
        <w:rPr>
          <w:rFonts w:ascii="Arial" w:hAnsi="Arial" w:cs="Arial"/>
          <w:sz w:val="24"/>
          <w:szCs w:val="24"/>
        </w:rPr>
        <w:t xml:space="preserve"> ensuring a nutritional recovery was being made as well as eaten, frequently conflicted with </w:t>
      </w:r>
      <w:r w:rsidR="0079387E" w:rsidRPr="00256ACC">
        <w:rPr>
          <w:rFonts w:ascii="Arial" w:hAnsi="Arial" w:cs="Arial"/>
          <w:sz w:val="24"/>
          <w:szCs w:val="24"/>
        </w:rPr>
        <w:t>adolescents'</w:t>
      </w:r>
      <w:r w:rsidRPr="00256ACC">
        <w:rPr>
          <w:rFonts w:ascii="Arial" w:hAnsi="Arial" w:cs="Arial"/>
          <w:sz w:val="24"/>
          <w:szCs w:val="24"/>
        </w:rPr>
        <w:t xml:space="preserve"> growing demand for independence and establishing an identity. As a result, several young people saw the therapy process as diminishing </w:t>
      </w:r>
      <w:r w:rsidRPr="00256ACC">
        <w:rPr>
          <w:rFonts w:ascii="Arial" w:hAnsi="Arial" w:cs="Arial"/>
          <w:sz w:val="24"/>
          <w:szCs w:val="24"/>
        </w:rPr>
        <w:lastRenderedPageBreak/>
        <w:t>their voice and self-independence, which increased frustration and conflict within the family. This sub-theme underlines the delicate balance of providing essential structure for recovery while simultaneously acknowledging the developmental requirements and emotional experiences of adolescents experiencing anorexia nervosa.</w:t>
      </w:r>
    </w:p>
    <w:p w14:paraId="52B61BC3" w14:textId="5881892D" w:rsidR="00CB7CAF" w:rsidRPr="00256ACC" w:rsidRDefault="00CB7CAF" w:rsidP="00256ACC">
      <w:pPr>
        <w:spacing w:line="276" w:lineRule="auto"/>
        <w:rPr>
          <w:rFonts w:ascii="Arial" w:hAnsi="Arial" w:cs="Arial"/>
          <w:sz w:val="24"/>
          <w:szCs w:val="24"/>
        </w:rPr>
      </w:pPr>
      <w:r w:rsidRPr="00256ACC">
        <w:rPr>
          <w:rFonts w:ascii="Arial" w:hAnsi="Arial" w:cs="Arial"/>
          <w:sz w:val="24"/>
          <w:szCs w:val="24"/>
        </w:rPr>
        <w:t xml:space="preserve">Such responsibility taken on by </w:t>
      </w:r>
      <w:r w:rsidR="0079387E" w:rsidRPr="00256ACC">
        <w:rPr>
          <w:rFonts w:ascii="Arial" w:hAnsi="Arial" w:cs="Arial"/>
          <w:sz w:val="24"/>
          <w:szCs w:val="24"/>
        </w:rPr>
        <w:t>parents</w:t>
      </w:r>
      <w:r w:rsidRPr="00256ACC">
        <w:rPr>
          <w:rFonts w:ascii="Arial" w:hAnsi="Arial" w:cs="Arial"/>
          <w:sz w:val="24"/>
          <w:szCs w:val="24"/>
        </w:rPr>
        <w:t xml:space="preserve"> usually coincides </w:t>
      </w:r>
      <w:r w:rsidR="0079387E" w:rsidRPr="00256ACC">
        <w:rPr>
          <w:rFonts w:ascii="Arial" w:hAnsi="Arial" w:cs="Arial"/>
          <w:sz w:val="24"/>
          <w:szCs w:val="24"/>
        </w:rPr>
        <w:t>with</w:t>
      </w:r>
      <w:r w:rsidRPr="00256ACC">
        <w:rPr>
          <w:rFonts w:ascii="Arial" w:hAnsi="Arial" w:cs="Arial"/>
          <w:sz w:val="24"/>
          <w:szCs w:val="24"/>
        </w:rPr>
        <w:t xml:space="preserve"> increased pressure from family-based therapy</w:t>
      </w:r>
      <w:r w:rsidR="0079387E" w:rsidRPr="00256ACC">
        <w:rPr>
          <w:rFonts w:ascii="Arial" w:hAnsi="Arial" w:cs="Arial"/>
          <w:sz w:val="24"/>
          <w:szCs w:val="24"/>
        </w:rPr>
        <w:t>,</w:t>
      </w:r>
      <w:r w:rsidRPr="00256ACC">
        <w:rPr>
          <w:rFonts w:ascii="Arial" w:hAnsi="Arial" w:cs="Arial"/>
          <w:sz w:val="24"/>
          <w:szCs w:val="24"/>
        </w:rPr>
        <w:t xml:space="preserve"> where the responsibility for refeeding and nutritional gains is placed directly on the family. This often created a sense of pressure and fear of “getting it wrong,” as parents felt that their child’s progress was a direct reflection of their competence. A father in Conti et al.’s study captured this burden vividly, stating, “We were on trial… her failure to put on weight was my failure.”</w:t>
      </w:r>
    </w:p>
    <w:p w14:paraId="4B66AA05" w14:textId="0402454D" w:rsidR="00221BF6" w:rsidRPr="00256ACC" w:rsidRDefault="00221BF6" w:rsidP="00256ACC">
      <w:pPr>
        <w:spacing w:line="276" w:lineRule="auto"/>
        <w:rPr>
          <w:rFonts w:ascii="Arial" w:hAnsi="Arial" w:cs="Arial"/>
          <w:sz w:val="24"/>
          <w:szCs w:val="24"/>
        </w:rPr>
      </w:pPr>
      <w:r w:rsidRPr="00256ACC">
        <w:rPr>
          <w:rFonts w:ascii="Arial" w:hAnsi="Arial" w:cs="Arial"/>
          <w:sz w:val="24"/>
          <w:szCs w:val="24"/>
        </w:rPr>
        <w:t xml:space="preserve">These emotions were not unique; parents in several studies reported feeling a great deal of emotional strain while juggling the responsibilities of constant monitoring, meal supervision, and conflict resolution. Alongside the exhaustion of the uncertainty, the unrelenting intensity of mealtime conflicts added to this burden, leaving many feeling helpless and overrun by the whole situation. Parental stress was further increased by the expectation to maintain composure, authority, and consistency in the face of discomfort, resistance, or aggression that are commonly associated with an eating disorder; however, </w:t>
      </w:r>
      <w:r w:rsidR="0079387E" w:rsidRPr="00256ACC">
        <w:rPr>
          <w:rFonts w:ascii="Arial" w:hAnsi="Arial" w:cs="Arial"/>
          <w:sz w:val="24"/>
          <w:szCs w:val="24"/>
        </w:rPr>
        <w:t>it was further enhanced</w:t>
      </w:r>
      <w:r w:rsidRPr="00256ACC">
        <w:rPr>
          <w:rFonts w:ascii="Arial" w:hAnsi="Arial" w:cs="Arial"/>
          <w:sz w:val="24"/>
          <w:szCs w:val="24"/>
        </w:rPr>
        <w:t xml:space="preserve"> when meal times and the defiance of the eating disorder and recovery </w:t>
      </w:r>
      <w:r w:rsidR="0079387E" w:rsidRPr="00256ACC">
        <w:rPr>
          <w:rFonts w:ascii="Arial" w:hAnsi="Arial" w:cs="Arial"/>
          <w:sz w:val="24"/>
          <w:szCs w:val="24"/>
        </w:rPr>
        <w:t>were incorporated</w:t>
      </w:r>
      <w:r w:rsidRPr="00256ACC">
        <w:rPr>
          <w:rFonts w:ascii="Arial" w:hAnsi="Arial" w:cs="Arial"/>
          <w:sz w:val="24"/>
          <w:szCs w:val="24"/>
        </w:rPr>
        <w:t>. In consequence of this, some parents internalised blame for failures or slow progress, which exacerbated feelings of inadequacy and self-doubt. This is why it is key to emphasise the emotional toll associated with giving families therapeutic responsibility.  The necessity for therapists to offer strong direction, emotional support, and validation throughout the course of therapy is essential in providing effective care and supporting the emotional toll it takes on that family</w:t>
      </w:r>
      <w:r w:rsidR="0079387E" w:rsidRPr="00256ACC">
        <w:rPr>
          <w:rFonts w:ascii="Arial" w:hAnsi="Arial" w:cs="Arial"/>
          <w:sz w:val="24"/>
          <w:szCs w:val="24"/>
        </w:rPr>
        <w:t>,</w:t>
      </w:r>
      <w:r w:rsidRPr="00256ACC">
        <w:rPr>
          <w:rFonts w:ascii="Arial" w:hAnsi="Arial" w:cs="Arial"/>
          <w:sz w:val="24"/>
          <w:szCs w:val="24"/>
        </w:rPr>
        <w:t xml:space="preserve"> as unlike therapists for families navigating such care, is not something they may have experienced or have knowledge beforehand. </w:t>
      </w:r>
    </w:p>
    <w:p w14:paraId="4E350058" w14:textId="50F8E15B" w:rsidR="00136662" w:rsidRPr="00256ACC" w:rsidRDefault="00136662" w:rsidP="00256ACC">
      <w:pPr>
        <w:spacing w:line="276" w:lineRule="auto"/>
        <w:rPr>
          <w:rFonts w:ascii="Arial" w:hAnsi="Arial" w:cs="Arial"/>
          <w:sz w:val="24"/>
          <w:szCs w:val="24"/>
        </w:rPr>
      </w:pPr>
      <w:r w:rsidRPr="00256ACC">
        <w:rPr>
          <w:rFonts w:ascii="Arial" w:hAnsi="Arial" w:cs="Arial"/>
          <w:sz w:val="24"/>
          <w:szCs w:val="24"/>
        </w:rPr>
        <w:t xml:space="preserve">The emotional intensity of group and inpatient settings have there advantages alongside </w:t>
      </w:r>
      <w:r w:rsidR="0079387E" w:rsidRPr="00256ACC">
        <w:rPr>
          <w:rFonts w:ascii="Arial" w:hAnsi="Arial" w:cs="Arial"/>
          <w:sz w:val="24"/>
          <w:szCs w:val="24"/>
        </w:rPr>
        <w:t>its</w:t>
      </w:r>
      <w:r w:rsidRPr="00256ACC">
        <w:rPr>
          <w:rFonts w:ascii="Arial" w:hAnsi="Arial" w:cs="Arial"/>
          <w:sz w:val="24"/>
          <w:szCs w:val="24"/>
        </w:rPr>
        <w:t xml:space="preserve"> disadvantages</w:t>
      </w:r>
      <w:r w:rsidR="0079387E" w:rsidRPr="00256ACC">
        <w:rPr>
          <w:rFonts w:ascii="Arial" w:hAnsi="Arial" w:cs="Arial"/>
          <w:sz w:val="24"/>
          <w:szCs w:val="24"/>
        </w:rPr>
        <w:t>,</w:t>
      </w:r>
      <w:r w:rsidRPr="00256ACC">
        <w:rPr>
          <w:rFonts w:ascii="Arial" w:hAnsi="Arial" w:cs="Arial"/>
          <w:sz w:val="24"/>
          <w:szCs w:val="24"/>
        </w:rPr>
        <w:t xml:space="preserve"> although connection can be supportive in some aspects</w:t>
      </w:r>
      <w:r w:rsidR="0079387E" w:rsidRPr="00256ACC">
        <w:rPr>
          <w:rFonts w:ascii="Arial" w:hAnsi="Arial" w:cs="Arial"/>
          <w:sz w:val="24"/>
          <w:szCs w:val="24"/>
        </w:rPr>
        <w:t>, there are</w:t>
      </w:r>
      <w:r w:rsidRPr="00256ACC">
        <w:rPr>
          <w:rFonts w:ascii="Arial" w:hAnsi="Arial" w:cs="Arial"/>
          <w:sz w:val="24"/>
          <w:szCs w:val="24"/>
        </w:rPr>
        <w:t xml:space="preserve"> also risks of exposure to others' distress, relapse stories, and emotional volatility.</w:t>
      </w:r>
      <w:r w:rsidR="0079387E" w:rsidRPr="00256ACC">
        <w:rPr>
          <w:rFonts w:ascii="Arial" w:hAnsi="Arial" w:cs="Arial"/>
          <w:sz w:val="24"/>
          <w:szCs w:val="24"/>
        </w:rPr>
        <w:t xml:space="preserve"> </w:t>
      </w:r>
      <w:r w:rsidRPr="00256ACC">
        <w:rPr>
          <w:rFonts w:ascii="Arial" w:hAnsi="Arial" w:cs="Arial"/>
          <w:sz w:val="24"/>
          <w:szCs w:val="24"/>
        </w:rPr>
        <w:t>Participants felt overwhelmed and anxious in this setting. One young person considered the significance of learning about other people's experiences, commenting To hear people who had got re</w:t>
      </w:r>
      <w:r w:rsidRPr="00256ACC">
        <w:rPr>
          <w:rFonts w:ascii="Cambria Math" w:hAnsi="Cambria Math" w:cs="Cambria Math"/>
          <w:sz w:val="24"/>
          <w:szCs w:val="24"/>
        </w:rPr>
        <w:t>‑</w:t>
      </w:r>
      <w:r w:rsidRPr="00256ACC">
        <w:rPr>
          <w:rFonts w:ascii="Arial" w:hAnsi="Arial" w:cs="Arial"/>
          <w:sz w:val="24"/>
          <w:szCs w:val="24"/>
        </w:rPr>
        <w:t>admitted…” (Lucy, Coopey &amp; Johnson),</w:t>
      </w:r>
      <w:r w:rsidR="009A5245" w:rsidRPr="00256ACC">
        <w:rPr>
          <w:rFonts w:ascii="Arial" w:hAnsi="Arial" w:cs="Arial"/>
          <w:sz w:val="24"/>
          <w:szCs w:val="24"/>
        </w:rPr>
        <w:t xml:space="preserve"> demonstrating how seeing the setbacks of others can increase anxiety and doubt about one's own healing. Comparably, parents expressed feeling overwhelmed emotionally by the amount of sharing that is expected in group sessions, the visibility of others' pain, and the implicit pressure to share personal experiences. In addition, the power dynamics present in </w:t>
      </w:r>
      <w:r w:rsidR="0079387E" w:rsidRPr="00256ACC">
        <w:rPr>
          <w:rFonts w:ascii="Arial" w:hAnsi="Arial" w:cs="Arial"/>
          <w:sz w:val="24"/>
          <w:szCs w:val="24"/>
        </w:rPr>
        <w:t>family-centred</w:t>
      </w:r>
      <w:r w:rsidR="009A5245" w:rsidRPr="00256ACC">
        <w:rPr>
          <w:rFonts w:ascii="Arial" w:hAnsi="Arial" w:cs="Arial"/>
          <w:sz w:val="24"/>
          <w:szCs w:val="24"/>
        </w:rPr>
        <w:t xml:space="preserve"> care frequently caused difficulties for young people. Many said that when their emotional needs were not given priority in highly structured therapeutic frameworks, they felt dismissed, unheard, or overridden.</w:t>
      </w:r>
    </w:p>
    <w:p w14:paraId="376CC91E" w14:textId="55C12BA7" w:rsidR="009A5245" w:rsidRPr="00256ACC" w:rsidRDefault="009A5245" w:rsidP="00256ACC">
      <w:pPr>
        <w:spacing w:line="276" w:lineRule="auto"/>
        <w:rPr>
          <w:rFonts w:ascii="Arial" w:hAnsi="Arial" w:cs="Arial"/>
          <w:sz w:val="24"/>
          <w:szCs w:val="24"/>
        </w:rPr>
      </w:pPr>
      <w:r w:rsidRPr="00256ACC">
        <w:rPr>
          <w:rFonts w:ascii="Arial" w:hAnsi="Arial" w:cs="Arial"/>
          <w:sz w:val="24"/>
          <w:szCs w:val="24"/>
        </w:rPr>
        <w:lastRenderedPageBreak/>
        <w:t xml:space="preserve">As one adolescent explained, “It didn’t focus on my emotions… it caused a battle between me and my parents” (Hayley, Conti et al.). These tensions can hinder involvement, especially when young people perceive treatment as "done to them" rather than "with them," emphasising the significance of balancing structure with emotional connection in </w:t>
      </w:r>
      <w:r w:rsidR="0039661B" w:rsidRPr="00256ACC">
        <w:rPr>
          <w:rFonts w:ascii="Arial" w:hAnsi="Arial" w:cs="Arial"/>
          <w:sz w:val="24"/>
          <w:szCs w:val="24"/>
        </w:rPr>
        <w:t>family-centred</w:t>
      </w:r>
      <w:r w:rsidRPr="00256ACC">
        <w:rPr>
          <w:rFonts w:ascii="Arial" w:hAnsi="Arial" w:cs="Arial"/>
          <w:sz w:val="24"/>
          <w:szCs w:val="24"/>
        </w:rPr>
        <w:t xml:space="preserve"> care.</w:t>
      </w:r>
    </w:p>
    <w:p w14:paraId="72F3EB5F" w14:textId="1D97E1AC" w:rsidR="009A5245" w:rsidRPr="00256ACC" w:rsidRDefault="009A5245" w:rsidP="00256ACC">
      <w:pPr>
        <w:spacing w:line="276" w:lineRule="auto"/>
        <w:rPr>
          <w:rFonts w:ascii="Arial" w:hAnsi="Arial" w:cs="Arial"/>
          <w:sz w:val="24"/>
          <w:szCs w:val="24"/>
        </w:rPr>
      </w:pPr>
      <w:r w:rsidRPr="00256ACC">
        <w:rPr>
          <w:rFonts w:ascii="Arial" w:hAnsi="Arial" w:cs="Arial"/>
          <w:sz w:val="24"/>
          <w:szCs w:val="24"/>
        </w:rPr>
        <w:t>Theme 3: Reclaiming Identity and Development — Emerging Beyond the Eating Disorder</w:t>
      </w:r>
    </w:p>
    <w:p w14:paraId="6CE8513B" w14:textId="4C7B4FE4" w:rsidR="009A5245" w:rsidRPr="00256ACC" w:rsidRDefault="009A5245" w:rsidP="00256ACC">
      <w:pPr>
        <w:spacing w:line="276" w:lineRule="auto"/>
        <w:rPr>
          <w:rFonts w:ascii="Arial" w:hAnsi="Arial" w:cs="Arial"/>
          <w:sz w:val="24"/>
          <w:szCs w:val="24"/>
        </w:rPr>
      </w:pPr>
      <w:r w:rsidRPr="00256ACC">
        <w:rPr>
          <w:rFonts w:ascii="Arial" w:hAnsi="Arial" w:cs="Arial"/>
          <w:sz w:val="24"/>
          <w:szCs w:val="24"/>
        </w:rPr>
        <w:t xml:space="preserve">The last theme illustrates how young people balanced developmental milestones, autonomy, and identity in organised </w:t>
      </w:r>
      <w:r w:rsidR="0079387E" w:rsidRPr="00256ACC">
        <w:rPr>
          <w:rFonts w:ascii="Arial" w:hAnsi="Arial" w:cs="Arial"/>
          <w:sz w:val="24"/>
          <w:szCs w:val="24"/>
        </w:rPr>
        <w:t>family-centred</w:t>
      </w:r>
      <w:r w:rsidRPr="00256ACC">
        <w:rPr>
          <w:rFonts w:ascii="Arial" w:hAnsi="Arial" w:cs="Arial"/>
          <w:sz w:val="24"/>
          <w:szCs w:val="24"/>
        </w:rPr>
        <w:t xml:space="preserve"> settings. Recovery was defined as a process of rediscovering oneself as well as a change in symptoms.</w:t>
      </w:r>
    </w:p>
    <w:p w14:paraId="3C96EF6D" w14:textId="4E82EAF3" w:rsidR="009A5245" w:rsidRPr="00256ACC" w:rsidRDefault="0079387E" w:rsidP="00256ACC">
      <w:pPr>
        <w:spacing w:line="276" w:lineRule="auto"/>
        <w:rPr>
          <w:rFonts w:ascii="Arial" w:hAnsi="Arial" w:cs="Arial"/>
          <w:sz w:val="24"/>
          <w:szCs w:val="24"/>
        </w:rPr>
      </w:pPr>
      <w:r w:rsidRPr="00256ACC">
        <w:rPr>
          <w:rFonts w:ascii="Arial" w:hAnsi="Arial" w:cs="Arial"/>
          <w:sz w:val="24"/>
          <w:szCs w:val="24"/>
        </w:rPr>
        <w:t>Self-reflection</w:t>
      </w:r>
      <w:r w:rsidR="004579EF" w:rsidRPr="00256ACC">
        <w:rPr>
          <w:rFonts w:ascii="Arial" w:hAnsi="Arial" w:cs="Arial"/>
          <w:sz w:val="24"/>
          <w:szCs w:val="24"/>
        </w:rPr>
        <w:t xml:space="preserve"> upon being within </w:t>
      </w:r>
      <w:r w:rsidRPr="00256ACC">
        <w:rPr>
          <w:rFonts w:ascii="Arial" w:hAnsi="Arial" w:cs="Arial"/>
          <w:sz w:val="24"/>
          <w:szCs w:val="24"/>
        </w:rPr>
        <w:t>recovery</w:t>
      </w:r>
      <w:r w:rsidR="004579EF" w:rsidRPr="00256ACC">
        <w:rPr>
          <w:rFonts w:ascii="Arial" w:hAnsi="Arial" w:cs="Arial"/>
          <w:sz w:val="24"/>
          <w:szCs w:val="24"/>
        </w:rPr>
        <w:t xml:space="preserve"> or recovered showed how young people discussed being aware of how profoundly the eating disorder had become their identity, with this revelation often occurring retrospectively after physical and psychological recovery began.  "I look back and realise how bad I used to be…now I'm eating" (Meghan, Coopey &amp; Johnson), demonstrating how recovery aided by better nourishment and emotional stability allowed for clearer self-reflection and self-awareness. This shift in perspective was frequently described as a turning point, marking the beginning of a more active and hopeful engagement with recovery.</w:t>
      </w:r>
    </w:p>
    <w:p w14:paraId="00AFDB9D" w14:textId="7B0306E0" w:rsidR="004579EF" w:rsidRPr="00256ACC" w:rsidRDefault="004579EF" w:rsidP="00256ACC">
      <w:pPr>
        <w:spacing w:line="276" w:lineRule="auto"/>
        <w:rPr>
          <w:rFonts w:ascii="Arial" w:hAnsi="Arial" w:cs="Arial"/>
          <w:sz w:val="24"/>
          <w:szCs w:val="24"/>
        </w:rPr>
      </w:pPr>
      <w:r w:rsidRPr="00256ACC">
        <w:rPr>
          <w:rFonts w:ascii="Arial" w:hAnsi="Arial" w:cs="Arial"/>
          <w:sz w:val="24"/>
          <w:szCs w:val="24"/>
        </w:rPr>
        <w:t>However, the process was not straightforward. During Family Based Therapy Phase 1, adolescents frequently experienced considerable developmental regression, feeling overwhelmed or the sense of being treated like a child  "pushed backwards" when parents took control of their diet and daily routines. “I felt thrown straight back to when I was 10 years old” (Medway et al.)</w:t>
      </w:r>
    </w:p>
    <w:p w14:paraId="770B4C49" w14:textId="2A594EC0" w:rsidR="004579EF" w:rsidRPr="00256ACC" w:rsidRDefault="004579EF" w:rsidP="00256ACC">
      <w:pPr>
        <w:spacing w:line="276" w:lineRule="auto"/>
        <w:rPr>
          <w:rFonts w:ascii="Arial" w:hAnsi="Arial" w:cs="Arial"/>
          <w:sz w:val="24"/>
          <w:szCs w:val="24"/>
        </w:rPr>
      </w:pPr>
      <w:r w:rsidRPr="00256ACC">
        <w:rPr>
          <w:rFonts w:ascii="Arial" w:hAnsi="Arial" w:cs="Arial"/>
          <w:sz w:val="24"/>
          <w:szCs w:val="24"/>
        </w:rPr>
        <w:t xml:space="preserve">Despite this, subsequent stages of treatment facilitated the reestablishment, self-awareness and recovery within autonomy, independence, and self-identity that may have been lost through the eating disorder becoming their identity and foreshadowing </w:t>
      </w:r>
      <w:r w:rsidR="0079387E" w:rsidRPr="00256ACC">
        <w:rPr>
          <w:rFonts w:ascii="Arial" w:hAnsi="Arial" w:cs="Arial"/>
          <w:sz w:val="24"/>
          <w:szCs w:val="24"/>
        </w:rPr>
        <w:t>their</w:t>
      </w:r>
      <w:r w:rsidRPr="00256ACC">
        <w:rPr>
          <w:rFonts w:ascii="Arial" w:hAnsi="Arial" w:cs="Arial"/>
          <w:sz w:val="24"/>
          <w:szCs w:val="24"/>
        </w:rPr>
        <w:t xml:space="preserve"> true self. As their confidence and emotional ability recovered, younger people recalled reconnecting with their classmates, hobbies, education, and future goals. One participant stated, "They know how to manage my meltdowns now…they know how to support me" (Lilly, Coopey &amp; Johnson), demonstrating how improved family understanding promoted emotional communication and relational rebuilding. Families also altered roles and boundaries, with parents learning to "step back" when adolescents restored milestones in their development that were once taken away for their own safety.</w:t>
      </w:r>
    </w:p>
    <w:p w14:paraId="5A4F71FC" w14:textId="077A87A1" w:rsidR="004579EF" w:rsidRPr="00256ACC" w:rsidRDefault="004579EF" w:rsidP="00256ACC">
      <w:pPr>
        <w:spacing w:line="276" w:lineRule="auto"/>
        <w:rPr>
          <w:rFonts w:ascii="Arial" w:hAnsi="Arial" w:cs="Arial"/>
          <w:sz w:val="24"/>
          <w:szCs w:val="24"/>
        </w:rPr>
      </w:pPr>
      <w:r w:rsidRPr="00256ACC">
        <w:rPr>
          <w:rFonts w:ascii="Arial" w:hAnsi="Arial" w:cs="Arial"/>
          <w:sz w:val="24"/>
          <w:szCs w:val="24"/>
        </w:rPr>
        <w:t xml:space="preserve"> Effectively showing that recovery is linked to identity, autonomy, and re-establishing a sense of self, rather than solely behavioural changes.</w:t>
      </w:r>
    </w:p>
    <w:p w14:paraId="19BDDDC8" w14:textId="34E7A3E9" w:rsidR="006323DA" w:rsidRPr="00256ACC" w:rsidRDefault="006323DA" w:rsidP="00256ACC">
      <w:pPr>
        <w:spacing w:line="276" w:lineRule="auto"/>
        <w:rPr>
          <w:rFonts w:ascii="Arial" w:hAnsi="Arial" w:cs="Arial"/>
          <w:sz w:val="24"/>
          <w:szCs w:val="24"/>
          <w:u w:val="single"/>
        </w:rPr>
      </w:pPr>
      <w:r w:rsidRPr="00256ACC">
        <w:rPr>
          <w:rFonts w:ascii="Arial" w:hAnsi="Arial" w:cs="Arial"/>
          <w:sz w:val="24"/>
          <w:szCs w:val="24"/>
          <w:u w:val="single"/>
        </w:rPr>
        <w:t>Discussion</w:t>
      </w:r>
    </w:p>
    <w:p w14:paraId="3AE1CB93" w14:textId="5DE5581A" w:rsidR="006323DA" w:rsidRPr="00256ACC" w:rsidRDefault="006323DA" w:rsidP="00256ACC">
      <w:pPr>
        <w:spacing w:line="276" w:lineRule="auto"/>
        <w:rPr>
          <w:rFonts w:ascii="Arial" w:hAnsi="Arial" w:cs="Arial"/>
          <w:sz w:val="24"/>
          <w:szCs w:val="24"/>
        </w:rPr>
      </w:pPr>
      <w:r w:rsidRPr="00256ACC">
        <w:rPr>
          <w:rFonts w:ascii="Arial" w:hAnsi="Arial" w:cs="Arial"/>
          <w:sz w:val="24"/>
          <w:szCs w:val="24"/>
        </w:rPr>
        <w:t xml:space="preserve">This systematic literature review explored what young people and their families experience during family therapy interventions for eating disorders, and how they perceive the impact of these treatments. By synthesising qualitative findings from six </w:t>
      </w:r>
      <w:r w:rsidRPr="00256ACC">
        <w:rPr>
          <w:rFonts w:ascii="Arial" w:hAnsi="Arial" w:cs="Arial"/>
          <w:sz w:val="24"/>
          <w:szCs w:val="24"/>
        </w:rPr>
        <w:lastRenderedPageBreak/>
        <w:t>studies, three overarching themes were identified that collectively answer the research question: Connection, Recognition, and the Power of Shared Experience; Control, Conflict, and the Emotional Weight of Family</w:t>
      </w:r>
      <w:r w:rsidRPr="00256ACC">
        <w:rPr>
          <w:rFonts w:ascii="Cambria Math" w:hAnsi="Cambria Math" w:cs="Cambria Math"/>
          <w:sz w:val="24"/>
          <w:szCs w:val="24"/>
        </w:rPr>
        <w:t>‑</w:t>
      </w:r>
      <w:r w:rsidRPr="00256ACC">
        <w:rPr>
          <w:rFonts w:ascii="Arial" w:hAnsi="Arial" w:cs="Arial"/>
          <w:sz w:val="24"/>
          <w:szCs w:val="24"/>
        </w:rPr>
        <w:t>Centred Treatment; and Reclaiming Identity and Development — Emerging Beyond the Eating Disorder. Together, these themes illuminate the emotional, relational, and developmental processes that shape how family therapy is lived and understood by those</w:t>
      </w:r>
      <w:r w:rsidR="00493BF0" w:rsidRPr="00256ACC">
        <w:rPr>
          <w:rFonts w:ascii="Arial" w:hAnsi="Arial" w:cs="Arial"/>
          <w:sz w:val="24"/>
          <w:szCs w:val="24"/>
        </w:rPr>
        <w:t xml:space="preserve"> who have directly experienced a form of therapy</w:t>
      </w:r>
      <w:r w:rsidRPr="00256ACC">
        <w:rPr>
          <w:rFonts w:ascii="Arial" w:hAnsi="Arial" w:cs="Arial"/>
          <w:sz w:val="24"/>
          <w:szCs w:val="24"/>
        </w:rPr>
        <w:t>.</w:t>
      </w:r>
    </w:p>
    <w:p w14:paraId="529DD587" w14:textId="58AA2CF1" w:rsidR="00021A3A" w:rsidRPr="00256ACC" w:rsidRDefault="00592C98" w:rsidP="00256ACC">
      <w:pPr>
        <w:spacing w:line="276" w:lineRule="auto"/>
        <w:rPr>
          <w:rFonts w:ascii="Arial" w:hAnsi="Arial" w:cs="Arial"/>
          <w:sz w:val="24"/>
          <w:szCs w:val="24"/>
        </w:rPr>
      </w:pPr>
      <w:r w:rsidRPr="00256ACC">
        <w:rPr>
          <w:rFonts w:ascii="Arial" w:hAnsi="Arial" w:cs="Arial"/>
          <w:sz w:val="24"/>
          <w:szCs w:val="24"/>
        </w:rPr>
        <w:t>Considering the question at the forefront of conducting this literature review</w:t>
      </w:r>
      <w:r w:rsidR="0079387E" w:rsidRPr="00256ACC">
        <w:rPr>
          <w:rFonts w:ascii="Arial" w:hAnsi="Arial" w:cs="Arial"/>
          <w:sz w:val="24"/>
          <w:szCs w:val="24"/>
        </w:rPr>
        <w:t>,</w:t>
      </w:r>
      <w:r w:rsidRPr="00256ACC">
        <w:rPr>
          <w:rFonts w:ascii="Arial" w:hAnsi="Arial" w:cs="Arial"/>
          <w:sz w:val="24"/>
          <w:szCs w:val="24"/>
        </w:rPr>
        <w:t xml:space="preserve"> </w:t>
      </w:r>
      <w:r w:rsidR="00021A3A" w:rsidRPr="00256ACC">
        <w:rPr>
          <w:rFonts w:ascii="Arial" w:hAnsi="Arial" w:cs="Arial"/>
          <w:sz w:val="24"/>
          <w:szCs w:val="24"/>
        </w:rPr>
        <w:t>“What are the experiences and perceived impacts of family therapy interventions for eating disorders among young people and their families?” Re</w:t>
      </w:r>
      <w:r w:rsidR="00C62EB7" w:rsidRPr="00256ACC">
        <w:rPr>
          <w:rFonts w:ascii="Arial" w:hAnsi="Arial" w:cs="Arial"/>
          <w:sz w:val="24"/>
          <w:szCs w:val="24"/>
        </w:rPr>
        <w:t xml:space="preserve">lating each theme and how it </w:t>
      </w:r>
      <w:r w:rsidR="0079387E" w:rsidRPr="00256ACC">
        <w:rPr>
          <w:rFonts w:ascii="Arial" w:hAnsi="Arial" w:cs="Arial"/>
          <w:sz w:val="24"/>
          <w:szCs w:val="24"/>
        </w:rPr>
        <w:t>relates</w:t>
      </w:r>
      <w:r w:rsidR="00C62EB7" w:rsidRPr="00256ACC">
        <w:rPr>
          <w:rFonts w:ascii="Arial" w:hAnsi="Arial" w:cs="Arial"/>
          <w:sz w:val="24"/>
          <w:szCs w:val="24"/>
        </w:rPr>
        <w:t xml:space="preserve"> is </w:t>
      </w:r>
      <w:r w:rsidR="006B21AB" w:rsidRPr="00256ACC">
        <w:rPr>
          <w:rFonts w:ascii="Arial" w:hAnsi="Arial" w:cs="Arial"/>
          <w:sz w:val="24"/>
          <w:szCs w:val="24"/>
        </w:rPr>
        <w:t>crucial</w:t>
      </w:r>
      <w:r w:rsidR="00C62EB7" w:rsidRPr="00256ACC">
        <w:rPr>
          <w:rFonts w:ascii="Arial" w:hAnsi="Arial" w:cs="Arial"/>
          <w:sz w:val="24"/>
          <w:szCs w:val="24"/>
        </w:rPr>
        <w:t xml:space="preserve"> to highlight whether this question has truly been answered.</w:t>
      </w:r>
    </w:p>
    <w:p w14:paraId="34BC931C" w14:textId="00BBC312" w:rsidR="00C62EB7" w:rsidRPr="00256ACC" w:rsidRDefault="006A300E" w:rsidP="00256ACC">
      <w:pPr>
        <w:spacing w:line="276" w:lineRule="auto"/>
        <w:rPr>
          <w:rFonts w:ascii="Arial" w:hAnsi="Arial" w:cs="Arial"/>
          <w:sz w:val="24"/>
          <w:szCs w:val="24"/>
        </w:rPr>
      </w:pPr>
      <w:r w:rsidRPr="00256ACC">
        <w:rPr>
          <w:rFonts w:ascii="Arial" w:hAnsi="Arial" w:cs="Arial"/>
          <w:sz w:val="24"/>
          <w:szCs w:val="24"/>
        </w:rPr>
        <w:t xml:space="preserve">Theme one highlighted </w:t>
      </w:r>
      <w:r w:rsidR="0035506C" w:rsidRPr="00256ACC">
        <w:rPr>
          <w:rFonts w:ascii="Arial" w:hAnsi="Arial" w:cs="Arial"/>
          <w:sz w:val="24"/>
          <w:szCs w:val="24"/>
        </w:rPr>
        <w:t>the importance of connection, common understanding, and emotional validation in influencing treatment experiences for families. Across all six studies, families acknowledged entering therapy feeling overwhelmed, isolated, and unsure how to deal with the emotional and behavioural issues of anorexia nervosa. The opportunity to meet people going through similar problems lessened emotions of guilt and loneliness, creating a sense of solidarity that made families as a result, feel far less isolated and alone within their journey. This study supports systemic and relational theories that highlight the role of belonging, connection, and shared decision-making within therapeutic development.</w:t>
      </w:r>
    </w:p>
    <w:p w14:paraId="6C82E10A" w14:textId="79AED4E8" w:rsidR="009A0D85" w:rsidRPr="00256ACC" w:rsidRDefault="009A0D85" w:rsidP="00256ACC">
      <w:pPr>
        <w:spacing w:line="276" w:lineRule="auto"/>
        <w:rPr>
          <w:rFonts w:ascii="Arial" w:hAnsi="Arial" w:cs="Arial"/>
          <w:sz w:val="24"/>
          <w:szCs w:val="24"/>
        </w:rPr>
      </w:pPr>
      <w:r w:rsidRPr="00256ACC">
        <w:rPr>
          <w:rFonts w:ascii="Arial" w:hAnsi="Arial" w:cs="Arial"/>
          <w:sz w:val="24"/>
          <w:szCs w:val="24"/>
        </w:rPr>
        <w:t xml:space="preserve">It also supports earlier studies demonstrating that MFT promotes shared learning, emotional expression, and shared resilience, notably by providing a space for families to see each other's successes and setbacks in a secure space. Parents commonly indicated that hearing others express similar anxiety and frustrations helped to normalise their own feelings, lessening the sense of personal failure that often comes with caring for </w:t>
      </w:r>
      <w:r w:rsidR="0079387E" w:rsidRPr="00256ACC">
        <w:rPr>
          <w:rFonts w:ascii="Arial" w:hAnsi="Arial" w:cs="Arial"/>
          <w:sz w:val="24"/>
          <w:szCs w:val="24"/>
        </w:rPr>
        <w:t xml:space="preserve">a </w:t>
      </w:r>
      <w:r w:rsidRPr="00256ACC">
        <w:rPr>
          <w:rFonts w:ascii="Arial" w:hAnsi="Arial" w:cs="Arial"/>
          <w:sz w:val="24"/>
          <w:szCs w:val="24"/>
        </w:rPr>
        <w:t>child with anorexia. Adolescents also welcomed the opportunity to hear from peers, which helped normalise their experiences and reduce shame, in line with developmental literature that emphasises the importance of peer validation during adolescence.</w:t>
      </w:r>
    </w:p>
    <w:p w14:paraId="74F4A164" w14:textId="6520558D" w:rsidR="00B30B16" w:rsidRPr="00256ACC" w:rsidRDefault="00B30B16" w:rsidP="00256ACC">
      <w:pPr>
        <w:spacing w:line="276" w:lineRule="auto"/>
        <w:rPr>
          <w:rFonts w:ascii="Arial" w:hAnsi="Arial" w:cs="Arial"/>
          <w:sz w:val="24"/>
          <w:szCs w:val="24"/>
        </w:rPr>
      </w:pPr>
      <w:r w:rsidRPr="00256ACC">
        <w:rPr>
          <w:rFonts w:ascii="Arial" w:hAnsi="Arial" w:cs="Arial"/>
          <w:sz w:val="24"/>
          <w:szCs w:val="24"/>
        </w:rPr>
        <w:t xml:space="preserve">By separating the young person from the illness, families were able to view undesirable behaviours as symptoms rather than deliberate defiance. The change of thought process and increased awareness helped </w:t>
      </w:r>
      <w:r w:rsidR="0079387E" w:rsidRPr="00256ACC">
        <w:rPr>
          <w:rFonts w:ascii="Arial" w:hAnsi="Arial" w:cs="Arial"/>
          <w:sz w:val="24"/>
          <w:szCs w:val="24"/>
        </w:rPr>
        <w:t xml:space="preserve">in </w:t>
      </w:r>
      <w:r w:rsidRPr="00256ACC">
        <w:rPr>
          <w:rFonts w:ascii="Arial" w:hAnsi="Arial" w:cs="Arial"/>
          <w:sz w:val="24"/>
          <w:szCs w:val="24"/>
        </w:rPr>
        <w:t>decreasing conflict while increasing empathy, resulting in more sympathetic and effective communication. Externalisation is an important therapeutic technique in FBT, allowing families to come together against the illness rather than each other. Overall, the findings in Theme 1 show that repairing connections and communication is essential to allow recovery to occur rather than just a therapeutic-based outcome. The emotional safety that comes from shared knowledge tends to be a significant facilitator of engagement, making families feel more hopeful, connected, and eager to participate in the therapeutic process when they have someone who can relate to them directly rather than as a therapist. </w:t>
      </w:r>
    </w:p>
    <w:p w14:paraId="2F2F3F47" w14:textId="52BF7A89" w:rsidR="008C2E1F" w:rsidRPr="00256ACC" w:rsidRDefault="008C2E1F" w:rsidP="00256ACC">
      <w:pPr>
        <w:spacing w:line="276" w:lineRule="auto"/>
        <w:rPr>
          <w:rFonts w:ascii="Arial" w:hAnsi="Arial" w:cs="Arial"/>
          <w:sz w:val="24"/>
          <w:szCs w:val="24"/>
        </w:rPr>
      </w:pPr>
      <w:r w:rsidRPr="00256ACC">
        <w:rPr>
          <w:rFonts w:ascii="Arial" w:hAnsi="Arial" w:cs="Arial"/>
          <w:sz w:val="24"/>
          <w:szCs w:val="24"/>
        </w:rPr>
        <w:lastRenderedPageBreak/>
        <w:t>The second theme focus was emphasised upon the emotional and relational conflicts present in family-centred therapies. While FBT and inpatient programs provide important structure for medical stabilisation purposes, many young people report feeling controlled, monitored, or silenced. Rigid regulations, meal monitoring, and limited autonomy were frequently perceived as intrusive and leading to a sense of control rather than support. This reflects long-standing criticisms that FBT can be coercive or intimidating for adolescents, especially during Phase 1, when control from parents is enforced by the therapist, causing parents to have strict boundaries in what they must control. The tension between safety and autonomy is a major difficulty in young people's eating disorder treatment, and the findings of this study show how quickly this balance can tilt into conflict when young people believe their opinions are not being heard.</w:t>
      </w:r>
    </w:p>
    <w:p w14:paraId="570E7FCD" w14:textId="15B2F0D2" w:rsidR="002C7075" w:rsidRPr="00256ACC" w:rsidRDefault="002C7075" w:rsidP="00256ACC">
      <w:pPr>
        <w:spacing w:line="276" w:lineRule="auto"/>
        <w:rPr>
          <w:rFonts w:ascii="Arial" w:hAnsi="Arial" w:cs="Arial"/>
          <w:sz w:val="24"/>
          <w:szCs w:val="24"/>
        </w:rPr>
      </w:pPr>
      <w:r w:rsidRPr="00256ACC">
        <w:rPr>
          <w:rFonts w:ascii="Arial" w:hAnsi="Arial" w:cs="Arial"/>
          <w:sz w:val="24"/>
          <w:szCs w:val="24"/>
        </w:rPr>
        <w:t>In the meantime, parents reported feeling a great deal of pressure, guilt, and failure-related anxiety. Families were emotionally burdened by the idea that they would be responsible for refeeding, and they frequently felt scrutinised or judged for their child's development. This is consistent with studies demonstrating that anxiety, self-doubt, and emotional tiredness are common among parents in FBT. This burden was exacerbated by the emotional labour of handling disputes at mealtimes, keeping an eye on habits, and upholding regularity. Parents frequently believed that every failure was a reflection of their own shortcomings, which fuelled feelings of self-blame and guilt.</w:t>
      </w:r>
    </w:p>
    <w:p w14:paraId="394DFDB4" w14:textId="78735AA9" w:rsidR="00573E48" w:rsidRPr="00256ACC" w:rsidRDefault="00573E48" w:rsidP="00256ACC">
      <w:pPr>
        <w:spacing w:line="276" w:lineRule="auto"/>
        <w:rPr>
          <w:rFonts w:ascii="Arial" w:hAnsi="Arial" w:cs="Arial"/>
          <w:sz w:val="24"/>
          <w:szCs w:val="24"/>
        </w:rPr>
      </w:pPr>
      <w:r w:rsidRPr="00256ACC">
        <w:rPr>
          <w:rFonts w:ascii="Arial" w:hAnsi="Arial" w:cs="Arial"/>
          <w:sz w:val="24"/>
          <w:szCs w:val="24"/>
        </w:rPr>
        <w:t xml:space="preserve">Exposure to </w:t>
      </w:r>
      <w:r w:rsidR="0079387E" w:rsidRPr="00256ACC">
        <w:rPr>
          <w:rFonts w:ascii="Arial" w:hAnsi="Arial" w:cs="Arial"/>
          <w:sz w:val="24"/>
          <w:szCs w:val="24"/>
        </w:rPr>
        <w:t>others' experiences</w:t>
      </w:r>
      <w:r w:rsidRPr="00256ACC">
        <w:rPr>
          <w:rFonts w:ascii="Arial" w:hAnsi="Arial" w:cs="Arial"/>
          <w:sz w:val="24"/>
          <w:szCs w:val="24"/>
        </w:rPr>
        <w:t xml:space="preserve"> where they have relapsed can heighten anxiety and make one feel vulnerable. One of the main conclusions that is drawn</w:t>
      </w:r>
      <w:r w:rsidR="0079387E" w:rsidRPr="00256ACC">
        <w:rPr>
          <w:rFonts w:ascii="Arial" w:hAnsi="Arial" w:cs="Arial"/>
          <w:sz w:val="24"/>
          <w:szCs w:val="24"/>
        </w:rPr>
        <w:t xml:space="preserve"> </w:t>
      </w:r>
      <w:r w:rsidRPr="00256ACC">
        <w:rPr>
          <w:rFonts w:ascii="Arial" w:hAnsi="Arial" w:cs="Arial"/>
          <w:sz w:val="24"/>
          <w:szCs w:val="24"/>
        </w:rPr>
        <w:t xml:space="preserve">is this dual nature between connection. It can be both healing and overwhelming. </w:t>
      </w:r>
    </w:p>
    <w:p w14:paraId="603AA49B" w14:textId="111142D1" w:rsidR="00573E48" w:rsidRPr="00256ACC" w:rsidRDefault="00573E48" w:rsidP="00256ACC">
      <w:pPr>
        <w:spacing w:line="276" w:lineRule="auto"/>
        <w:rPr>
          <w:rFonts w:ascii="Arial" w:hAnsi="Arial" w:cs="Arial"/>
          <w:sz w:val="24"/>
          <w:szCs w:val="24"/>
        </w:rPr>
      </w:pPr>
      <w:r w:rsidRPr="00256ACC">
        <w:rPr>
          <w:rFonts w:ascii="Arial" w:hAnsi="Arial" w:cs="Arial"/>
          <w:sz w:val="24"/>
          <w:szCs w:val="24"/>
        </w:rPr>
        <w:t>When their emotional needs were not given priority, young people reported feeling ignored or unheard. They also struggled with power dynamics. Engagement was occasionally hindered by this conflict, especially when therapy seemed forced rather than helpful and supportive</w:t>
      </w:r>
      <w:r w:rsidR="0079387E" w:rsidRPr="00256ACC">
        <w:rPr>
          <w:rFonts w:ascii="Arial" w:hAnsi="Arial" w:cs="Arial"/>
          <w:sz w:val="24"/>
          <w:szCs w:val="24"/>
        </w:rPr>
        <w:t>, giving</w:t>
      </w:r>
      <w:r w:rsidRPr="00256ACC">
        <w:rPr>
          <w:rFonts w:ascii="Arial" w:hAnsi="Arial" w:cs="Arial"/>
          <w:sz w:val="24"/>
          <w:szCs w:val="24"/>
        </w:rPr>
        <w:t xml:space="preserve"> them the </w:t>
      </w:r>
      <w:r w:rsidR="0079387E" w:rsidRPr="00256ACC">
        <w:rPr>
          <w:rFonts w:ascii="Arial" w:hAnsi="Arial" w:cs="Arial"/>
          <w:sz w:val="24"/>
          <w:szCs w:val="24"/>
        </w:rPr>
        <w:t>ability</w:t>
      </w:r>
      <w:r w:rsidRPr="00256ACC">
        <w:rPr>
          <w:rFonts w:ascii="Arial" w:hAnsi="Arial" w:cs="Arial"/>
          <w:sz w:val="24"/>
          <w:szCs w:val="24"/>
        </w:rPr>
        <w:t xml:space="preserve"> to </w:t>
      </w:r>
      <w:r w:rsidR="0079387E" w:rsidRPr="00256ACC">
        <w:rPr>
          <w:rFonts w:ascii="Arial" w:hAnsi="Arial" w:cs="Arial"/>
          <w:sz w:val="24"/>
          <w:szCs w:val="24"/>
        </w:rPr>
        <w:t>collaborate</w:t>
      </w:r>
      <w:r w:rsidRPr="00256ACC">
        <w:rPr>
          <w:rFonts w:ascii="Arial" w:hAnsi="Arial" w:cs="Arial"/>
          <w:sz w:val="24"/>
          <w:szCs w:val="24"/>
        </w:rPr>
        <w:t xml:space="preserve"> with others. In general, Theme 2 emphasises the necessity of </w:t>
      </w:r>
      <w:r w:rsidR="0079387E" w:rsidRPr="00256ACC">
        <w:rPr>
          <w:rFonts w:ascii="Arial" w:hAnsi="Arial" w:cs="Arial"/>
          <w:sz w:val="24"/>
          <w:szCs w:val="24"/>
        </w:rPr>
        <w:t>family-centred</w:t>
      </w:r>
      <w:r w:rsidRPr="00256ACC">
        <w:rPr>
          <w:rFonts w:ascii="Arial" w:hAnsi="Arial" w:cs="Arial"/>
          <w:sz w:val="24"/>
          <w:szCs w:val="24"/>
        </w:rPr>
        <w:t xml:space="preserve"> interventions that strike a balance between structure and sensitivity, making sure that behavioural objectives are met in addition to emotional needs and developmental considerations.</w:t>
      </w:r>
    </w:p>
    <w:p w14:paraId="3FBAB9F8" w14:textId="7D124E15" w:rsidR="00D90814" w:rsidRPr="00256ACC" w:rsidRDefault="00A93A6D" w:rsidP="00256ACC">
      <w:pPr>
        <w:spacing w:line="276" w:lineRule="auto"/>
        <w:rPr>
          <w:rFonts w:ascii="Arial" w:hAnsi="Arial" w:cs="Arial"/>
          <w:sz w:val="24"/>
          <w:szCs w:val="24"/>
        </w:rPr>
      </w:pPr>
      <w:r w:rsidRPr="00256ACC">
        <w:rPr>
          <w:rFonts w:ascii="Arial" w:hAnsi="Arial" w:cs="Arial"/>
          <w:sz w:val="24"/>
          <w:szCs w:val="24"/>
        </w:rPr>
        <w:t xml:space="preserve">The third theme </w:t>
      </w:r>
      <w:r w:rsidR="0079387E" w:rsidRPr="00256ACC">
        <w:rPr>
          <w:rFonts w:ascii="Arial" w:hAnsi="Arial" w:cs="Arial"/>
          <w:sz w:val="24"/>
          <w:szCs w:val="24"/>
        </w:rPr>
        <w:t>emphasised</w:t>
      </w:r>
      <w:r w:rsidRPr="00256ACC">
        <w:rPr>
          <w:rFonts w:ascii="Arial" w:hAnsi="Arial" w:cs="Arial"/>
          <w:sz w:val="24"/>
          <w:szCs w:val="24"/>
        </w:rPr>
        <w:t xml:space="preserve"> </w:t>
      </w:r>
      <w:r w:rsidR="0079387E" w:rsidRPr="00256ACC">
        <w:rPr>
          <w:rFonts w:ascii="Arial" w:hAnsi="Arial" w:cs="Arial"/>
          <w:sz w:val="24"/>
          <w:szCs w:val="24"/>
        </w:rPr>
        <w:t>recovery</w:t>
      </w:r>
      <w:r w:rsidRPr="00256ACC">
        <w:rPr>
          <w:rFonts w:ascii="Arial" w:hAnsi="Arial" w:cs="Arial"/>
          <w:sz w:val="24"/>
          <w:szCs w:val="24"/>
        </w:rPr>
        <w:t xml:space="preserve"> and </w:t>
      </w:r>
      <w:r w:rsidR="00FD307B" w:rsidRPr="00256ACC">
        <w:rPr>
          <w:rFonts w:ascii="Arial" w:hAnsi="Arial" w:cs="Arial"/>
          <w:sz w:val="24"/>
          <w:szCs w:val="24"/>
        </w:rPr>
        <w:t>identifying how deeply they had been affected by the eating disorder and how it had changed the way in which they had perceived themselves. Therefore</w:t>
      </w:r>
      <w:r w:rsidR="0079387E" w:rsidRPr="00256ACC">
        <w:rPr>
          <w:rFonts w:ascii="Arial" w:hAnsi="Arial" w:cs="Arial"/>
          <w:sz w:val="24"/>
          <w:szCs w:val="24"/>
        </w:rPr>
        <w:t>,</w:t>
      </w:r>
      <w:r w:rsidR="00FD307B" w:rsidRPr="00256ACC">
        <w:rPr>
          <w:rFonts w:ascii="Arial" w:hAnsi="Arial" w:cs="Arial"/>
          <w:sz w:val="24"/>
          <w:szCs w:val="24"/>
        </w:rPr>
        <w:t xml:space="preserve"> highlighting how recovery also includes the turning point when previous </w:t>
      </w:r>
      <w:r w:rsidR="006F24C7" w:rsidRPr="00256ACC">
        <w:rPr>
          <w:rFonts w:ascii="Arial" w:hAnsi="Arial" w:cs="Arial"/>
          <w:sz w:val="24"/>
          <w:szCs w:val="24"/>
        </w:rPr>
        <w:t xml:space="preserve">aspects of the disorder are noticed and can be shaped and worked upon whilst reestablishing </w:t>
      </w:r>
      <w:r w:rsidR="0098392B" w:rsidRPr="00256ACC">
        <w:rPr>
          <w:rFonts w:ascii="Arial" w:hAnsi="Arial" w:cs="Arial"/>
          <w:sz w:val="24"/>
          <w:szCs w:val="24"/>
        </w:rPr>
        <w:t>their</w:t>
      </w:r>
      <w:r w:rsidR="002108BB" w:rsidRPr="00256ACC">
        <w:rPr>
          <w:rFonts w:ascii="Arial" w:hAnsi="Arial" w:cs="Arial"/>
          <w:sz w:val="24"/>
          <w:szCs w:val="24"/>
        </w:rPr>
        <w:t xml:space="preserve"> self-</w:t>
      </w:r>
      <w:r w:rsidR="0079387E" w:rsidRPr="00256ACC">
        <w:rPr>
          <w:rFonts w:ascii="Arial" w:hAnsi="Arial" w:cs="Arial"/>
          <w:sz w:val="24"/>
          <w:szCs w:val="24"/>
        </w:rPr>
        <w:t>perspective</w:t>
      </w:r>
      <w:r w:rsidR="002108BB" w:rsidRPr="00256ACC">
        <w:rPr>
          <w:rFonts w:ascii="Arial" w:hAnsi="Arial" w:cs="Arial"/>
          <w:sz w:val="24"/>
          <w:szCs w:val="24"/>
        </w:rPr>
        <w:t xml:space="preserve"> and self-awareness now that the eating disorder is not the main thing on their mind. </w:t>
      </w:r>
      <w:r w:rsidR="0098392B" w:rsidRPr="00256ACC">
        <w:rPr>
          <w:rFonts w:ascii="Arial" w:hAnsi="Arial" w:cs="Arial"/>
          <w:sz w:val="24"/>
          <w:szCs w:val="24"/>
        </w:rPr>
        <w:t>T</w:t>
      </w:r>
      <w:r w:rsidR="00004822" w:rsidRPr="00256ACC">
        <w:rPr>
          <w:rFonts w:ascii="Arial" w:hAnsi="Arial" w:cs="Arial"/>
          <w:sz w:val="24"/>
          <w:szCs w:val="24"/>
        </w:rPr>
        <w:t>his theme underscores that recovery is not merely behavioural but deeply intertwined with identity, autonomy, and developmental progression. The findings suggest that family</w:t>
      </w:r>
      <w:r w:rsidR="00004822" w:rsidRPr="00256ACC">
        <w:rPr>
          <w:rFonts w:ascii="Cambria Math" w:hAnsi="Cambria Math" w:cs="Cambria Math"/>
          <w:sz w:val="24"/>
          <w:szCs w:val="24"/>
        </w:rPr>
        <w:t>‑</w:t>
      </w:r>
      <w:r w:rsidR="00004822" w:rsidRPr="00256ACC">
        <w:rPr>
          <w:rFonts w:ascii="Arial" w:hAnsi="Arial" w:cs="Arial"/>
          <w:sz w:val="24"/>
          <w:szCs w:val="24"/>
        </w:rPr>
        <w:t>centred interventions must explicitly support developmental needs, helping young people reclaim a sense of self that may have been overshadowed by the illness.</w:t>
      </w:r>
    </w:p>
    <w:p w14:paraId="5E47F2CA" w14:textId="7C5691D4" w:rsidR="00A52D87" w:rsidRPr="00256ACC" w:rsidRDefault="00D02914" w:rsidP="00256ACC">
      <w:pPr>
        <w:spacing w:line="276" w:lineRule="auto"/>
        <w:rPr>
          <w:rFonts w:ascii="Arial" w:hAnsi="Arial" w:cs="Arial"/>
          <w:sz w:val="24"/>
          <w:szCs w:val="24"/>
          <w:u w:val="single"/>
        </w:rPr>
      </w:pPr>
      <w:r w:rsidRPr="00256ACC">
        <w:rPr>
          <w:rFonts w:ascii="Arial" w:hAnsi="Arial" w:cs="Arial"/>
          <w:sz w:val="24"/>
          <w:szCs w:val="24"/>
          <w:u w:val="single"/>
        </w:rPr>
        <w:lastRenderedPageBreak/>
        <w:t>Limitations</w:t>
      </w:r>
      <w:r w:rsidR="00F712FC" w:rsidRPr="00256ACC">
        <w:rPr>
          <w:rFonts w:ascii="Arial" w:hAnsi="Arial" w:cs="Arial"/>
          <w:sz w:val="24"/>
          <w:szCs w:val="24"/>
          <w:u w:val="single"/>
        </w:rPr>
        <w:t xml:space="preserve"> and Implications</w:t>
      </w:r>
    </w:p>
    <w:p w14:paraId="1993CD50" w14:textId="44AA7BBE" w:rsidR="00EB6022" w:rsidRPr="00256ACC" w:rsidRDefault="009E5A91" w:rsidP="00256ACC">
      <w:pPr>
        <w:spacing w:line="276" w:lineRule="auto"/>
        <w:rPr>
          <w:rFonts w:ascii="Arial" w:hAnsi="Arial" w:cs="Arial"/>
          <w:sz w:val="24"/>
          <w:szCs w:val="24"/>
        </w:rPr>
      </w:pPr>
      <w:r w:rsidRPr="00256ACC">
        <w:rPr>
          <w:rFonts w:ascii="Arial" w:hAnsi="Arial" w:cs="Arial"/>
          <w:sz w:val="24"/>
          <w:szCs w:val="24"/>
        </w:rPr>
        <w:t xml:space="preserve">The review's conclusions have a number of significant implications for clinical practice. </w:t>
      </w:r>
      <w:r w:rsidR="00B32814" w:rsidRPr="00256ACC">
        <w:rPr>
          <w:rFonts w:ascii="Arial" w:hAnsi="Arial" w:cs="Arial"/>
          <w:sz w:val="24"/>
          <w:szCs w:val="24"/>
        </w:rPr>
        <w:t xml:space="preserve">In </w:t>
      </w:r>
      <w:r w:rsidRPr="00256ACC">
        <w:rPr>
          <w:rFonts w:ascii="Arial" w:hAnsi="Arial" w:cs="Arial"/>
          <w:sz w:val="24"/>
          <w:szCs w:val="24"/>
        </w:rPr>
        <w:t>addition to behavioural objectives, emotional safety must be given top priority. Clinicians must make sure that young people feel acknowledged, validated, and emotionally supported</w:t>
      </w:r>
      <w:r w:rsidR="00B32814" w:rsidRPr="00256ACC">
        <w:rPr>
          <w:rFonts w:ascii="Arial" w:hAnsi="Arial" w:cs="Arial"/>
          <w:sz w:val="24"/>
          <w:szCs w:val="24"/>
        </w:rPr>
        <w:t>,</w:t>
      </w:r>
      <w:r w:rsidRPr="00256ACC">
        <w:rPr>
          <w:rFonts w:ascii="Arial" w:hAnsi="Arial" w:cs="Arial"/>
          <w:sz w:val="24"/>
          <w:szCs w:val="24"/>
        </w:rPr>
        <w:t xml:space="preserve"> even while structure is necessary for medical stabilisation. Including a space for emotional expression could increase participation and lessen resistance. Furthermore, parents need strong support and direction</w:t>
      </w:r>
      <w:r w:rsidR="0079387E" w:rsidRPr="00256ACC">
        <w:rPr>
          <w:rFonts w:ascii="Arial" w:hAnsi="Arial" w:cs="Arial"/>
          <w:sz w:val="24"/>
          <w:szCs w:val="24"/>
        </w:rPr>
        <w:t>,</w:t>
      </w:r>
      <w:r w:rsidRPr="00256ACC">
        <w:rPr>
          <w:rFonts w:ascii="Arial" w:hAnsi="Arial" w:cs="Arial"/>
          <w:sz w:val="24"/>
          <w:szCs w:val="24"/>
        </w:rPr>
        <w:t xml:space="preserve"> as without such support, the emotional </w:t>
      </w:r>
      <w:r w:rsidR="00B32814" w:rsidRPr="00256ACC">
        <w:rPr>
          <w:rFonts w:ascii="Arial" w:hAnsi="Arial" w:cs="Arial"/>
          <w:sz w:val="24"/>
          <w:szCs w:val="24"/>
        </w:rPr>
        <w:t>turmoil</w:t>
      </w:r>
      <w:r w:rsidRPr="00256ACC">
        <w:rPr>
          <w:rFonts w:ascii="Arial" w:hAnsi="Arial" w:cs="Arial"/>
          <w:sz w:val="24"/>
          <w:szCs w:val="24"/>
        </w:rPr>
        <w:t xml:space="preserve"> of dealing with all the areas associated </w:t>
      </w:r>
      <w:r w:rsidR="0079387E" w:rsidRPr="00256ACC">
        <w:rPr>
          <w:rFonts w:ascii="Arial" w:hAnsi="Arial" w:cs="Arial"/>
          <w:sz w:val="24"/>
          <w:szCs w:val="24"/>
        </w:rPr>
        <w:t>with</w:t>
      </w:r>
      <w:r w:rsidRPr="00256ACC">
        <w:rPr>
          <w:rFonts w:ascii="Arial" w:hAnsi="Arial" w:cs="Arial"/>
          <w:sz w:val="24"/>
          <w:szCs w:val="24"/>
        </w:rPr>
        <w:t xml:space="preserve"> caring for a </w:t>
      </w:r>
      <w:r w:rsidR="0079387E" w:rsidRPr="00256ACC">
        <w:rPr>
          <w:rFonts w:ascii="Arial" w:hAnsi="Arial" w:cs="Arial"/>
          <w:sz w:val="24"/>
          <w:szCs w:val="24"/>
        </w:rPr>
        <w:t>young</w:t>
      </w:r>
      <w:r w:rsidRPr="00256ACC">
        <w:rPr>
          <w:rFonts w:ascii="Arial" w:hAnsi="Arial" w:cs="Arial"/>
          <w:sz w:val="24"/>
          <w:szCs w:val="24"/>
        </w:rPr>
        <w:t xml:space="preserve"> person with </w:t>
      </w:r>
      <w:r w:rsidR="0079387E" w:rsidRPr="00256ACC">
        <w:rPr>
          <w:rFonts w:ascii="Arial" w:hAnsi="Arial" w:cs="Arial"/>
          <w:sz w:val="24"/>
          <w:szCs w:val="24"/>
        </w:rPr>
        <w:t>an</w:t>
      </w:r>
      <w:r w:rsidRPr="00256ACC">
        <w:rPr>
          <w:rFonts w:ascii="Arial" w:hAnsi="Arial" w:cs="Arial"/>
          <w:sz w:val="24"/>
          <w:szCs w:val="24"/>
        </w:rPr>
        <w:t xml:space="preserve"> eating disorder can </w:t>
      </w:r>
      <w:r w:rsidR="0079387E" w:rsidRPr="00256ACC">
        <w:rPr>
          <w:rFonts w:ascii="Arial" w:hAnsi="Arial" w:cs="Arial"/>
          <w:sz w:val="24"/>
          <w:szCs w:val="24"/>
        </w:rPr>
        <w:t>affect their</w:t>
      </w:r>
      <w:r w:rsidRPr="00256ACC">
        <w:rPr>
          <w:rFonts w:ascii="Arial" w:hAnsi="Arial" w:cs="Arial"/>
          <w:sz w:val="24"/>
          <w:szCs w:val="24"/>
        </w:rPr>
        <w:t xml:space="preserve"> health drastically</w:t>
      </w:r>
      <w:r w:rsidR="0079387E" w:rsidRPr="00256ACC">
        <w:rPr>
          <w:rFonts w:ascii="Arial" w:hAnsi="Arial" w:cs="Arial"/>
          <w:sz w:val="24"/>
          <w:szCs w:val="24"/>
        </w:rPr>
        <w:t>,</w:t>
      </w:r>
      <w:r w:rsidRPr="00256ACC">
        <w:rPr>
          <w:rFonts w:ascii="Arial" w:hAnsi="Arial" w:cs="Arial"/>
          <w:sz w:val="24"/>
          <w:szCs w:val="24"/>
        </w:rPr>
        <w:t xml:space="preserve"> as it </w:t>
      </w:r>
      <w:r w:rsidR="0079387E" w:rsidRPr="00256ACC">
        <w:rPr>
          <w:rFonts w:ascii="Arial" w:hAnsi="Arial" w:cs="Arial"/>
          <w:sz w:val="24"/>
          <w:szCs w:val="24"/>
        </w:rPr>
        <w:t xml:space="preserve">is </w:t>
      </w:r>
      <w:r w:rsidRPr="00256ACC">
        <w:rPr>
          <w:rFonts w:ascii="Arial" w:hAnsi="Arial" w:cs="Arial"/>
          <w:sz w:val="24"/>
          <w:szCs w:val="24"/>
        </w:rPr>
        <w:t>mentally, emotionally and physically demanding.</w:t>
      </w:r>
      <w:r w:rsidR="00EE074A" w:rsidRPr="00256ACC">
        <w:rPr>
          <w:rFonts w:ascii="Arial" w:hAnsi="Arial" w:cs="Arial"/>
          <w:sz w:val="24"/>
          <w:szCs w:val="24"/>
        </w:rPr>
        <w:t xml:space="preserve"> </w:t>
      </w:r>
      <w:r w:rsidR="00B32814" w:rsidRPr="00256ACC">
        <w:rPr>
          <w:rFonts w:ascii="Arial" w:hAnsi="Arial" w:cs="Arial"/>
          <w:sz w:val="24"/>
          <w:szCs w:val="24"/>
        </w:rPr>
        <w:t>Hence</w:t>
      </w:r>
      <w:r w:rsidR="00EE074A" w:rsidRPr="00256ACC">
        <w:rPr>
          <w:rFonts w:ascii="Arial" w:hAnsi="Arial" w:cs="Arial"/>
          <w:sz w:val="24"/>
          <w:szCs w:val="24"/>
        </w:rPr>
        <w:t xml:space="preserve"> why, family </w:t>
      </w:r>
      <w:r w:rsidR="0079387E" w:rsidRPr="00256ACC">
        <w:rPr>
          <w:rFonts w:ascii="Arial" w:hAnsi="Arial" w:cs="Arial"/>
          <w:sz w:val="24"/>
          <w:szCs w:val="24"/>
        </w:rPr>
        <w:t>therapists</w:t>
      </w:r>
      <w:r w:rsidR="00EE074A" w:rsidRPr="00256ACC">
        <w:rPr>
          <w:rFonts w:ascii="Arial" w:hAnsi="Arial" w:cs="Arial"/>
          <w:sz w:val="24"/>
          <w:szCs w:val="24"/>
        </w:rPr>
        <w:t xml:space="preserve"> are essential in also providing </w:t>
      </w:r>
      <w:r w:rsidR="00B4360B" w:rsidRPr="00256ACC">
        <w:rPr>
          <w:rFonts w:ascii="Arial" w:hAnsi="Arial" w:cs="Arial"/>
          <w:sz w:val="24"/>
          <w:szCs w:val="24"/>
        </w:rPr>
        <w:t xml:space="preserve">a support environment that </w:t>
      </w:r>
      <w:r w:rsidR="0079387E" w:rsidRPr="00256ACC">
        <w:rPr>
          <w:rFonts w:ascii="Arial" w:hAnsi="Arial" w:cs="Arial"/>
          <w:sz w:val="24"/>
          <w:szCs w:val="24"/>
        </w:rPr>
        <w:t>allows</w:t>
      </w:r>
      <w:r w:rsidR="00B4360B" w:rsidRPr="00256ACC">
        <w:rPr>
          <w:rFonts w:ascii="Arial" w:hAnsi="Arial" w:cs="Arial"/>
          <w:sz w:val="24"/>
          <w:szCs w:val="24"/>
        </w:rPr>
        <w:t xml:space="preserve"> parents and families a reflective space</w:t>
      </w:r>
      <w:r w:rsidR="007D759D" w:rsidRPr="00256ACC">
        <w:rPr>
          <w:rFonts w:ascii="Arial" w:hAnsi="Arial" w:cs="Arial"/>
          <w:sz w:val="24"/>
          <w:szCs w:val="24"/>
        </w:rPr>
        <w:t xml:space="preserve"> </w:t>
      </w:r>
      <w:r w:rsidR="0079387E" w:rsidRPr="00256ACC">
        <w:rPr>
          <w:rFonts w:ascii="Arial" w:hAnsi="Arial" w:cs="Arial"/>
          <w:sz w:val="24"/>
          <w:szCs w:val="24"/>
        </w:rPr>
        <w:t>where they</w:t>
      </w:r>
      <w:r w:rsidR="007D759D" w:rsidRPr="00256ACC">
        <w:rPr>
          <w:rFonts w:ascii="Arial" w:hAnsi="Arial" w:cs="Arial"/>
          <w:sz w:val="24"/>
          <w:szCs w:val="24"/>
        </w:rPr>
        <w:t xml:space="preserve"> feel safe</w:t>
      </w:r>
      <w:r w:rsidR="00B4360B" w:rsidRPr="00256ACC">
        <w:rPr>
          <w:rFonts w:ascii="Arial" w:hAnsi="Arial" w:cs="Arial"/>
          <w:sz w:val="24"/>
          <w:szCs w:val="24"/>
        </w:rPr>
        <w:t>, and ongoing support to reduce guilt, anxiety, and self</w:t>
      </w:r>
      <w:r w:rsidR="00B4360B" w:rsidRPr="00256ACC">
        <w:rPr>
          <w:rFonts w:ascii="Cambria Math" w:hAnsi="Cambria Math" w:cs="Cambria Math"/>
          <w:sz w:val="24"/>
          <w:szCs w:val="24"/>
        </w:rPr>
        <w:t>‑</w:t>
      </w:r>
      <w:r w:rsidR="00B4360B" w:rsidRPr="00256ACC">
        <w:rPr>
          <w:rFonts w:ascii="Arial" w:hAnsi="Arial" w:cs="Arial"/>
          <w:sz w:val="24"/>
          <w:szCs w:val="24"/>
        </w:rPr>
        <w:t>blame</w:t>
      </w:r>
      <w:r w:rsidR="007D759D" w:rsidRPr="00256ACC">
        <w:rPr>
          <w:rFonts w:ascii="Arial" w:hAnsi="Arial" w:cs="Arial"/>
          <w:sz w:val="24"/>
          <w:szCs w:val="24"/>
        </w:rPr>
        <w:t xml:space="preserve"> that they will likely feel throughout the </w:t>
      </w:r>
      <w:r w:rsidR="00913F38" w:rsidRPr="00256ACC">
        <w:rPr>
          <w:rFonts w:ascii="Arial" w:hAnsi="Arial" w:cs="Arial"/>
          <w:sz w:val="24"/>
          <w:szCs w:val="24"/>
        </w:rPr>
        <w:t xml:space="preserve">recovery process. </w:t>
      </w:r>
      <w:r w:rsidR="00D54F39" w:rsidRPr="00256ACC">
        <w:rPr>
          <w:rFonts w:ascii="Arial" w:hAnsi="Arial" w:cs="Arial"/>
          <w:sz w:val="24"/>
          <w:szCs w:val="24"/>
        </w:rPr>
        <w:t xml:space="preserve">This also includes ensuring that </w:t>
      </w:r>
      <w:r w:rsidR="0079387E" w:rsidRPr="00256ACC">
        <w:rPr>
          <w:rFonts w:ascii="Arial" w:hAnsi="Arial" w:cs="Arial"/>
          <w:sz w:val="24"/>
          <w:szCs w:val="24"/>
        </w:rPr>
        <w:t>siblings</w:t>
      </w:r>
      <w:r w:rsidR="00D54F39" w:rsidRPr="00256ACC">
        <w:rPr>
          <w:rFonts w:ascii="Arial" w:hAnsi="Arial" w:cs="Arial"/>
          <w:sz w:val="24"/>
          <w:szCs w:val="24"/>
        </w:rPr>
        <w:t xml:space="preserve"> also receive support</w:t>
      </w:r>
      <w:r w:rsidR="0079387E" w:rsidRPr="00256ACC">
        <w:rPr>
          <w:rFonts w:ascii="Arial" w:hAnsi="Arial" w:cs="Arial"/>
          <w:sz w:val="24"/>
          <w:szCs w:val="24"/>
        </w:rPr>
        <w:t>,</w:t>
      </w:r>
      <w:r w:rsidR="00D54F39" w:rsidRPr="00256ACC">
        <w:rPr>
          <w:rFonts w:ascii="Arial" w:hAnsi="Arial" w:cs="Arial"/>
          <w:sz w:val="24"/>
          <w:szCs w:val="24"/>
        </w:rPr>
        <w:t xml:space="preserve"> as a lot of transitions are occurring around them at that time.</w:t>
      </w:r>
    </w:p>
    <w:p w14:paraId="0589E634" w14:textId="02ABF2F2" w:rsidR="00BF7F61" w:rsidRPr="00256ACC" w:rsidRDefault="00BF7F61" w:rsidP="00256ACC">
      <w:pPr>
        <w:spacing w:line="276" w:lineRule="auto"/>
        <w:rPr>
          <w:rFonts w:ascii="Arial" w:hAnsi="Arial" w:cs="Arial"/>
          <w:sz w:val="24"/>
          <w:szCs w:val="24"/>
        </w:rPr>
      </w:pPr>
      <w:r w:rsidRPr="00256ACC">
        <w:rPr>
          <w:rFonts w:ascii="Arial" w:hAnsi="Arial" w:cs="Arial"/>
          <w:sz w:val="24"/>
          <w:szCs w:val="24"/>
        </w:rPr>
        <w:t>Addressing developmental requirements throughout treatment is also crucial. Particularly in the later phases of therapy, interventions should actively support autonomy, identity development, and age-appropriate independence. Corresponding to this, group therapies need to be carefully controlled. Although they present valuable opportunities for connection, they may also be emotionally draining, requiring that medical professionals maintain psychological safety and offer safe spaces when needed.</w:t>
      </w:r>
    </w:p>
    <w:p w14:paraId="3B035ADA" w14:textId="29852DA4" w:rsidR="00B91CC8" w:rsidRPr="00256ACC" w:rsidRDefault="00B91CC8" w:rsidP="00256ACC">
      <w:pPr>
        <w:spacing w:line="276" w:lineRule="auto"/>
        <w:rPr>
          <w:rFonts w:ascii="Arial" w:hAnsi="Arial" w:cs="Arial"/>
          <w:sz w:val="24"/>
          <w:szCs w:val="24"/>
        </w:rPr>
      </w:pPr>
      <w:r w:rsidRPr="00256ACC">
        <w:rPr>
          <w:rFonts w:ascii="Arial" w:hAnsi="Arial" w:cs="Arial"/>
          <w:sz w:val="24"/>
          <w:szCs w:val="24"/>
        </w:rPr>
        <w:t xml:space="preserve">Despite playing a crucial part in family dynamics, sibling experiences are still </w:t>
      </w:r>
      <w:r w:rsidR="0079387E" w:rsidRPr="00256ACC">
        <w:rPr>
          <w:rFonts w:ascii="Arial" w:hAnsi="Arial" w:cs="Arial"/>
          <w:sz w:val="24"/>
          <w:szCs w:val="24"/>
        </w:rPr>
        <w:t>underrepresented</w:t>
      </w:r>
      <w:r w:rsidRPr="00256ACC">
        <w:rPr>
          <w:rFonts w:ascii="Arial" w:hAnsi="Arial" w:cs="Arial"/>
          <w:sz w:val="24"/>
          <w:szCs w:val="24"/>
        </w:rPr>
        <w:t>, necessitating further research.</w:t>
      </w:r>
    </w:p>
    <w:p w14:paraId="303CA032" w14:textId="6E2AD7B5" w:rsidR="006A720A" w:rsidRPr="00256ACC" w:rsidRDefault="006A720A" w:rsidP="00256ACC">
      <w:pPr>
        <w:spacing w:line="276" w:lineRule="auto"/>
        <w:rPr>
          <w:rFonts w:ascii="Arial" w:hAnsi="Arial" w:cs="Arial"/>
          <w:sz w:val="24"/>
          <w:szCs w:val="24"/>
          <w:u w:val="single"/>
        </w:rPr>
      </w:pPr>
      <w:r w:rsidRPr="00256ACC">
        <w:rPr>
          <w:rFonts w:ascii="Arial" w:hAnsi="Arial" w:cs="Arial"/>
          <w:sz w:val="24"/>
          <w:szCs w:val="24"/>
          <w:u w:val="single"/>
        </w:rPr>
        <w:t>Conclusion</w:t>
      </w:r>
    </w:p>
    <w:p w14:paraId="5B7A9040" w14:textId="77777777" w:rsidR="00D0735F" w:rsidRDefault="007722CC" w:rsidP="00256ACC">
      <w:pPr>
        <w:spacing w:line="276" w:lineRule="auto"/>
        <w:rPr>
          <w:rFonts w:ascii="Arial" w:hAnsi="Arial" w:cs="Arial"/>
          <w:sz w:val="24"/>
          <w:szCs w:val="24"/>
        </w:rPr>
      </w:pPr>
      <w:r w:rsidRPr="00256ACC">
        <w:rPr>
          <w:rFonts w:ascii="Arial" w:hAnsi="Arial" w:cs="Arial"/>
          <w:sz w:val="24"/>
          <w:szCs w:val="24"/>
        </w:rPr>
        <w:t>This review concludes that the experiences and perceived effects of family therapy interventions for eating disorders are diverse, emotionally complex, and shaped by shared processes across Family</w:t>
      </w:r>
      <w:r w:rsidRPr="00256ACC">
        <w:rPr>
          <w:rFonts w:ascii="Cambria Math" w:hAnsi="Cambria Math" w:cs="Cambria Math"/>
          <w:sz w:val="24"/>
          <w:szCs w:val="24"/>
        </w:rPr>
        <w:t>‑</w:t>
      </w:r>
      <w:r w:rsidRPr="00256ACC">
        <w:rPr>
          <w:rFonts w:ascii="Arial" w:hAnsi="Arial" w:cs="Arial"/>
          <w:sz w:val="24"/>
          <w:szCs w:val="24"/>
        </w:rPr>
        <w:t>Based Therapy and Multi</w:t>
      </w:r>
      <w:r w:rsidRPr="00256ACC">
        <w:rPr>
          <w:rFonts w:ascii="Cambria Math" w:hAnsi="Cambria Math" w:cs="Cambria Math"/>
          <w:sz w:val="24"/>
          <w:szCs w:val="24"/>
        </w:rPr>
        <w:t>‑</w:t>
      </w:r>
      <w:r w:rsidRPr="00256ACC">
        <w:rPr>
          <w:rFonts w:ascii="Arial" w:hAnsi="Arial" w:cs="Arial"/>
          <w:sz w:val="24"/>
          <w:szCs w:val="24"/>
        </w:rPr>
        <w:t xml:space="preserve">Family Therapy. Families experience therapy as both supportive and challenging, influenced by developmental change, conflict, and connection. Across studies, young people and parents described </w:t>
      </w:r>
      <w:r w:rsidR="00D0735F" w:rsidRPr="00256ACC">
        <w:rPr>
          <w:rFonts w:ascii="Arial" w:hAnsi="Arial" w:cs="Arial"/>
          <w:sz w:val="24"/>
          <w:szCs w:val="24"/>
        </w:rPr>
        <w:t>developments</w:t>
      </w:r>
      <w:r w:rsidRPr="00256ACC">
        <w:rPr>
          <w:rFonts w:ascii="Arial" w:hAnsi="Arial" w:cs="Arial"/>
          <w:sz w:val="24"/>
          <w:szCs w:val="24"/>
        </w:rPr>
        <w:t xml:space="preserve"> in </w:t>
      </w:r>
      <w:r w:rsidR="00D0735F">
        <w:rPr>
          <w:rFonts w:ascii="Arial" w:hAnsi="Arial" w:cs="Arial"/>
          <w:sz w:val="24"/>
          <w:szCs w:val="24"/>
        </w:rPr>
        <w:t xml:space="preserve">effective </w:t>
      </w:r>
      <w:r w:rsidRPr="00256ACC">
        <w:rPr>
          <w:rFonts w:ascii="Arial" w:hAnsi="Arial" w:cs="Arial"/>
          <w:sz w:val="24"/>
          <w:szCs w:val="24"/>
        </w:rPr>
        <w:t xml:space="preserve">communication, empathy, relational understanding, and identity recovery alongside physical and psychological progress. </w:t>
      </w:r>
    </w:p>
    <w:p w14:paraId="09B07808" w14:textId="2774DBE6" w:rsidR="003660AF" w:rsidRPr="00256ACC" w:rsidRDefault="007722CC" w:rsidP="00256ACC">
      <w:pPr>
        <w:spacing w:line="276" w:lineRule="auto"/>
        <w:rPr>
          <w:rFonts w:ascii="Arial" w:hAnsi="Arial" w:cs="Arial"/>
          <w:sz w:val="24"/>
          <w:szCs w:val="24"/>
        </w:rPr>
      </w:pPr>
      <w:r w:rsidRPr="00256ACC">
        <w:rPr>
          <w:rFonts w:ascii="Arial" w:hAnsi="Arial" w:cs="Arial"/>
          <w:sz w:val="24"/>
          <w:szCs w:val="24"/>
        </w:rPr>
        <w:t>These findings highlight the need for developmentally aware, relationship</w:t>
      </w:r>
      <w:r w:rsidRPr="00256ACC">
        <w:rPr>
          <w:rFonts w:ascii="Cambria Math" w:hAnsi="Cambria Math" w:cs="Cambria Math"/>
          <w:sz w:val="24"/>
          <w:szCs w:val="24"/>
        </w:rPr>
        <w:t>‑</w:t>
      </w:r>
      <w:r w:rsidRPr="00256ACC">
        <w:rPr>
          <w:rFonts w:ascii="Arial" w:hAnsi="Arial" w:cs="Arial"/>
          <w:sz w:val="24"/>
          <w:szCs w:val="24"/>
        </w:rPr>
        <w:t xml:space="preserve">sensitive approaches that recognise the emotional realities of young people and their families as they move through recovery together. However, uncertainties remain regarding how these experiences vary across cultural contexts, service settings, and different family structures. Overall, the review shows that recovery is not an individual journey but a </w:t>
      </w:r>
      <w:r w:rsidR="00D0735F">
        <w:rPr>
          <w:rFonts w:ascii="Arial" w:hAnsi="Arial" w:cs="Arial"/>
          <w:sz w:val="24"/>
          <w:szCs w:val="24"/>
        </w:rPr>
        <w:t>journey</w:t>
      </w:r>
      <w:r w:rsidRPr="00256ACC">
        <w:rPr>
          <w:rFonts w:ascii="Arial" w:hAnsi="Arial" w:cs="Arial"/>
          <w:sz w:val="24"/>
          <w:szCs w:val="24"/>
        </w:rPr>
        <w:t xml:space="preserve"> interlinked with the </w:t>
      </w:r>
      <w:r w:rsidR="00D0735F">
        <w:rPr>
          <w:rFonts w:ascii="Arial" w:hAnsi="Arial" w:cs="Arial"/>
          <w:sz w:val="24"/>
          <w:szCs w:val="24"/>
        </w:rPr>
        <w:t>well-being</w:t>
      </w:r>
      <w:r w:rsidRPr="00256ACC">
        <w:rPr>
          <w:rFonts w:ascii="Arial" w:hAnsi="Arial" w:cs="Arial"/>
          <w:sz w:val="24"/>
          <w:szCs w:val="24"/>
        </w:rPr>
        <w:t>, understanding, and involvement of those who surround the young person</w:t>
      </w:r>
      <w:r w:rsidR="00D0735F">
        <w:rPr>
          <w:rFonts w:ascii="Arial" w:hAnsi="Arial" w:cs="Arial"/>
          <w:sz w:val="24"/>
          <w:szCs w:val="24"/>
        </w:rPr>
        <w:t xml:space="preserve"> at the forefront</w:t>
      </w:r>
      <w:r w:rsidRPr="00256ACC">
        <w:rPr>
          <w:rFonts w:ascii="Arial" w:hAnsi="Arial" w:cs="Arial"/>
          <w:sz w:val="24"/>
          <w:szCs w:val="24"/>
        </w:rPr>
        <w:t>.</w:t>
      </w:r>
    </w:p>
    <w:p w14:paraId="769BF13B" w14:textId="5AB26A9A" w:rsidR="0039661B" w:rsidRPr="00256ACC" w:rsidRDefault="0039661B" w:rsidP="00256ACC">
      <w:pPr>
        <w:spacing w:line="276" w:lineRule="auto"/>
        <w:rPr>
          <w:rFonts w:ascii="Arial" w:hAnsi="Arial" w:cs="Arial"/>
          <w:sz w:val="24"/>
          <w:szCs w:val="24"/>
        </w:rPr>
      </w:pPr>
      <w:r w:rsidRPr="00256ACC">
        <w:rPr>
          <w:rFonts w:ascii="Arial" w:hAnsi="Arial" w:cs="Arial"/>
          <w:sz w:val="24"/>
          <w:szCs w:val="24"/>
          <w:u w:val="single"/>
        </w:rPr>
        <w:t>References</w:t>
      </w:r>
    </w:p>
    <w:p w14:paraId="4769C23D" w14:textId="77777777" w:rsidR="0039661B" w:rsidRPr="00256ACC" w:rsidRDefault="0039661B" w:rsidP="00256ACC">
      <w:pPr>
        <w:pStyle w:val="NormalWeb"/>
        <w:spacing w:line="276" w:lineRule="auto"/>
        <w:rPr>
          <w:rFonts w:ascii="Arial" w:hAnsi="Arial" w:cs="Arial"/>
        </w:rPr>
      </w:pPr>
      <w:r w:rsidRPr="00256ACC">
        <w:rPr>
          <w:rFonts w:ascii="Arial" w:hAnsi="Arial" w:cs="Arial"/>
          <w:lang w:val="de-DE"/>
        </w:rPr>
        <w:lastRenderedPageBreak/>
        <w:t xml:space="preserve">Brinchmann, B. S., &amp; Krvavac, S. (2021). </w:t>
      </w:r>
      <w:r w:rsidRPr="00256ACC">
        <w:rPr>
          <w:rFonts w:ascii="Arial" w:hAnsi="Arial" w:cs="Arial"/>
        </w:rPr>
        <w:t xml:space="preserve">“Breaking down the wall” patients` and families` experience of multifamily therapy for young adult women with severe eating disorders. </w:t>
      </w:r>
      <w:r w:rsidRPr="00256ACC">
        <w:rPr>
          <w:rFonts w:ascii="Arial" w:hAnsi="Arial" w:cs="Arial"/>
          <w:i/>
          <w:iCs/>
        </w:rPr>
        <w:t>Journal of Eating Disorders</w:t>
      </w:r>
      <w:r w:rsidRPr="00256ACC">
        <w:rPr>
          <w:rFonts w:ascii="Arial" w:hAnsi="Arial" w:cs="Arial"/>
        </w:rPr>
        <w:t>, 9(1), 56.</w:t>
      </w:r>
    </w:p>
    <w:p w14:paraId="3F4D803E" w14:textId="77777777" w:rsidR="0039661B" w:rsidRPr="00256ACC" w:rsidRDefault="0039661B" w:rsidP="00256ACC">
      <w:pPr>
        <w:pStyle w:val="NormalWeb"/>
        <w:spacing w:line="276" w:lineRule="auto"/>
        <w:rPr>
          <w:rFonts w:ascii="Arial" w:hAnsi="Arial" w:cs="Arial"/>
        </w:rPr>
      </w:pPr>
      <w:r w:rsidRPr="00256ACC">
        <w:rPr>
          <w:rFonts w:ascii="Arial" w:hAnsi="Arial" w:cs="Arial"/>
        </w:rPr>
        <w:t>Conti, J., Calder, J., Cibralic, S., Rhodes, P., Meade, T., &amp; Hewson, D. (2017). ‘Somebody else's roadmap’: Lived experience of Maudsley and family</w:t>
      </w:r>
      <w:r w:rsidRPr="00256ACC">
        <w:rPr>
          <w:rFonts w:ascii="Cambria Math" w:hAnsi="Cambria Math" w:cs="Cambria Math"/>
        </w:rPr>
        <w:t>‐</w:t>
      </w:r>
      <w:r w:rsidRPr="00256ACC">
        <w:rPr>
          <w:rFonts w:ascii="Arial" w:hAnsi="Arial" w:cs="Arial"/>
        </w:rPr>
        <w:t xml:space="preserve">based therapy for adolescent anorexia nervosa. </w:t>
      </w:r>
      <w:r w:rsidRPr="00256ACC">
        <w:rPr>
          <w:rFonts w:ascii="Arial" w:hAnsi="Arial" w:cs="Arial"/>
          <w:i/>
          <w:iCs/>
        </w:rPr>
        <w:t>Australian and New Zealand Journal of Family Therapy, 38</w:t>
      </w:r>
      <w:r w:rsidRPr="00256ACC">
        <w:rPr>
          <w:rFonts w:ascii="Arial" w:hAnsi="Arial" w:cs="Arial"/>
        </w:rPr>
        <w:t>(3), 405-429.</w:t>
      </w:r>
    </w:p>
    <w:p w14:paraId="1B3D9B73" w14:textId="77777777" w:rsidR="0039661B" w:rsidRPr="00256ACC" w:rsidRDefault="0039661B" w:rsidP="00256ACC">
      <w:pPr>
        <w:pStyle w:val="NormalWeb"/>
        <w:spacing w:line="276" w:lineRule="auto"/>
        <w:rPr>
          <w:rFonts w:ascii="Arial" w:hAnsi="Arial" w:cs="Arial"/>
        </w:rPr>
      </w:pPr>
      <w:r w:rsidRPr="00256ACC">
        <w:rPr>
          <w:rFonts w:ascii="Arial" w:hAnsi="Arial" w:cs="Arial"/>
        </w:rPr>
        <w:t xml:space="preserve">Coopey, E., &amp; Johnson, G. (2022). Exploring the experience of young people receiving treatment for an eating disorder: family therapy for anorexia nervosa and multi-family therapy in an inpatient setting. </w:t>
      </w:r>
      <w:r w:rsidRPr="00256ACC">
        <w:rPr>
          <w:rFonts w:ascii="Arial" w:hAnsi="Arial" w:cs="Arial"/>
          <w:i/>
          <w:iCs/>
        </w:rPr>
        <w:t>Journal of Eating Disorders, 10</w:t>
      </w:r>
      <w:r w:rsidRPr="00256ACC">
        <w:rPr>
          <w:rFonts w:ascii="Arial" w:hAnsi="Arial" w:cs="Arial"/>
        </w:rPr>
        <w:t xml:space="preserve">(1), 101. </w:t>
      </w:r>
    </w:p>
    <w:p w14:paraId="258144D9" w14:textId="77777777" w:rsidR="0039661B" w:rsidRPr="00256ACC" w:rsidRDefault="0039661B" w:rsidP="00256ACC">
      <w:pPr>
        <w:pStyle w:val="NormalWeb"/>
        <w:spacing w:line="276" w:lineRule="auto"/>
        <w:rPr>
          <w:rFonts w:ascii="Arial" w:hAnsi="Arial" w:cs="Arial"/>
        </w:rPr>
      </w:pPr>
      <w:r w:rsidRPr="00256ACC">
        <w:rPr>
          <w:rFonts w:ascii="Arial" w:hAnsi="Arial" w:cs="Arial"/>
        </w:rPr>
        <w:t>Gao, C., Drury, C. R., Singh, S., Le Grange, D., &amp; Gorrell, S. (2025). Adolescent Patient Perspectives on Family</w:t>
      </w:r>
      <w:r w:rsidRPr="00256ACC">
        <w:rPr>
          <w:rFonts w:ascii="Cambria Math" w:hAnsi="Cambria Math" w:cs="Cambria Math"/>
        </w:rPr>
        <w:t>‐</w:t>
      </w:r>
      <w:r w:rsidRPr="00256ACC">
        <w:rPr>
          <w:rFonts w:ascii="Arial" w:hAnsi="Arial" w:cs="Arial"/>
        </w:rPr>
        <w:t xml:space="preserve">Based Treatment: A Pilot Study. </w:t>
      </w:r>
      <w:r w:rsidRPr="00256ACC">
        <w:rPr>
          <w:rFonts w:ascii="Arial" w:hAnsi="Arial" w:cs="Arial"/>
          <w:i/>
          <w:iCs/>
        </w:rPr>
        <w:t>International Journal of Eating Disorders, 58</w:t>
      </w:r>
      <w:r w:rsidRPr="00256ACC">
        <w:rPr>
          <w:rFonts w:ascii="Arial" w:hAnsi="Arial" w:cs="Arial"/>
        </w:rPr>
        <w:t>(5), 890-902.</w:t>
      </w:r>
    </w:p>
    <w:p w14:paraId="6B3B09E7" w14:textId="77777777" w:rsidR="0039661B" w:rsidRPr="00256ACC" w:rsidRDefault="0039661B" w:rsidP="00256ACC">
      <w:pPr>
        <w:pStyle w:val="NormalWeb"/>
        <w:spacing w:line="276" w:lineRule="auto"/>
        <w:rPr>
          <w:rFonts w:ascii="Arial" w:hAnsi="Arial" w:cs="Arial"/>
        </w:rPr>
      </w:pPr>
      <w:r w:rsidRPr="00256ACC">
        <w:rPr>
          <w:rFonts w:ascii="Arial" w:hAnsi="Arial" w:cs="Arial"/>
        </w:rPr>
        <w:t xml:space="preserve">Medway, M., Rhodes, P., Dawson, L., Miskovic-Wheatley, J., Wallis, A., &amp; Madden, S. (2019). Adolescent development in family-based treatment for anorexia nervosa: Patients’ and parents’ narratives. </w:t>
      </w:r>
      <w:r w:rsidRPr="00256ACC">
        <w:rPr>
          <w:rFonts w:ascii="Arial" w:hAnsi="Arial" w:cs="Arial"/>
          <w:i/>
          <w:iCs/>
        </w:rPr>
        <w:t>Clinical child psychology and psychiatry</w:t>
      </w:r>
      <w:r w:rsidRPr="00256ACC">
        <w:rPr>
          <w:rFonts w:ascii="Arial" w:hAnsi="Arial" w:cs="Arial"/>
        </w:rPr>
        <w:t>, 24(1), 129-143.</w:t>
      </w:r>
    </w:p>
    <w:p w14:paraId="52F7D149" w14:textId="77777777" w:rsidR="0039661B" w:rsidRPr="00256ACC" w:rsidRDefault="0039661B" w:rsidP="00256ACC">
      <w:pPr>
        <w:pStyle w:val="NormalWeb"/>
        <w:spacing w:line="276" w:lineRule="auto"/>
        <w:rPr>
          <w:rFonts w:ascii="Arial" w:hAnsi="Arial" w:cs="Arial"/>
        </w:rPr>
      </w:pPr>
      <w:r w:rsidRPr="00256ACC">
        <w:rPr>
          <w:rFonts w:ascii="Arial" w:hAnsi="Arial" w:cs="Arial"/>
          <w:lang w:val="nb-NO"/>
        </w:rPr>
        <w:t>Nilsen, J.-V., Rø, Ø., Halvorsen, I., Oddli, H. W., &amp; Hage, T. W. (2021).</w:t>
      </w:r>
      <w:r w:rsidRPr="00256ACC">
        <w:rPr>
          <w:rFonts w:ascii="Arial" w:hAnsi="Arial" w:cs="Arial"/>
          <w:lang w:val="nb-NO"/>
        </w:rPr>
        <w:br/>
      </w:r>
      <w:r w:rsidRPr="00256ACC">
        <w:rPr>
          <w:rFonts w:ascii="Arial" w:hAnsi="Arial" w:cs="Arial"/>
        </w:rPr>
        <w:t xml:space="preserve">Family members’ reflections upon a family-based inpatient treatment program for adolescent anorexia nervosa: A thematic analysis. </w:t>
      </w:r>
      <w:r w:rsidRPr="00256ACC">
        <w:rPr>
          <w:rStyle w:val="Emphasis"/>
          <w:rFonts w:ascii="Arial" w:eastAsiaTheme="majorEastAsia" w:hAnsi="Arial" w:cs="Arial"/>
        </w:rPr>
        <w:t>Journal of Eating Disorders, 9</w:t>
      </w:r>
      <w:r w:rsidRPr="00256ACC">
        <w:rPr>
          <w:rFonts w:ascii="Arial" w:hAnsi="Arial" w:cs="Arial"/>
        </w:rPr>
        <w:t xml:space="preserve">, 7. </w:t>
      </w:r>
    </w:p>
    <w:p w14:paraId="2969C8BF" w14:textId="77777777" w:rsidR="00E008C5" w:rsidRPr="00256ACC" w:rsidRDefault="00E008C5" w:rsidP="00256ACC">
      <w:pPr>
        <w:pStyle w:val="NormalWeb"/>
        <w:spacing w:line="276" w:lineRule="auto"/>
        <w:rPr>
          <w:rFonts w:ascii="Arial" w:hAnsi="Arial" w:cs="Arial"/>
        </w:rPr>
      </w:pPr>
      <w:r w:rsidRPr="00256ACC">
        <w:rPr>
          <w:rFonts w:ascii="Arial" w:hAnsi="Arial" w:cs="Arial"/>
        </w:rPr>
        <w:t xml:space="preserve">Page, M. J., McKenzie, J. E., Bossuyt, P. M., Boutron, I., Hoffmann, T. C., Mulrow, C. D., Shamseer, L., Tetzlaff, J. M., Akl, E. A., Brennan, S. E., Chou, R., Glanville, J., Grimshaw, J. M., Hróbjartsson, A., Lalu, M. M., Li, T., Loder, E. W., Mayo-Wilson, E., McDonald, S., &amp; McGuinness, L. A. (2021). The PRISMA 2020 statement: An updated guideline for reporting systematic reviews. </w:t>
      </w:r>
      <w:r w:rsidRPr="00256ACC">
        <w:rPr>
          <w:rFonts w:ascii="Arial" w:hAnsi="Arial" w:cs="Arial"/>
          <w:i/>
          <w:iCs/>
        </w:rPr>
        <w:t>British Medical Journal</w:t>
      </w:r>
      <w:r w:rsidRPr="00256ACC">
        <w:rPr>
          <w:rFonts w:ascii="Arial" w:hAnsi="Arial" w:cs="Arial"/>
        </w:rPr>
        <w:t xml:space="preserve">, </w:t>
      </w:r>
      <w:r w:rsidRPr="00256ACC">
        <w:rPr>
          <w:rFonts w:ascii="Arial" w:hAnsi="Arial" w:cs="Arial"/>
          <w:i/>
          <w:iCs/>
        </w:rPr>
        <w:t>372</w:t>
      </w:r>
      <w:r w:rsidRPr="00256ACC">
        <w:rPr>
          <w:rFonts w:ascii="Arial" w:hAnsi="Arial" w:cs="Arial"/>
        </w:rPr>
        <w:t>(71). https://doi.org/10.1136/bmj.n71</w:t>
      </w:r>
    </w:p>
    <w:p w14:paraId="63281407" w14:textId="77777777" w:rsidR="001251A8" w:rsidRPr="00256ACC" w:rsidRDefault="001251A8" w:rsidP="00256ACC">
      <w:pPr>
        <w:pStyle w:val="NormalWeb"/>
        <w:spacing w:line="276" w:lineRule="auto"/>
        <w:rPr>
          <w:rFonts w:ascii="Arial" w:hAnsi="Arial" w:cs="Arial"/>
          <w:lang w:val="de-DE"/>
        </w:rPr>
      </w:pPr>
    </w:p>
    <w:p w14:paraId="0824CCCB" w14:textId="77777777" w:rsidR="0039661B" w:rsidRPr="00256ACC" w:rsidRDefault="0039661B" w:rsidP="00256ACC">
      <w:pPr>
        <w:pStyle w:val="NormalWeb"/>
        <w:spacing w:line="276" w:lineRule="auto"/>
        <w:rPr>
          <w:rFonts w:ascii="Arial" w:hAnsi="Arial" w:cs="Arial"/>
        </w:rPr>
      </w:pPr>
    </w:p>
    <w:p w14:paraId="06D1311C" w14:textId="77777777" w:rsidR="0039661B" w:rsidRPr="00256ACC" w:rsidRDefault="0039661B" w:rsidP="00256ACC">
      <w:pPr>
        <w:pStyle w:val="NormalWeb"/>
        <w:spacing w:line="276" w:lineRule="auto"/>
        <w:rPr>
          <w:rFonts w:ascii="Arial" w:hAnsi="Arial" w:cs="Arial"/>
        </w:rPr>
      </w:pPr>
    </w:p>
    <w:p w14:paraId="2255BCD7" w14:textId="77777777" w:rsidR="0039661B" w:rsidRPr="00256ACC" w:rsidRDefault="0039661B" w:rsidP="00256ACC">
      <w:pPr>
        <w:spacing w:line="276" w:lineRule="auto"/>
        <w:rPr>
          <w:rFonts w:ascii="Arial" w:hAnsi="Arial" w:cs="Arial"/>
          <w:sz w:val="24"/>
          <w:szCs w:val="24"/>
        </w:rPr>
      </w:pPr>
    </w:p>
    <w:p w14:paraId="6EE7A31F" w14:textId="77777777" w:rsidR="0039661B" w:rsidRDefault="0039661B" w:rsidP="004579EF"/>
    <w:sectPr w:rsidR="003966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4609B"/>
    <w:multiLevelType w:val="hybridMultilevel"/>
    <w:tmpl w:val="D6807F08"/>
    <w:lvl w:ilvl="0" w:tplc="E83A9B96">
      <w:start w:val="1"/>
      <w:numFmt w:val="bullet"/>
      <w:lvlText w:val="•"/>
      <w:lvlJc w:val="left"/>
      <w:pPr>
        <w:tabs>
          <w:tab w:val="num" w:pos="720"/>
        </w:tabs>
        <w:ind w:left="720" w:hanging="360"/>
      </w:pPr>
      <w:rPr>
        <w:rFonts w:ascii="Times New Roman" w:hAnsi="Times New Roman" w:hint="default"/>
      </w:rPr>
    </w:lvl>
    <w:lvl w:ilvl="1" w:tplc="749AB866" w:tentative="1">
      <w:start w:val="1"/>
      <w:numFmt w:val="bullet"/>
      <w:lvlText w:val="•"/>
      <w:lvlJc w:val="left"/>
      <w:pPr>
        <w:tabs>
          <w:tab w:val="num" w:pos="1440"/>
        </w:tabs>
        <w:ind w:left="1440" w:hanging="360"/>
      </w:pPr>
      <w:rPr>
        <w:rFonts w:ascii="Times New Roman" w:hAnsi="Times New Roman" w:hint="default"/>
      </w:rPr>
    </w:lvl>
    <w:lvl w:ilvl="2" w:tplc="B3DA5042" w:tentative="1">
      <w:start w:val="1"/>
      <w:numFmt w:val="bullet"/>
      <w:lvlText w:val="•"/>
      <w:lvlJc w:val="left"/>
      <w:pPr>
        <w:tabs>
          <w:tab w:val="num" w:pos="2160"/>
        </w:tabs>
        <w:ind w:left="2160" w:hanging="360"/>
      </w:pPr>
      <w:rPr>
        <w:rFonts w:ascii="Times New Roman" w:hAnsi="Times New Roman" w:hint="default"/>
      </w:rPr>
    </w:lvl>
    <w:lvl w:ilvl="3" w:tplc="57524CC8" w:tentative="1">
      <w:start w:val="1"/>
      <w:numFmt w:val="bullet"/>
      <w:lvlText w:val="•"/>
      <w:lvlJc w:val="left"/>
      <w:pPr>
        <w:tabs>
          <w:tab w:val="num" w:pos="2880"/>
        </w:tabs>
        <w:ind w:left="2880" w:hanging="360"/>
      </w:pPr>
      <w:rPr>
        <w:rFonts w:ascii="Times New Roman" w:hAnsi="Times New Roman" w:hint="default"/>
      </w:rPr>
    </w:lvl>
    <w:lvl w:ilvl="4" w:tplc="2AC666E8" w:tentative="1">
      <w:start w:val="1"/>
      <w:numFmt w:val="bullet"/>
      <w:lvlText w:val="•"/>
      <w:lvlJc w:val="left"/>
      <w:pPr>
        <w:tabs>
          <w:tab w:val="num" w:pos="3600"/>
        </w:tabs>
        <w:ind w:left="3600" w:hanging="360"/>
      </w:pPr>
      <w:rPr>
        <w:rFonts w:ascii="Times New Roman" w:hAnsi="Times New Roman" w:hint="default"/>
      </w:rPr>
    </w:lvl>
    <w:lvl w:ilvl="5" w:tplc="71F08E2A" w:tentative="1">
      <w:start w:val="1"/>
      <w:numFmt w:val="bullet"/>
      <w:lvlText w:val="•"/>
      <w:lvlJc w:val="left"/>
      <w:pPr>
        <w:tabs>
          <w:tab w:val="num" w:pos="4320"/>
        </w:tabs>
        <w:ind w:left="4320" w:hanging="360"/>
      </w:pPr>
      <w:rPr>
        <w:rFonts w:ascii="Times New Roman" w:hAnsi="Times New Roman" w:hint="default"/>
      </w:rPr>
    </w:lvl>
    <w:lvl w:ilvl="6" w:tplc="7B5624A4" w:tentative="1">
      <w:start w:val="1"/>
      <w:numFmt w:val="bullet"/>
      <w:lvlText w:val="•"/>
      <w:lvlJc w:val="left"/>
      <w:pPr>
        <w:tabs>
          <w:tab w:val="num" w:pos="5040"/>
        </w:tabs>
        <w:ind w:left="5040" w:hanging="360"/>
      </w:pPr>
      <w:rPr>
        <w:rFonts w:ascii="Times New Roman" w:hAnsi="Times New Roman" w:hint="default"/>
      </w:rPr>
    </w:lvl>
    <w:lvl w:ilvl="7" w:tplc="EEE67F14" w:tentative="1">
      <w:start w:val="1"/>
      <w:numFmt w:val="bullet"/>
      <w:lvlText w:val="•"/>
      <w:lvlJc w:val="left"/>
      <w:pPr>
        <w:tabs>
          <w:tab w:val="num" w:pos="5760"/>
        </w:tabs>
        <w:ind w:left="5760" w:hanging="360"/>
      </w:pPr>
      <w:rPr>
        <w:rFonts w:ascii="Times New Roman" w:hAnsi="Times New Roman" w:hint="default"/>
      </w:rPr>
    </w:lvl>
    <w:lvl w:ilvl="8" w:tplc="C890C82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FD36664"/>
    <w:multiLevelType w:val="hybridMultilevel"/>
    <w:tmpl w:val="71D6A996"/>
    <w:lvl w:ilvl="0" w:tplc="08090001">
      <w:start w:val="1"/>
      <w:numFmt w:val="bullet"/>
      <w:lvlText w:val=""/>
      <w:lvlJc w:val="left"/>
      <w:pPr>
        <w:ind w:left="720" w:hanging="360"/>
      </w:pPr>
      <w:rPr>
        <w:rFonts w:ascii="Symbol" w:hAnsi="Symbol" w:hint="default"/>
      </w:rPr>
    </w:lvl>
    <w:lvl w:ilvl="1" w:tplc="75780F82">
      <w:numFmt w:val="bullet"/>
      <w:lvlText w:val="•"/>
      <w:lvlJc w:val="left"/>
      <w:pPr>
        <w:ind w:left="1800" w:hanging="720"/>
      </w:pPr>
      <w:rPr>
        <w:rFonts w:ascii="Aptos" w:eastAsiaTheme="minorHAnsi" w:hAnsi="Aptos"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745640">
    <w:abstractNumId w:val="0"/>
  </w:num>
  <w:num w:numId="2" w16cid:durableId="2031955249">
    <w:abstractNumId w:val="4"/>
  </w:num>
  <w:num w:numId="3" w16cid:durableId="44526779">
    <w:abstractNumId w:val="1"/>
  </w:num>
  <w:num w:numId="4" w16cid:durableId="1331449109">
    <w:abstractNumId w:val="3"/>
  </w:num>
  <w:num w:numId="5" w16cid:durableId="26612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C3F"/>
    <w:rsid w:val="00004822"/>
    <w:rsid w:val="00021A3A"/>
    <w:rsid w:val="000561A0"/>
    <w:rsid w:val="00076F90"/>
    <w:rsid w:val="001251A8"/>
    <w:rsid w:val="00136662"/>
    <w:rsid w:val="00145AAE"/>
    <w:rsid w:val="001E532B"/>
    <w:rsid w:val="002108BB"/>
    <w:rsid w:val="00221BF6"/>
    <w:rsid w:val="00251348"/>
    <w:rsid w:val="00256ACC"/>
    <w:rsid w:val="00256F47"/>
    <w:rsid w:val="002C7075"/>
    <w:rsid w:val="0035506C"/>
    <w:rsid w:val="003660AF"/>
    <w:rsid w:val="0039661B"/>
    <w:rsid w:val="003D340A"/>
    <w:rsid w:val="003E0FFF"/>
    <w:rsid w:val="003F256B"/>
    <w:rsid w:val="004579EF"/>
    <w:rsid w:val="004854B1"/>
    <w:rsid w:val="00493BF0"/>
    <w:rsid w:val="00496E9E"/>
    <w:rsid w:val="00543A0E"/>
    <w:rsid w:val="00573E48"/>
    <w:rsid w:val="00592C98"/>
    <w:rsid w:val="005970AD"/>
    <w:rsid w:val="005F641A"/>
    <w:rsid w:val="006101D8"/>
    <w:rsid w:val="006323DA"/>
    <w:rsid w:val="006A300E"/>
    <w:rsid w:val="006A720A"/>
    <w:rsid w:val="006A7CAE"/>
    <w:rsid w:val="006B21AB"/>
    <w:rsid w:val="006F24C7"/>
    <w:rsid w:val="00726A25"/>
    <w:rsid w:val="00764D5B"/>
    <w:rsid w:val="007722CC"/>
    <w:rsid w:val="0079387E"/>
    <w:rsid w:val="00794758"/>
    <w:rsid w:val="007C2FEA"/>
    <w:rsid w:val="007D10C5"/>
    <w:rsid w:val="007D759D"/>
    <w:rsid w:val="0080235F"/>
    <w:rsid w:val="00811AB6"/>
    <w:rsid w:val="00866E76"/>
    <w:rsid w:val="008A6B3B"/>
    <w:rsid w:val="008C2E1F"/>
    <w:rsid w:val="00913165"/>
    <w:rsid w:val="00913F38"/>
    <w:rsid w:val="0097031C"/>
    <w:rsid w:val="00974C3F"/>
    <w:rsid w:val="0098392B"/>
    <w:rsid w:val="00984F86"/>
    <w:rsid w:val="009A0D85"/>
    <w:rsid w:val="009A5245"/>
    <w:rsid w:val="009D18FF"/>
    <w:rsid w:val="009E5A91"/>
    <w:rsid w:val="009F0BBB"/>
    <w:rsid w:val="00A4192B"/>
    <w:rsid w:val="00A52D87"/>
    <w:rsid w:val="00A93A6D"/>
    <w:rsid w:val="00AF3E5C"/>
    <w:rsid w:val="00B12A66"/>
    <w:rsid w:val="00B30B16"/>
    <w:rsid w:val="00B32814"/>
    <w:rsid w:val="00B4360B"/>
    <w:rsid w:val="00B91CC8"/>
    <w:rsid w:val="00BF712D"/>
    <w:rsid w:val="00BF7F61"/>
    <w:rsid w:val="00C00D94"/>
    <w:rsid w:val="00C559F2"/>
    <w:rsid w:val="00C56A36"/>
    <w:rsid w:val="00C62EB7"/>
    <w:rsid w:val="00C834CC"/>
    <w:rsid w:val="00CB7CAF"/>
    <w:rsid w:val="00D02914"/>
    <w:rsid w:val="00D0735F"/>
    <w:rsid w:val="00D54F39"/>
    <w:rsid w:val="00D90814"/>
    <w:rsid w:val="00E008C5"/>
    <w:rsid w:val="00E10582"/>
    <w:rsid w:val="00E14BEC"/>
    <w:rsid w:val="00E85D95"/>
    <w:rsid w:val="00EB6022"/>
    <w:rsid w:val="00EE074A"/>
    <w:rsid w:val="00F712FC"/>
    <w:rsid w:val="00FA747C"/>
    <w:rsid w:val="00FB3EFD"/>
    <w:rsid w:val="00FD307B"/>
    <w:rsid w:val="00FF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59744"/>
  <w15:chartTrackingRefBased/>
  <w15:docId w15:val="{CABC36B2-1DD0-46A8-84A8-5F307E73F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C3F"/>
  </w:style>
  <w:style w:type="paragraph" w:styleId="Heading1">
    <w:name w:val="heading 1"/>
    <w:basedOn w:val="Normal"/>
    <w:next w:val="Normal"/>
    <w:link w:val="Heading1Char"/>
    <w:uiPriority w:val="9"/>
    <w:qFormat/>
    <w:rsid w:val="00974C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C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C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C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C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C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C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C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C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C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C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C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C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C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C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C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C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C3F"/>
    <w:rPr>
      <w:rFonts w:eastAsiaTheme="majorEastAsia" w:cstheme="majorBidi"/>
      <w:color w:val="272727" w:themeColor="text1" w:themeTint="D8"/>
    </w:rPr>
  </w:style>
  <w:style w:type="paragraph" w:styleId="Title">
    <w:name w:val="Title"/>
    <w:basedOn w:val="Normal"/>
    <w:next w:val="Normal"/>
    <w:link w:val="TitleChar"/>
    <w:uiPriority w:val="10"/>
    <w:qFormat/>
    <w:rsid w:val="00974C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C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C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C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C3F"/>
    <w:pPr>
      <w:spacing w:before="160"/>
      <w:jc w:val="center"/>
    </w:pPr>
    <w:rPr>
      <w:i/>
      <w:iCs/>
      <w:color w:val="404040" w:themeColor="text1" w:themeTint="BF"/>
    </w:rPr>
  </w:style>
  <w:style w:type="character" w:customStyle="1" w:styleId="QuoteChar">
    <w:name w:val="Quote Char"/>
    <w:basedOn w:val="DefaultParagraphFont"/>
    <w:link w:val="Quote"/>
    <w:uiPriority w:val="29"/>
    <w:rsid w:val="00974C3F"/>
    <w:rPr>
      <w:i/>
      <w:iCs/>
      <w:color w:val="404040" w:themeColor="text1" w:themeTint="BF"/>
    </w:rPr>
  </w:style>
  <w:style w:type="paragraph" w:styleId="ListParagraph">
    <w:name w:val="List Paragraph"/>
    <w:basedOn w:val="Normal"/>
    <w:uiPriority w:val="34"/>
    <w:qFormat/>
    <w:rsid w:val="00974C3F"/>
    <w:pPr>
      <w:ind w:left="720"/>
      <w:contextualSpacing/>
    </w:pPr>
  </w:style>
  <w:style w:type="character" w:styleId="IntenseEmphasis">
    <w:name w:val="Intense Emphasis"/>
    <w:basedOn w:val="DefaultParagraphFont"/>
    <w:uiPriority w:val="21"/>
    <w:qFormat/>
    <w:rsid w:val="00974C3F"/>
    <w:rPr>
      <w:i/>
      <w:iCs/>
      <w:color w:val="0F4761" w:themeColor="accent1" w:themeShade="BF"/>
    </w:rPr>
  </w:style>
  <w:style w:type="paragraph" w:styleId="IntenseQuote">
    <w:name w:val="Intense Quote"/>
    <w:basedOn w:val="Normal"/>
    <w:next w:val="Normal"/>
    <w:link w:val="IntenseQuoteChar"/>
    <w:uiPriority w:val="30"/>
    <w:qFormat/>
    <w:rsid w:val="00974C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C3F"/>
    <w:rPr>
      <w:i/>
      <w:iCs/>
      <w:color w:val="0F4761" w:themeColor="accent1" w:themeShade="BF"/>
    </w:rPr>
  </w:style>
  <w:style w:type="character" w:styleId="IntenseReference">
    <w:name w:val="Intense Reference"/>
    <w:basedOn w:val="DefaultParagraphFont"/>
    <w:uiPriority w:val="32"/>
    <w:qFormat/>
    <w:rsid w:val="00974C3F"/>
    <w:rPr>
      <w:b/>
      <w:bCs/>
      <w:smallCaps/>
      <w:color w:val="0F4761" w:themeColor="accent1" w:themeShade="BF"/>
      <w:spacing w:val="5"/>
    </w:rPr>
  </w:style>
  <w:style w:type="table" w:styleId="PlainTable2">
    <w:name w:val="Plain Table 2"/>
    <w:basedOn w:val="TableNormal"/>
    <w:uiPriority w:val="42"/>
    <w:rsid w:val="003E0FFF"/>
    <w:pPr>
      <w:spacing w:after="0" w:line="240" w:lineRule="auto"/>
    </w:pPr>
    <w:rPr>
      <w:kern w:val="0"/>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3E0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661B"/>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styleId="Emphasis">
    <w:name w:val="Emphasis"/>
    <w:basedOn w:val="DefaultParagraphFont"/>
    <w:uiPriority w:val="20"/>
    <w:qFormat/>
    <w:rsid w:val="003966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5269</Words>
  <Characters>32039</Characters>
  <Application>Microsoft Office Word</Application>
  <DocSecurity>0</DocSecurity>
  <Lines>525</Lines>
  <Paragraphs>123</Paragraphs>
  <ScaleCrop>false</ScaleCrop>
  <Company/>
  <LinksUpToDate>false</LinksUpToDate>
  <CharactersWithSpaces>37185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83</cp:revision>
  <dcterms:created xsi:type="dcterms:W3CDTF">2026-05-16T18:48:00Z</dcterms:created>
  <dcterms:modified xsi:type="dcterms:W3CDTF">2026-05-18T22:04:00Z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47a3f8a9-c96b-4f3d-b8b3-94871d9c010a</vt:lpwstr>
  </property>
</Properties>
</file>