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PlainTable1"/>
        <w:tblpPr w:leftFromText="180" w:rightFromText="180" w:vertAnchor="text" w:horzAnchor="margin" w:tblpY="2305"/>
        <w:tblW w:w="9794" w:type="dxa"/>
        <w:tblLook w:val="04A0" w:firstRow="1" w:lastRow="0" w:firstColumn="1" w:lastColumn="0" w:noHBand="0" w:noVBand="1"/>
      </w:tblPr>
      <w:tblGrid>
        <w:gridCol w:w="3035"/>
        <w:gridCol w:w="6759"/>
      </w:tblGrid>
      <w:tr w:rsidR="00584091" w:rsidRPr="00B51E6F" w14:paraId="2E9418D3" w14:textId="77777777" w:rsidTr="00601FA6">
        <w:trPr>
          <w:cnfStyle w:val="100000000000" w:firstRow="1" w:lastRow="0" w:firstColumn="0" w:lastColumn="0" w:oddVBand="0" w:evenVBand="0" w:oddHBand="0"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3035" w:type="dxa"/>
          </w:tcPr>
          <w:p w14:paraId="5F49B8AA" w14:textId="69091C46" w:rsidR="00584091" w:rsidRPr="005A4FC0" w:rsidRDefault="00434F87" w:rsidP="00F53625">
            <w:pPr>
              <w:spacing w:line="360" w:lineRule="auto"/>
              <w:rPr>
                <w:rFonts w:ascii="Arial" w:hAnsi="Arial" w:cs="Arial"/>
                <w:sz w:val="28"/>
                <w:szCs w:val="28"/>
                <w:lang w:val="en-BB"/>
              </w:rPr>
            </w:pPr>
            <w:r>
              <w:rPr>
                <w:rFonts w:ascii="Arial" w:hAnsi="Arial" w:cs="Arial"/>
                <w:sz w:val="28"/>
                <w:szCs w:val="28"/>
                <w:lang w:val="en-BB"/>
              </w:rPr>
              <w:t>Name:</w:t>
            </w:r>
          </w:p>
        </w:tc>
        <w:tc>
          <w:tcPr>
            <w:tcW w:w="6759" w:type="dxa"/>
          </w:tcPr>
          <w:p w14:paraId="2A3E2EBF" w14:textId="77C457A7" w:rsidR="00584091" w:rsidRPr="005A4FC0" w:rsidRDefault="00434F87" w:rsidP="00F5362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8"/>
                <w:szCs w:val="28"/>
                <w:lang w:val="en-BB"/>
              </w:rPr>
            </w:pPr>
            <w:r>
              <w:rPr>
                <w:rFonts w:ascii="Arial" w:hAnsi="Arial" w:cs="Arial"/>
                <w:sz w:val="28"/>
                <w:szCs w:val="28"/>
                <w:lang w:val="en-BB"/>
              </w:rPr>
              <w:t>Mahmudul Hasan</w:t>
            </w:r>
          </w:p>
        </w:tc>
      </w:tr>
      <w:tr w:rsidR="00992714" w:rsidRPr="00B51E6F" w14:paraId="1FF3E152" w14:textId="77777777" w:rsidTr="00601FA6">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3035" w:type="dxa"/>
          </w:tcPr>
          <w:p w14:paraId="79674658" w14:textId="6200D883" w:rsidR="008856C7" w:rsidRPr="008856C7" w:rsidRDefault="00992714" w:rsidP="00F53625">
            <w:pPr>
              <w:spacing w:line="360" w:lineRule="auto"/>
              <w:rPr>
                <w:rFonts w:ascii="Arial" w:hAnsi="Arial" w:cs="Arial"/>
                <w:b w:val="0"/>
                <w:bCs w:val="0"/>
                <w:sz w:val="28"/>
                <w:szCs w:val="28"/>
                <w:lang w:val="en-BB"/>
              </w:rPr>
            </w:pPr>
            <w:r w:rsidRPr="005A4FC0">
              <w:rPr>
                <w:rFonts w:ascii="Arial" w:hAnsi="Arial" w:cs="Arial"/>
                <w:sz w:val="28"/>
                <w:szCs w:val="28"/>
                <w:lang w:val="en-BB"/>
              </w:rPr>
              <w:t>Student ID:</w:t>
            </w:r>
          </w:p>
        </w:tc>
        <w:tc>
          <w:tcPr>
            <w:tcW w:w="6759" w:type="dxa"/>
          </w:tcPr>
          <w:p w14:paraId="0A0293FC" w14:textId="77777777" w:rsidR="00992714" w:rsidRPr="00874670" w:rsidRDefault="00992714" w:rsidP="00F5362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BB"/>
              </w:rPr>
            </w:pPr>
            <w:r w:rsidRPr="00874670">
              <w:rPr>
                <w:rFonts w:ascii="Arial" w:hAnsi="Arial" w:cs="Arial"/>
                <w:b/>
                <w:bCs/>
                <w:sz w:val="28"/>
                <w:szCs w:val="28"/>
                <w:lang w:val="en-BB"/>
              </w:rPr>
              <w:t>2523193</w:t>
            </w:r>
          </w:p>
        </w:tc>
      </w:tr>
      <w:tr w:rsidR="00992714" w:rsidRPr="00B51E6F" w14:paraId="53750AA3" w14:textId="77777777" w:rsidTr="00601FA6">
        <w:trPr>
          <w:trHeight w:val="835"/>
        </w:trPr>
        <w:tc>
          <w:tcPr>
            <w:cnfStyle w:val="001000000000" w:firstRow="0" w:lastRow="0" w:firstColumn="1" w:lastColumn="0" w:oddVBand="0" w:evenVBand="0" w:oddHBand="0" w:evenHBand="0" w:firstRowFirstColumn="0" w:firstRowLastColumn="0" w:lastRowFirstColumn="0" w:lastRowLastColumn="0"/>
            <w:tcW w:w="3035" w:type="dxa"/>
          </w:tcPr>
          <w:p w14:paraId="6A17D829" w14:textId="77777777" w:rsidR="00992714" w:rsidRPr="005A4FC0" w:rsidRDefault="00992714" w:rsidP="00F53625">
            <w:pPr>
              <w:spacing w:line="360" w:lineRule="auto"/>
              <w:rPr>
                <w:rFonts w:ascii="Arial" w:hAnsi="Arial" w:cs="Arial"/>
                <w:sz w:val="28"/>
                <w:szCs w:val="28"/>
                <w:lang w:val="en-BB"/>
              </w:rPr>
            </w:pPr>
            <w:r w:rsidRPr="005A4FC0">
              <w:rPr>
                <w:rFonts w:ascii="Arial" w:hAnsi="Arial" w:cs="Arial"/>
                <w:sz w:val="28"/>
                <w:szCs w:val="28"/>
                <w:lang w:val="en-BB"/>
              </w:rPr>
              <w:t>Programme:</w:t>
            </w:r>
          </w:p>
        </w:tc>
        <w:tc>
          <w:tcPr>
            <w:tcW w:w="6759" w:type="dxa"/>
          </w:tcPr>
          <w:p w14:paraId="2FCC80C6" w14:textId="77777777" w:rsidR="00992714" w:rsidRPr="005A4FC0" w:rsidRDefault="00992714" w:rsidP="00F5362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BB"/>
              </w:rPr>
            </w:pPr>
            <w:r w:rsidRPr="005A4FC0">
              <w:rPr>
                <w:rFonts w:ascii="Arial" w:hAnsi="Arial" w:cs="Arial"/>
                <w:b/>
                <w:bCs/>
                <w:sz w:val="28"/>
                <w:szCs w:val="28"/>
                <w:lang w:val="en-BB"/>
              </w:rPr>
              <w:t>Master of Business Administration</w:t>
            </w:r>
          </w:p>
        </w:tc>
      </w:tr>
      <w:tr w:rsidR="00992714" w:rsidRPr="00B51E6F" w14:paraId="37B79DA1" w14:textId="77777777" w:rsidTr="00601FA6">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3035" w:type="dxa"/>
          </w:tcPr>
          <w:p w14:paraId="4C25FFD5" w14:textId="77777777" w:rsidR="00992714" w:rsidRPr="005A4FC0" w:rsidRDefault="00992714" w:rsidP="00F53625">
            <w:pPr>
              <w:spacing w:line="360" w:lineRule="auto"/>
              <w:rPr>
                <w:rFonts w:ascii="Arial" w:hAnsi="Arial" w:cs="Arial"/>
                <w:sz w:val="28"/>
                <w:szCs w:val="28"/>
                <w:lang w:val="en-BB"/>
              </w:rPr>
            </w:pPr>
            <w:r w:rsidRPr="005A4FC0">
              <w:rPr>
                <w:rFonts w:ascii="Arial" w:hAnsi="Arial" w:cs="Arial"/>
                <w:sz w:val="28"/>
                <w:szCs w:val="28"/>
                <w:lang w:val="en-BB"/>
              </w:rPr>
              <w:t>Module:</w:t>
            </w:r>
          </w:p>
        </w:tc>
        <w:tc>
          <w:tcPr>
            <w:tcW w:w="6759" w:type="dxa"/>
          </w:tcPr>
          <w:p w14:paraId="68D46871" w14:textId="4280C4B8" w:rsidR="00992714" w:rsidRPr="005A4FC0" w:rsidRDefault="003465A9" w:rsidP="00F5362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BB"/>
              </w:rPr>
            </w:pPr>
            <w:r w:rsidRPr="005A4FC0">
              <w:rPr>
                <w:rFonts w:ascii="Arial" w:hAnsi="Arial" w:cs="Arial"/>
                <w:b/>
                <w:bCs/>
                <w:sz w:val="28"/>
                <w:szCs w:val="28"/>
              </w:rPr>
              <w:t>International Business Concepts</w:t>
            </w:r>
          </w:p>
        </w:tc>
      </w:tr>
      <w:tr w:rsidR="00992714" w:rsidRPr="00B51E6F" w14:paraId="228E7287" w14:textId="77777777" w:rsidTr="00601FA6">
        <w:trPr>
          <w:trHeight w:val="835"/>
        </w:trPr>
        <w:tc>
          <w:tcPr>
            <w:cnfStyle w:val="001000000000" w:firstRow="0" w:lastRow="0" w:firstColumn="1" w:lastColumn="0" w:oddVBand="0" w:evenVBand="0" w:oddHBand="0" w:evenHBand="0" w:firstRowFirstColumn="0" w:firstRowLastColumn="0" w:lastRowFirstColumn="0" w:lastRowLastColumn="0"/>
            <w:tcW w:w="3035" w:type="dxa"/>
          </w:tcPr>
          <w:p w14:paraId="1A26F684" w14:textId="77777777" w:rsidR="00992714" w:rsidRPr="005A4FC0" w:rsidRDefault="00992714" w:rsidP="00F53625">
            <w:pPr>
              <w:spacing w:line="360" w:lineRule="auto"/>
              <w:rPr>
                <w:rFonts w:ascii="Arial" w:hAnsi="Arial" w:cs="Arial"/>
                <w:sz w:val="28"/>
                <w:szCs w:val="28"/>
                <w:lang w:val="en-BB"/>
              </w:rPr>
            </w:pPr>
            <w:r w:rsidRPr="005A4FC0">
              <w:rPr>
                <w:rFonts w:ascii="Arial" w:hAnsi="Arial" w:cs="Arial"/>
                <w:sz w:val="28"/>
                <w:szCs w:val="28"/>
                <w:lang w:val="en-BB"/>
              </w:rPr>
              <w:t>Module Code:</w:t>
            </w:r>
          </w:p>
        </w:tc>
        <w:tc>
          <w:tcPr>
            <w:tcW w:w="6759" w:type="dxa"/>
          </w:tcPr>
          <w:p w14:paraId="63CBF54D" w14:textId="5A312B27" w:rsidR="00992714" w:rsidRPr="005A4FC0" w:rsidRDefault="00992714" w:rsidP="00F5362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BB"/>
              </w:rPr>
            </w:pPr>
            <w:r w:rsidRPr="005A4FC0">
              <w:rPr>
                <w:rFonts w:ascii="Arial" w:hAnsi="Arial" w:cs="Arial"/>
                <w:b/>
                <w:bCs/>
                <w:sz w:val="28"/>
                <w:szCs w:val="28"/>
                <w:lang w:val="en-BB"/>
              </w:rPr>
              <w:t>LCMB70</w:t>
            </w:r>
            <w:r w:rsidR="00FF3BF9" w:rsidRPr="005A4FC0">
              <w:rPr>
                <w:rFonts w:ascii="Arial" w:hAnsi="Arial" w:cs="Arial"/>
                <w:b/>
                <w:bCs/>
                <w:sz w:val="28"/>
                <w:szCs w:val="28"/>
                <w:lang w:val="en-BB"/>
              </w:rPr>
              <w:t>34</w:t>
            </w:r>
          </w:p>
        </w:tc>
      </w:tr>
      <w:tr w:rsidR="00992714" w:rsidRPr="00B51E6F" w14:paraId="74B508C4" w14:textId="77777777" w:rsidTr="00601FA6">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3035" w:type="dxa"/>
          </w:tcPr>
          <w:p w14:paraId="4DCC5991" w14:textId="77777777" w:rsidR="00992714" w:rsidRPr="005A4FC0" w:rsidRDefault="00992714" w:rsidP="00F53625">
            <w:pPr>
              <w:spacing w:line="360" w:lineRule="auto"/>
              <w:rPr>
                <w:rFonts w:ascii="Arial" w:hAnsi="Arial" w:cs="Arial"/>
                <w:sz w:val="28"/>
                <w:szCs w:val="28"/>
                <w:lang w:val="en-BB"/>
              </w:rPr>
            </w:pPr>
            <w:r w:rsidRPr="005A4FC0">
              <w:rPr>
                <w:rFonts w:ascii="Arial" w:hAnsi="Arial" w:cs="Arial"/>
                <w:sz w:val="28"/>
                <w:szCs w:val="28"/>
                <w:lang w:val="en-BB"/>
              </w:rPr>
              <w:t>Lecturer:</w:t>
            </w:r>
          </w:p>
        </w:tc>
        <w:tc>
          <w:tcPr>
            <w:tcW w:w="6759" w:type="dxa"/>
          </w:tcPr>
          <w:p w14:paraId="3394F62E" w14:textId="1337EBE9" w:rsidR="00992714" w:rsidRPr="005A4FC0" w:rsidRDefault="00FF3BF9" w:rsidP="00F5362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r w:rsidRPr="005A4FC0">
              <w:rPr>
                <w:rFonts w:ascii="Arial" w:hAnsi="Arial" w:cs="Arial"/>
                <w:b/>
                <w:bCs/>
                <w:sz w:val="28"/>
                <w:szCs w:val="28"/>
              </w:rPr>
              <w:t>Mansoob Murshed</w:t>
            </w:r>
          </w:p>
        </w:tc>
      </w:tr>
      <w:tr w:rsidR="00992714" w:rsidRPr="00B51E6F" w14:paraId="5D7C132D" w14:textId="77777777" w:rsidTr="00601FA6">
        <w:trPr>
          <w:trHeight w:val="631"/>
        </w:trPr>
        <w:tc>
          <w:tcPr>
            <w:cnfStyle w:val="001000000000" w:firstRow="0" w:lastRow="0" w:firstColumn="1" w:lastColumn="0" w:oddVBand="0" w:evenVBand="0" w:oddHBand="0" w:evenHBand="0" w:firstRowFirstColumn="0" w:firstRowLastColumn="0" w:lastRowFirstColumn="0" w:lastRowLastColumn="0"/>
            <w:tcW w:w="3035" w:type="dxa"/>
          </w:tcPr>
          <w:p w14:paraId="601E4109" w14:textId="77777777" w:rsidR="00992714" w:rsidRPr="005A4FC0" w:rsidRDefault="00992714" w:rsidP="00F53625">
            <w:pPr>
              <w:spacing w:line="360" w:lineRule="auto"/>
              <w:rPr>
                <w:rFonts w:ascii="Arial" w:hAnsi="Arial" w:cs="Arial"/>
                <w:sz w:val="28"/>
                <w:szCs w:val="28"/>
                <w:lang w:val="en-BB"/>
              </w:rPr>
            </w:pPr>
            <w:r w:rsidRPr="005A4FC0">
              <w:rPr>
                <w:rFonts w:ascii="Arial" w:hAnsi="Arial" w:cs="Arial"/>
                <w:sz w:val="28"/>
                <w:szCs w:val="28"/>
                <w:lang w:val="en-BB"/>
              </w:rPr>
              <w:t>Assignment Title:</w:t>
            </w:r>
          </w:p>
        </w:tc>
        <w:tc>
          <w:tcPr>
            <w:tcW w:w="6759" w:type="dxa"/>
          </w:tcPr>
          <w:p w14:paraId="598EFC90" w14:textId="63984467" w:rsidR="00992714" w:rsidRPr="005A4FC0" w:rsidRDefault="00B222E3" w:rsidP="00F5362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BB"/>
              </w:rPr>
            </w:pPr>
            <w:r w:rsidRPr="005A4FC0">
              <w:rPr>
                <w:rFonts w:ascii="Arial" w:hAnsi="Arial" w:cs="Arial"/>
                <w:b/>
                <w:bCs/>
                <w:sz w:val="28"/>
                <w:szCs w:val="28"/>
                <w:lang w:val="en-BB"/>
              </w:rPr>
              <w:t>R</w:t>
            </w:r>
            <w:r w:rsidR="00992714" w:rsidRPr="005A4FC0">
              <w:rPr>
                <w:rFonts w:ascii="Arial" w:hAnsi="Arial" w:cs="Arial"/>
                <w:b/>
                <w:bCs/>
                <w:sz w:val="28"/>
                <w:szCs w:val="28"/>
                <w:lang w:val="en-BB"/>
              </w:rPr>
              <w:t>eport</w:t>
            </w:r>
          </w:p>
        </w:tc>
      </w:tr>
      <w:tr w:rsidR="00992714" w:rsidRPr="00B51E6F" w14:paraId="54BD3A29" w14:textId="77777777" w:rsidTr="00601FA6">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3035" w:type="dxa"/>
          </w:tcPr>
          <w:p w14:paraId="7BF890A4" w14:textId="77777777" w:rsidR="00992714" w:rsidRPr="005A4FC0" w:rsidRDefault="00992714" w:rsidP="00F53625">
            <w:pPr>
              <w:spacing w:line="360" w:lineRule="auto"/>
              <w:rPr>
                <w:rFonts w:ascii="Arial" w:hAnsi="Arial" w:cs="Arial"/>
                <w:sz w:val="28"/>
                <w:szCs w:val="28"/>
                <w:lang w:val="en-BB"/>
              </w:rPr>
            </w:pPr>
            <w:r w:rsidRPr="005A4FC0">
              <w:rPr>
                <w:rFonts w:ascii="Arial" w:hAnsi="Arial" w:cs="Arial"/>
                <w:sz w:val="28"/>
                <w:szCs w:val="28"/>
                <w:lang w:val="en-BB"/>
              </w:rPr>
              <w:t>Word Count:</w:t>
            </w:r>
          </w:p>
        </w:tc>
        <w:tc>
          <w:tcPr>
            <w:tcW w:w="6759" w:type="dxa"/>
          </w:tcPr>
          <w:p w14:paraId="09D1E7FB" w14:textId="5DE58AC4" w:rsidR="00992714" w:rsidRPr="005A4FC0" w:rsidRDefault="00992714" w:rsidP="00F5362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BB"/>
              </w:rPr>
            </w:pPr>
            <w:r w:rsidRPr="005A4FC0">
              <w:rPr>
                <w:rFonts w:ascii="Arial" w:hAnsi="Arial" w:cs="Arial"/>
                <w:b/>
                <w:bCs/>
                <w:sz w:val="28"/>
                <w:szCs w:val="28"/>
                <w:lang w:val="en-BB"/>
              </w:rPr>
              <w:t xml:space="preserve">Approximately </w:t>
            </w:r>
            <w:r w:rsidR="00654E7A" w:rsidRPr="005A4FC0">
              <w:rPr>
                <w:rFonts w:ascii="Arial" w:hAnsi="Arial" w:cs="Arial"/>
                <w:b/>
                <w:bCs/>
                <w:sz w:val="28"/>
                <w:szCs w:val="28"/>
                <w:lang w:val="en-BB"/>
              </w:rPr>
              <w:t>50</w:t>
            </w:r>
            <w:r w:rsidRPr="005A4FC0">
              <w:rPr>
                <w:rFonts w:ascii="Arial" w:hAnsi="Arial" w:cs="Arial"/>
                <w:b/>
                <w:bCs/>
                <w:sz w:val="28"/>
                <w:szCs w:val="28"/>
                <w:lang w:val="en-BB"/>
              </w:rPr>
              <w:t>00 words</w:t>
            </w:r>
          </w:p>
        </w:tc>
      </w:tr>
      <w:tr w:rsidR="00992714" w:rsidRPr="00B51E6F" w14:paraId="2AD029EC" w14:textId="77777777" w:rsidTr="00601FA6">
        <w:trPr>
          <w:trHeight w:val="818"/>
        </w:trPr>
        <w:tc>
          <w:tcPr>
            <w:cnfStyle w:val="001000000000" w:firstRow="0" w:lastRow="0" w:firstColumn="1" w:lastColumn="0" w:oddVBand="0" w:evenVBand="0" w:oddHBand="0" w:evenHBand="0" w:firstRowFirstColumn="0" w:firstRowLastColumn="0" w:lastRowFirstColumn="0" w:lastRowLastColumn="0"/>
            <w:tcW w:w="3035" w:type="dxa"/>
          </w:tcPr>
          <w:p w14:paraId="7A6D16A6" w14:textId="77777777" w:rsidR="00992714" w:rsidRPr="005A4FC0" w:rsidRDefault="00992714" w:rsidP="00F53625">
            <w:pPr>
              <w:spacing w:line="360" w:lineRule="auto"/>
              <w:rPr>
                <w:rFonts w:ascii="Arial" w:hAnsi="Arial" w:cs="Arial"/>
                <w:sz w:val="28"/>
                <w:szCs w:val="28"/>
                <w:lang w:val="en-BB"/>
              </w:rPr>
            </w:pPr>
            <w:r w:rsidRPr="005A4FC0">
              <w:rPr>
                <w:rFonts w:ascii="Arial" w:hAnsi="Arial" w:cs="Arial"/>
                <w:sz w:val="28"/>
                <w:szCs w:val="28"/>
                <w:lang w:val="en-BB"/>
              </w:rPr>
              <w:t>Submission date:</w:t>
            </w:r>
          </w:p>
        </w:tc>
        <w:tc>
          <w:tcPr>
            <w:tcW w:w="6759" w:type="dxa"/>
          </w:tcPr>
          <w:p w14:paraId="460AE3C0" w14:textId="77039FAA" w:rsidR="00992714" w:rsidRPr="005A4FC0" w:rsidRDefault="00992714" w:rsidP="00F5362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sidRPr="005A4FC0">
              <w:rPr>
                <w:rFonts w:ascii="Arial" w:hAnsi="Arial" w:cs="Arial"/>
                <w:b/>
                <w:bCs/>
                <w:sz w:val="28"/>
                <w:szCs w:val="28"/>
                <w:lang w:val="en-BB"/>
              </w:rPr>
              <w:t xml:space="preserve">Friday </w:t>
            </w:r>
            <w:r w:rsidR="00D37721" w:rsidRPr="005A4FC0">
              <w:rPr>
                <w:rFonts w:ascii="Arial" w:hAnsi="Arial" w:cs="Arial"/>
                <w:b/>
                <w:bCs/>
                <w:sz w:val="28"/>
                <w:szCs w:val="28"/>
                <w:lang w:val="en-BB"/>
              </w:rPr>
              <w:t>31</w:t>
            </w:r>
            <w:r w:rsidRPr="005A4FC0">
              <w:rPr>
                <w:rFonts w:ascii="Arial" w:hAnsi="Arial" w:cs="Arial"/>
                <w:b/>
                <w:bCs/>
                <w:sz w:val="28"/>
                <w:szCs w:val="28"/>
                <w:lang w:val="en-BB"/>
              </w:rPr>
              <w:t xml:space="preserve">/07/2026 </w:t>
            </w:r>
          </w:p>
        </w:tc>
      </w:tr>
    </w:tbl>
    <w:p w14:paraId="0EE50F2A" w14:textId="77777777" w:rsidR="00992714" w:rsidRPr="00B51E6F" w:rsidRDefault="00992714" w:rsidP="00992714">
      <w:pPr>
        <w:pStyle w:val="NoSpacing"/>
        <w:spacing w:before="1540" w:after="240"/>
        <w:ind w:right="397"/>
        <w:rPr>
          <w:rFonts w:ascii="Arial" w:hAnsi="Arial" w:cs="Arial"/>
          <w:b/>
          <w:bCs/>
          <w:u w:val="single"/>
        </w:rPr>
      </w:pPr>
      <w:r w:rsidRPr="00B51E6F">
        <w:rPr>
          <w:rFonts w:ascii="Arial" w:hAnsi="Arial" w:cs="Arial"/>
          <w:noProof/>
          <w:color w:val="156082" w:themeColor="accent1"/>
          <w14:ligatures w14:val="standardContextual"/>
        </w:rPr>
        <w:drawing>
          <wp:anchor distT="0" distB="0" distL="114300" distR="114300" simplePos="0" relativeHeight="251659264" behindDoc="0" locked="0" layoutInCell="1" allowOverlap="1" wp14:anchorId="04837C3A" wp14:editId="21C32ACB">
            <wp:simplePos x="0" y="0"/>
            <wp:positionH relativeFrom="margin">
              <wp:align>center</wp:align>
            </wp:positionH>
            <wp:positionV relativeFrom="page">
              <wp:posOffset>822960</wp:posOffset>
            </wp:positionV>
            <wp:extent cx="2994660" cy="1198245"/>
            <wp:effectExtent l="0" t="0" r="0" b="1905"/>
            <wp:wrapSquare wrapText="bothSides"/>
            <wp:docPr id="1911835585" name="Picture 5"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835585" name="Picture 5" descr="A close-up of black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94660" cy="1198245"/>
                    </a:xfrm>
                    <a:prstGeom prst="rect">
                      <a:avLst/>
                    </a:prstGeom>
                  </pic:spPr>
                </pic:pic>
              </a:graphicData>
            </a:graphic>
            <wp14:sizeRelH relativeFrom="margin">
              <wp14:pctWidth>0</wp14:pctWidth>
            </wp14:sizeRelH>
            <wp14:sizeRelV relativeFrom="margin">
              <wp14:pctHeight>0</wp14:pctHeight>
            </wp14:sizeRelV>
          </wp:anchor>
        </w:drawing>
      </w:r>
    </w:p>
    <w:p w14:paraId="6A71AFB8" w14:textId="77777777" w:rsidR="001B13BB" w:rsidRDefault="001B13BB" w:rsidP="0095526A">
      <w:pPr>
        <w:jc w:val="left"/>
        <w:rPr>
          <w:rFonts w:ascii="Arial" w:hAnsi="Arial" w:cs="Arial"/>
          <w:b/>
          <w:bCs/>
          <w:lang w:val="en-BB"/>
        </w:rPr>
      </w:pPr>
    </w:p>
    <w:p w14:paraId="485E5BB5" w14:textId="77777777" w:rsidR="00F53625" w:rsidRDefault="00F53625" w:rsidP="0095526A">
      <w:pPr>
        <w:jc w:val="left"/>
        <w:rPr>
          <w:rFonts w:ascii="Arial" w:hAnsi="Arial" w:cs="Arial"/>
          <w:b/>
          <w:bCs/>
          <w:lang w:val="en-BB"/>
        </w:rPr>
      </w:pPr>
    </w:p>
    <w:p w14:paraId="4AA6A113" w14:textId="77777777" w:rsidR="00F53625" w:rsidRDefault="00F53625" w:rsidP="0095526A">
      <w:pPr>
        <w:jc w:val="left"/>
        <w:rPr>
          <w:rFonts w:ascii="Arial" w:hAnsi="Arial" w:cs="Arial"/>
          <w:b/>
          <w:bCs/>
          <w:lang w:val="en-BB"/>
        </w:rPr>
      </w:pPr>
    </w:p>
    <w:p w14:paraId="08363874" w14:textId="77777777" w:rsidR="00F53625" w:rsidRPr="00B51E6F" w:rsidRDefault="00F53625" w:rsidP="0095526A">
      <w:pPr>
        <w:jc w:val="left"/>
        <w:rPr>
          <w:rFonts w:ascii="Arial" w:hAnsi="Arial" w:cs="Arial"/>
          <w:b/>
          <w:bCs/>
          <w:lang w:val="en-BB"/>
        </w:rPr>
      </w:pPr>
    </w:p>
    <w:p w14:paraId="51B0F5AF" w14:textId="36916B96" w:rsidR="00F53625" w:rsidRDefault="001B13BB" w:rsidP="0075762D">
      <w:pPr>
        <w:spacing w:line="480" w:lineRule="auto"/>
        <w:jc w:val="left"/>
        <w:rPr>
          <w:rFonts w:ascii="Arial" w:hAnsi="Arial" w:cs="Arial"/>
          <w:b/>
          <w:bCs/>
          <w:sz w:val="28"/>
          <w:szCs w:val="28"/>
          <w:lang w:val="en-BB"/>
        </w:rPr>
      </w:pPr>
      <w:r w:rsidRPr="00B51E6F">
        <w:rPr>
          <w:rFonts w:ascii="Arial" w:hAnsi="Arial" w:cs="Arial"/>
          <w:b/>
          <w:bCs/>
          <w:lang w:val="en-BB"/>
        </w:rPr>
        <w:br w:type="page"/>
      </w:r>
      <w:r w:rsidR="005B4CFF" w:rsidRPr="005A4FC0">
        <w:rPr>
          <w:rFonts w:ascii="Arial" w:hAnsi="Arial" w:cs="Arial"/>
          <w:b/>
          <w:bCs/>
          <w:sz w:val="28"/>
          <w:szCs w:val="28"/>
          <w:lang w:val="en-BB"/>
        </w:rPr>
        <w:lastRenderedPageBreak/>
        <w:t>Contents</w:t>
      </w:r>
    </w:p>
    <w:p w14:paraId="2052364D" w14:textId="78D9E09E" w:rsidR="00BD6CF5" w:rsidRPr="002872B9" w:rsidRDefault="00BD6CF5" w:rsidP="0075762D">
      <w:pPr>
        <w:spacing w:line="480" w:lineRule="auto"/>
        <w:jc w:val="left"/>
        <w:rPr>
          <w:rFonts w:ascii="Arial" w:hAnsi="Arial" w:cs="Arial"/>
          <w:b/>
          <w:bCs/>
          <w:sz w:val="28"/>
          <w:szCs w:val="28"/>
          <w:lang w:val="en-BB"/>
        </w:rPr>
      </w:pPr>
      <w:r w:rsidRPr="00BD6CF5">
        <w:rPr>
          <w:rFonts w:ascii="Arial" w:hAnsi="Arial" w:cs="Arial"/>
          <w:b/>
          <w:bCs/>
          <w:sz w:val="28"/>
          <w:szCs w:val="28"/>
          <w:lang w:val="en-BB"/>
        </w:rPr>
        <w:t>Section 1: International Market-Entry Report</w:t>
      </w:r>
    </w:p>
    <w:p w14:paraId="723D62CD" w14:textId="77777777" w:rsidR="005B4CFF" w:rsidRPr="005A4FC0" w:rsidRDefault="005B4CFF" w:rsidP="0075762D">
      <w:pPr>
        <w:spacing w:line="480" w:lineRule="auto"/>
        <w:jc w:val="left"/>
        <w:rPr>
          <w:rFonts w:ascii="Arial" w:hAnsi="Arial" w:cs="Arial"/>
          <w:b/>
          <w:bCs/>
          <w:sz w:val="28"/>
          <w:szCs w:val="28"/>
          <w:lang w:val="en-BB"/>
        </w:rPr>
      </w:pPr>
      <w:r w:rsidRPr="005A4FC0">
        <w:rPr>
          <w:rFonts w:ascii="Arial" w:hAnsi="Arial" w:cs="Arial"/>
          <w:b/>
          <w:bCs/>
          <w:sz w:val="28"/>
          <w:szCs w:val="28"/>
          <w:lang w:val="en-BB"/>
        </w:rPr>
        <w:t>1. Introduction</w:t>
      </w:r>
    </w:p>
    <w:p w14:paraId="38044557" w14:textId="77777777" w:rsidR="005B4CFF" w:rsidRPr="005A4FC0" w:rsidRDefault="005B4CFF" w:rsidP="0075762D">
      <w:pPr>
        <w:spacing w:line="480" w:lineRule="auto"/>
        <w:jc w:val="left"/>
        <w:rPr>
          <w:rFonts w:ascii="Arial" w:hAnsi="Arial" w:cs="Arial"/>
          <w:b/>
          <w:bCs/>
          <w:sz w:val="28"/>
          <w:szCs w:val="28"/>
          <w:lang w:val="en-BB"/>
        </w:rPr>
      </w:pPr>
      <w:r w:rsidRPr="005A4FC0">
        <w:rPr>
          <w:rFonts w:ascii="Arial" w:hAnsi="Arial" w:cs="Arial"/>
          <w:b/>
          <w:bCs/>
          <w:sz w:val="28"/>
          <w:szCs w:val="28"/>
          <w:lang w:val="en-BB"/>
        </w:rPr>
        <w:t>2. Organisational Classification and Global Strategy</w:t>
      </w:r>
    </w:p>
    <w:p w14:paraId="16E4DF9E" w14:textId="77777777" w:rsidR="005B4CFF" w:rsidRPr="005A4FC0" w:rsidRDefault="005B4CFF" w:rsidP="0075762D">
      <w:pPr>
        <w:spacing w:line="480" w:lineRule="auto"/>
        <w:jc w:val="left"/>
        <w:rPr>
          <w:rFonts w:ascii="Arial" w:hAnsi="Arial" w:cs="Arial"/>
          <w:b/>
          <w:bCs/>
          <w:sz w:val="28"/>
          <w:szCs w:val="28"/>
          <w:lang w:val="en-BB"/>
        </w:rPr>
      </w:pPr>
      <w:r w:rsidRPr="005A4FC0">
        <w:rPr>
          <w:rFonts w:ascii="Arial" w:hAnsi="Arial" w:cs="Arial"/>
          <w:b/>
          <w:bCs/>
          <w:sz w:val="28"/>
          <w:szCs w:val="28"/>
          <w:lang w:val="en-BB"/>
        </w:rPr>
        <w:t>3. Macro-environmental Appraisal and Market Attractiveness</w:t>
      </w:r>
    </w:p>
    <w:p w14:paraId="65636F09" w14:textId="77777777" w:rsidR="005B4CFF" w:rsidRPr="005A4FC0" w:rsidRDefault="005B4CFF" w:rsidP="0075762D">
      <w:pPr>
        <w:spacing w:line="480" w:lineRule="auto"/>
        <w:jc w:val="left"/>
        <w:rPr>
          <w:rFonts w:ascii="Arial" w:hAnsi="Arial" w:cs="Arial"/>
          <w:b/>
          <w:bCs/>
          <w:sz w:val="28"/>
          <w:szCs w:val="28"/>
          <w:lang w:val="en-BB"/>
        </w:rPr>
      </w:pPr>
      <w:r w:rsidRPr="005A4FC0">
        <w:rPr>
          <w:rFonts w:ascii="Arial" w:hAnsi="Arial" w:cs="Arial"/>
          <w:b/>
          <w:bCs/>
          <w:sz w:val="28"/>
          <w:szCs w:val="28"/>
          <w:lang w:val="en-BB"/>
        </w:rPr>
        <w:t>4. Entry-Mode Strategy and Strategic Synthesis</w:t>
      </w:r>
    </w:p>
    <w:p w14:paraId="32A7A6C7" w14:textId="77777777" w:rsidR="005B4CFF" w:rsidRDefault="005B4CFF" w:rsidP="0075762D">
      <w:pPr>
        <w:spacing w:line="480" w:lineRule="auto"/>
        <w:jc w:val="left"/>
        <w:rPr>
          <w:rFonts w:ascii="Arial" w:hAnsi="Arial" w:cs="Arial"/>
          <w:b/>
          <w:bCs/>
          <w:sz w:val="28"/>
          <w:szCs w:val="28"/>
          <w:lang w:val="en-BB"/>
        </w:rPr>
      </w:pPr>
      <w:r w:rsidRPr="005A4FC0">
        <w:rPr>
          <w:rFonts w:ascii="Arial" w:hAnsi="Arial" w:cs="Arial"/>
          <w:b/>
          <w:bCs/>
          <w:sz w:val="28"/>
          <w:szCs w:val="28"/>
          <w:lang w:val="en-BB"/>
        </w:rPr>
        <w:t>5. Conclusion and Recommendations</w:t>
      </w:r>
    </w:p>
    <w:p w14:paraId="72910DEA" w14:textId="1E9CA175" w:rsidR="0075762D" w:rsidRPr="005A4FC0" w:rsidRDefault="0075762D" w:rsidP="0075762D">
      <w:pPr>
        <w:spacing w:line="480" w:lineRule="auto"/>
        <w:jc w:val="left"/>
        <w:rPr>
          <w:rFonts w:ascii="Arial" w:hAnsi="Arial" w:cs="Arial"/>
          <w:b/>
          <w:bCs/>
          <w:sz w:val="28"/>
          <w:szCs w:val="28"/>
          <w:lang w:val="en-BB"/>
        </w:rPr>
      </w:pPr>
      <w:r w:rsidRPr="0075762D">
        <w:rPr>
          <w:rFonts w:ascii="Arial" w:hAnsi="Arial" w:cs="Arial"/>
          <w:b/>
          <w:bCs/>
          <w:sz w:val="28"/>
          <w:szCs w:val="28"/>
          <w:lang w:val="en-BB"/>
        </w:rPr>
        <w:t>Section 2: Reflective Account Using Gibbs’ Reflective Cycle</w:t>
      </w:r>
    </w:p>
    <w:p w14:paraId="64B5F975" w14:textId="77777777" w:rsidR="005B4CFF" w:rsidRPr="005A4FC0" w:rsidRDefault="005B4CFF" w:rsidP="0075762D">
      <w:pPr>
        <w:spacing w:line="480" w:lineRule="auto"/>
        <w:jc w:val="left"/>
        <w:rPr>
          <w:rFonts w:ascii="Arial" w:hAnsi="Arial" w:cs="Arial"/>
          <w:b/>
          <w:bCs/>
          <w:sz w:val="28"/>
          <w:szCs w:val="28"/>
          <w:lang w:val="en-BB"/>
        </w:rPr>
      </w:pPr>
      <w:r w:rsidRPr="005A4FC0">
        <w:rPr>
          <w:rFonts w:ascii="Arial" w:hAnsi="Arial" w:cs="Arial"/>
          <w:b/>
          <w:bCs/>
          <w:sz w:val="28"/>
          <w:szCs w:val="28"/>
          <w:lang w:val="en-BB"/>
        </w:rPr>
        <w:t>6. Reflective Account Using Gibbs’ Reflective Cycle</w:t>
      </w:r>
    </w:p>
    <w:p w14:paraId="342FDD30" w14:textId="77777777" w:rsidR="005B4CFF" w:rsidRPr="005A4FC0" w:rsidRDefault="005B4CFF" w:rsidP="0075762D">
      <w:pPr>
        <w:spacing w:line="480" w:lineRule="auto"/>
        <w:jc w:val="left"/>
        <w:rPr>
          <w:rFonts w:ascii="Arial" w:hAnsi="Arial" w:cs="Arial"/>
          <w:b/>
          <w:bCs/>
          <w:sz w:val="28"/>
          <w:szCs w:val="28"/>
          <w:lang w:val="en-BB"/>
        </w:rPr>
      </w:pPr>
      <w:r w:rsidRPr="005A4FC0">
        <w:rPr>
          <w:rFonts w:ascii="Arial" w:hAnsi="Arial" w:cs="Arial"/>
          <w:b/>
          <w:bCs/>
          <w:sz w:val="28"/>
          <w:szCs w:val="28"/>
          <w:lang w:val="en-BB"/>
        </w:rPr>
        <w:t>7. References</w:t>
      </w:r>
    </w:p>
    <w:p w14:paraId="2B45528E" w14:textId="77777777" w:rsidR="005B4CFF" w:rsidRPr="00B51E6F" w:rsidRDefault="005B4CFF" w:rsidP="0075762D">
      <w:pPr>
        <w:spacing w:line="480" w:lineRule="auto"/>
        <w:jc w:val="left"/>
        <w:rPr>
          <w:rFonts w:ascii="Arial" w:hAnsi="Arial" w:cs="Arial"/>
          <w:lang w:val="en-BB"/>
        </w:rPr>
      </w:pPr>
    </w:p>
    <w:p w14:paraId="1D7CDC71" w14:textId="77777777" w:rsidR="005B4CFF" w:rsidRPr="00B51E6F" w:rsidRDefault="005B4CFF" w:rsidP="0095526A">
      <w:pPr>
        <w:jc w:val="left"/>
        <w:rPr>
          <w:rFonts w:ascii="Arial" w:hAnsi="Arial" w:cs="Arial"/>
          <w:b/>
          <w:bCs/>
          <w:lang w:val="en-BB"/>
        </w:rPr>
      </w:pPr>
    </w:p>
    <w:p w14:paraId="5A21A022" w14:textId="77777777" w:rsidR="005B4CFF" w:rsidRPr="00B51E6F" w:rsidRDefault="005B4CFF" w:rsidP="0095526A">
      <w:pPr>
        <w:jc w:val="left"/>
        <w:rPr>
          <w:rFonts w:ascii="Arial" w:hAnsi="Arial" w:cs="Arial"/>
          <w:b/>
          <w:bCs/>
          <w:lang w:val="en-BB"/>
        </w:rPr>
      </w:pPr>
    </w:p>
    <w:p w14:paraId="57092452" w14:textId="77777777" w:rsidR="005B4CFF" w:rsidRPr="00B51E6F" w:rsidRDefault="005B4CFF" w:rsidP="0095526A">
      <w:pPr>
        <w:jc w:val="left"/>
        <w:rPr>
          <w:rFonts w:ascii="Arial" w:hAnsi="Arial" w:cs="Arial"/>
          <w:b/>
          <w:bCs/>
          <w:lang w:val="en-BB"/>
        </w:rPr>
      </w:pPr>
    </w:p>
    <w:p w14:paraId="14C3542E" w14:textId="77777777" w:rsidR="005B4CFF" w:rsidRPr="00B51E6F" w:rsidRDefault="005B4CFF" w:rsidP="0095526A">
      <w:pPr>
        <w:jc w:val="left"/>
        <w:rPr>
          <w:rFonts w:ascii="Arial" w:hAnsi="Arial" w:cs="Arial"/>
          <w:b/>
          <w:bCs/>
          <w:lang w:val="en-BB"/>
        </w:rPr>
      </w:pPr>
    </w:p>
    <w:p w14:paraId="24811BE4" w14:textId="77777777" w:rsidR="005B4CFF" w:rsidRPr="00B51E6F" w:rsidRDefault="005B4CFF" w:rsidP="0095526A">
      <w:pPr>
        <w:jc w:val="left"/>
        <w:rPr>
          <w:rFonts w:ascii="Arial" w:hAnsi="Arial" w:cs="Arial"/>
          <w:b/>
          <w:bCs/>
          <w:lang w:val="en-BB"/>
        </w:rPr>
      </w:pPr>
    </w:p>
    <w:p w14:paraId="0817AFA1" w14:textId="77777777" w:rsidR="005B4CFF" w:rsidRPr="00B51E6F" w:rsidRDefault="005B4CFF" w:rsidP="0095526A">
      <w:pPr>
        <w:jc w:val="left"/>
        <w:rPr>
          <w:rFonts w:ascii="Arial" w:hAnsi="Arial" w:cs="Arial"/>
          <w:b/>
          <w:bCs/>
          <w:lang w:val="en-BB"/>
        </w:rPr>
      </w:pPr>
    </w:p>
    <w:p w14:paraId="0FB97700" w14:textId="77777777" w:rsidR="005B4CFF" w:rsidRPr="00B51E6F" w:rsidRDefault="005B4CFF" w:rsidP="0095526A">
      <w:pPr>
        <w:jc w:val="left"/>
        <w:rPr>
          <w:rFonts w:ascii="Arial" w:hAnsi="Arial" w:cs="Arial"/>
          <w:b/>
          <w:bCs/>
          <w:lang w:val="en-BB"/>
        </w:rPr>
      </w:pPr>
    </w:p>
    <w:p w14:paraId="591707BA" w14:textId="77777777" w:rsidR="005B4CFF" w:rsidRPr="00B51E6F" w:rsidRDefault="005B4CFF" w:rsidP="0095526A">
      <w:pPr>
        <w:jc w:val="left"/>
        <w:rPr>
          <w:rFonts w:ascii="Arial" w:hAnsi="Arial" w:cs="Arial"/>
          <w:b/>
          <w:bCs/>
          <w:lang w:val="en-BB"/>
        </w:rPr>
      </w:pPr>
    </w:p>
    <w:p w14:paraId="63904468" w14:textId="77777777" w:rsidR="005B4CFF" w:rsidRPr="00B51E6F" w:rsidRDefault="005B4CFF" w:rsidP="0095526A">
      <w:pPr>
        <w:jc w:val="left"/>
        <w:rPr>
          <w:rFonts w:ascii="Arial" w:hAnsi="Arial" w:cs="Arial"/>
          <w:b/>
          <w:bCs/>
          <w:lang w:val="en-BB"/>
        </w:rPr>
      </w:pPr>
    </w:p>
    <w:p w14:paraId="309D41D1" w14:textId="77777777" w:rsidR="005B4CFF" w:rsidRDefault="005B4CFF" w:rsidP="0095526A">
      <w:pPr>
        <w:jc w:val="left"/>
        <w:rPr>
          <w:rFonts w:ascii="Arial" w:hAnsi="Arial" w:cs="Arial"/>
          <w:b/>
          <w:bCs/>
          <w:lang w:val="en-BB"/>
        </w:rPr>
      </w:pPr>
    </w:p>
    <w:p w14:paraId="703DDA93" w14:textId="77777777" w:rsidR="0075762D" w:rsidRDefault="0075762D" w:rsidP="0095526A">
      <w:pPr>
        <w:jc w:val="left"/>
        <w:rPr>
          <w:rFonts w:ascii="Arial" w:hAnsi="Arial" w:cs="Arial"/>
          <w:b/>
          <w:bCs/>
          <w:lang w:val="en-BB"/>
        </w:rPr>
      </w:pPr>
    </w:p>
    <w:p w14:paraId="44FF6276" w14:textId="6A0F83BD" w:rsidR="005B4CFF" w:rsidRPr="00B51E6F" w:rsidRDefault="005B4CFF" w:rsidP="0095526A">
      <w:pPr>
        <w:jc w:val="left"/>
        <w:rPr>
          <w:rFonts w:ascii="Arial" w:hAnsi="Arial" w:cs="Arial"/>
          <w:lang w:val="en-BB"/>
        </w:rPr>
      </w:pPr>
      <w:r w:rsidRPr="00B51E6F">
        <w:rPr>
          <w:rFonts w:ascii="Arial" w:hAnsi="Arial" w:cs="Arial"/>
          <w:b/>
          <w:bCs/>
          <w:lang w:val="en-BB"/>
        </w:rPr>
        <w:lastRenderedPageBreak/>
        <w:t>Section 1: International Market-Entry Report</w:t>
      </w:r>
    </w:p>
    <w:p w14:paraId="147113F3" w14:textId="77777777" w:rsidR="005B4CFF" w:rsidRPr="00B51E6F" w:rsidRDefault="005B4CFF" w:rsidP="0095526A">
      <w:pPr>
        <w:jc w:val="left"/>
        <w:rPr>
          <w:rFonts w:ascii="Arial" w:hAnsi="Arial" w:cs="Arial"/>
          <w:lang w:val="en-BB"/>
        </w:rPr>
      </w:pPr>
      <w:r w:rsidRPr="00B51E6F">
        <w:rPr>
          <w:rFonts w:ascii="Arial" w:hAnsi="Arial" w:cs="Arial"/>
          <w:b/>
          <w:bCs/>
          <w:lang w:val="en-BB"/>
        </w:rPr>
        <w:t>1. Introduction</w:t>
      </w:r>
    </w:p>
    <w:p w14:paraId="511704E7" w14:textId="77777777" w:rsidR="005B4CFF" w:rsidRPr="00B51E6F" w:rsidRDefault="005B4CFF" w:rsidP="0095526A">
      <w:pPr>
        <w:jc w:val="left"/>
        <w:rPr>
          <w:rFonts w:ascii="Arial" w:hAnsi="Arial" w:cs="Arial"/>
          <w:lang w:val="en-BB"/>
        </w:rPr>
      </w:pPr>
      <w:r w:rsidRPr="00B51E6F">
        <w:rPr>
          <w:rFonts w:ascii="Arial" w:hAnsi="Arial" w:cs="Arial"/>
          <w:lang w:val="en-BB"/>
        </w:rPr>
        <w:t>Starbucks Corporation is an appropriate multinational corporation for evaluating entry into Bangladesh because it combines extensive international operations with no identified significant operational presence in the proposed host market. At the end of the first quarter of FY2026, Starbucks operated 41,118 company-operated and licensed stores, of which 52 per cent were company-operated and 48 per cent licensed (Starbucks Corporation, 2026a). It has a substantial UK business and operates in India through Tata Starbucks, a 50:50 joint venture with Tata Consumer Products. However, an examination of Starbucks’ corporate disclosures and official store information found no authorised Starbucks coffeehouse, subsidiary, production facility or formally announced Bangladesh entry as of 1 June 2026. Starbucks-branded packaged products available through independent Bangladeshi importers constitute indirect product availability, not Starbucks-controlled market entry.</w:t>
      </w:r>
    </w:p>
    <w:p w14:paraId="127F48D8" w14:textId="795CCF04" w:rsidR="005B4CFF" w:rsidRDefault="005B4CFF" w:rsidP="0095526A">
      <w:pPr>
        <w:jc w:val="left"/>
        <w:rPr>
          <w:rFonts w:ascii="Arial" w:hAnsi="Arial" w:cs="Arial"/>
          <w:lang w:val="en-BB"/>
        </w:rPr>
      </w:pPr>
      <w:r w:rsidRPr="00B51E6F">
        <w:rPr>
          <w:rFonts w:ascii="Arial" w:hAnsi="Arial" w:cs="Arial"/>
          <w:lang w:val="en-BB"/>
        </w:rPr>
        <w:t>This report critically evaluates whether Starbucks should enter Bangladesh and, if so, how. It applies Bartlett and Ghoshal’s integration-responsiveness framework, a focused political, economic, legal and cultural assessment, and Dunning’s eclectic paradigm. The report argues that Bangladesh offers a concentrated long-term opportunity, particularly in Dhaka, but institutional uncertainty, foreign-exchange constraints, price sensitivity and a tea-dominant culture make rapid wholly owned expansion inappropriate. A staged equity joint venture with a capable local partner offers the strongest balance between brand control, local knowledge and flexibility.</w:t>
      </w:r>
    </w:p>
    <w:p w14:paraId="0B345962" w14:textId="77777777" w:rsidR="00B51E6F" w:rsidRPr="00B51E6F" w:rsidRDefault="00B51E6F" w:rsidP="0095526A">
      <w:pPr>
        <w:jc w:val="left"/>
        <w:rPr>
          <w:rFonts w:ascii="Arial" w:hAnsi="Arial" w:cs="Arial"/>
          <w:lang w:val="en-BB"/>
        </w:rPr>
      </w:pPr>
    </w:p>
    <w:p w14:paraId="2CF59931" w14:textId="5E663800" w:rsidR="005B4CFF" w:rsidRPr="00B51E6F" w:rsidRDefault="005B4CFF" w:rsidP="0095526A">
      <w:pPr>
        <w:jc w:val="left"/>
        <w:rPr>
          <w:rFonts w:ascii="Arial" w:hAnsi="Arial" w:cs="Arial"/>
          <w:lang w:val="en-BB"/>
        </w:rPr>
      </w:pPr>
      <w:r w:rsidRPr="00B51E6F">
        <w:rPr>
          <w:rFonts w:ascii="Arial" w:hAnsi="Arial" w:cs="Arial"/>
          <w:b/>
          <w:bCs/>
          <w:lang w:val="en-BB"/>
        </w:rPr>
        <w:t>2. Organisational Classification and Global Strategy</w:t>
      </w:r>
    </w:p>
    <w:p w14:paraId="6502BBD9" w14:textId="77777777" w:rsidR="005B4CFF" w:rsidRPr="00B51E6F" w:rsidRDefault="005B4CFF" w:rsidP="0095526A">
      <w:pPr>
        <w:jc w:val="left"/>
        <w:rPr>
          <w:rFonts w:ascii="Arial" w:hAnsi="Arial" w:cs="Arial"/>
          <w:lang w:val="en-BB"/>
        </w:rPr>
      </w:pPr>
      <w:r w:rsidRPr="00B51E6F">
        <w:rPr>
          <w:rFonts w:ascii="Arial" w:hAnsi="Arial" w:cs="Arial"/>
          <w:b/>
          <w:bCs/>
          <w:lang w:val="en-BB"/>
        </w:rPr>
        <w:t>2.1 Strategic categorisation</w:t>
      </w:r>
    </w:p>
    <w:p w14:paraId="34ED65E0" w14:textId="77777777" w:rsidR="005B4CFF" w:rsidRPr="00B51E6F" w:rsidRDefault="005B4CFF" w:rsidP="0095526A">
      <w:pPr>
        <w:jc w:val="left"/>
        <w:rPr>
          <w:rFonts w:ascii="Arial" w:hAnsi="Arial" w:cs="Arial"/>
          <w:lang w:val="en-BB"/>
        </w:rPr>
      </w:pPr>
      <w:r w:rsidRPr="00B51E6F">
        <w:rPr>
          <w:rFonts w:ascii="Arial" w:hAnsi="Arial" w:cs="Arial"/>
          <w:lang w:val="en-BB"/>
        </w:rPr>
        <w:t>Bartlett and Ghoshal (1989) categorise internationally operating firms according to pressures for global integration and local responsiveness. International firms transfer home-developed capabilities abroad; multinational firms provide national operations with substantial autonomy; global firms centralise activities to maximise standardisation and efficiency; and transnational firms attempt simultaneously to achieve global efficiency, local adaptation and cross-border learning. Starbucks is best classified as a transnationally oriented MNC, although its operating model retains strong global characteristics.</w:t>
      </w:r>
    </w:p>
    <w:p w14:paraId="126A0763"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Pressure for integration is evident in Starbucks’ centrally protected brand, trademarks, coffee specifications, store-design principles, employee terminology and overall coffeehouse experience. Scale supports coordinated product development, international sourcing, marketing and digital capabilities. These arrangements reduce duplication and reproduce a recognisable proposition across markets. Consistency matters because customers purchase </w:t>
      </w:r>
      <w:r w:rsidRPr="00B51E6F">
        <w:rPr>
          <w:rFonts w:ascii="Arial" w:hAnsi="Arial" w:cs="Arial"/>
          <w:lang w:val="en-BB"/>
        </w:rPr>
        <w:lastRenderedPageBreak/>
        <w:t>not only a beverage but also expected quality, convenience, ambience and symbolic brand value.</w:t>
      </w:r>
    </w:p>
    <w:p w14:paraId="08AA1F9C" w14:textId="77777777" w:rsidR="005B4CFF" w:rsidRPr="00B51E6F" w:rsidRDefault="005B4CFF" w:rsidP="0095526A">
      <w:pPr>
        <w:jc w:val="left"/>
        <w:rPr>
          <w:rFonts w:ascii="Arial" w:hAnsi="Arial" w:cs="Arial"/>
          <w:lang w:val="en-BB"/>
        </w:rPr>
      </w:pPr>
      <w:r w:rsidRPr="00B51E6F">
        <w:rPr>
          <w:rFonts w:ascii="Arial" w:hAnsi="Arial" w:cs="Arial"/>
          <w:lang w:val="en-BB"/>
        </w:rPr>
        <w:t>Nevertheless, Starbucks does not impose an entirely uniform US model. Its balance between company ownership, licensing and joint ventures varies by institutional context. In the UK, Starbucks ended FY2025 with 1,304 stores: 398 company-operated and 906 operated by licensees (Starbucks Corporation, 2026b). Indian operations are conducted through Tata Starbucks, established to combine Starbucks’ brand and coffee expertise with Tata’s sourcing relationships, institutional legitimacy and market knowledge (Tata Consumer Products, 2012). Products, prices, food selections and formats are adapted to local demand. This demonstrates meaningful responsiveness rather than the one-directional transfer of an unchanged format.</w:t>
      </w:r>
    </w:p>
    <w:p w14:paraId="17BA9B03" w14:textId="244725A2" w:rsidR="005D3E43" w:rsidRDefault="005B4CFF" w:rsidP="0095526A">
      <w:pPr>
        <w:jc w:val="left"/>
        <w:rPr>
          <w:rFonts w:ascii="Arial" w:hAnsi="Arial" w:cs="Arial"/>
          <w:lang w:val="en-BB"/>
        </w:rPr>
      </w:pPr>
      <w:r w:rsidRPr="00B51E6F">
        <w:rPr>
          <w:rFonts w:ascii="Arial" w:hAnsi="Arial" w:cs="Arial"/>
          <w:lang w:val="en-BB"/>
        </w:rPr>
        <w:t>Classifying Starbucks as fully transnational nevertheless requires caution. A transnational organisation should support multidirectional knowledge flows, whereas strategic authority over intellectual property, sourcing and brand positioning remains concentrated. Starbucks therefore lies between global and transnational strategies: it integrates the core proposition while selectively decentralising execution. The framework reveals this tension but its four categories oversimplify a firm that uses different organisational arrangements simultaneously (Brock and Siscovick, 2018).</w:t>
      </w:r>
    </w:p>
    <w:p w14:paraId="5DE5648A" w14:textId="77777777" w:rsidR="00B51E6F" w:rsidRPr="00B51E6F" w:rsidRDefault="00B51E6F" w:rsidP="0095526A">
      <w:pPr>
        <w:jc w:val="left"/>
        <w:rPr>
          <w:rFonts w:ascii="Arial" w:hAnsi="Arial" w:cs="Arial"/>
          <w:lang w:val="en-BB"/>
        </w:rPr>
      </w:pPr>
    </w:p>
    <w:p w14:paraId="6E981EAF" w14:textId="20458327" w:rsidR="005B4CFF" w:rsidRPr="00B51E6F" w:rsidRDefault="005D3E43" w:rsidP="0095526A">
      <w:pPr>
        <w:jc w:val="left"/>
        <w:rPr>
          <w:rFonts w:ascii="Arial" w:hAnsi="Arial" w:cs="Arial"/>
          <w:lang w:val="en-BB"/>
        </w:rPr>
      </w:pPr>
      <w:r w:rsidRPr="00B51E6F">
        <w:rPr>
          <w:rFonts w:ascii="Arial" w:hAnsi="Arial" w:cs="Arial"/>
          <w:noProof/>
        </w:rPr>
        <w:drawing>
          <wp:anchor distT="0" distB="0" distL="114300" distR="114300" simplePos="0" relativeHeight="251660288" behindDoc="1" locked="0" layoutInCell="1" allowOverlap="1" wp14:anchorId="15C0AA7C" wp14:editId="38F7DADC">
            <wp:simplePos x="0" y="0"/>
            <wp:positionH relativeFrom="margin">
              <wp:posOffset>320040</wp:posOffset>
            </wp:positionH>
            <wp:positionV relativeFrom="paragraph">
              <wp:posOffset>434975</wp:posOffset>
            </wp:positionV>
            <wp:extent cx="5120640" cy="2933700"/>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tlett_ghoshal_matrix.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20640" cy="2933700"/>
                    </a:xfrm>
                    <a:prstGeom prst="rect">
                      <a:avLst/>
                    </a:prstGeom>
                  </pic:spPr>
                </pic:pic>
              </a:graphicData>
            </a:graphic>
            <wp14:sizeRelH relativeFrom="margin">
              <wp14:pctWidth>0</wp14:pctWidth>
            </wp14:sizeRelH>
            <wp14:sizeRelV relativeFrom="margin">
              <wp14:pctHeight>0</wp14:pctHeight>
            </wp14:sizeRelV>
          </wp:anchor>
        </w:drawing>
      </w:r>
      <w:r w:rsidR="005B4CFF" w:rsidRPr="00B51E6F">
        <w:rPr>
          <w:rFonts w:ascii="Arial" w:hAnsi="Arial" w:cs="Arial"/>
          <w:b/>
          <w:bCs/>
          <w:lang w:val="en-BB"/>
        </w:rPr>
        <w:t>Figure 1: Starbucks within Bartlett and Ghoshal’s integration-responsiveness framework</w:t>
      </w:r>
    </w:p>
    <w:p w14:paraId="69D0A508" w14:textId="4AD34439" w:rsidR="005B4CFF" w:rsidRDefault="005B4CFF" w:rsidP="001B13BB">
      <w:pPr>
        <w:spacing w:before="60" w:after="180"/>
        <w:jc w:val="left"/>
        <w:rPr>
          <w:rFonts w:ascii="Arial" w:hAnsi="Arial" w:cs="Arial"/>
          <w:iCs/>
          <w:color w:val="000000" w:themeColor="text1"/>
        </w:rPr>
      </w:pPr>
      <w:r w:rsidRPr="00B51E6F">
        <w:rPr>
          <w:rFonts w:ascii="Arial" w:hAnsi="Arial" w:cs="Arial"/>
          <w:iCs/>
          <w:color w:val="000000" w:themeColor="text1"/>
        </w:rPr>
        <w:t>Source: Author’s analysis based on Bartlett and Ghoshal (1989) and Starbucks Corporation (2025a; 2026b).</w:t>
      </w:r>
    </w:p>
    <w:p w14:paraId="22481AE3" w14:textId="77777777" w:rsidR="00B51E6F" w:rsidRPr="00B51E6F" w:rsidRDefault="00B51E6F" w:rsidP="001B13BB">
      <w:pPr>
        <w:spacing w:before="60" w:after="180"/>
        <w:jc w:val="left"/>
        <w:rPr>
          <w:rFonts w:ascii="Arial" w:hAnsi="Arial" w:cs="Arial"/>
          <w:iCs/>
          <w:color w:val="000000" w:themeColor="text1"/>
        </w:rPr>
      </w:pPr>
    </w:p>
    <w:p w14:paraId="04581D5E" w14:textId="77777777" w:rsidR="005B4CFF" w:rsidRPr="00B51E6F" w:rsidRDefault="005B4CFF" w:rsidP="0095526A">
      <w:pPr>
        <w:jc w:val="left"/>
        <w:rPr>
          <w:rFonts w:ascii="Arial" w:hAnsi="Arial" w:cs="Arial"/>
          <w:lang w:val="en-BB"/>
        </w:rPr>
      </w:pPr>
      <w:r w:rsidRPr="00B51E6F">
        <w:rPr>
          <w:rFonts w:ascii="Arial" w:hAnsi="Arial" w:cs="Arial"/>
          <w:b/>
          <w:bCs/>
          <w:lang w:val="en-BB"/>
        </w:rPr>
        <w:lastRenderedPageBreak/>
        <w:t>2.2 Global configuration and value creation</w:t>
      </w:r>
    </w:p>
    <w:p w14:paraId="436B637C" w14:textId="77777777" w:rsidR="005B4CFF" w:rsidRPr="00B51E6F" w:rsidRDefault="005B4CFF" w:rsidP="0095526A">
      <w:pPr>
        <w:jc w:val="left"/>
        <w:rPr>
          <w:rFonts w:ascii="Arial" w:hAnsi="Arial" w:cs="Arial"/>
          <w:lang w:val="en-BB"/>
        </w:rPr>
      </w:pPr>
      <w:r w:rsidRPr="00B51E6F">
        <w:rPr>
          <w:rFonts w:ascii="Arial" w:hAnsi="Arial" w:cs="Arial"/>
          <w:lang w:val="en-BB"/>
        </w:rPr>
        <w:t>Starbucks’ geographic configuration creates advantage through recognition, procurement scale, product development and organisational learning. Its portfolio exceeded 40,000 stores in FY2025, although the United States and China accounted for 61 per cent of the total (Starbucks Corporation, 2025b). International diversification expands revenue and learning opportunities but does not eliminate concentration risk.</w:t>
      </w:r>
    </w:p>
    <w:p w14:paraId="6993CFCF" w14:textId="43E5B531" w:rsidR="000B7484" w:rsidRPr="00B51E6F" w:rsidRDefault="005B4CFF" w:rsidP="000B7484">
      <w:pPr>
        <w:jc w:val="left"/>
        <w:rPr>
          <w:rFonts w:ascii="Arial" w:hAnsi="Arial" w:cs="Arial"/>
          <w:lang w:val="en-BB"/>
        </w:rPr>
      </w:pPr>
      <w:r w:rsidRPr="00B51E6F">
        <w:rPr>
          <w:rFonts w:ascii="Arial" w:hAnsi="Arial" w:cs="Arial"/>
          <w:lang w:val="en-BB"/>
        </w:rPr>
        <w:t xml:space="preserve">Company-operated stores provide direct control over staff, service, data and the customer environment. Licensed stores allow faster expansion with lower capital commitment and access to partners’ property, distribution and regulatory capabilities. These modes are dynamic rather than permanent. </w:t>
      </w:r>
      <w:r w:rsidR="000B7484" w:rsidRPr="00B51E6F">
        <w:rPr>
          <w:rFonts w:ascii="Arial" w:hAnsi="Arial" w:cs="Arial"/>
          <w:lang w:val="en-BB"/>
        </w:rPr>
        <w:t>In 2024 Starbucks acquired its UK licensee, 23.5 Degrees, and took 113 licensed stores company owned where it made sense to take greater control and long term value from the commitment (Starbucks Corporation, 2025a). But on the other hand it has used licensing to reduce exposure and access established operators elsewhere.</w:t>
      </w:r>
    </w:p>
    <w:p w14:paraId="287BC682" w14:textId="77A790D6" w:rsidR="005B4CFF" w:rsidRDefault="000B7484" w:rsidP="000B7484">
      <w:pPr>
        <w:jc w:val="left"/>
        <w:rPr>
          <w:rFonts w:ascii="Arial" w:hAnsi="Arial" w:cs="Arial"/>
          <w:lang w:val="en-BB"/>
        </w:rPr>
      </w:pPr>
      <w:r w:rsidRPr="00B51E6F">
        <w:rPr>
          <w:rFonts w:ascii="Arial" w:hAnsi="Arial" w:cs="Arial"/>
          <w:lang w:val="en-BB"/>
        </w:rPr>
        <w:t>Digital capabilities are another transferable advantage. In the UK, sales related to rewards increased by 45 per cent in FY2025, representing 42 per cent of sales (Starbucks Corporation, 2026b)</w:t>
      </w:r>
      <w:r w:rsidR="005B4CFF" w:rsidRPr="00B51E6F">
        <w:rPr>
          <w:rFonts w:ascii="Arial" w:hAnsi="Arial" w:cs="Arial"/>
          <w:lang w:val="en-BB"/>
        </w:rPr>
        <w:t>. However, digital systems create value only when payment infrastructure, consumer adoption and data requirements permit transfer. International reach also creates exposure to currencies, regulatory divergence, partner dependence and inconsistent execution. Starbucks’ footprint therefore supports advantage only when global brand discipline is balanced with credible local adaptation.</w:t>
      </w:r>
    </w:p>
    <w:p w14:paraId="7912F256" w14:textId="77777777" w:rsidR="00B51E6F" w:rsidRPr="00B51E6F" w:rsidRDefault="00B51E6F" w:rsidP="000B7484">
      <w:pPr>
        <w:jc w:val="left"/>
        <w:rPr>
          <w:rFonts w:ascii="Arial" w:hAnsi="Arial" w:cs="Arial"/>
          <w:lang w:val="en-BB"/>
        </w:rPr>
      </w:pPr>
    </w:p>
    <w:p w14:paraId="7FC55658" w14:textId="2E525B0D" w:rsidR="005B4CFF" w:rsidRPr="00B51E6F" w:rsidRDefault="005B4CFF" w:rsidP="0095526A">
      <w:pPr>
        <w:jc w:val="left"/>
        <w:rPr>
          <w:rFonts w:ascii="Arial" w:hAnsi="Arial" w:cs="Arial"/>
          <w:lang w:val="en-BB"/>
        </w:rPr>
      </w:pPr>
      <w:r w:rsidRPr="00B51E6F">
        <w:rPr>
          <w:rFonts w:ascii="Arial" w:hAnsi="Arial" w:cs="Arial"/>
          <w:b/>
          <w:bCs/>
          <w:lang w:val="en-BB"/>
        </w:rPr>
        <w:t>3. Macro-environmental Appraisal and Market Attractiveness</w:t>
      </w:r>
    </w:p>
    <w:p w14:paraId="508E6D59" w14:textId="77777777" w:rsidR="005B4CFF" w:rsidRPr="00B51E6F" w:rsidRDefault="005B4CFF" w:rsidP="0095526A">
      <w:pPr>
        <w:jc w:val="left"/>
        <w:rPr>
          <w:rFonts w:ascii="Arial" w:hAnsi="Arial" w:cs="Arial"/>
          <w:lang w:val="en-BB"/>
        </w:rPr>
      </w:pPr>
      <w:r w:rsidRPr="00B51E6F">
        <w:rPr>
          <w:rFonts w:ascii="Arial" w:hAnsi="Arial" w:cs="Arial"/>
          <w:b/>
          <w:bCs/>
          <w:lang w:val="en-BB"/>
        </w:rPr>
        <w:t>3.1 Political and institutional environment</w:t>
      </w:r>
    </w:p>
    <w:p w14:paraId="0305C115" w14:textId="77777777" w:rsidR="005B4CFF" w:rsidRPr="00B51E6F" w:rsidRDefault="005B4CFF" w:rsidP="0095526A">
      <w:pPr>
        <w:jc w:val="left"/>
        <w:rPr>
          <w:rFonts w:ascii="Arial" w:hAnsi="Arial" w:cs="Arial"/>
          <w:lang w:val="en-BB"/>
        </w:rPr>
      </w:pPr>
      <w:r w:rsidRPr="00B51E6F">
        <w:rPr>
          <w:rFonts w:ascii="Arial" w:hAnsi="Arial" w:cs="Arial"/>
          <w:lang w:val="en-BB"/>
        </w:rPr>
        <w:t>Bangladesh’s large consumer base and formal openness to investment must be balanced against political transition, administrative complexity and weaknesses in economic governance. The World Bank’s April 2026 assessment identified policy uncertainty, weak investment, banking-sector stress and limited shock-absorption capacity (World Bank, 2026a). These conditions do not prohibit entry but raise the risk of capital-intensive ownership.</w:t>
      </w:r>
    </w:p>
    <w:p w14:paraId="4D846DCA" w14:textId="77777777" w:rsidR="000B7484" w:rsidRPr="00B51E6F" w:rsidRDefault="005B4CFF" w:rsidP="000B7484">
      <w:pPr>
        <w:jc w:val="left"/>
        <w:rPr>
          <w:rFonts w:ascii="Arial" w:hAnsi="Arial" w:cs="Arial"/>
          <w:lang w:val="en-BB"/>
        </w:rPr>
      </w:pPr>
      <w:r w:rsidRPr="00B51E6F">
        <w:rPr>
          <w:rFonts w:ascii="Arial" w:hAnsi="Arial" w:cs="Arial"/>
          <w:lang w:val="en-BB"/>
        </w:rPr>
        <w:t xml:space="preserve">Political change can affect licensing, imports, taxation and enforcement. </w:t>
      </w:r>
      <w:r w:rsidR="000B7484" w:rsidRPr="00B51E6F">
        <w:rPr>
          <w:rFonts w:ascii="Arial" w:hAnsi="Arial" w:cs="Arial"/>
          <w:lang w:val="en-BB"/>
        </w:rPr>
        <w:t>A visible U.S. brand may also face demonstrations, disruption of transport, or a change in attitude toward Western firms. Starbucks would need continuity plans to include staff safety, temporary closure, inventory and alternative routes. The risk is not only expropriation: repeated disruption could erode footfall and reliability in a model reliant on premium locations and frequent visits.</w:t>
      </w:r>
    </w:p>
    <w:p w14:paraId="6904503B" w14:textId="1167F6DF" w:rsidR="005B4CFF" w:rsidRPr="00B51E6F" w:rsidRDefault="005B4CFF" w:rsidP="0095526A">
      <w:pPr>
        <w:jc w:val="left"/>
        <w:rPr>
          <w:rFonts w:ascii="Arial" w:hAnsi="Arial" w:cs="Arial"/>
          <w:lang w:val="en-BB"/>
        </w:rPr>
      </w:pPr>
      <w:r w:rsidRPr="00B51E6F">
        <w:rPr>
          <w:rFonts w:ascii="Arial" w:hAnsi="Arial" w:cs="Arial"/>
          <w:lang w:val="en-BB"/>
        </w:rPr>
        <w:t xml:space="preserve">Institutional quality matters because entry requires coordination among property authorities, customs, food regulators, municipal bodies and banks. </w:t>
      </w:r>
      <w:r w:rsidR="000B7484" w:rsidRPr="00B51E6F">
        <w:rPr>
          <w:rFonts w:ascii="Arial" w:hAnsi="Arial" w:cs="Arial"/>
          <w:lang w:val="en-BB"/>
        </w:rPr>
        <w:t xml:space="preserve">Delays in construction approval or </w:t>
      </w:r>
      <w:r w:rsidR="000B7484" w:rsidRPr="00B51E6F">
        <w:rPr>
          <w:rFonts w:ascii="Arial" w:hAnsi="Arial" w:cs="Arial"/>
          <w:lang w:val="en-BB"/>
        </w:rPr>
        <w:lastRenderedPageBreak/>
        <w:t>ingredient clearance could lead to higher pre-opening costs.</w:t>
      </w:r>
      <w:r w:rsidRPr="00B51E6F">
        <w:rPr>
          <w:rFonts w:ascii="Arial" w:hAnsi="Arial" w:cs="Arial"/>
          <w:lang w:val="en-BB"/>
        </w:rPr>
        <w:t xml:space="preserve"> A local partner can reduce information disadvantage, but partnership cannot transfer Starbucks’ legal and reputational responsibility. Informal influence could conflict with anti-corruption standards. Partner due diligence must therefore examine beneficial ownership, political exposure, tax history, labour practices and compliance systems.</w:t>
      </w:r>
    </w:p>
    <w:p w14:paraId="278703F1" w14:textId="0C335179" w:rsidR="00C41C86" w:rsidRPr="00B51E6F" w:rsidRDefault="005B4CFF" w:rsidP="00C41C86">
      <w:pPr>
        <w:jc w:val="left"/>
        <w:rPr>
          <w:rFonts w:ascii="Arial" w:hAnsi="Arial" w:cs="Arial"/>
          <w:lang w:val="en-BB"/>
        </w:rPr>
      </w:pPr>
      <w:r w:rsidRPr="00B51E6F">
        <w:rPr>
          <w:rFonts w:ascii="Arial" w:hAnsi="Arial" w:cs="Arial"/>
          <w:lang w:val="en-BB"/>
        </w:rPr>
        <w:t xml:space="preserve">Investment reforms provide a counterargument. </w:t>
      </w:r>
      <w:r w:rsidR="00C41C86" w:rsidRPr="00B51E6F">
        <w:rPr>
          <w:rFonts w:ascii="Arial" w:hAnsi="Arial" w:cs="Arial"/>
          <w:lang w:val="en-BB"/>
        </w:rPr>
        <w:t>BIDA to roll out one-stop services, easier share-transfer, repatriation processes by March 2026 It also reported that net FDI increased by 39.36 per cent in 2025 and digitised royalty-payment applications (BIDA, 2026a). These changes can result in lower transaction cost. But formal reform does not ensure uniform implementation. Starbucks should verify the actual processing times and the availability of foreign currency before a major commitment.</w:t>
      </w:r>
    </w:p>
    <w:p w14:paraId="7F15DC10" w14:textId="01AF0B3F" w:rsidR="005B4CFF" w:rsidRPr="00B51E6F" w:rsidRDefault="00C41C86" w:rsidP="00C41C86">
      <w:pPr>
        <w:jc w:val="left"/>
        <w:rPr>
          <w:rFonts w:ascii="Arial" w:hAnsi="Arial" w:cs="Arial"/>
          <w:lang w:val="en-BB"/>
        </w:rPr>
      </w:pPr>
      <w:r w:rsidRPr="00B51E6F">
        <w:rPr>
          <w:rFonts w:ascii="Arial" w:hAnsi="Arial" w:cs="Arial"/>
          <w:lang w:val="en-BB"/>
        </w:rPr>
        <w:t>Dividends and profits can be repatriated to non-resident shareholders through the authorised dealer banks in Bangladesh after completion of corporate, tax and audit documentation (BIDA, 2026b). Net cash dividend can be repatriated without the prior approval of Bangladesh Bank (Bangladesh Bank, 2025). The legal clearance is for a joint venture but lack of currency may slow down conversion.</w:t>
      </w:r>
      <w:r w:rsidR="005B4CFF" w:rsidRPr="00B51E6F">
        <w:rPr>
          <w:rFonts w:ascii="Arial" w:hAnsi="Arial" w:cs="Arial"/>
          <w:lang w:val="en-BB"/>
        </w:rPr>
        <w:t xml:space="preserve"> Starbucks should capitalise the pilot conservatively and reinvest early earnings rather than depend upon immediate repatriation. Overall, institutional risk is material but manageable through limited commitment, strict governance and conditional expansion.</w:t>
      </w:r>
    </w:p>
    <w:p w14:paraId="04A84548" w14:textId="77777777" w:rsidR="005B4CFF" w:rsidRPr="00B51E6F" w:rsidRDefault="005B4CFF" w:rsidP="0095526A">
      <w:pPr>
        <w:jc w:val="left"/>
        <w:rPr>
          <w:rFonts w:ascii="Arial" w:hAnsi="Arial" w:cs="Arial"/>
          <w:lang w:val="en-BB"/>
        </w:rPr>
      </w:pPr>
      <w:r w:rsidRPr="00B51E6F">
        <w:rPr>
          <w:rFonts w:ascii="Arial" w:hAnsi="Arial" w:cs="Arial"/>
          <w:lang w:val="en-BB"/>
        </w:rPr>
        <w:t>The institutional environment also affects Starbucks’ legitimacy. A local partner may improve access to property owners and public authorities, but embeddedness must not weaken global compliance. The venture should create board-level audit oversight, written approval routes for government contact and protection for employees reporting misconduct. These controls add cost and may slow decisions, yet weak control could compromise a globally visible brand.</w:t>
      </w:r>
    </w:p>
    <w:p w14:paraId="255305A9" w14:textId="7D0CFC6F" w:rsidR="005B4CFF" w:rsidRDefault="005B4CFF" w:rsidP="0095526A">
      <w:pPr>
        <w:jc w:val="left"/>
        <w:rPr>
          <w:rFonts w:ascii="Arial" w:hAnsi="Arial" w:cs="Arial"/>
          <w:lang w:val="en-BB"/>
        </w:rPr>
      </w:pPr>
      <w:r w:rsidRPr="00B51E6F">
        <w:rPr>
          <w:rFonts w:ascii="Arial" w:hAnsi="Arial" w:cs="Arial"/>
          <w:lang w:val="en-BB"/>
        </w:rPr>
        <w:t>Timing is equally important. Deferring indefinitely sacrifices learning, while committing too early may lock Starbucks into costly leases and imports. A pilot converts uncertainty into manageable experimentation. Leases should contain break clauses where possible, and investment tranches should follow confirmed approvals and supplies. This real-options approach treats flexibility as an asset: Starbucks purchases learning while preserving the right, rather than obligation, to expand.</w:t>
      </w:r>
    </w:p>
    <w:p w14:paraId="64DB6A81" w14:textId="77777777" w:rsidR="00B51E6F" w:rsidRPr="00B51E6F" w:rsidRDefault="00B51E6F" w:rsidP="0095526A">
      <w:pPr>
        <w:jc w:val="left"/>
        <w:rPr>
          <w:rFonts w:ascii="Arial" w:hAnsi="Arial" w:cs="Arial"/>
          <w:lang w:val="en-BB"/>
        </w:rPr>
      </w:pPr>
    </w:p>
    <w:p w14:paraId="4CC67479" w14:textId="2F7B3954" w:rsidR="005B4CFF" w:rsidRPr="00B51E6F" w:rsidRDefault="005B4CFF" w:rsidP="0095526A">
      <w:pPr>
        <w:jc w:val="left"/>
        <w:rPr>
          <w:rFonts w:ascii="Arial" w:hAnsi="Arial" w:cs="Arial"/>
          <w:lang w:val="en-BB"/>
        </w:rPr>
      </w:pPr>
      <w:r w:rsidRPr="00B51E6F">
        <w:rPr>
          <w:rFonts w:ascii="Arial" w:hAnsi="Arial" w:cs="Arial"/>
          <w:b/>
          <w:bCs/>
          <w:lang w:val="en-BB"/>
        </w:rPr>
        <w:t>3.2 Economic environment</w:t>
      </w:r>
    </w:p>
    <w:p w14:paraId="746F1D19"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Bangladesh offers long-term potential through population and urban concentration. Its population was approximately 175.7 million in 2025, while nominal GDP reached about US$456.3 billion (World Bank, 2026b). However, national scale exaggerates Starbucks’ addressable market. GDP per capita of approximately US$2,597 means international </w:t>
      </w:r>
      <w:r w:rsidRPr="00B51E6F">
        <w:rPr>
          <w:rFonts w:ascii="Arial" w:hAnsi="Arial" w:cs="Arial"/>
          <w:lang w:val="en-BB"/>
        </w:rPr>
        <w:lastRenderedPageBreak/>
        <w:t>premium pricing would be unaffordable for much of the population. The immediate segment is affluent residents, professionals, students, expatriates and visitors in Dhaka.</w:t>
      </w:r>
    </w:p>
    <w:p w14:paraId="65BC2B6F" w14:textId="77777777" w:rsidR="005B4CFF" w:rsidRPr="00B51E6F" w:rsidRDefault="005B4CFF" w:rsidP="0095526A">
      <w:pPr>
        <w:jc w:val="left"/>
        <w:rPr>
          <w:rFonts w:ascii="Arial" w:hAnsi="Arial" w:cs="Arial"/>
          <w:lang w:val="en-BB"/>
        </w:rPr>
      </w:pPr>
      <w:r w:rsidRPr="00B51E6F">
        <w:rPr>
          <w:rFonts w:ascii="Arial" w:hAnsi="Arial" w:cs="Arial"/>
          <w:lang w:val="en-BB"/>
        </w:rPr>
        <w:t>Urbanisation strengthens this opportunity. Approximately 42 per cent of the population was urban in 2025, while Dhaka is one of the world’s largest urban agglomerations (World Bank, 2026c; UN DESA, 2025). Density can support traffic, delivery and a clustered distribution model. It can also increase congestion, delivery time and staff commuting difficulty. Premium property in Gulshan, Banani and leading shopping centres may be expensive relative to local expenditure. Lower wages therefore do not automatically create a low-cost model because imported equipment, backup power, logistics and rent may offset savings.</w:t>
      </w:r>
    </w:p>
    <w:p w14:paraId="7EDB3C21" w14:textId="77777777" w:rsidR="005B4CFF" w:rsidRPr="00B51E6F" w:rsidRDefault="005B4CFF" w:rsidP="0095526A">
      <w:pPr>
        <w:jc w:val="left"/>
        <w:rPr>
          <w:rFonts w:ascii="Arial" w:hAnsi="Arial" w:cs="Arial"/>
          <w:lang w:val="en-BB"/>
        </w:rPr>
      </w:pPr>
      <w:r w:rsidRPr="00B51E6F">
        <w:rPr>
          <w:rFonts w:ascii="Arial" w:hAnsi="Arial" w:cs="Arial"/>
          <w:lang w:val="en-BB"/>
        </w:rPr>
        <w:t>A developing middle-income segment and preference for branded social spaces support speciality coffee. Existing cafés demonstrate willingness among some consumers to purchase coffee as an experience. Starbucks can differentiate through customisation, ambience, safety and digital convenience. Yet existing cafés also confirm competition. Novelty may generate opening queues without the repeat visits required for profitability. Pilot evaluation should prioritise repeat frequency rather than social-media attention.</w:t>
      </w:r>
    </w:p>
    <w:p w14:paraId="3B9EB307" w14:textId="77777777" w:rsidR="005B4CFF" w:rsidRPr="00B51E6F" w:rsidRDefault="005B4CFF" w:rsidP="0095526A">
      <w:pPr>
        <w:jc w:val="left"/>
        <w:rPr>
          <w:rFonts w:ascii="Arial" w:hAnsi="Arial" w:cs="Arial"/>
          <w:lang w:val="en-BB"/>
        </w:rPr>
      </w:pPr>
      <w:r w:rsidRPr="00B51E6F">
        <w:rPr>
          <w:rFonts w:ascii="Arial" w:hAnsi="Arial" w:cs="Arial"/>
          <w:lang w:val="en-BB"/>
        </w:rPr>
        <w:t>Macroeconomic conditions intensify uncertainty. The IMF reported growth slowing to 3.7 per cent in FY2025 and projected 4.7 per cent in FY2026, alongside inflation of approximately 8.9 per cent (IMF, 2026). The World Bank’s later update projected only 3.9 per cent growth (World Bank, 2026a). The disagreement illustrates forecast uncertainty and supports staged commitment. Inflation increases wages, rent, milk, bakery and distribution costs while weakening discretionary purchasing power. Price increases would narrow Starbucks’ segment; heavy discounting would weaken margins and positioning. Smaller sizes, bundles and tiered offerings are preferable.</w:t>
      </w:r>
    </w:p>
    <w:p w14:paraId="5246E2E4" w14:textId="77777777" w:rsidR="005B4CFF" w:rsidRPr="00B51E6F" w:rsidRDefault="005B4CFF" w:rsidP="0095526A">
      <w:pPr>
        <w:jc w:val="left"/>
        <w:rPr>
          <w:rFonts w:ascii="Arial" w:hAnsi="Arial" w:cs="Arial"/>
          <w:lang w:val="en-BB"/>
        </w:rPr>
      </w:pPr>
      <w:r w:rsidRPr="00B51E6F">
        <w:rPr>
          <w:rFonts w:ascii="Arial" w:hAnsi="Arial" w:cs="Arial"/>
          <w:lang w:val="en-BB"/>
        </w:rPr>
        <w:t>Foreign exchange is especially significant. Early operations would depend upon imported machines, parts, coffee and proprietary ingredients. Taka depreciation would increase landed costs, and currency shortages could interrupt supply. Although reserves were rebuilding and the exchange regime became more flexible, IMF analysis found buffers remained vulnerable (IMF, 2026). Starbucks should localise milk, bakery, packaging and selected ingredients where standards permit, while retaining control of core coffee. Localisation reduces currency exposure and strengthens legitimacy, but supplier development and auditing add cost.</w:t>
      </w:r>
    </w:p>
    <w:p w14:paraId="047B2C62" w14:textId="77777777" w:rsidR="005B4CFF" w:rsidRPr="00B51E6F" w:rsidRDefault="005B4CFF" w:rsidP="0095526A">
      <w:pPr>
        <w:jc w:val="left"/>
        <w:rPr>
          <w:rFonts w:ascii="Arial" w:hAnsi="Arial" w:cs="Arial"/>
          <w:lang w:val="en-BB"/>
        </w:rPr>
      </w:pPr>
      <w:r w:rsidRPr="00B51E6F">
        <w:rPr>
          <w:rFonts w:ascii="Arial" w:hAnsi="Arial" w:cs="Arial"/>
          <w:lang w:val="en-BB"/>
        </w:rPr>
        <w:t>India offers useful but limited learning. Tata’s local sourcing and institutional capabilities complement Starbucks’ knowledge, yet Bangladesh is not simply a smaller India. Its premium segment and supply economics differ. The partnership principle is transferable; Indian store formats, prices and expansion speed are not. Bangladesh is therefore economically attractive for a limited Dhaka experiment rather than a national rollout.</w:t>
      </w:r>
    </w:p>
    <w:p w14:paraId="04626021"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Demand forecasting should use scenarios rather than a single growth estimate. A base case could combine stable premium demand with high inflation; an upside case could assume </w:t>
      </w:r>
      <w:r w:rsidRPr="00B51E6F">
        <w:rPr>
          <w:rFonts w:ascii="Arial" w:hAnsi="Arial" w:cs="Arial"/>
          <w:lang w:val="en-BB"/>
        </w:rPr>
        <w:lastRenderedPageBreak/>
        <w:t>stronger incomes and coffee adoption; and a downside case should model renewed currency pressure and weaker consumption. A concept profitable only under optimistic traffic and exchange-rate assumptions would not justify entry.</w:t>
      </w:r>
    </w:p>
    <w:p w14:paraId="4D0E9220" w14:textId="6F4FBD2A" w:rsidR="005B4CFF" w:rsidRPr="00B51E6F" w:rsidRDefault="005B4CFF" w:rsidP="0095526A">
      <w:pPr>
        <w:jc w:val="left"/>
        <w:rPr>
          <w:rFonts w:ascii="Arial" w:hAnsi="Arial" w:cs="Arial"/>
          <w:lang w:val="en-BB"/>
        </w:rPr>
      </w:pPr>
      <w:r w:rsidRPr="00B51E6F">
        <w:rPr>
          <w:rFonts w:ascii="Arial" w:hAnsi="Arial" w:cs="Arial"/>
          <w:lang w:val="en-BB"/>
        </w:rPr>
        <w:t xml:space="preserve">Pricing must balance status and accessibility. </w:t>
      </w:r>
      <w:r w:rsidR="00AD1125" w:rsidRPr="00B51E6F">
        <w:rPr>
          <w:rFonts w:ascii="Arial" w:hAnsi="Arial" w:cs="Arial"/>
          <w:lang w:val="en-BB"/>
        </w:rPr>
        <w:t xml:space="preserve">Starbucks can command a premium, but if the gap is too big it becomes an occasional destination rather than a habit. Management should be testing elasticity and contribution margins, not just revenue. Local food and tea can be accessible entry points, proprietary coffee protects differentiation. </w:t>
      </w:r>
      <w:r w:rsidRPr="00B51E6F">
        <w:rPr>
          <w:rFonts w:ascii="Arial" w:hAnsi="Arial" w:cs="Arial"/>
          <w:lang w:val="en-BB"/>
        </w:rPr>
        <w:t>The objective is not to become the cheapest café but to turn curiosity into repeat consumption.</w:t>
      </w:r>
    </w:p>
    <w:p w14:paraId="4308C20C" w14:textId="77777777" w:rsidR="005B4CFF" w:rsidRDefault="005B4CFF" w:rsidP="0095526A">
      <w:pPr>
        <w:jc w:val="left"/>
        <w:rPr>
          <w:rFonts w:ascii="Arial" w:hAnsi="Arial" w:cs="Arial"/>
          <w:lang w:val="en-BB"/>
        </w:rPr>
      </w:pPr>
      <w:r w:rsidRPr="00B51E6F">
        <w:rPr>
          <w:rFonts w:ascii="Arial" w:hAnsi="Arial" w:cs="Arial"/>
          <w:lang w:val="en-BB"/>
        </w:rPr>
        <w:t>The labour market offers opportunity and obligation. Starbucks can recruit from a young urban workforce and transfer structured training. Yet turnover could reduce quality and increase costs. Predictable scheduling, progression and safe conditions may exceed local minimum practice but support the consistency required to justify premium prices. Human-resource capability is therefore part of location attractiveness, not an issue to address after entry.</w:t>
      </w:r>
    </w:p>
    <w:p w14:paraId="0498A880" w14:textId="77777777" w:rsidR="00B51E6F" w:rsidRPr="00B51E6F" w:rsidRDefault="00B51E6F" w:rsidP="0095526A">
      <w:pPr>
        <w:jc w:val="left"/>
        <w:rPr>
          <w:rFonts w:ascii="Arial" w:hAnsi="Arial" w:cs="Arial"/>
          <w:lang w:val="en-BB"/>
        </w:rPr>
      </w:pPr>
    </w:p>
    <w:p w14:paraId="420919D4" w14:textId="77777777" w:rsidR="005B4CFF" w:rsidRPr="00B51E6F" w:rsidRDefault="005B4CFF" w:rsidP="0095526A">
      <w:pPr>
        <w:jc w:val="left"/>
        <w:rPr>
          <w:rFonts w:ascii="Arial" w:hAnsi="Arial" w:cs="Arial"/>
          <w:lang w:val="en-BB"/>
        </w:rPr>
      </w:pPr>
      <w:r w:rsidRPr="00B51E6F">
        <w:rPr>
          <w:rFonts w:ascii="Arial" w:hAnsi="Arial" w:cs="Arial"/>
          <w:b/>
          <w:bCs/>
          <w:lang w:val="en-BB"/>
        </w:rPr>
        <w:t>3.3 Legal and regulatory environment</w:t>
      </w:r>
    </w:p>
    <w:p w14:paraId="7230C130" w14:textId="77777777" w:rsidR="005B4CFF" w:rsidRPr="00B51E6F" w:rsidRDefault="005B4CFF" w:rsidP="0095526A">
      <w:pPr>
        <w:jc w:val="left"/>
        <w:rPr>
          <w:rFonts w:ascii="Arial" w:hAnsi="Arial" w:cs="Arial"/>
          <w:lang w:val="en-BB"/>
        </w:rPr>
      </w:pPr>
      <w:r w:rsidRPr="00B51E6F">
        <w:rPr>
          <w:rFonts w:ascii="Arial" w:hAnsi="Arial" w:cs="Arial"/>
          <w:lang w:val="en-BB"/>
        </w:rPr>
        <w:t>Bangladesh accommodates wholly foreign-owned and joint-venture projects (BIDA, 2025). Starbucks could establish a subsidiary, but permission does not establish suitability. A joint venture would provide regulatory knowledge, property access and supply-chain resources while limiting exposure. Incorporation, tax registration, local approvals, food permissions and import registration involve several agencies. All approvals should be conditions precedent within the venture agreement.</w:t>
      </w:r>
    </w:p>
    <w:p w14:paraId="53705336" w14:textId="77777777" w:rsidR="005B4CFF" w:rsidRPr="00B51E6F" w:rsidRDefault="005B4CFF" w:rsidP="0095526A">
      <w:pPr>
        <w:jc w:val="left"/>
        <w:rPr>
          <w:rFonts w:ascii="Arial" w:hAnsi="Arial" w:cs="Arial"/>
          <w:lang w:val="en-BB"/>
        </w:rPr>
      </w:pPr>
      <w:r w:rsidRPr="00B51E6F">
        <w:rPr>
          <w:rFonts w:ascii="Arial" w:hAnsi="Arial" w:cs="Arial"/>
          <w:lang w:val="en-BB"/>
        </w:rPr>
        <w:t>Food regulation is central because Starbucks’ equity depends upon safety and consistency. Imported ingredients must comply with the Food Safety Act 2013 and Electronic Governance of Safe Food Import Regulations 2025 (Bangladesh Food Safety Authority, 2025a). Packaged products are subject to labelling and contaminant rules (Bangladesh Food Safety Authority, 2025b). These affect syrups, coffee, dairy alternatives, nutritional information and allergens. Starbucks’ supplier controls may create an advantage, but global procedures cannot substitute for local compliance.</w:t>
      </w:r>
    </w:p>
    <w:p w14:paraId="1735135D" w14:textId="77777777" w:rsidR="005B4CFF" w:rsidRPr="00B51E6F" w:rsidRDefault="005B4CFF" w:rsidP="0095526A">
      <w:pPr>
        <w:jc w:val="left"/>
        <w:rPr>
          <w:rFonts w:ascii="Arial" w:hAnsi="Arial" w:cs="Arial"/>
          <w:lang w:val="en-BB"/>
        </w:rPr>
      </w:pPr>
      <w:r w:rsidRPr="00B51E6F">
        <w:rPr>
          <w:rFonts w:ascii="Arial" w:hAnsi="Arial" w:cs="Arial"/>
          <w:lang w:val="en-BB"/>
        </w:rPr>
        <w:t>Customs treatment further affects viability. Bangladesh’s tariff schedule separately covers coffee, extracts, machinery and packaging (National Board of Revenue, 2025). Combined customs duty, advance tax and VAT may raise beverage costs. Management should assess total landed cost and obtain tariff classifications for important inputs before investment.</w:t>
      </w:r>
    </w:p>
    <w:p w14:paraId="6A349AF8"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Trademark protection is equally important. Starbucks’ name, siren, beverage terms and store identity are core ownership advantages. Bangladesh provides registration under the Trademarks Act 2009 through the Department of Patents, Designs and Trademarks (DPDT, 2026). Informal use of Starbucks-related names illustrates the practical risk of confusion. </w:t>
      </w:r>
      <w:r w:rsidRPr="00B51E6F">
        <w:rPr>
          <w:rFonts w:ascii="Arial" w:hAnsi="Arial" w:cs="Arial"/>
          <w:lang w:val="en-BB"/>
        </w:rPr>
        <w:lastRenderedPageBreak/>
        <w:t>Starbucks should register relevant word and device marks before announcing entry and assign enforcement duties to the venture.</w:t>
      </w:r>
    </w:p>
    <w:p w14:paraId="7F2A012B" w14:textId="77777777" w:rsidR="005B4CFF" w:rsidRPr="00B51E6F" w:rsidRDefault="005B4CFF" w:rsidP="0095526A">
      <w:pPr>
        <w:jc w:val="left"/>
        <w:rPr>
          <w:rFonts w:ascii="Arial" w:hAnsi="Arial" w:cs="Arial"/>
          <w:lang w:val="en-BB"/>
        </w:rPr>
      </w:pPr>
      <w:r w:rsidRPr="00B51E6F">
        <w:rPr>
          <w:rFonts w:ascii="Arial" w:hAnsi="Arial" w:cs="Arial"/>
          <w:lang w:val="en-BB"/>
        </w:rPr>
        <w:t>Approximately 91 per cent of Bangladesh’s population identified as Muslim in the 2022 census (US Department of State, 2023). Halal assurance is therefore commercially significant. BSTI has standards for food, additives and supply chains (Export Promotion Bureau, 2026). Starbucks should review flavourings, emulsifiers, bakery ingredients and processing aids rather than assume drinks are automatically acceptable. Credible certification would reduce reputational risk.</w:t>
      </w:r>
    </w:p>
    <w:p w14:paraId="28F2E938" w14:textId="77777777" w:rsidR="0095293B" w:rsidRPr="00B51E6F" w:rsidRDefault="005B4CFF" w:rsidP="0095293B">
      <w:pPr>
        <w:jc w:val="left"/>
        <w:rPr>
          <w:rFonts w:ascii="Arial" w:hAnsi="Arial" w:cs="Arial"/>
          <w:lang w:val="en-BB"/>
        </w:rPr>
      </w:pPr>
      <w:r w:rsidRPr="00B51E6F">
        <w:rPr>
          <w:rFonts w:ascii="Arial" w:hAnsi="Arial" w:cs="Arial"/>
          <w:lang w:val="en-BB"/>
        </w:rPr>
        <w:t xml:space="preserve">Formal employment, staff development and safe working conditions can also differentiate Starbucks. Low wages should not be viewed only as a cost advantage. </w:t>
      </w:r>
      <w:r w:rsidR="0095293B" w:rsidRPr="00B51E6F">
        <w:rPr>
          <w:rFonts w:ascii="Arial" w:hAnsi="Arial" w:cs="Arial"/>
          <w:lang w:val="en-BB"/>
        </w:rPr>
        <w:t>Above market pay, training and transparent progression may improve retention and service. To make a digital version of loyalty work, the handling of payment and personal data would have to be carefully managed. Data collection should be limited to operational necessity until local legal assessment confirms appropriate transfers and controls.</w:t>
      </w:r>
    </w:p>
    <w:p w14:paraId="09E9C225" w14:textId="77777777" w:rsidR="0095293B" w:rsidRPr="00B51E6F" w:rsidRDefault="0095293B" w:rsidP="0095293B">
      <w:pPr>
        <w:jc w:val="left"/>
        <w:rPr>
          <w:rFonts w:ascii="Arial" w:hAnsi="Arial" w:cs="Arial"/>
          <w:lang w:val="en-BB"/>
        </w:rPr>
      </w:pPr>
    </w:p>
    <w:p w14:paraId="170703AD" w14:textId="77777777" w:rsidR="00B36655" w:rsidRPr="00B51E6F" w:rsidRDefault="0095293B" w:rsidP="00B36655">
      <w:pPr>
        <w:jc w:val="left"/>
        <w:rPr>
          <w:rFonts w:ascii="Arial" w:hAnsi="Arial" w:cs="Arial"/>
          <w:lang w:val="en-BB"/>
        </w:rPr>
      </w:pPr>
      <w:r w:rsidRPr="00B51E6F">
        <w:rPr>
          <w:rFonts w:ascii="Arial" w:hAnsi="Arial" w:cs="Arial"/>
          <w:lang w:val="en-BB"/>
        </w:rPr>
        <w:t>Store design should be shaped by environmental expectations. Starbucks’ sustainability claims could be undermined by disposable cups, imported packaging and energy-hungry equipment</w:t>
      </w:r>
      <w:r w:rsidR="00A76B67" w:rsidRPr="00B51E6F">
        <w:rPr>
          <w:rFonts w:ascii="Arial" w:hAnsi="Arial" w:cs="Arial"/>
          <w:lang w:val="en-BB"/>
        </w:rPr>
        <w:t>,</w:t>
      </w:r>
      <w:r w:rsidR="005B4CFF" w:rsidRPr="00B51E6F">
        <w:rPr>
          <w:rFonts w:ascii="Arial" w:hAnsi="Arial" w:cs="Arial"/>
          <w:lang w:val="en-BB"/>
        </w:rPr>
        <w:t xml:space="preserve"> </w:t>
      </w:r>
      <w:r w:rsidR="00B36655" w:rsidRPr="00B51E6F">
        <w:rPr>
          <w:rFonts w:ascii="Arial" w:hAnsi="Arial" w:cs="Arial"/>
          <w:lang w:val="en-BB"/>
        </w:rPr>
        <w:t>Weak standards would create reputational inconsistency if domestic rules are less demanding than the UK’s requirements. Evaluate the venture for incentives for reusable cups, recyclable packaging, waste contractors that are responsible and efficient equipment.</w:t>
      </w:r>
    </w:p>
    <w:p w14:paraId="6DEB2420" w14:textId="73E73732" w:rsidR="005B4CFF" w:rsidRPr="00B51E6F" w:rsidRDefault="005B4CFF" w:rsidP="0095293B">
      <w:pPr>
        <w:jc w:val="left"/>
        <w:rPr>
          <w:rFonts w:ascii="Arial" w:hAnsi="Arial" w:cs="Arial"/>
          <w:lang w:val="en-BB"/>
        </w:rPr>
      </w:pPr>
      <w:r w:rsidRPr="00B51E6F">
        <w:rPr>
          <w:rFonts w:ascii="Arial" w:hAnsi="Arial" w:cs="Arial"/>
          <w:lang w:val="en-BB"/>
        </w:rPr>
        <w:t>These measures may raise initial investment but can reduce long-run cost and protect the global promise attached to the brand.</w:t>
      </w:r>
    </w:p>
    <w:p w14:paraId="04F21A0F" w14:textId="4443B768" w:rsidR="00B1038B" w:rsidRDefault="005B4CFF" w:rsidP="0095526A">
      <w:pPr>
        <w:jc w:val="left"/>
        <w:rPr>
          <w:rFonts w:ascii="Arial" w:hAnsi="Arial" w:cs="Arial"/>
          <w:lang w:val="en-BB"/>
        </w:rPr>
      </w:pPr>
      <w:r w:rsidRPr="00B51E6F">
        <w:rPr>
          <w:rFonts w:ascii="Arial" w:hAnsi="Arial" w:cs="Arial"/>
          <w:lang w:val="en-BB"/>
        </w:rPr>
        <w:t>Contract design is also crucial. The joint-venture agreement should define intellectual-property use, territorial exclusivity, supplier approval, audit access, data ownership, dispute resolution and termination. It should address what happens if currency controls prevent royalties or essential imports. Clear deadlock and buyout mechanisms are particularly important in an equal partnership. The legal environment therefore shapes both compliance and the allocation of control.</w:t>
      </w:r>
    </w:p>
    <w:p w14:paraId="58FCCE65" w14:textId="77777777" w:rsidR="00B51E6F" w:rsidRPr="00B51E6F" w:rsidRDefault="00B51E6F" w:rsidP="0095526A">
      <w:pPr>
        <w:jc w:val="left"/>
        <w:rPr>
          <w:rFonts w:ascii="Arial" w:hAnsi="Arial" w:cs="Arial"/>
          <w:lang w:val="en-BB"/>
        </w:rPr>
      </w:pPr>
    </w:p>
    <w:p w14:paraId="53277151" w14:textId="6A2768F3" w:rsidR="005B4CFF" w:rsidRPr="00B51E6F" w:rsidRDefault="005B4CFF" w:rsidP="0095526A">
      <w:pPr>
        <w:jc w:val="left"/>
        <w:rPr>
          <w:rFonts w:ascii="Arial" w:hAnsi="Arial" w:cs="Arial"/>
          <w:lang w:val="en-BB"/>
        </w:rPr>
      </w:pPr>
      <w:r w:rsidRPr="00B51E6F">
        <w:rPr>
          <w:rFonts w:ascii="Arial" w:hAnsi="Arial" w:cs="Arial"/>
          <w:b/>
          <w:bCs/>
          <w:lang w:val="en-BB"/>
        </w:rPr>
        <w:t>3.4 Cultural and consumer environment</w:t>
      </w:r>
    </w:p>
    <w:p w14:paraId="2B331B0D" w14:textId="77777777" w:rsidR="005B4CFF" w:rsidRPr="00B51E6F" w:rsidRDefault="005B4CFF" w:rsidP="0095526A">
      <w:pPr>
        <w:jc w:val="left"/>
        <w:rPr>
          <w:rFonts w:ascii="Arial" w:hAnsi="Arial" w:cs="Arial"/>
          <w:lang w:val="en-BB"/>
        </w:rPr>
      </w:pPr>
      <w:r w:rsidRPr="00B51E6F">
        <w:rPr>
          <w:rFonts w:ascii="Arial" w:hAnsi="Arial" w:cs="Arial"/>
          <w:lang w:val="en-BB"/>
        </w:rPr>
        <w:t>Bangladesh presents a central cultural tension: a young, urban market but deeply established tea consumption. An industry account suggested a tea-to-coffee ratio near 90:1 while noting increasing youth interest in coffee (Karim, 2025). The estimate is indicative rather than definitive, but it demonstrates why population cannot be equated with coffee demand.</w:t>
      </w:r>
    </w:p>
    <w:p w14:paraId="62A18767" w14:textId="77777777" w:rsidR="005B4CFF" w:rsidRPr="00B51E6F" w:rsidRDefault="005B4CFF" w:rsidP="0095526A">
      <w:pPr>
        <w:jc w:val="left"/>
        <w:rPr>
          <w:rFonts w:ascii="Arial" w:hAnsi="Arial" w:cs="Arial"/>
          <w:lang w:val="en-BB"/>
        </w:rPr>
      </w:pPr>
      <w:r w:rsidRPr="00B51E6F">
        <w:rPr>
          <w:rFonts w:ascii="Arial" w:hAnsi="Arial" w:cs="Arial"/>
          <w:lang w:val="en-BB"/>
        </w:rPr>
        <w:lastRenderedPageBreak/>
        <w:t>Starbucks should position coffee as an additional premium social experience, not attempt to replace tea. High-quality tea drinks, familiar flavours, smaller sizes and local food can provide responsiveness without abandoning espresso and the coffeehouse proposition. Excessive adaptation could make Starbucks a generic café, while insufficient adaptation would weaken relevance. The appropriate balance retains brand-defining coffee, design and service while localising menu edges and price architecture.</w:t>
      </w:r>
    </w:p>
    <w:p w14:paraId="69D477C5" w14:textId="77777777" w:rsidR="005B4CFF" w:rsidRPr="00B51E6F" w:rsidRDefault="005B4CFF" w:rsidP="0095526A">
      <w:pPr>
        <w:jc w:val="left"/>
        <w:rPr>
          <w:rFonts w:ascii="Arial" w:hAnsi="Arial" w:cs="Arial"/>
          <w:lang w:val="en-BB"/>
        </w:rPr>
      </w:pPr>
      <w:r w:rsidRPr="00B51E6F">
        <w:rPr>
          <w:rFonts w:ascii="Arial" w:hAnsi="Arial" w:cs="Arial"/>
          <w:lang w:val="en-BB"/>
        </w:rPr>
        <w:t>The “third place” proposition may appeal to students, professionals and groups seeking a clean, secure meeting environment. Internet access, charging, group seating and delivery may be as important as beverages. Consumers may purchase an environment and international symbolism as well as coffee. Local cafés can imitate design but not easily reproduce Starbucks’ reputation and operating system.</w:t>
      </w:r>
    </w:p>
    <w:p w14:paraId="02E6C530" w14:textId="77777777" w:rsidR="00B1038B" w:rsidRPr="00B51E6F" w:rsidRDefault="005B4CFF" w:rsidP="0095526A">
      <w:pPr>
        <w:jc w:val="left"/>
        <w:rPr>
          <w:rFonts w:ascii="Arial" w:hAnsi="Arial" w:cs="Arial"/>
          <w:lang w:val="en-BB"/>
        </w:rPr>
      </w:pPr>
      <w:r w:rsidRPr="00B51E6F">
        <w:rPr>
          <w:rFonts w:ascii="Arial" w:hAnsi="Arial" w:cs="Arial"/>
          <w:lang w:val="en-BB"/>
        </w:rPr>
        <w:t xml:space="preserve">Religious and social expectations demand care. </w:t>
      </w:r>
      <w:r w:rsidR="00DE0CE2" w:rsidRPr="00B51E6F">
        <w:rPr>
          <w:rFonts w:ascii="Arial" w:hAnsi="Arial" w:cs="Arial"/>
          <w:lang w:val="en-BB"/>
        </w:rPr>
        <w:t>The products must be halal-assured and communications must avoid culturally insensitive imagery. Ramadan would shift demand to the evening. Iftar bundles or date-based drinks could make sense, if made locally, as opposed to superficial use. Shared and spacious products and seats might be preferred for family or group events. Bangla-English bilingual menu and allergen information will be improved to ensure accessibility without compromising the international identity.</w:t>
      </w:r>
    </w:p>
    <w:p w14:paraId="055D7EDF" w14:textId="1994F77A" w:rsidR="005B4CFF" w:rsidRPr="00B51E6F" w:rsidRDefault="005B4CFF" w:rsidP="0095526A">
      <w:pPr>
        <w:jc w:val="left"/>
        <w:rPr>
          <w:rFonts w:ascii="Arial" w:hAnsi="Arial" w:cs="Arial"/>
          <w:lang w:val="en-BB"/>
        </w:rPr>
      </w:pPr>
      <w:r w:rsidRPr="00B51E6F">
        <w:rPr>
          <w:rFonts w:ascii="Arial" w:hAnsi="Arial" w:cs="Arial"/>
          <w:lang w:val="en-BB"/>
        </w:rPr>
        <w:t>Bangladeshi consumers are not homogeneous. Affluent professionals, students, families and expatriates differ in occasions and willingness to pay. Starbucks should conduct neighbourhood-level research on prices, frequency and attitudes. A flagship may attract novelty visits but premium pricing could create an elitist image. Tiered products should broaden access without continuous discounting.</w:t>
      </w:r>
    </w:p>
    <w:p w14:paraId="6ED8F0FF" w14:textId="77777777" w:rsidR="005B4CFF" w:rsidRPr="00B51E6F" w:rsidRDefault="005B4CFF" w:rsidP="0095526A">
      <w:pPr>
        <w:jc w:val="left"/>
        <w:rPr>
          <w:rFonts w:ascii="Arial" w:hAnsi="Arial" w:cs="Arial"/>
          <w:lang w:val="en-BB"/>
        </w:rPr>
      </w:pPr>
      <w:r w:rsidRPr="00B51E6F">
        <w:rPr>
          <w:rFonts w:ascii="Arial" w:hAnsi="Arial" w:cs="Arial"/>
          <w:lang w:val="en-BB"/>
        </w:rPr>
        <w:t>Research should distinguish stated aspiration from observed behaviour. Consumers may express enthusiasm for a prestigious global brand but buy infrequently when confronted with actual prices. Surveys should therefore be combined with pop-up trials, simulated menus and transaction-based testing. Starbucks should examine weekday and weekend demand, individual and group visits, and the relationship between dwell time and spending.</w:t>
      </w:r>
    </w:p>
    <w:p w14:paraId="13A26B7D" w14:textId="77777777" w:rsidR="005B4CFF" w:rsidRDefault="005B4CFF" w:rsidP="0095526A">
      <w:pPr>
        <w:jc w:val="left"/>
        <w:rPr>
          <w:rFonts w:ascii="Arial" w:hAnsi="Arial" w:cs="Arial"/>
          <w:lang w:val="en-BB"/>
        </w:rPr>
      </w:pPr>
      <w:r w:rsidRPr="00B51E6F">
        <w:rPr>
          <w:rFonts w:ascii="Arial" w:hAnsi="Arial" w:cs="Arial"/>
          <w:lang w:val="en-BB"/>
        </w:rPr>
        <w:t>Local responsiveness should remain bounded. Every adaptation should pass three tests: whether customers value it, whether it can be delivered consistently and whether it remains recognisably Starbucks. This protects the ownership advantage supporting international entry. The goal is neither complete standardisation nor unrestricted localisation, but selective adaptation supported by evidence.</w:t>
      </w:r>
    </w:p>
    <w:p w14:paraId="548BCBEF" w14:textId="77777777" w:rsidR="00B51E6F" w:rsidRPr="00B51E6F" w:rsidRDefault="00B51E6F" w:rsidP="0095526A">
      <w:pPr>
        <w:jc w:val="left"/>
        <w:rPr>
          <w:rFonts w:ascii="Arial" w:hAnsi="Arial" w:cs="Arial"/>
          <w:lang w:val="en-BB"/>
        </w:rPr>
      </w:pPr>
    </w:p>
    <w:p w14:paraId="59024FD5" w14:textId="77777777" w:rsidR="005B4CFF" w:rsidRPr="00B51E6F" w:rsidRDefault="005B4CFF" w:rsidP="0095526A">
      <w:pPr>
        <w:jc w:val="left"/>
        <w:rPr>
          <w:rFonts w:ascii="Arial" w:hAnsi="Arial" w:cs="Arial"/>
          <w:lang w:val="en-BB"/>
        </w:rPr>
      </w:pPr>
      <w:r w:rsidRPr="00B51E6F">
        <w:rPr>
          <w:rFonts w:ascii="Arial" w:hAnsi="Arial" w:cs="Arial"/>
          <w:b/>
          <w:bCs/>
          <w:lang w:val="en-BB"/>
        </w:rPr>
        <w:t>3.5 Competitive environment</w:t>
      </w:r>
    </w:p>
    <w:p w14:paraId="48BD8BC6"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Starbucks would enter an established café market. Local speciality operators, independents, hotels and bakery-cafés compete for affluent customers, while tea stalls and home </w:t>
      </w:r>
      <w:r w:rsidRPr="00B51E6F">
        <w:rPr>
          <w:rFonts w:ascii="Arial" w:hAnsi="Arial" w:cs="Arial"/>
          <w:lang w:val="en-BB"/>
        </w:rPr>
        <w:lastRenderedPageBreak/>
        <w:t>consumption provide cheaper substitutes. Recognition can generate trial, but local rivals possess stronger knowledge of tastes, sites and price expectations.</w:t>
      </w:r>
    </w:p>
    <w:p w14:paraId="2AA80C43" w14:textId="77777777" w:rsidR="005B4CFF" w:rsidRDefault="005B4CFF" w:rsidP="0095526A">
      <w:pPr>
        <w:jc w:val="left"/>
        <w:rPr>
          <w:rFonts w:ascii="Arial" w:hAnsi="Arial" w:cs="Arial"/>
          <w:lang w:val="en-BB"/>
        </w:rPr>
      </w:pPr>
      <w:r w:rsidRPr="00B51E6F">
        <w:rPr>
          <w:rFonts w:ascii="Arial" w:hAnsi="Arial" w:cs="Arial"/>
          <w:lang w:val="en-BB"/>
        </w:rPr>
        <w:t>Competitive advantage must come from execution rather than novelty: reliable coffee, customisation, trained staff, safety, digital ordering and consistent ambience. Imported inputs could nevertheless make Starbucks structurally more expensive. Competitor analysis must therefore examine beverage price, rent, seating duration, delivery commission and visit frequency. A controlled cluster is preferable to isolated stores because training and distribution can be shared, but excessive density could cannibalise an unproven market.</w:t>
      </w:r>
    </w:p>
    <w:p w14:paraId="41AE650D" w14:textId="77777777" w:rsidR="00B51E6F" w:rsidRPr="00B51E6F" w:rsidRDefault="00B51E6F" w:rsidP="0095526A">
      <w:pPr>
        <w:jc w:val="left"/>
        <w:rPr>
          <w:rFonts w:ascii="Arial" w:hAnsi="Arial" w:cs="Arial"/>
          <w:lang w:val="en-BB"/>
        </w:rPr>
      </w:pPr>
    </w:p>
    <w:p w14:paraId="648F9EED" w14:textId="77777777" w:rsidR="005B4CFF" w:rsidRPr="00B51E6F" w:rsidRDefault="005B4CFF" w:rsidP="0095526A">
      <w:pPr>
        <w:jc w:val="left"/>
        <w:rPr>
          <w:rFonts w:ascii="Arial" w:hAnsi="Arial" w:cs="Arial"/>
          <w:lang w:val="en-BB"/>
        </w:rPr>
      </w:pPr>
      <w:r w:rsidRPr="00B51E6F">
        <w:rPr>
          <w:rFonts w:ascii="Arial" w:hAnsi="Arial" w:cs="Arial"/>
          <w:b/>
          <w:bCs/>
          <w:lang w:val="en-BB"/>
        </w:rPr>
        <w:t>Table 1: Critical synthesis of Bangladesh’s market environment</w:t>
      </w:r>
    </w:p>
    <w:tbl>
      <w:tblPr>
        <w:tblW w:w="936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1350"/>
        <w:gridCol w:w="2500"/>
        <w:gridCol w:w="2720"/>
        <w:gridCol w:w="2790"/>
      </w:tblGrid>
      <w:tr w:rsidR="005B4CFF" w:rsidRPr="00B51E6F" w14:paraId="259F0098" w14:textId="77777777" w:rsidTr="008D0714">
        <w:tc>
          <w:tcPr>
            <w:tcW w:w="1350"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90" w:type="dxa"/>
              <w:left w:w="108" w:type="dxa"/>
              <w:bottom w:w="90" w:type="dxa"/>
              <w:right w:w="108" w:type="dxa"/>
            </w:tcMar>
            <w:vAlign w:val="center"/>
            <w:hideMark/>
          </w:tcPr>
          <w:p w14:paraId="74D0E8E0" w14:textId="77777777" w:rsidR="005B4CFF" w:rsidRPr="00B51E6F" w:rsidRDefault="005B4CFF" w:rsidP="0095526A">
            <w:pPr>
              <w:jc w:val="left"/>
              <w:rPr>
                <w:rFonts w:ascii="Arial" w:hAnsi="Arial" w:cs="Arial"/>
                <w:lang w:val="en-BB"/>
              </w:rPr>
            </w:pPr>
            <w:r w:rsidRPr="00B51E6F">
              <w:rPr>
                <w:rFonts w:ascii="Arial" w:hAnsi="Arial" w:cs="Arial"/>
                <w:b/>
                <w:bCs/>
                <w:lang w:val="en-BB"/>
              </w:rPr>
              <w:t>Dimension</w:t>
            </w:r>
          </w:p>
        </w:tc>
        <w:tc>
          <w:tcPr>
            <w:tcW w:w="2500"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90" w:type="dxa"/>
              <w:left w:w="108" w:type="dxa"/>
              <w:bottom w:w="90" w:type="dxa"/>
              <w:right w:w="108" w:type="dxa"/>
            </w:tcMar>
            <w:vAlign w:val="center"/>
            <w:hideMark/>
          </w:tcPr>
          <w:p w14:paraId="0D82C01B" w14:textId="77777777" w:rsidR="005B4CFF" w:rsidRPr="00B51E6F" w:rsidRDefault="005B4CFF" w:rsidP="0095526A">
            <w:pPr>
              <w:jc w:val="left"/>
              <w:rPr>
                <w:rFonts w:ascii="Arial" w:hAnsi="Arial" w:cs="Arial"/>
                <w:lang w:val="en-BB"/>
              </w:rPr>
            </w:pPr>
            <w:r w:rsidRPr="00B51E6F">
              <w:rPr>
                <w:rFonts w:ascii="Arial" w:hAnsi="Arial" w:cs="Arial"/>
                <w:b/>
                <w:bCs/>
                <w:lang w:val="en-BB"/>
              </w:rPr>
              <w:t>Opportunity</w:t>
            </w:r>
          </w:p>
        </w:tc>
        <w:tc>
          <w:tcPr>
            <w:tcW w:w="2720"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90" w:type="dxa"/>
              <w:left w:w="108" w:type="dxa"/>
              <w:bottom w:w="90" w:type="dxa"/>
              <w:right w:w="108" w:type="dxa"/>
            </w:tcMar>
            <w:vAlign w:val="center"/>
            <w:hideMark/>
          </w:tcPr>
          <w:p w14:paraId="6C10807B" w14:textId="77777777" w:rsidR="005B4CFF" w:rsidRPr="00B51E6F" w:rsidRDefault="005B4CFF" w:rsidP="0095526A">
            <w:pPr>
              <w:jc w:val="left"/>
              <w:rPr>
                <w:rFonts w:ascii="Arial" w:hAnsi="Arial" w:cs="Arial"/>
                <w:lang w:val="en-BB"/>
              </w:rPr>
            </w:pPr>
            <w:r w:rsidRPr="00B51E6F">
              <w:rPr>
                <w:rFonts w:ascii="Arial" w:hAnsi="Arial" w:cs="Arial"/>
                <w:b/>
                <w:bCs/>
                <w:lang w:val="en-BB"/>
              </w:rPr>
              <w:t>Material risk</w:t>
            </w:r>
          </w:p>
        </w:tc>
        <w:tc>
          <w:tcPr>
            <w:tcW w:w="2790"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90" w:type="dxa"/>
              <w:left w:w="108" w:type="dxa"/>
              <w:bottom w:w="90" w:type="dxa"/>
              <w:right w:w="108" w:type="dxa"/>
            </w:tcMar>
            <w:vAlign w:val="center"/>
            <w:hideMark/>
          </w:tcPr>
          <w:p w14:paraId="501DE31F" w14:textId="77777777" w:rsidR="005B4CFF" w:rsidRPr="00B51E6F" w:rsidRDefault="005B4CFF" w:rsidP="0095526A">
            <w:pPr>
              <w:jc w:val="left"/>
              <w:rPr>
                <w:rFonts w:ascii="Arial" w:hAnsi="Arial" w:cs="Arial"/>
                <w:lang w:val="en-BB"/>
              </w:rPr>
            </w:pPr>
            <w:r w:rsidRPr="00B51E6F">
              <w:rPr>
                <w:rFonts w:ascii="Arial" w:hAnsi="Arial" w:cs="Arial"/>
                <w:b/>
                <w:bCs/>
                <w:lang w:val="en-BB"/>
              </w:rPr>
              <w:t>Strategic implication</w:t>
            </w:r>
          </w:p>
        </w:tc>
      </w:tr>
      <w:tr w:rsidR="005B4CFF" w:rsidRPr="00B51E6F" w14:paraId="65D979FA" w14:textId="77777777" w:rsidTr="008D0714">
        <w:tc>
          <w:tcPr>
            <w:tcW w:w="135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5FE68303" w14:textId="77777777" w:rsidR="005B4CFF" w:rsidRPr="00B51E6F" w:rsidRDefault="005B4CFF" w:rsidP="0095526A">
            <w:pPr>
              <w:jc w:val="left"/>
              <w:rPr>
                <w:rFonts w:ascii="Arial" w:hAnsi="Arial" w:cs="Arial"/>
                <w:lang w:val="en-BB"/>
              </w:rPr>
            </w:pPr>
            <w:r w:rsidRPr="00B51E6F">
              <w:rPr>
                <w:rFonts w:ascii="Arial" w:hAnsi="Arial" w:cs="Arial"/>
                <w:lang w:val="en-BB"/>
              </w:rPr>
              <w:t>Political / institutional</w:t>
            </w:r>
          </w:p>
        </w:tc>
        <w:tc>
          <w:tcPr>
            <w:tcW w:w="250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293CE1FC" w14:textId="77777777" w:rsidR="005B4CFF" w:rsidRPr="00B51E6F" w:rsidRDefault="005B4CFF" w:rsidP="0095526A">
            <w:pPr>
              <w:jc w:val="left"/>
              <w:rPr>
                <w:rFonts w:ascii="Arial" w:hAnsi="Arial" w:cs="Arial"/>
                <w:lang w:val="en-BB"/>
              </w:rPr>
            </w:pPr>
            <w:r w:rsidRPr="00B51E6F">
              <w:rPr>
                <w:rFonts w:ascii="Arial" w:hAnsi="Arial" w:cs="Arial"/>
                <w:lang w:val="en-BB"/>
              </w:rPr>
              <w:t>Investment reform and formal openness to joint ventures.</w:t>
            </w:r>
          </w:p>
        </w:tc>
        <w:tc>
          <w:tcPr>
            <w:tcW w:w="272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1FB6367F" w14:textId="77777777" w:rsidR="005B4CFF" w:rsidRPr="00B51E6F" w:rsidRDefault="005B4CFF" w:rsidP="0095526A">
            <w:pPr>
              <w:jc w:val="left"/>
              <w:rPr>
                <w:rFonts w:ascii="Arial" w:hAnsi="Arial" w:cs="Arial"/>
                <w:lang w:val="en-BB"/>
              </w:rPr>
            </w:pPr>
            <w:r w:rsidRPr="00B51E6F">
              <w:rPr>
                <w:rFonts w:ascii="Arial" w:hAnsi="Arial" w:cs="Arial"/>
                <w:lang w:val="en-BB"/>
              </w:rPr>
              <w:t>Policy uncertainty, administrative delay and foreign-exchange availability.</w:t>
            </w:r>
          </w:p>
        </w:tc>
        <w:tc>
          <w:tcPr>
            <w:tcW w:w="279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2C557796" w14:textId="77777777" w:rsidR="005B4CFF" w:rsidRPr="00B51E6F" w:rsidRDefault="005B4CFF" w:rsidP="0095526A">
            <w:pPr>
              <w:jc w:val="left"/>
              <w:rPr>
                <w:rFonts w:ascii="Arial" w:hAnsi="Arial" w:cs="Arial"/>
                <w:lang w:val="en-BB"/>
              </w:rPr>
            </w:pPr>
            <w:r w:rsidRPr="00B51E6F">
              <w:rPr>
                <w:rFonts w:ascii="Arial" w:hAnsi="Arial" w:cs="Arial"/>
                <w:lang w:val="en-BB"/>
              </w:rPr>
              <w:t>Use a locally embedded partner, staged capital commitments and compliance-led governance.</w:t>
            </w:r>
          </w:p>
        </w:tc>
      </w:tr>
      <w:tr w:rsidR="005B4CFF" w:rsidRPr="00B51E6F" w14:paraId="53F5965C" w14:textId="77777777" w:rsidTr="008D0714">
        <w:tc>
          <w:tcPr>
            <w:tcW w:w="135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63294668" w14:textId="77777777" w:rsidR="005B4CFF" w:rsidRPr="00B51E6F" w:rsidRDefault="005B4CFF" w:rsidP="0095526A">
            <w:pPr>
              <w:jc w:val="left"/>
              <w:rPr>
                <w:rFonts w:ascii="Arial" w:hAnsi="Arial" w:cs="Arial"/>
                <w:lang w:val="en-BB"/>
              </w:rPr>
            </w:pPr>
            <w:r w:rsidRPr="00B51E6F">
              <w:rPr>
                <w:rFonts w:ascii="Arial" w:hAnsi="Arial" w:cs="Arial"/>
                <w:lang w:val="en-BB"/>
              </w:rPr>
              <w:t>Economic</w:t>
            </w:r>
          </w:p>
        </w:tc>
        <w:tc>
          <w:tcPr>
            <w:tcW w:w="250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417EF4C6" w14:textId="77777777" w:rsidR="005B4CFF" w:rsidRPr="00B51E6F" w:rsidRDefault="005B4CFF" w:rsidP="0095526A">
            <w:pPr>
              <w:jc w:val="left"/>
              <w:rPr>
                <w:rFonts w:ascii="Arial" w:hAnsi="Arial" w:cs="Arial"/>
                <w:lang w:val="en-BB"/>
              </w:rPr>
            </w:pPr>
            <w:r w:rsidRPr="00B51E6F">
              <w:rPr>
                <w:rFonts w:ascii="Arial" w:hAnsi="Arial" w:cs="Arial"/>
                <w:lang w:val="en-BB"/>
              </w:rPr>
              <w:t>Large, dense urban market and an emerging premium consumer segment.</w:t>
            </w:r>
          </w:p>
        </w:tc>
        <w:tc>
          <w:tcPr>
            <w:tcW w:w="272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3E812679" w14:textId="77777777" w:rsidR="005B4CFF" w:rsidRPr="00B51E6F" w:rsidRDefault="005B4CFF" w:rsidP="0095526A">
            <w:pPr>
              <w:jc w:val="left"/>
              <w:rPr>
                <w:rFonts w:ascii="Arial" w:hAnsi="Arial" w:cs="Arial"/>
                <w:lang w:val="en-BB"/>
              </w:rPr>
            </w:pPr>
            <w:r w:rsidRPr="00B51E6F">
              <w:rPr>
                <w:rFonts w:ascii="Arial" w:hAnsi="Arial" w:cs="Arial"/>
                <w:lang w:val="en-BB"/>
              </w:rPr>
              <w:t>Low average income, inflation, currency depreciation and costly imported inputs.</w:t>
            </w:r>
          </w:p>
        </w:tc>
        <w:tc>
          <w:tcPr>
            <w:tcW w:w="279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7BADC1ED" w14:textId="77777777" w:rsidR="005B4CFF" w:rsidRPr="00B51E6F" w:rsidRDefault="005B4CFF" w:rsidP="0095526A">
            <w:pPr>
              <w:jc w:val="left"/>
              <w:rPr>
                <w:rFonts w:ascii="Arial" w:hAnsi="Arial" w:cs="Arial"/>
                <w:lang w:val="en-BB"/>
              </w:rPr>
            </w:pPr>
            <w:r w:rsidRPr="00B51E6F">
              <w:rPr>
                <w:rFonts w:ascii="Arial" w:hAnsi="Arial" w:cs="Arial"/>
                <w:lang w:val="en-BB"/>
              </w:rPr>
              <w:t>Pilot in affluent Dhaka clusters; test price elasticity and localise non-core inputs.</w:t>
            </w:r>
          </w:p>
        </w:tc>
      </w:tr>
      <w:tr w:rsidR="005B4CFF" w:rsidRPr="00B51E6F" w14:paraId="65DB8477" w14:textId="77777777" w:rsidTr="008D0714">
        <w:tc>
          <w:tcPr>
            <w:tcW w:w="135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0F962B9B" w14:textId="77777777" w:rsidR="005B4CFF" w:rsidRPr="00B51E6F" w:rsidRDefault="005B4CFF" w:rsidP="0095526A">
            <w:pPr>
              <w:jc w:val="left"/>
              <w:rPr>
                <w:rFonts w:ascii="Arial" w:hAnsi="Arial" w:cs="Arial"/>
                <w:lang w:val="en-BB"/>
              </w:rPr>
            </w:pPr>
            <w:r w:rsidRPr="00B51E6F">
              <w:rPr>
                <w:rFonts w:ascii="Arial" w:hAnsi="Arial" w:cs="Arial"/>
                <w:lang w:val="en-BB"/>
              </w:rPr>
              <w:t>Legal / regulatory</w:t>
            </w:r>
          </w:p>
        </w:tc>
        <w:tc>
          <w:tcPr>
            <w:tcW w:w="250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0F13872B" w14:textId="77777777" w:rsidR="005B4CFF" w:rsidRPr="00B51E6F" w:rsidRDefault="005B4CFF" w:rsidP="0095526A">
            <w:pPr>
              <w:jc w:val="left"/>
              <w:rPr>
                <w:rFonts w:ascii="Arial" w:hAnsi="Arial" w:cs="Arial"/>
                <w:lang w:val="en-BB"/>
              </w:rPr>
            </w:pPr>
            <w:r w:rsidRPr="00B51E6F">
              <w:rPr>
                <w:rFonts w:ascii="Arial" w:hAnsi="Arial" w:cs="Arial"/>
                <w:lang w:val="en-BB"/>
              </w:rPr>
              <w:t>Foreign and joint-venture structures are permitted; trademark registration is available.</w:t>
            </w:r>
          </w:p>
        </w:tc>
        <w:tc>
          <w:tcPr>
            <w:tcW w:w="272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7B353663" w14:textId="77777777" w:rsidR="005B4CFF" w:rsidRPr="00B51E6F" w:rsidRDefault="005B4CFF" w:rsidP="0095526A">
            <w:pPr>
              <w:jc w:val="left"/>
              <w:rPr>
                <w:rFonts w:ascii="Arial" w:hAnsi="Arial" w:cs="Arial"/>
                <w:lang w:val="en-BB"/>
              </w:rPr>
            </w:pPr>
            <w:r w:rsidRPr="00B51E6F">
              <w:rPr>
                <w:rFonts w:ascii="Arial" w:hAnsi="Arial" w:cs="Arial"/>
                <w:lang w:val="en-BB"/>
              </w:rPr>
              <w:t>Multi-agency approvals, tariffs, food-import controls, halal assurance and IP enforcement.</w:t>
            </w:r>
          </w:p>
        </w:tc>
        <w:tc>
          <w:tcPr>
            <w:tcW w:w="279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437475E4" w14:textId="77777777" w:rsidR="005B4CFF" w:rsidRPr="00B51E6F" w:rsidRDefault="005B4CFF" w:rsidP="0095526A">
            <w:pPr>
              <w:jc w:val="left"/>
              <w:rPr>
                <w:rFonts w:ascii="Arial" w:hAnsi="Arial" w:cs="Arial"/>
                <w:lang w:val="en-BB"/>
              </w:rPr>
            </w:pPr>
            <w:r w:rsidRPr="00B51E6F">
              <w:rPr>
                <w:rFonts w:ascii="Arial" w:hAnsi="Arial" w:cs="Arial"/>
                <w:lang w:val="en-BB"/>
              </w:rPr>
              <w:t>Secure marks and approvals before launch; audit suppliers and reserve brand-critical decisions.</w:t>
            </w:r>
          </w:p>
        </w:tc>
      </w:tr>
      <w:tr w:rsidR="005B4CFF" w:rsidRPr="00B51E6F" w14:paraId="1E9619D0" w14:textId="77777777" w:rsidTr="008D0714">
        <w:tc>
          <w:tcPr>
            <w:tcW w:w="135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3175C4DD" w14:textId="77777777" w:rsidR="005B4CFF" w:rsidRPr="00B51E6F" w:rsidRDefault="005B4CFF" w:rsidP="0095526A">
            <w:pPr>
              <w:jc w:val="left"/>
              <w:rPr>
                <w:rFonts w:ascii="Arial" w:hAnsi="Arial" w:cs="Arial"/>
                <w:lang w:val="en-BB"/>
              </w:rPr>
            </w:pPr>
            <w:r w:rsidRPr="00B51E6F">
              <w:rPr>
                <w:rFonts w:ascii="Arial" w:hAnsi="Arial" w:cs="Arial"/>
                <w:lang w:val="en-BB"/>
              </w:rPr>
              <w:t>Cultural / competitive</w:t>
            </w:r>
          </w:p>
        </w:tc>
        <w:tc>
          <w:tcPr>
            <w:tcW w:w="250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0E0E20E3" w14:textId="77777777" w:rsidR="005B4CFF" w:rsidRPr="00B51E6F" w:rsidRDefault="005B4CFF" w:rsidP="0095526A">
            <w:pPr>
              <w:jc w:val="left"/>
              <w:rPr>
                <w:rFonts w:ascii="Arial" w:hAnsi="Arial" w:cs="Arial"/>
                <w:lang w:val="en-BB"/>
              </w:rPr>
            </w:pPr>
            <w:r w:rsidRPr="00B51E6F">
              <w:rPr>
                <w:rFonts w:ascii="Arial" w:hAnsi="Arial" w:cs="Arial"/>
                <w:lang w:val="en-BB"/>
              </w:rPr>
              <w:t>Youth café culture, social-space demand and international brand symbolism.</w:t>
            </w:r>
          </w:p>
        </w:tc>
        <w:tc>
          <w:tcPr>
            <w:tcW w:w="272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4F106CB2" w14:textId="77777777" w:rsidR="005B4CFF" w:rsidRPr="00B51E6F" w:rsidRDefault="005B4CFF" w:rsidP="0095526A">
            <w:pPr>
              <w:jc w:val="left"/>
              <w:rPr>
                <w:rFonts w:ascii="Arial" w:hAnsi="Arial" w:cs="Arial"/>
                <w:lang w:val="en-BB"/>
              </w:rPr>
            </w:pPr>
            <w:r w:rsidRPr="00B51E6F">
              <w:rPr>
                <w:rFonts w:ascii="Arial" w:hAnsi="Arial" w:cs="Arial"/>
                <w:lang w:val="en-BB"/>
              </w:rPr>
              <w:t>Tea dominance, affordability constraints, established cafés and risk of superficial adaptation.</w:t>
            </w:r>
          </w:p>
        </w:tc>
        <w:tc>
          <w:tcPr>
            <w:tcW w:w="279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4426C666" w14:textId="77777777" w:rsidR="005B4CFF" w:rsidRPr="00B51E6F" w:rsidRDefault="005B4CFF" w:rsidP="0095526A">
            <w:pPr>
              <w:jc w:val="left"/>
              <w:rPr>
                <w:rFonts w:ascii="Arial" w:hAnsi="Arial" w:cs="Arial"/>
                <w:lang w:val="en-BB"/>
              </w:rPr>
            </w:pPr>
            <w:r w:rsidRPr="00B51E6F">
              <w:rPr>
                <w:rFonts w:ascii="Arial" w:hAnsi="Arial" w:cs="Arial"/>
                <w:lang w:val="en-BB"/>
              </w:rPr>
              <w:t>Retain the core coffeehouse model while adapting menu edges, sizes, occasions and communication.</w:t>
            </w:r>
          </w:p>
        </w:tc>
      </w:tr>
    </w:tbl>
    <w:p w14:paraId="7F690378" w14:textId="77777777" w:rsidR="005B4CFF" w:rsidRPr="00B51E6F" w:rsidRDefault="005B4CFF" w:rsidP="0095526A">
      <w:pPr>
        <w:jc w:val="left"/>
        <w:rPr>
          <w:rFonts w:ascii="Arial" w:hAnsi="Arial" w:cs="Arial"/>
          <w:lang w:val="en-BB"/>
        </w:rPr>
      </w:pPr>
      <w:r w:rsidRPr="00B51E6F">
        <w:rPr>
          <w:rFonts w:ascii="Arial" w:hAnsi="Arial" w:cs="Arial"/>
          <w:lang w:val="en-BB"/>
        </w:rPr>
        <w:t>Source: Author’s analysis based on Bangladesh Bank (2025), BFSA (2025a; 2025b), BIDA (2025; 2026a; 2026b), IMF (2026), Karim (2025), NBR (2025) and World Bank (2026a; 2026b; 2026c).</w:t>
      </w:r>
    </w:p>
    <w:p w14:paraId="4C9CADC3" w14:textId="77777777" w:rsidR="00B51E6F" w:rsidRDefault="00B51E6F" w:rsidP="0095526A">
      <w:pPr>
        <w:jc w:val="left"/>
        <w:rPr>
          <w:rFonts w:ascii="Arial" w:hAnsi="Arial" w:cs="Arial"/>
          <w:b/>
          <w:bCs/>
          <w:lang w:val="en-BB"/>
        </w:rPr>
      </w:pPr>
    </w:p>
    <w:p w14:paraId="7AB71AA9" w14:textId="5A676BBA" w:rsidR="005B4CFF" w:rsidRPr="00B51E6F" w:rsidRDefault="005B4CFF" w:rsidP="0095526A">
      <w:pPr>
        <w:jc w:val="left"/>
        <w:rPr>
          <w:rFonts w:ascii="Arial" w:hAnsi="Arial" w:cs="Arial"/>
          <w:lang w:val="en-BB"/>
        </w:rPr>
      </w:pPr>
      <w:r w:rsidRPr="00B51E6F">
        <w:rPr>
          <w:rFonts w:ascii="Arial" w:hAnsi="Arial" w:cs="Arial"/>
          <w:b/>
          <w:bCs/>
          <w:lang w:val="en-BB"/>
        </w:rPr>
        <w:lastRenderedPageBreak/>
        <w:t>3.6 OLI synthesis</w:t>
      </w:r>
    </w:p>
    <w:p w14:paraId="5D86C033" w14:textId="77777777" w:rsidR="005B4CFF" w:rsidRPr="00B51E6F" w:rsidRDefault="005B4CFF" w:rsidP="0095526A">
      <w:pPr>
        <w:jc w:val="left"/>
        <w:rPr>
          <w:rFonts w:ascii="Arial" w:hAnsi="Arial" w:cs="Arial"/>
          <w:lang w:val="en-BB"/>
        </w:rPr>
      </w:pPr>
      <w:r w:rsidRPr="00B51E6F">
        <w:rPr>
          <w:rFonts w:ascii="Arial" w:hAnsi="Arial" w:cs="Arial"/>
          <w:lang w:val="en-BB"/>
        </w:rPr>
        <w:t>Dunning’s eclectic paradigm argues that foreign production is favoured when ownership, location and internalisation advantages coexist (Dunning, 1988; 2000). Starbucks has substantial ownership advantages: brand, trademarks, coffee knowledge, store routines, supplier standards, innovation and digital capabilities. These are difficult for a new local café to reproduce. Yet they are valuable only if transferable. Brand recognition may create trial but cannot remove affordability constraints or guarantee loyalty.</w:t>
      </w:r>
    </w:p>
    <w:p w14:paraId="158859A5" w14:textId="77777777" w:rsidR="005B4CFF" w:rsidRPr="00B51E6F" w:rsidRDefault="005B4CFF" w:rsidP="0095526A">
      <w:pPr>
        <w:jc w:val="left"/>
        <w:rPr>
          <w:rFonts w:ascii="Arial" w:hAnsi="Arial" w:cs="Arial"/>
          <w:lang w:val="en-BB"/>
        </w:rPr>
      </w:pPr>
      <w:r w:rsidRPr="00B51E6F">
        <w:rPr>
          <w:rFonts w:ascii="Arial" w:hAnsi="Arial" w:cs="Arial"/>
          <w:lang w:val="en-BB"/>
        </w:rPr>
        <w:t>Bangladesh’s location advantages include population, urbanisation, a developing middle-income segment, comparatively low labour costs and the absence of an authorised Starbucks chain. Dhaka concentrates younger and internationally exposed consumers. These advantages are counterbalanced by low average income, inflation, currency risk, administrative complexity and tea culture. Bangladesh is therefore attractive as a focused city opportunity, not yet a national platform.</w:t>
      </w:r>
    </w:p>
    <w:p w14:paraId="2AE3BEBF" w14:textId="77777777" w:rsidR="005B4CFF" w:rsidRPr="00B51E6F" w:rsidRDefault="005B4CFF" w:rsidP="0095526A">
      <w:pPr>
        <w:jc w:val="left"/>
        <w:rPr>
          <w:rFonts w:ascii="Arial" w:hAnsi="Arial" w:cs="Arial"/>
          <w:lang w:val="en-BB"/>
        </w:rPr>
      </w:pPr>
      <w:r w:rsidRPr="00B51E6F">
        <w:rPr>
          <w:rFonts w:ascii="Arial" w:hAnsi="Arial" w:cs="Arial"/>
          <w:lang w:val="en-BB"/>
        </w:rPr>
        <w:t>Internalisation advantages arise because Starbucks must protect its marks, coffee standards, training, safety and experience. Pure franchising could create variation, while wholly owned entry would overexpose Starbucks to uncertainty. An equity joint venture is an intermediate solution: Starbucks internalises brand-critical capabilities while the partner contributes property, regulation, recruitment and supplier development.</w:t>
      </w:r>
    </w:p>
    <w:p w14:paraId="7E197AE0" w14:textId="77777777" w:rsidR="005B4CFF" w:rsidRPr="00B51E6F" w:rsidRDefault="005B4CFF" w:rsidP="0095526A">
      <w:pPr>
        <w:jc w:val="left"/>
        <w:rPr>
          <w:rFonts w:ascii="Arial" w:hAnsi="Arial" w:cs="Arial"/>
          <w:lang w:val="en-BB"/>
        </w:rPr>
      </w:pPr>
      <w:r w:rsidRPr="00B51E6F">
        <w:rPr>
          <w:rFonts w:ascii="Arial" w:hAnsi="Arial" w:cs="Arial"/>
          <w:lang w:val="en-BB"/>
        </w:rPr>
        <w:t>OLI does not determine the optimal equity ratio and can appear static. Market attractiveness, knowledge and currency conditions change after entry. Institutional and transaction-cost perspectives therefore complement it: the partner provides legitimacy and reduces information costs, while staged commitment preserves flexibility. Entry is justified only if governance safeguards control opportunism and conflict. The overall market is conditionally attractive but high risk; a Dhaka pilot is preferable to rapid expansion.</w:t>
      </w:r>
    </w:p>
    <w:p w14:paraId="4924B7A6" w14:textId="6BE45DF7" w:rsidR="005B4CFF" w:rsidRDefault="005B4CFF" w:rsidP="0095526A">
      <w:pPr>
        <w:jc w:val="left"/>
        <w:rPr>
          <w:rFonts w:ascii="Arial" w:hAnsi="Arial" w:cs="Arial"/>
          <w:lang w:val="en-BB"/>
        </w:rPr>
      </w:pPr>
      <w:r w:rsidRPr="00B51E6F">
        <w:rPr>
          <w:rFonts w:ascii="Arial" w:hAnsi="Arial" w:cs="Arial"/>
          <w:lang w:val="en-BB"/>
        </w:rPr>
        <w:t>The three elements are also interdependent. Ownership advantages weaken if customers cannot afford the offer; location advantages matter less if imports prevent consistent supply; and internalisation is valuable only when control benefits exceed cost. OLI should therefore function as a decision system rather than three independent lists. The joint venture recombines the elements: Starbucks contributes proprietary capabilities, the partner improves access to local advantages, and shared governance internalises critical activity without placing every risk on Starbucks.</w:t>
      </w:r>
    </w:p>
    <w:p w14:paraId="21089F28" w14:textId="77777777" w:rsidR="00B51E6F" w:rsidRDefault="00B51E6F" w:rsidP="0095526A">
      <w:pPr>
        <w:jc w:val="left"/>
        <w:rPr>
          <w:rFonts w:ascii="Arial" w:hAnsi="Arial" w:cs="Arial"/>
          <w:lang w:val="en-BB"/>
        </w:rPr>
      </w:pPr>
    </w:p>
    <w:p w14:paraId="282EBF96" w14:textId="77777777" w:rsidR="00B51E6F" w:rsidRDefault="00B51E6F" w:rsidP="0095526A">
      <w:pPr>
        <w:jc w:val="left"/>
        <w:rPr>
          <w:rFonts w:ascii="Arial" w:hAnsi="Arial" w:cs="Arial"/>
          <w:lang w:val="en-BB"/>
        </w:rPr>
      </w:pPr>
    </w:p>
    <w:p w14:paraId="439A2685" w14:textId="77777777" w:rsidR="00B51E6F" w:rsidRDefault="00B51E6F" w:rsidP="0095526A">
      <w:pPr>
        <w:jc w:val="left"/>
        <w:rPr>
          <w:rFonts w:ascii="Arial" w:hAnsi="Arial" w:cs="Arial"/>
          <w:lang w:val="en-BB"/>
        </w:rPr>
      </w:pPr>
    </w:p>
    <w:p w14:paraId="100C0AD8" w14:textId="77777777" w:rsidR="00B51E6F" w:rsidRDefault="00B51E6F" w:rsidP="0095526A">
      <w:pPr>
        <w:jc w:val="left"/>
        <w:rPr>
          <w:rFonts w:ascii="Arial" w:hAnsi="Arial" w:cs="Arial"/>
          <w:lang w:val="en-BB"/>
        </w:rPr>
      </w:pPr>
    </w:p>
    <w:p w14:paraId="1F0B8FA8" w14:textId="77777777" w:rsidR="00B51E6F" w:rsidRPr="00B51E6F" w:rsidRDefault="00B51E6F" w:rsidP="0095526A">
      <w:pPr>
        <w:jc w:val="left"/>
        <w:rPr>
          <w:rFonts w:ascii="Arial" w:hAnsi="Arial" w:cs="Arial"/>
          <w:lang w:val="en-BB"/>
        </w:rPr>
      </w:pPr>
    </w:p>
    <w:p w14:paraId="20A62D21" w14:textId="77777777" w:rsidR="005B4CFF" w:rsidRPr="00B51E6F" w:rsidRDefault="005B4CFF" w:rsidP="0095526A">
      <w:pPr>
        <w:jc w:val="left"/>
        <w:rPr>
          <w:rFonts w:ascii="Arial" w:hAnsi="Arial" w:cs="Arial"/>
          <w:lang w:val="en-BB"/>
        </w:rPr>
      </w:pPr>
      <w:r w:rsidRPr="00B51E6F">
        <w:rPr>
          <w:rFonts w:ascii="Arial" w:hAnsi="Arial" w:cs="Arial"/>
          <w:b/>
          <w:bCs/>
          <w:lang w:val="en-BB"/>
        </w:rPr>
        <w:lastRenderedPageBreak/>
        <w:t>Table 2: OLI assessment of Starbucks’ proposed Bangladesh entry</w:t>
      </w:r>
    </w:p>
    <w:tbl>
      <w:tblPr>
        <w:tblW w:w="9832"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1711"/>
        <w:gridCol w:w="2797"/>
        <w:gridCol w:w="2647"/>
        <w:gridCol w:w="2677"/>
      </w:tblGrid>
      <w:tr w:rsidR="005B4CFF" w:rsidRPr="00B51E6F" w14:paraId="67AD3D36" w14:textId="77777777" w:rsidTr="008D0714">
        <w:tc>
          <w:tcPr>
            <w:tcW w:w="1711"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90" w:type="dxa"/>
              <w:left w:w="108" w:type="dxa"/>
              <w:bottom w:w="90" w:type="dxa"/>
              <w:right w:w="108" w:type="dxa"/>
            </w:tcMar>
            <w:vAlign w:val="center"/>
            <w:hideMark/>
          </w:tcPr>
          <w:p w14:paraId="221E0BF4" w14:textId="77777777" w:rsidR="005B4CFF" w:rsidRPr="00B51E6F" w:rsidRDefault="005B4CFF" w:rsidP="0095526A">
            <w:pPr>
              <w:jc w:val="left"/>
              <w:rPr>
                <w:rFonts w:ascii="Arial" w:hAnsi="Arial" w:cs="Arial"/>
                <w:lang w:val="en-BB"/>
              </w:rPr>
            </w:pPr>
            <w:r w:rsidRPr="00B51E6F">
              <w:rPr>
                <w:rFonts w:ascii="Arial" w:hAnsi="Arial" w:cs="Arial"/>
                <w:b/>
                <w:bCs/>
                <w:lang w:val="en-BB"/>
              </w:rPr>
              <w:t>OLI element</w:t>
            </w:r>
          </w:p>
        </w:tc>
        <w:tc>
          <w:tcPr>
            <w:tcW w:w="279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90" w:type="dxa"/>
              <w:left w:w="108" w:type="dxa"/>
              <w:bottom w:w="90" w:type="dxa"/>
              <w:right w:w="108" w:type="dxa"/>
            </w:tcMar>
            <w:vAlign w:val="center"/>
            <w:hideMark/>
          </w:tcPr>
          <w:p w14:paraId="75BD559F" w14:textId="77777777" w:rsidR="005B4CFF" w:rsidRPr="00B51E6F" w:rsidRDefault="005B4CFF" w:rsidP="0095526A">
            <w:pPr>
              <w:jc w:val="left"/>
              <w:rPr>
                <w:rFonts w:ascii="Arial" w:hAnsi="Arial" w:cs="Arial"/>
                <w:lang w:val="en-BB"/>
              </w:rPr>
            </w:pPr>
            <w:r w:rsidRPr="00B51E6F">
              <w:rPr>
                <w:rFonts w:ascii="Arial" w:hAnsi="Arial" w:cs="Arial"/>
                <w:b/>
                <w:bCs/>
                <w:lang w:val="en-BB"/>
              </w:rPr>
              <w:t>Starbucks–Bangladesh evidence</w:t>
            </w:r>
          </w:p>
        </w:tc>
        <w:tc>
          <w:tcPr>
            <w:tcW w:w="264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90" w:type="dxa"/>
              <w:left w:w="108" w:type="dxa"/>
              <w:bottom w:w="90" w:type="dxa"/>
              <w:right w:w="108" w:type="dxa"/>
            </w:tcMar>
            <w:vAlign w:val="center"/>
            <w:hideMark/>
          </w:tcPr>
          <w:p w14:paraId="7B8AA7A0" w14:textId="77777777" w:rsidR="005B4CFF" w:rsidRPr="00B51E6F" w:rsidRDefault="005B4CFF" w:rsidP="0095526A">
            <w:pPr>
              <w:jc w:val="left"/>
              <w:rPr>
                <w:rFonts w:ascii="Arial" w:hAnsi="Arial" w:cs="Arial"/>
                <w:lang w:val="en-BB"/>
              </w:rPr>
            </w:pPr>
            <w:r w:rsidRPr="00B51E6F">
              <w:rPr>
                <w:rFonts w:ascii="Arial" w:hAnsi="Arial" w:cs="Arial"/>
                <w:b/>
                <w:bCs/>
                <w:lang w:val="en-BB"/>
              </w:rPr>
              <w:t>Critical limitation</w:t>
            </w:r>
          </w:p>
        </w:tc>
        <w:tc>
          <w:tcPr>
            <w:tcW w:w="267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90" w:type="dxa"/>
              <w:left w:w="108" w:type="dxa"/>
              <w:bottom w:w="90" w:type="dxa"/>
              <w:right w:w="108" w:type="dxa"/>
            </w:tcMar>
            <w:vAlign w:val="center"/>
            <w:hideMark/>
          </w:tcPr>
          <w:p w14:paraId="114D9080" w14:textId="77777777" w:rsidR="005B4CFF" w:rsidRPr="00B51E6F" w:rsidRDefault="005B4CFF" w:rsidP="0095526A">
            <w:pPr>
              <w:jc w:val="left"/>
              <w:rPr>
                <w:rFonts w:ascii="Arial" w:hAnsi="Arial" w:cs="Arial"/>
                <w:lang w:val="en-BB"/>
              </w:rPr>
            </w:pPr>
            <w:r w:rsidRPr="00B51E6F">
              <w:rPr>
                <w:rFonts w:ascii="Arial" w:hAnsi="Arial" w:cs="Arial"/>
                <w:b/>
                <w:bCs/>
                <w:lang w:val="en-BB"/>
              </w:rPr>
              <w:t>Entry implication</w:t>
            </w:r>
          </w:p>
        </w:tc>
      </w:tr>
      <w:tr w:rsidR="005B4CFF" w:rsidRPr="00B51E6F" w14:paraId="55846F4E" w14:textId="77777777" w:rsidTr="008D0714">
        <w:tc>
          <w:tcPr>
            <w:tcW w:w="1711"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7C124217" w14:textId="77777777" w:rsidR="005B4CFF" w:rsidRPr="00B51E6F" w:rsidRDefault="005B4CFF" w:rsidP="0095526A">
            <w:pPr>
              <w:jc w:val="left"/>
              <w:rPr>
                <w:rFonts w:ascii="Arial" w:hAnsi="Arial" w:cs="Arial"/>
                <w:lang w:val="en-BB"/>
              </w:rPr>
            </w:pPr>
            <w:r w:rsidRPr="00B51E6F">
              <w:rPr>
                <w:rFonts w:ascii="Arial" w:hAnsi="Arial" w:cs="Arial"/>
                <w:lang w:val="en-BB"/>
              </w:rPr>
              <w:t>Ownership</w:t>
            </w:r>
          </w:p>
        </w:tc>
        <w:tc>
          <w:tcPr>
            <w:tcW w:w="2797"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637E67C3" w14:textId="77777777" w:rsidR="005B4CFF" w:rsidRPr="00B51E6F" w:rsidRDefault="005B4CFF" w:rsidP="0095526A">
            <w:pPr>
              <w:jc w:val="left"/>
              <w:rPr>
                <w:rFonts w:ascii="Arial" w:hAnsi="Arial" w:cs="Arial"/>
                <w:lang w:val="en-BB"/>
              </w:rPr>
            </w:pPr>
            <w:r w:rsidRPr="00B51E6F">
              <w:rPr>
                <w:rFonts w:ascii="Arial" w:hAnsi="Arial" w:cs="Arial"/>
                <w:lang w:val="en-BB"/>
              </w:rPr>
              <w:t>Brand, trademarks, coffee expertise, operating routines, digital capabilities and supplier standards.</w:t>
            </w:r>
          </w:p>
        </w:tc>
        <w:tc>
          <w:tcPr>
            <w:tcW w:w="2647"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035F83FA" w14:textId="77777777" w:rsidR="005B4CFF" w:rsidRPr="00B51E6F" w:rsidRDefault="005B4CFF" w:rsidP="0095526A">
            <w:pPr>
              <w:jc w:val="left"/>
              <w:rPr>
                <w:rFonts w:ascii="Arial" w:hAnsi="Arial" w:cs="Arial"/>
                <w:lang w:val="en-BB"/>
              </w:rPr>
            </w:pPr>
            <w:r w:rsidRPr="00B51E6F">
              <w:rPr>
                <w:rFonts w:ascii="Arial" w:hAnsi="Arial" w:cs="Arial"/>
                <w:lang w:val="en-BB"/>
              </w:rPr>
              <w:t>Recognition may generate trial but cannot overcome weak affordability or poor local execution.</w:t>
            </w:r>
          </w:p>
        </w:tc>
        <w:tc>
          <w:tcPr>
            <w:tcW w:w="2677"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0256C306" w14:textId="77777777" w:rsidR="005B4CFF" w:rsidRPr="00B51E6F" w:rsidRDefault="005B4CFF" w:rsidP="0095526A">
            <w:pPr>
              <w:jc w:val="left"/>
              <w:rPr>
                <w:rFonts w:ascii="Arial" w:hAnsi="Arial" w:cs="Arial"/>
                <w:lang w:val="en-BB"/>
              </w:rPr>
            </w:pPr>
            <w:r w:rsidRPr="00B51E6F">
              <w:rPr>
                <w:rFonts w:ascii="Arial" w:hAnsi="Arial" w:cs="Arial"/>
                <w:lang w:val="en-BB"/>
              </w:rPr>
              <w:t>Protect the core proposition, training, safety and data through contractual reserved rights.</w:t>
            </w:r>
          </w:p>
        </w:tc>
      </w:tr>
      <w:tr w:rsidR="005B4CFF" w:rsidRPr="00B51E6F" w14:paraId="63371A78" w14:textId="77777777" w:rsidTr="008D0714">
        <w:tc>
          <w:tcPr>
            <w:tcW w:w="1711"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54AEF108" w14:textId="77777777" w:rsidR="005B4CFF" w:rsidRPr="00B51E6F" w:rsidRDefault="005B4CFF" w:rsidP="0095526A">
            <w:pPr>
              <w:jc w:val="left"/>
              <w:rPr>
                <w:rFonts w:ascii="Arial" w:hAnsi="Arial" w:cs="Arial"/>
                <w:lang w:val="en-BB"/>
              </w:rPr>
            </w:pPr>
            <w:r w:rsidRPr="00B51E6F">
              <w:rPr>
                <w:rFonts w:ascii="Arial" w:hAnsi="Arial" w:cs="Arial"/>
                <w:lang w:val="en-BB"/>
              </w:rPr>
              <w:t>Location</w:t>
            </w:r>
          </w:p>
        </w:tc>
        <w:tc>
          <w:tcPr>
            <w:tcW w:w="2797"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5661ADC0" w14:textId="77777777" w:rsidR="005B4CFF" w:rsidRPr="00B51E6F" w:rsidRDefault="005B4CFF" w:rsidP="0095526A">
            <w:pPr>
              <w:jc w:val="left"/>
              <w:rPr>
                <w:rFonts w:ascii="Arial" w:hAnsi="Arial" w:cs="Arial"/>
                <w:lang w:val="en-BB"/>
              </w:rPr>
            </w:pPr>
            <w:r w:rsidRPr="00B51E6F">
              <w:rPr>
                <w:rFonts w:ascii="Arial" w:hAnsi="Arial" w:cs="Arial"/>
                <w:lang w:val="en-BB"/>
              </w:rPr>
              <w:t>Dhaka’s scale, density, young consumers, labour pool and absence of an authorised Starbucks chain.</w:t>
            </w:r>
          </w:p>
        </w:tc>
        <w:tc>
          <w:tcPr>
            <w:tcW w:w="2647"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7C538386" w14:textId="77777777" w:rsidR="005B4CFF" w:rsidRPr="00B51E6F" w:rsidRDefault="005B4CFF" w:rsidP="0095526A">
            <w:pPr>
              <w:jc w:val="left"/>
              <w:rPr>
                <w:rFonts w:ascii="Arial" w:hAnsi="Arial" w:cs="Arial"/>
                <w:lang w:val="en-BB"/>
              </w:rPr>
            </w:pPr>
            <w:r w:rsidRPr="00B51E6F">
              <w:rPr>
                <w:rFonts w:ascii="Arial" w:hAnsi="Arial" w:cs="Arial"/>
                <w:lang w:val="en-BB"/>
              </w:rPr>
              <w:t>Inflation, currency pressure, import dependence, administrative friction and tea-led consumption.</w:t>
            </w:r>
          </w:p>
        </w:tc>
        <w:tc>
          <w:tcPr>
            <w:tcW w:w="2677"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2AE9B7A6" w14:textId="77777777" w:rsidR="005B4CFF" w:rsidRPr="00B51E6F" w:rsidRDefault="005B4CFF" w:rsidP="0095526A">
            <w:pPr>
              <w:jc w:val="left"/>
              <w:rPr>
                <w:rFonts w:ascii="Arial" w:hAnsi="Arial" w:cs="Arial"/>
                <w:lang w:val="en-BB"/>
              </w:rPr>
            </w:pPr>
            <w:r w:rsidRPr="00B51E6F">
              <w:rPr>
                <w:rFonts w:ascii="Arial" w:hAnsi="Arial" w:cs="Arial"/>
                <w:lang w:val="en-BB"/>
              </w:rPr>
              <w:t>Treat Bangladesh as a focused learning market, beginning with a small Dhaka cluster.</w:t>
            </w:r>
          </w:p>
        </w:tc>
      </w:tr>
      <w:tr w:rsidR="005B4CFF" w:rsidRPr="00B51E6F" w14:paraId="18704992" w14:textId="77777777" w:rsidTr="008D0714">
        <w:tc>
          <w:tcPr>
            <w:tcW w:w="1711"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53FF4C27" w14:textId="77777777" w:rsidR="005B4CFF" w:rsidRPr="00B51E6F" w:rsidRDefault="005B4CFF" w:rsidP="0095526A">
            <w:pPr>
              <w:jc w:val="left"/>
              <w:rPr>
                <w:rFonts w:ascii="Arial" w:hAnsi="Arial" w:cs="Arial"/>
                <w:lang w:val="en-BB"/>
              </w:rPr>
            </w:pPr>
            <w:r w:rsidRPr="00B51E6F">
              <w:rPr>
                <w:rFonts w:ascii="Arial" w:hAnsi="Arial" w:cs="Arial"/>
                <w:lang w:val="en-BB"/>
              </w:rPr>
              <w:t>Internalisation</w:t>
            </w:r>
          </w:p>
        </w:tc>
        <w:tc>
          <w:tcPr>
            <w:tcW w:w="2797"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041956DA" w14:textId="77777777" w:rsidR="005B4CFF" w:rsidRPr="00B51E6F" w:rsidRDefault="005B4CFF" w:rsidP="0095526A">
            <w:pPr>
              <w:jc w:val="left"/>
              <w:rPr>
                <w:rFonts w:ascii="Arial" w:hAnsi="Arial" w:cs="Arial"/>
                <w:lang w:val="en-BB"/>
              </w:rPr>
            </w:pPr>
            <w:r w:rsidRPr="00B51E6F">
              <w:rPr>
                <w:rFonts w:ascii="Arial" w:hAnsi="Arial" w:cs="Arial"/>
                <w:lang w:val="en-BB"/>
              </w:rPr>
              <w:t>Control is valuable for coffee quality, brand experience, food safety and intellectual property.</w:t>
            </w:r>
          </w:p>
        </w:tc>
        <w:tc>
          <w:tcPr>
            <w:tcW w:w="2647"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5B25A523" w14:textId="77777777" w:rsidR="005B4CFF" w:rsidRPr="00B51E6F" w:rsidRDefault="005B4CFF" w:rsidP="0095526A">
            <w:pPr>
              <w:jc w:val="left"/>
              <w:rPr>
                <w:rFonts w:ascii="Arial" w:hAnsi="Arial" w:cs="Arial"/>
                <w:lang w:val="en-BB"/>
              </w:rPr>
            </w:pPr>
            <w:r w:rsidRPr="00B51E6F">
              <w:rPr>
                <w:rFonts w:ascii="Arial" w:hAnsi="Arial" w:cs="Arial"/>
                <w:lang w:val="en-BB"/>
              </w:rPr>
              <w:t>Full ownership concentrates capital and institutional risk; pure licensing weakens operational control.</w:t>
            </w:r>
          </w:p>
        </w:tc>
        <w:tc>
          <w:tcPr>
            <w:tcW w:w="2677"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4E3D158B" w14:textId="77777777" w:rsidR="005B4CFF" w:rsidRPr="00B51E6F" w:rsidRDefault="005B4CFF" w:rsidP="0095526A">
            <w:pPr>
              <w:jc w:val="left"/>
              <w:rPr>
                <w:rFonts w:ascii="Arial" w:hAnsi="Arial" w:cs="Arial"/>
                <w:lang w:val="en-BB"/>
              </w:rPr>
            </w:pPr>
            <w:r w:rsidRPr="00B51E6F">
              <w:rPr>
                <w:rFonts w:ascii="Arial" w:hAnsi="Arial" w:cs="Arial"/>
                <w:lang w:val="en-BB"/>
              </w:rPr>
              <w:t>Use an equity joint venture to combine control of brand-critical activity with local resources.</w:t>
            </w:r>
          </w:p>
        </w:tc>
      </w:tr>
    </w:tbl>
    <w:p w14:paraId="26C311E0" w14:textId="77777777" w:rsidR="005B4CFF" w:rsidRPr="00B51E6F" w:rsidRDefault="005B4CFF" w:rsidP="0095526A">
      <w:pPr>
        <w:jc w:val="left"/>
        <w:rPr>
          <w:rFonts w:ascii="Arial" w:hAnsi="Arial" w:cs="Arial"/>
          <w:lang w:val="en-BB"/>
        </w:rPr>
      </w:pPr>
      <w:r w:rsidRPr="00B51E6F">
        <w:rPr>
          <w:rFonts w:ascii="Arial" w:hAnsi="Arial" w:cs="Arial"/>
          <w:lang w:val="en-BB"/>
        </w:rPr>
        <w:t>Source: Author’s analysis based on Dunning (1988; 2000), Starbucks Corporation (2025a; 2026a) and Tata Consumer Products (2012).</w:t>
      </w:r>
    </w:p>
    <w:p w14:paraId="3233239B" w14:textId="77777777" w:rsidR="00B51E6F" w:rsidRDefault="00B51E6F" w:rsidP="0095526A">
      <w:pPr>
        <w:jc w:val="left"/>
        <w:rPr>
          <w:rFonts w:ascii="Arial" w:hAnsi="Arial" w:cs="Arial"/>
          <w:b/>
          <w:bCs/>
          <w:lang w:val="en-BB"/>
        </w:rPr>
      </w:pPr>
    </w:p>
    <w:p w14:paraId="24917BD1" w14:textId="1992DCF3" w:rsidR="005B4CFF" w:rsidRPr="00B51E6F" w:rsidRDefault="005B4CFF" w:rsidP="0095526A">
      <w:pPr>
        <w:jc w:val="left"/>
        <w:rPr>
          <w:rFonts w:ascii="Arial" w:hAnsi="Arial" w:cs="Arial"/>
          <w:lang w:val="en-BB"/>
        </w:rPr>
      </w:pPr>
      <w:r w:rsidRPr="00B51E6F">
        <w:rPr>
          <w:rFonts w:ascii="Arial" w:hAnsi="Arial" w:cs="Arial"/>
          <w:b/>
          <w:bCs/>
          <w:lang w:val="en-BB"/>
        </w:rPr>
        <w:t>4. Entry-Mode Strategy and Strategic Synthesis</w:t>
      </w:r>
    </w:p>
    <w:p w14:paraId="7C47D8AA" w14:textId="77777777" w:rsidR="005B4CFF" w:rsidRPr="00B51E6F" w:rsidRDefault="005B4CFF" w:rsidP="0095526A">
      <w:pPr>
        <w:jc w:val="left"/>
        <w:rPr>
          <w:rFonts w:ascii="Arial" w:hAnsi="Arial" w:cs="Arial"/>
          <w:lang w:val="en-BB"/>
        </w:rPr>
      </w:pPr>
      <w:r w:rsidRPr="00B51E6F">
        <w:rPr>
          <w:rFonts w:ascii="Arial" w:hAnsi="Arial" w:cs="Arial"/>
          <w:b/>
          <w:bCs/>
          <w:lang w:val="en-BB"/>
        </w:rPr>
        <w:t>4.1 Historical entry patterns</w:t>
      </w:r>
    </w:p>
    <w:p w14:paraId="6B4FE67E" w14:textId="77777777" w:rsidR="005B4CFF" w:rsidRPr="00B51E6F" w:rsidRDefault="005B4CFF" w:rsidP="0095526A">
      <w:pPr>
        <w:jc w:val="left"/>
        <w:rPr>
          <w:rFonts w:ascii="Arial" w:hAnsi="Arial" w:cs="Arial"/>
          <w:lang w:val="en-BB"/>
        </w:rPr>
      </w:pPr>
      <w:r w:rsidRPr="00B51E6F">
        <w:rPr>
          <w:rFonts w:ascii="Arial" w:hAnsi="Arial" w:cs="Arial"/>
          <w:lang w:val="en-BB"/>
        </w:rPr>
        <w:t>Starbucks historically uses company ownership, licensing, joint ventures and later restructuring rather than one universal mode. At Q1 FY2026, 52 per cent of stores were company-operated and 48 per cent licensed (Starbucks Corporation, 2026a). Ownership gives control over staff, service, data and income but requires capital and exposes Starbucks to property and labour risk. Licensing transfers risk and provides partner resources but weakens daily control.</w:t>
      </w:r>
    </w:p>
    <w:p w14:paraId="734A6FF9"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The UK demonstrates mode evolution. Its estate combines ownership and licensing, yet Starbucks acquired 23.5 Degrees and converted 113 stores when internalisation became attractive (Starbucks Corporation, 2025a). Thailand demonstrates the reverse: Starbucks moved retail operations to a fully licensed structure in 2019 (Starbucks Corporation, 2019). </w:t>
      </w:r>
      <w:r w:rsidRPr="00B51E6F">
        <w:rPr>
          <w:rFonts w:ascii="Arial" w:hAnsi="Arial" w:cs="Arial"/>
          <w:lang w:val="en-BB"/>
        </w:rPr>
        <w:lastRenderedPageBreak/>
        <w:t>Cambodia entered through a licensed partner and expanded from Phnom Penh in 2015 to 57 coffeehouses in eight cities by 2025 (Starbucks Corporation, 2025c).</w:t>
      </w:r>
    </w:p>
    <w:p w14:paraId="09B69B92" w14:textId="77777777" w:rsidR="005B4CFF" w:rsidRPr="00B51E6F" w:rsidRDefault="005B4CFF" w:rsidP="0095526A">
      <w:pPr>
        <w:jc w:val="left"/>
        <w:rPr>
          <w:rFonts w:ascii="Arial" w:hAnsi="Arial" w:cs="Arial"/>
          <w:lang w:val="en-BB"/>
        </w:rPr>
      </w:pPr>
      <w:r w:rsidRPr="00B51E6F">
        <w:rPr>
          <w:rFonts w:ascii="Arial" w:hAnsi="Arial" w:cs="Arial"/>
          <w:lang w:val="en-BB"/>
        </w:rPr>
        <w:t>India is the closest precedent. Tata Starbucks combines global expertise with local sourcing, legitimacy and knowledge. It has facilitated relevant store design and menu adaptation. Nevertheless, India has greater metropolitan scale and a more mature premium segment. The transferable lesson is the value of partnership, not automatic replication of a 50:50 structure.</w:t>
      </w:r>
    </w:p>
    <w:p w14:paraId="16FE66B1" w14:textId="77777777" w:rsidR="00B51E6F" w:rsidRDefault="00B51E6F" w:rsidP="0095526A">
      <w:pPr>
        <w:jc w:val="left"/>
        <w:rPr>
          <w:rFonts w:ascii="Arial" w:hAnsi="Arial" w:cs="Arial"/>
          <w:b/>
          <w:bCs/>
          <w:lang w:val="en-BB"/>
        </w:rPr>
      </w:pPr>
    </w:p>
    <w:p w14:paraId="3D7AEA1C" w14:textId="6EE9B62A" w:rsidR="005B4CFF" w:rsidRPr="00B51E6F" w:rsidRDefault="005B4CFF" w:rsidP="0095526A">
      <w:pPr>
        <w:jc w:val="left"/>
        <w:rPr>
          <w:rFonts w:ascii="Arial" w:hAnsi="Arial" w:cs="Arial"/>
          <w:lang w:val="en-BB"/>
        </w:rPr>
      </w:pPr>
      <w:r w:rsidRPr="00B51E6F">
        <w:rPr>
          <w:rFonts w:ascii="Arial" w:hAnsi="Arial" w:cs="Arial"/>
          <w:b/>
          <w:bCs/>
          <w:lang w:val="en-BB"/>
        </w:rPr>
        <w:t>4.2 Evaluation of alternatives</w:t>
      </w:r>
    </w:p>
    <w:p w14:paraId="2F74053F" w14:textId="77777777" w:rsidR="005B4CFF" w:rsidRPr="00B51E6F" w:rsidRDefault="005B4CFF" w:rsidP="0095526A">
      <w:pPr>
        <w:jc w:val="left"/>
        <w:rPr>
          <w:rFonts w:ascii="Arial" w:hAnsi="Arial" w:cs="Arial"/>
          <w:lang w:val="en-BB"/>
        </w:rPr>
      </w:pPr>
      <w:r w:rsidRPr="00B51E6F">
        <w:rPr>
          <w:rFonts w:ascii="Arial" w:hAnsi="Arial" w:cs="Arial"/>
          <w:lang w:val="en-BB"/>
        </w:rPr>
        <w:t>Exporting packaged products entails little commitment but cannot reproduce the coffeehouse experience, direct relationship or third place. It should support, not substitute, market entry. Conventional franchising enables speed and local capital but fragmented ownership could undermine safety and service. A master licence offers local knowledge and limited exposure, as Cambodia demonstrates, but provides less influence over staff and execution.</w:t>
      </w:r>
    </w:p>
    <w:p w14:paraId="10FA09E5" w14:textId="77777777" w:rsidR="005B4CFF" w:rsidRPr="00B51E6F" w:rsidRDefault="005B4CFF" w:rsidP="0095526A">
      <w:pPr>
        <w:jc w:val="left"/>
        <w:rPr>
          <w:rFonts w:ascii="Arial" w:hAnsi="Arial" w:cs="Arial"/>
          <w:lang w:val="en-BB"/>
        </w:rPr>
      </w:pPr>
      <w:r w:rsidRPr="00B51E6F">
        <w:rPr>
          <w:rFonts w:ascii="Arial" w:hAnsi="Arial" w:cs="Arial"/>
          <w:lang w:val="en-BB"/>
        </w:rPr>
        <w:t>A wholly owned greenfield subsidiary maximises control and retains future profits, but concentrates property, currency, regulatory and supply risk before demand is proven. Acquisition could offer sites and staff, although available chains may not meet Starbucks’ operational requirements, and rebranding could destroy the legitimacy acquired.</w:t>
      </w:r>
    </w:p>
    <w:p w14:paraId="43CA600B" w14:textId="2D182E3F" w:rsidR="00B56A36" w:rsidRPr="00B51E6F" w:rsidRDefault="005B4CFF" w:rsidP="00B56A36">
      <w:pPr>
        <w:jc w:val="left"/>
        <w:rPr>
          <w:rFonts w:ascii="Arial" w:hAnsi="Arial" w:cs="Arial"/>
          <w:lang w:val="en-BB"/>
        </w:rPr>
      </w:pPr>
      <w:r w:rsidRPr="00B51E6F">
        <w:rPr>
          <w:rFonts w:ascii="Arial" w:hAnsi="Arial" w:cs="Arial"/>
          <w:lang w:val="en-BB"/>
        </w:rPr>
        <w:t xml:space="preserve">An equity joint venture provides the best balance. </w:t>
      </w:r>
      <w:r w:rsidR="00B56A36" w:rsidRPr="00B51E6F">
        <w:rPr>
          <w:rFonts w:ascii="Arial" w:hAnsi="Arial" w:cs="Arial"/>
          <w:lang w:val="en-BB"/>
        </w:rPr>
        <w:t>t gives Starbucks property for distribution and institutions and maintains influence on key standards. The real cost of shared profit, slow decision making and conflict. These presuppose cultural compatibility between partners and demand clear reserved rights, performance obligations and exit mechanisms.</w:t>
      </w:r>
    </w:p>
    <w:p w14:paraId="1CFC31F0" w14:textId="6E82E6E8" w:rsidR="005B4CFF" w:rsidRDefault="00B56A36" w:rsidP="00B56A36">
      <w:pPr>
        <w:jc w:val="left"/>
        <w:rPr>
          <w:rFonts w:ascii="Arial" w:hAnsi="Arial" w:cs="Arial"/>
          <w:lang w:val="en-BB"/>
        </w:rPr>
      </w:pPr>
      <w:r w:rsidRPr="00B51E6F">
        <w:rPr>
          <w:rFonts w:ascii="Arial" w:hAnsi="Arial" w:cs="Arial"/>
          <w:lang w:val="en-BB"/>
        </w:rPr>
        <w:t>The control and flexibility must be judged in time. Starbucks’ licensing is flexible at first but can be difficult to reverse if licensee has access to prime sites and customers.</w:t>
      </w:r>
      <w:r w:rsidR="007E1DCD" w:rsidRPr="00B51E6F">
        <w:rPr>
          <w:rFonts w:ascii="Arial" w:hAnsi="Arial" w:cs="Arial"/>
          <w:lang w:val="en-BB"/>
        </w:rPr>
        <w:t xml:space="preserve"> </w:t>
      </w:r>
      <w:r w:rsidR="005B4CFF" w:rsidRPr="00B51E6F">
        <w:rPr>
          <w:rFonts w:ascii="Arial" w:hAnsi="Arial" w:cs="Arial"/>
          <w:lang w:val="en-BB"/>
        </w:rPr>
        <w:t>Ownership provides operational control but reduces financial flexibility. A joint venture balances both only if Starbucks can increase, reduce or exit its interest following observable events. The proposed mode is therefore a platform for sequential commitment, not a compromise for its own sake.</w:t>
      </w:r>
    </w:p>
    <w:p w14:paraId="76EBBC27" w14:textId="77777777" w:rsidR="0019091A" w:rsidRDefault="0019091A" w:rsidP="00B56A36">
      <w:pPr>
        <w:jc w:val="left"/>
        <w:rPr>
          <w:rFonts w:ascii="Arial" w:hAnsi="Arial" w:cs="Arial"/>
          <w:lang w:val="en-BB"/>
        </w:rPr>
      </w:pPr>
    </w:p>
    <w:p w14:paraId="68901192" w14:textId="77777777" w:rsidR="0019091A" w:rsidRDefault="0019091A" w:rsidP="00B56A36">
      <w:pPr>
        <w:jc w:val="left"/>
        <w:rPr>
          <w:rFonts w:ascii="Arial" w:hAnsi="Arial" w:cs="Arial"/>
          <w:lang w:val="en-BB"/>
        </w:rPr>
      </w:pPr>
    </w:p>
    <w:p w14:paraId="4781E154" w14:textId="77777777" w:rsidR="0019091A" w:rsidRDefault="0019091A" w:rsidP="00B56A36">
      <w:pPr>
        <w:jc w:val="left"/>
        <w:rPr>
          <w:rFonts w:ascii="Arial" w:hAnsi="Arial" w:cs="Arial"/>
          <w:lang w:val="en-BB"/>
        </w:rPr>
      </w:pPr>
    </w:p>
    <w:p w14:paraId="1E852AF6" w14:textId="77777777" w:rsidR="0019091A" w:rsidRDefault="0019091A" w:rsidP="00B56A36">
      <w:pPr>
        <w:jc w:val="left"/>
        <w:rPr>
          <w:rFonts w:ascii="Arial" w:hAnsi="Arial" w:cs="Arial"/>
          <w:lang w:val="en-BB"/>
        </w:rPr>
      </w:pPr>
    </w:p>
    <w:p w14:paraId="75A5688D" w14:textId="77777777" w:rsidR="0019091A" w:rsidRDefault="0019091A" w:rsidP="00B56A36">
      <w:pPr>
        <w:jc w:val="left"/>
        <w:rPr>
          <w:rFonts w:ascii="Arial" w:hAnsi="Arial" w:cs="Arial"/>
          <w:lang w:val="en-BB"/>
        </w:rPr>
      </w:pPr>
    </w:p>
    <w:p w14:paraId="18837537" w14:textId="77777777" w:rsidR="0019091A" w:rsidRPr="00B51E6F" w:rsidRDefault="0019091A" w:rsidP="00B56A36">
      <w:pPr>
        <w:jc w:val="left"/>
        <w:rPr>
          <w:rFonts w:ascii="Arial" w:hAnsi="Arial" w:cs="Arial"/>
          <w:lang w:val="en-BB"/>
        </w:rPr>
      </w:pPr>
    </w:p>
    <w:p w14:paraId="121485FA" w14:textId="77777777" w:rsidR="005B4CFF" w:rsidRPr="00B51E6F" w:rsidRDefault="005B4CFF" w:rsidP="0095526A">
      <w:pPr>
        <w:jc w:val="left"/>
        <w:rPr>
          <w:rFonts w:ascii="Arial" w:hAnsi="Arial" w:cs="Arial"/>
          <w:lang w:val="en-BB"/>
        </w:rPr>
      </w:pPr>
      <w:r w:rsidRPr="00B51E6F">
        <w:rPr>
          <w:rFonts w:ascii="Arial" w:hAnsi="Arial" w:cs="Arial"/>
          <w:b/>
          <w:bCs/>
          <w:lang w:val="en-BB"/>
        </w:rPr>
        <w:lastRenderedPageBreak/>
        <w:t>Table 3: Comparative evaluation of entry-mode alternatives</w:t>
      </w:r>
    </w:p>
    <w:tbl>
      <w:tblPr>
        <w:tblW w:w="936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1250"/>
        <w:gridCol w:w="1600"/>
        <w:gridCol w:w="1500"/>
        <w:gridCol w:w="1600"/>
        <w:gridCol w:w="3410"/>
      </w:tblGrid>
      <w:tr w:rsidR="005B4CFF" w:rsidRPr="00B51E6F" w14:paraId="08DA355A" w14:textId="77777777" w:rsidTr="008D0714">
        <w:tc>
          <w:tcPr>
            <w:tcW w:w="1250"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90" w:type="dxa"/>
              <w:left w:w="108" w:type="dxa"/>
              <w:bottom w:w="90" w:type="dxa"/>
              <w:right w:w="108" w:type="dxa"/>
            </w:tcMar>
            <w:vAlign w:val="center"/>
            <w:hideMark/>
          </w:tcPr>
          <w:p w14:paraId="38648DBB" w14:textId="77777777" w:rsidR="005B4CFF" w:rsidRPr="00B51E6F" w:rsidRDefault="005B4CFF" w:rsidP="0095526A">
            <w:pPr>
              <w:jc w:val="left"/>
              <w:rPr>
                <w:rFonts w:ascii="Arial" w:hAnsi="Arial" w:cs="Arial"/>
                <w:lang w:val="en-BB"/>
              </w:rPr>
            </w:pPr>
            <w:r w:rsidRPr="00B51E6F">
              <w:rPr>
                <w:rFonts w:ascii="Arial" w:hAnsi="Arial" w:cs="Arial"/>
                <w:b/>
                <w:bCs/>
                <w:lang w:val="en-BB"/>
              </w:rPr>
              <w:t>Mode</w:t>
            </w:r>
          </w:p>
        </w:tc>
        <w:tc>
          <w:tcPr>
            <w:tcW w:w="1600"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90" w:type="dxa"/>
              <w:left w:w="108" w:type="dxa"/>
              <w:bottom w:w="90" w:type="dxa"/>
              <w:right w:w="108" w:type="dxa"/>
            </w:tcMar>
            <w:vAlign w:val="center"/>
            <w:hideMark/>
          </w:tcPr>
          <w:p w14:paraId="049E0479" w14:textId="77777777" w:rsidR="005B4CFF" w:rsidRPr="00B51E6F" w:rsidRDefault="005B4CFF" w:rsidP="0095526A">
            <w:pPr>
              <w:jc w:val="left"/>
              <w:rPr>
                <w:rFonts w:ascii="Arial" w:hAnsi="Arial" w:cs="Arial"/>
                <w:lang w:val="en-BB"/>
              </w:rPr>
            </w:pPr>
            <w:r w:rsidRPr="00B51E6F">
              <w:rPr>
                <w:rFonts w:ascii="Arial" w:hAnsi="Arial" w:cs="Arial"/>
                <w:b/>
                <w:bCs/>
                <w:lang w:val="en-BB"/>
              </w:rPr>
              <w:t>Commitment / risk</w:t>
            </w:r>
          </w:p>
        </w:tc>
        <w:tc>
          <w:tcPr>
            <w:tcW w:w="1500"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90" w:type="dxa"/>
              <w:left w:w="108" w:type="dxa"/>
              <w:bottom w:w="90" w:type="dxa"/>
              <w:right w:w="108" w:type="dxa"/>
            </w:tcMar>
            <w:vAlign w:val="center"/>
            <w:hideMark/>
          </w:tcPr>
          <w:p w14:paraId="3D1E38A6" w14:textId="77777777" w:rsidR="005B4CFF" w:rsidRPr="00B51E6F" w:rsidRDefault="005B4CFF" w:rsidP="0095526A">
            <w:pPr>
              <w:jc w:val="left"/>
              <w:rPr>
                <w:rFonts w:ascii="Arial" w:hAnsi="Arial" w:cs="Arial"/>
                <w:lang w:val="en-BB"/>
              </w:rPr>
            </w:pPr>
            <w:r w:rsidRPr="00B51E6F">
              <w:rPr>
                <w:rFonts w:ascii="Arial" w:hAnsi="Arial" w:cs="Arial"/>
                <w:b/>
                <w:bCs/>
                <w:lang w:val="en-BB"/>
              </w:rPr>
              <w:t>Control</w:t>
            </w:r>
          </w:p>
        </w:tc>
        <w:tc>
          <w:tcPr>
            <w:tcW w:w="1600"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90" w:type="dxa"/>
              <w:left w:w="108" w:type="dxa"/>
              <w:bottom w:w="90" w:type="dxa"/>
              <w:right w:w="108" w:type="dxa"/>
            </w:tcMar>
            <w:vAlign w:val="center"/>
            <w:hideMark/>
          </w:tcPr>
          <w:p w14:paraId="4B7015F7" w14:textId="77777777" w:rsidR="005B4CFF" w:rsidRPr="00B51E6F" w:rsidRDefault="005B4CFF" w:rsidP="0095526A">
            <w:pPr>
              <w:jc w:val="left"/>
              <w:rPr>
                <w:rFonts w:ascii="Arial" w:hAnsi="Arial" w:cs="Arial"/>
                <w:lang w:val="en-BB"/>
              </w:rPr>
            </w:pPr>
            <w:r w:rsidRPr="00B51E6F">
              <w:rPr>
                <w:rFonts w:ascii="Arial" w:hAnsi="Arial" w:cs="Arial"/>
                <w:b/>
                <w:bCs/>
                <w:lang w:val="en-BB"/>
              </w:rPr>
              <w:t>Local capability</w:t>
            </w:r>
          </w:p>
        </w:tc>
        <w:tc>
          <w:tcPr>
            <w:tcW w:w="3410"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90" w:type="dxa"/>
              <w:left w:w="108" w:type="dxa"/>
              <w:bottom w:w="90" w:type="dxa"/>
              <w:right w:w="108" w:type="dxa"/>
            </w:tcMar>
            <w:vAlign w:val="center"/>
            <w:hideMark/>
          </w:tcPr>
          <w:p w14:paraId="26078085" w14:textId="77777777" w:rsidR="005B4CFF" w:rsidRPr="00B51E6F" w:rsidRDefault="005B4CFF" w:rsidP="0095526A">
            <w:pPr>
              <w:jc w:val="left"/>
              <w:rPr>
                <w:rFonts w:ascii="Arial" w:hAnsi="Arial" w:cs="Arial"/>
                <w:lang w:val="en-BB"/>
              </w:rPr>
            </w:pPr>
            <w:r w:rsidRPr="00B51E6F">
              <w:rPr>
                <w:rFonts w:ascii="Arial" w:hAnsi="Arial" w:cs="Arial"/>
                <w:b/>
                <w:bCs/>
                <w:lang w:val="en-BB"/>
              </w:rPr>
              <w:t>Strategic assessment</w:t>
            </w:r>
          </w:p>
        </w:tc>
      </w:tr>
      <w:tr w:rsidR="005B4CFF" w:rsidRPr="00B51E6F" w14:paraId="017A9747" w14:textId="77777777" w:rsidTr="008D0714">
        <w:tc>
          <w:tcPr>
            <w:tcW w:w="125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363D78AA" w14:textId="77777777" w:rsidR="005B4CFF" w:rsidRPr="00B51E6F" w:rsidRDefault="005B4CFF" w:rsidP="0095526A">
            <w:pPr>
              <w:jc w:val="left"/>
              <w:rPr>
                <w:rFonts w:ascii="Arial" w:hAnsi="Arial" w:cs="Arial"/>
                <w:lang w:val="en-BB"/>
              </w:rPr>
            </w:pPr>
            <w:r w:rsidRPr="00B51E6F">
              <w:rPr>
                <w:rFonts w:ascii="Arial" w:hAnsi="Arial" w:cs="Arial"/>
                <w:lang w:val="en-BB"/>
              </w:rPr>
              <w:t>Exporting</w:t>
            </w:r>
          </w:p>
        </w:tc>
        <w:tc>
          <w:tcPr>
            <w:tcW w:w="160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6F4AE9B9" w14:textId="77777777" w:rsidR="005B4CFF" w:rsidRPr="00B51E6F" w:rsidRDefault="005B4CFF" w:rsidP="0095526A">
            <w:pPr>
              <w:jc w:val="left"/>
              <w:rPr>
                <w:rFonts w:ascii="Arial" w:hAnsi="Arial" w:cs="Arial"/>
                <w:lang w:val="en-BB"/>
              </w:rPr>
            </w:pPr>
            <w:r w:rsidRPr="00B51E6F">
              <w:rPr>
                <w:rFonts w:ascii="Arial" w:hAnsi="Arial" w:cs="Arial"/>
                <w:lang w:val="en-BB"/>
              </w:rPr>
              <w:t>Very low</w:t>
            </w:r>
          </w:p>
        </w:tc>
        <w:tc>
          <w:tcPr>
            <w:tcW w:w="150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27F5417D" w14:textId="77777777" w:rsidR="005B4CFF" w:rsidRPr="00B51E6F" w:rsidRDefault="005B4CFF" w:rsidP="0095526A">
            <w:pPr>
              <w:jc w:val="left"/>
              <w:rPr>
                <w:rFonts w:ascii="Arial" w:hAnsi="Arial" w:cs="Arial"/>
                <w:lang w:val="en-BB"/>
              </w:rPr>
            </w:pPr>
            <w:r w:rsidRPr="00B51E6F">
              <w:rPr>
                <w:rFonts w:ascii="Arial" w:hAnsi="Arial" w:cs="Arial"/>
                <w:lang w:val="en-BB"/>
              </w:rPr>
              <w:t>Low</w:t>
            </w:r>
          </w:p>
        </w:tc>
        <w:tc>
          <w:tcPr>
            <w:tcW w:w="160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06DE25D1" w14:textId="77777777" w:rsidR="005B4CFF" w:rsidRPr="00B51E6F" w:rsidRDefault="005B4CFF" w:rsidP="0095526A">
            <w:pPr>
              <w:jc w:val="left"/>
              <w:rPr>
                <w:rFonts w:ascii="Arial" w:hAnsi="Arial" w:cs="Arial"/>
                <w:lang w:val="en-BB"/>
              </w:rPr>
            </w:pPr>
            <w:r w:rsidRPr="00B51E6F">
              <w:rPr>
                <w:rFonts w:ascii="Arial" w:hAnsi="Arial" w:cs="Arial"/>
                <w:lang w:val="en-BB"/>
              </w:rPr>
              <w:t>Low</w:t>
            </w:r>
          </w:p>
        </w:tc>
        <w:tc>
          <w:tcPr>
            <w:tcW w:w="341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135D6865" w14:textId="77777777" w:rsidR="005B4CFF" w:rsidRPr="00B51E6F" w:rsidRDefault="005B4CFF" w:rsidP="0095526A">
            <w:pPr>
              <w:jc w:val="left"/>
              <w:rPr>
                <w:rFonts w:ascii="Arial" w:hAnsi="Arial" w:cs="Arial"/>
                <w:lang w:val="en-BB"/>
              </w:rPr>
            </w:pPr>
            <w:r w:rsidRPr="00B51E6F">
              <w:rPr>
                <w:rFonts w:ascii="Arial" w:hAnsi="Arial" w:cs="Arial"/>
                <w:lang w:val="en-BB"/>
              </w:rPr>
              <w:t>Useful for packaged products, but cannot deliver Starbucks’ coffeehouse experience.</w:t>
            </w:r>
          </w:p>
        </w:tc>
      </w:tr>
      <w:tr w:rsidR="005B4CFF" w:rsidRPr="00B51E6F" w14:paraId="1ECD4B43" w14:textId="77777777" w:rsidTr="008D0714">
        <w:tc>
          <w:tcPr>
            <w:tcW w:w="125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570A3531" w14:textId="77777777" w:rsidR="005B4CFF" w:rsidRPr="00B51E6F" w:rsidRDefault="005B4CFF" w:rsidP="0095526A">
            <w:pPr>
              <w:jc w:val="left"/>
              <w:rPr>
                <w:rFonts w:ascii="Arial" w:hAnsi="Arial" w:cs="Arial"/>
                <w:lang w:val="en-BB"/>
              </w:rPr>
            </w:pPr>
            <w:r w:rsidRPr="00B51E6F">
              <w:rPr>
                <w:rFonts w:ascii="Arial" w:hAnsi="Arial" w:cs="Arial"/>
                <w:lang w:val="en-BB"/>
              </w:rPr>
              <w:t>Master licence</w:t>
            </w:r>
          </w:p>
        </w:tc>
        <w:tc>
          <w:tcPr>
            <w:tcW w:w="160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3DA76DB2" w14:textId="77777777" w:rsidR="005B4CFF" w:rsidRPr="00B51E6F" w:rsidRDefault="005B4CFF" w:rsidP="0095526A">
            <w:pPr>
              <w:jc w:val="left"/>
              <w:rPr>
                <w:rFonts w:ascii="Arial" w:hAnsi="Arial" w:cs="Arial"/>
                <w:lang w:val="en-BB"/>
              </w:rPr>
            </w:pPr>
            <w:r w:rsidRPr="00B51E6F">
              <w:rPr>
                <w:rFonts w:ascii="Arial" w:hAnsi="Arial" w:cs="Arial"/>
                <w:lang w:val="en-BB"/>
              </w:rPr>
              <w:t>Low</w:t>
            </w:r>
          </w:p>
        </w:tc>
        <w:tc>
          <w:tcPr>
            <w:tcW w:w="150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5B282340" w14:textId="77777777" w:rsidR="005B4CFF" w:rsidRPr="00B51E6F" w:rsidRDefault="005B4CFF" w:rsidP="0095526A">
            <w:pPr>
              <w:jc w:val="left"/>
              <w:rPr>
                <w:rFonts w:ascii="Arial" w:hAnsi="Arial" w:cs="Arial"/>
                <w:lang w:val="en-BB"/>
              </w:rPr>
            </w:pPr>
            <w:r w:rsidRPr="00B51E6F">
              <w:rPr>
                <w:rFonts w:ascii="Arial" w:hAnsi="Arial" w:cs="Arial"/>
                <w:lang w:val="en-BB"/>
              </w:rPr>
              <w:t>Medium-low</w:t>
            </w:r>
          </w:p>
        </w:tc>
        <w:tc>
          <w:tcPr>
            <w:tcW w:w="160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2DDD2312" w14:textId="77777777" w:rsidR="005B4CFF" w:rsidRPr="00B51E6F" w:rsidRDefault="005B4CFF" w:rsidP="0095526A">
            <w:pPr>
              <w:jc w:val="left"/>
              <w:rPr>
                <w:rFonts w:ascii="Arial" w:hAnsi="Arial" w:cs="Arial"/>
                <w:lang w:val="en-BB"/>
              </w:rPr>
            </w:pPr>
            <w:r w:rsidRPr="00B51E6F">
              <w:rPr>
                <w:rFonts w:ascii="Arial" w:hAnsi="Arial" w:cs="Arial"/>
                <w:lang w:val="en-BB"/>
              </w:rPr>
              <w:t>High</w:t>
            </w:r>
          </w:p>
        </w:tc>
        <w:tc>
          <w:tcPr>
            <w:tcW w:w="341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179734B2" w14:textId="77777777" w:rsidR="005B4CFF" w:rsidRPr="00B51E6F" w:rsidRDefault="005B4CFF" w:rsidP="0095526A">
            <w:pPr>
              <w:jc w:val="left"/>
              <w:rPr>
                <w:rFonts w:ascii="Arial" w:hAnsi="Arial" w:cs="Arial"/>
                <w:lang w:val="en-BB"/>
              </w:rPr>
            </w:pPr>
            <w:r w:rsidRPr="00B51E6F">
              <w:rPr>
                <w:rFonts w:ascii="Arial" w:hAnsi="Arial" w:cs="Arial"/>
                <w:lang w:val="en-BB"/>
              </w:rPr>
              <w:t>Fast and flexible, although execution and partner dependence may weaken brand consistency.</w:t>
            </w:r>
          </w:p>
        </w:tc>
      </w:tr>
      <w:tr w:rsidR="005B4CFF" w:rsidRPr="00B51E6F" w14:paraId="38A33E6F" w14:textId="77777777" w:rsidTr="008D0714">
        <w:tc>
          <w:tcPr>
            <w:tcW w:w="125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44CCFE77" w14:textId="77777777" w:rsidR="005B4CFF" w:rsidRPr="00B51E6F" w:rsidRDefault="005B4CFF" w:rsidP="0095526A">
            <w:pPr>
              <w:jc w:val="left"/>
              <w:rPr>
                <w:rFonts w:ascii="Arial" w:hAnsi="Arial" w:cs="Arial"/>
                <w:lang w:val="en-BB"/>
              </w:rPr>
            </w:pPr>
            <w:r w:rsidRPr="00B51E6F">
              <w:rPr>
                <w:rFonts w:ascii="Arial" w:hAnsi="Arial" w:cs="Arial"/>
                <w:lang w:val="en-BB"/>
              </w:rPr>
              <w:t>Wholly owned greenfield</w:t>
            </w:r>
          </w:p>
        </w:tc>
        <w:tc>
          <w:tcPr>
            <w:tcW w:w="160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074AECC2" w14:textId="77777777" w:rsidR="005B4CFF" w:rsidRPr="00B51E6F" w:rsidRDefault="005B4CFF" w:rsidP="0095526A">
            <w:pPr>
              <w:jc w:val="left"/>
              <w:rPr>
                <w:rFonts w:ascii="Arial" w:hAnsi="Arial" w:cs="Arial"/>
                <w:lang w:val="en-BB"/>
              </w:rPr>
            </w:pPr>
            <w:r w:rsidRPr="00B51E6F">
              <w:rPr>
                <w:rFonts w:ascii="Arial" w:hAnsi="Arial" w:cs="Arial"/>
                <w:lang w:val="en-BB"/>
              </w:rPr>
              <w:t>Very high</w:t>
            </w:r>
          </w:p>
        </w:tc>
        <w:tc>
          <w:tcPr>
            <w:tcW w:w="150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60697390" w14:textId="77777777" w:rsidR="005B4CFF" w:rsidRPr="00B51E6F" w:rsidRDefault="005B4CFF" w:rsidP="0095526A">
            <w:pPr>
              <w:jc w:val="left"/>
              <w:rPr>
                <w:rFonts w:ascii="Arial" w:hAnsi="Arial" w:cs="Arial"/>
                <w:lang w:val="en-BB"/>
              </w:rPr>
            </w:pPr>
            <w:r w:rsidRPr="00B51E6F">
              <w:rPr>
                <w:rFonts w:ascii="Arial" w:hAnsi="Arial" w:cs="Arial"/>
                <w:lang w:val="en-BB"/>
              </w:rPr>
              <w:t>Very high</w:t>
            </w:r>
          </w:p>
        </w:tc>
        <w:tc>
          <w:tcPr>
            <w:tcW w:w="160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48835825" w14:textId="77777777" w:rsidR="005B4CFF" w:rsidRPr="00B51E6F" w:rsidRDefault="005B4CFF" w:rsidP="0095526A">
            <w:pPr>
              <w:jc w:val="left"/>
              <w:rPr>
                <w:rFonts w:ascii="Arial" w:hAnsi="Arial" w:cs="Arial"/>
                <w:lang w:val="en-BB"/>
              </w:rPr>
            </w:pPr>
            <w:r w:rsidRPr="00B51E6F">
              <w:rPr>
                <w:rFonts w:ascii="Arial" w:hAnsi="Arial" w:cs="Arial"/>
                <w:lang w:val="en-BB"/>
              </w:rPr>
              <w:t>Initially low</w:t>
            </w:r>
          </w:p>
        </w:tc>
        <w:tc>
          <w:tcPr>
            <w:tcW w:w="3410" w:type="dxa"/>
            <w:tcBorders>
              <w:top w:val="single" w:sz="4" w:space="0" w:color="000000"/>
              <w:left w:val="single" w:sz="4" w:space="0" w:color="000000"/>
              <w:bottom w:val="single" w:sz="4" w:space="0" w:color="000000"/>
              <w:right w:val="single" w:sz="4" w:space="0" w:color="000000"/>
            </w:tcBorders>
            <w:tcMar>
              <w:top w:w="90" w:type="dxa"/>
              <w:left w:w="108" w:type="dxa"/>
              <w:bottom w:w="90" w:type="dxa"/>
              <w:right w:w="108" w:type="dxa"/>
            </w:tcMar>
            <w:vAlign w:val="center"/>
            <w:hideMark/>
          </w:tcPr>
          <w:p w14:paraId="71D94E71" w14:textId="77777777" w:rsidR="005B4CFF" w:rsidRPr="00B51E6F" w:rsidRDefault="005B4CFF" w:rsidP="0095526A">
            <w:pPr>
              <w:jc w:val="left"/>
              <w:rPr>
                <w:rFonts w:ascii="Arial" w:hAnsi="Arial" w:cs="Arial"/>
                <w:lang w:val="en-BB"/>
              </w:rPr>
            </w:pPr>
            <w:r w:rsidRPr="00B51E6F">
              <w:rPr>
                <w:rFonts w:ascii="Arial" w:hAnsi="Arial" w:cs="Arial"/>
                <w:lang w:val="en-BB"/>
              </w:rPr>
              <w:t>Strong control, but excessive exposure before demand, supply reliability and regulation are proven.</w:t>
            </w:r>
          </w:p>
        </w:tc>
      </w:tr>
      <w:tr w:rsidR="005B4CFF" w:rsidRPr="00B51E6F" w14:paraId="626E4D89" w14:textId="77777777" w:rsidTr="008D0714">
        <w:tc>
          <w:tcPr>
            <w:tcW w:w="125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699F0C0D" w14:textId="77777777" w:rsidR="005B4CFF" w:rsidRPr="00B51E6F" w:rsidRDefault="005B4CFF" w:rsidP="0095526A">
            <w:pPr>
              <w:jc w:val="left"/>
              <w:rPr>
                <w:rFonts w:ascii="Arial" w:hAnsi="Arial" w:cs="Arial"/>
                <w:lang w:val="en-BB"/>
              </w:rPr>
            </w:pPr>
            <w:r w:rsidRPr="00B51E6F">
              <w:rPr>
                <w:rFonts w:ascii="Arial" w:hAnsi="Arial" w:cs="Arial"/>
                <w:lang w:val="en-BB"/>
              </w:rPr>
              <w:t>Equity joint venture</w:t>
            </w:r>
          </w:p>
        </w:tc>
        <w:tc>
          <w:tcPr>
            <w:tcW w:w="160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159E45DD" w14:textId="77777777" w:rsidR="005B4CFF" w:rsidRPr="00B51E6F" w:rsidRDefault="005B4CFF" w:rsidP="0095526A">
            <w:pPr>
              <w:jc w:val="left"/>
              <w:rPr>
                <w:rFonts w:ascii="Arial" w:hAnsi="Arial" w:cs="Arial"/>
                <w:lang w:val="en-BB"/>
              </w:rPr>
            </w:pPr>
            <w:r w:rsidRPr="00B51E6F">
              <w:rPr>
                <w:rFonts w:ascii="Arial" w:hAnsi="Arial" w:cs="Arial"/>
                <w:lang w:val="en-BB"/>
              </w:rPr>
              <w:t>Medium-high and shared</w:t>
            </w:r>
          </w:p>
        </w:tc>
        <w:tc>
          <w:tcPr>
            <w:tcW w:w="150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73EADB6A" w14:textId="77777777" w:rsidR="005B4CFF" w:rsidRPr="00B51E6F" w:rsidRDefault="005B4CFF" w:rsidP="0095526A">
            <w:pPr>
              <w:jc w:val="left"/>
              <w:rPr>
                <w:rFonts w:ascii="Arial" w:hAnsi="Arial" w:cs="Arial"/>
                <w:lang w:val="en-BB"/>
              </w:rPr>
            </w:pPr>
            <w:r w:rsidRPr="00B51E6F">
              <w:rPr>
                <w:rFonts w:ascii="Arial" w:hAnsi="Arial" w:cs="Arial"/>
                <w:lang w:val="en-BB"/>
              </w:rPr>
              <w:t>High if rights are well designed</w:t>
            </w:r>
          </w:p>
        </w:tc>
        <w:tc>
          <w:tcPr>
            <w:tcW w:w="160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13F07130" w14:textId="77777777" w:rsidR="005B4CFF" w:rsidRPr="00B51E6F" w:rsidRDefault="005B4CFF" w:rsidP="0095526A">
            <w:pPr>
              <w:jc w:val="left"/>
              <w:rPr>
                <w:rFonts w:ascii="Arial" w:hAnsi="Arial" w:cs="Arial"/>
                <w:lang w:val="en-BB"/>
              </w:rPr>
            </w:pPr>
            <w:r w:rsidRPr="00B51E6F">
              <w:rPr>
                <w:rFonts w:ascii="Arial" w:hAnsi="Arial" w:cs="Arial"/>
                <w:lang w:val="en-BB"/>
              </w:rPr>
              <w:t>High</w:t>
            </w:r>
          </w:p>
        </w:tc>
        <w:tc>
          <w:tcPr>
            <w:tcW w:w="3410" w:type="dxa"/>
            <w:tcBorders>
              <w:top w:val="single" w:sz="4" w:space="0" w:color="000000"/>
              <w:left w:val="single" w:sz="4" w:space="0" w:color="000000"/>
              <w:bottom w:val="single" w:sz="4" w:space="0" w:color="000000"/>
              <w:right w:val="single" w:sz="4" w:space="0" w:color="000000"/>
            </w:tcBorders>
            <w:shd w:val="clear" w:color="auto" w:fill="EAF2F8"/>
            <w:tcMar>
              <w:top w:w="90" w:type="dxa"/>
              <w:left w:w="108" w:type="dxa"/>
              <w:bottom w:w="90" w:type="dxa"/>
              <w:right w:w="108" w:type="dxa"/>
            </w:tcMar>
            <w:vAlign w:val="center"/>
            <w:hideMark/>
          </w:tcPr>
          <w:p w14:paraId="0A3305B3" w14:textId="77777777" w:rsidR="005B4CFF" w:rsidRPr="00B51E6F" w:rsidRDefault="005B4CFF" w:rsidP="0095526A">
            <w:pPr>
              <w:jc w:val="left"/>
              <w:rPr>
                <w:rFonts w:ascii="Arial" w:hAnsi="Arial" w:cs="Arial"/>
                <w:lang w:val="en-BB"/>
              </w:rPr>
            </w:pPr>
            <w:r w:rsidRPr="00B51E6F">
              <w:rPr>
                <w:rFonts w:ascii="Arial" w:hAnsi="Arial" w:cs="Arial"/>
                <w:lang w:val="en-BB"/>
              </w:rPr>
              <w:t>Best balance: partner access plus Starbucks control; requires deadlock, audit, performance and exit provisions.</w:t>
            </w:r>
          </w:p>
        </w:tc>
      </w:tr>
    </w:tbl>
    <w:p w14:paraId="3CA172BC" w14:textId="77777777" w:rsidR="005B4CFF" w:rsidRDefault="005B4CFF" w:rsidP="0095526A">
      <w:pPr>
        <w:jc w:val="left"/>
        <w:rPr>
          <w:rFonts w:ascii="Arial" w:hAnsi="Arial" w:cs="Arial"/>
          <w:lang w:val="en-BB"/>
        </w:rPr>
      </w:pPr>
      <w:r w:rsidRPr="00B51E6F">
        <w:rPr>
          <w:rFonts w:ascii="Arial" w:hAnsi="Arial" w:cs="Arial"/>
          <w:lang w:val="en-BB"/>
        </w:rPr>
        <w:t>Source: Author’s analysis based on Starbucks Corporation (2019; 2025a; 2025c; 2026a) and Tata Consumer Products (2012).</w:t>
      </w:r>
    </w:p>
    <w:p w14:paraId="25C15C8C" w14:textId="77777777" w:rsidR="0019091A" w:rsidRPr="00B51E6F" w:rsidRDefault="0019091A" w:rsidP="0095526A">
      <w:pPr>
        <w:jc w:val="left"/>
        <w:rPr>
          <w:rFonts w:ascii="Arial" w:hAnsi="Arial" w:cs="Arial"/>
          <w:lang w:val="en-BB"/>
        </w:rPr>
      </w:pPr>
    </w:p>
    <w:p w14:paraId="18BB7AB4" w14:textId="77777777" w:rsidR="005B4CFF" w:rsidRPr="00B51E6F" w:rsidRDefault="005B4CFF" w:rsidP="0095526A">
      <w:pPr>
        <w:jc w:val="left"/>
        <w:rPr>
          <w:rFonts w:ascii="Arial" w:hAnsi="Arial" w:cs="Arial"/>
          <w:lang w:val="en-BB"/>
        </w:rPr>
      </w:pPr>
      <w:r w:rsidRPr="00B51E6F">
        <w:rPr>
          <w:rFonts w:ascii="Arial" w:hAnsi="Arial" w:cs="Arial"/>
          <w:b/>
          <w:bCs/>
          <w:lang w:val="en-BB"/>
        </w:rPr>
        <w:t>4.3 Recommended entry and implementation</w:t>
      </w:r>
    </w:p>
    <w:p w14:paraId="6B5F0E26" w14:textId="77777777" w:rsidR="005B4CFF" w:rsidRPr="00B51E6F" w:rsidRDefault="005B4CFF" w:rsidP="0095526A">
      <w:pPr>
        <w:jc w:val="left"/>
        <w:rPr>
          <w:rFonts w:ascii="Arial" w:hAnsi="Arial" w:cs="Arial"/>
          <w:lang w:val="en-BB"/>
        </w:rPr>
      </w:pPr>
      <w:r w:rsidRPr="00B51E6F">
        <w:rPr>
          <w:rFonts w:ascii="Arial" w:hAnsi="Arial" w:cs="Arial"/>
          <w:lang w:val="en-BB"/>
        </w:rPr>
        <w:t>Starbucks should enter through a staged equity joint venture with a reputable Bangladeshi conglomerate experienced in international foodservice or premium retail. The equity ratio should follow a governance assessment rather than symbolically copy India. Starbucks could hold a majority if needed to consolidate control. Candidate assessment should cover audited finance, imports, cold chain, property access, safety, employment, political exposure and anti-bribery systems.</w:t>
      </w:r>
    </w:p>
    <w:p w14:paraId="38AEC1F0" w14:textId="77777777" w:rsidR="005B4CFF" w:rsidRPr="00B51E6F" w:rsidRDefault="005B4CFF" w:rsidP="0095526A">
      <w:pPr>
        <w:jc w:val="left"/>
        <w:rPr>
          <w:rFonts w:ascii="Arial" w:hAnsi="Arial" w:cs="Arial"/>
          <w:lang w:val="en-BB"/>
        </w:rPr>
      </w:pPr>
      <w:r w:rsidRPr="00B51E6F">
        <w:rPr>
          <w:rFonts w:ascii="Arial" w:hAnsi="Arial" w:cs="Arial"/>
          <w:lang w:val="en-BB"/>
        </w:rPr>
        <w:t>Starbucks should approve trademarks, store design, coffee, critical ingredients, suppliers, training, senior appointments, digital systems, budgets and openings. The partner should lead property, approvals, recruitment, logistics and local supplier development. Neither party should pursue store count at the expense of economics.</w:t>
      </w:r>
    </w:p>
    <w:p w14:paraId="2352F107" w14:textId="77777777" w:rsidR="005B4CFF" w:rsidRPr="00B51E6F" w:rsidRDefault="005B4CFF" w:rsidP="0095526A">
      <w:pPr>
        <w:jc w:val="left"/>
        <w:rPr>
          <w:rFonts w:ascii="Arial" w:hAnsi="Arial" w:cs="Arial"/>
          <w:lang w:val="en-BB"/>
        </w:rPr>
      </w:pPr>
      <w:r w:rsidRPr="00B51E6F">
        <w:rPr>
          <w:rFonts w:ascii="Arial" w:hAnsi="Arial" w:cs="Arial"/>
          <w:lang w:val="en-BB"/>
        </w:rPr>
        <w:lastRenderedPageBreak/>
        <w:t>Implementation should proceed through four stages. First, research should validate willingness to pay, map competitors and complete legal and reputational due diligence. Marks and tariff classifications should be secured. Second, the venture should approve halal ingredients, develop local food suppliers, train management and test bilingual menus. Third, two or three Dhaka stores should open: one flagship and smaller formats testing takeaway and delivery. A cluster shares training and distribution. Fourth, after 18-24 months, expansion should occur only if evidence supports it.</w:t>
      </w:r>
    </w:p>
    <w:p w14:paraId="3FF54F0B" w14:textId="77777777" w:rsidR="005B4CFF" w:rsidRPr="00B51E6F" w:rsidRDefault="005B4CFF" w:rsidP="0095526A">
      <w:pPr>
        <w:jc w:val="left"/>
        <w:rPr>
          <w:rFonts w:ascii="Arial" w:hAnsi="Arial" w:cs="Arial"/>
          <w:lang w:val="en-BB"/>
        </w:rPr>
      </w:pPr>
      <w:r w:rsidRPr="00B51E6F">
        <w:rPr>
          <w:rFonts w:ascii="Arial" w:hAnsi="Arial" w:cs="Arial"/>
          <w:lang w:val="en-BB"/>
        </w:rPr>
        <w:t>Management should monitor transactions, average spending, repeat visits, operating margin, rent-to-sales, waiting time, delivery mix, staff turnover, local sourcing, currency-adjusted imports, safety incidents and clearance time. Expansion should pause if stores remain unprofitable after stabilisation, repeat demand is weak, imports are unreliable or compliance fails. The agreement should allow corrective action, suspended development, buyout or exit following serious breaches.</w:t>
      </w:r>
    </w:p>
    <w:p w14:paraId="40E626FF" w14:textId="77777777" w:rsidR="005B4CFF" w:rsidRPr="00B51E6F" w:rsidRDefault="005B4CFF" w:rsidP="0095526A">
      <w:pPr>
        <w:jc w:val="left"/>
        <w:rPr>
          <w:rFonts w:ascii="Arial" w:hAnsi="Arial" w:cs="Arial"/>
          <w:lang w:val="en-BB"/>
        </w:rPr>
      </w:pPr>
      <w:r w:rsidRPr="00B51E6F">
        <w:rPr>
          <w:rFonts w:ascii="Arial" w:hAnsi="Arial" w:cs="Arial"/>
          <w:lang w:val="en-BB"/>
        </w:rPr>
        <w:t>Governance should convert indicators into decisions. The board should review a dashboard monthly and conduct formal stage gates at six, twelve and twenty-four months. Expansion should require commercial and non-financial thresholds: positive margins should not override food-safety, labour or ethical failures, while awareness should not justify growth if repeat purchasing remains weak. This prevents management from selecting favourable metrics while ignoring evidence that challenges the entry thesis.</w:t>
      </w:r>
    </w:p>
    <w:p w14:paraId="03A45BDA" w14:textId="77777777" w:rsidR="0019091A" w:rsidRDefault="0019091A" w:rsidP="0095526A">
      <w:pPr>
        <w:jc w:val="left"/>
        <w:rPr>
          <w:rFonts w:ascii="Arial" w:hAnsi="Arial" w:cs="Arial"/>
          <w:b/>
          <w:bCs/>
          <w:lang w:val="en-BB"/>
        </w:rPr>
      </w:pPr>
    </w:p>
    <w:p w14:paraId="5872E1D9" w14:textId="0608334A" w:rsidR="005B4CFF" w:rsidRPr="00B51E6F" w:rsidRDefault="005B4CFF" w:rsidP="0095526A">
      <w:pPr>
        <w:jc w:val="left"/>
        <w:rPr>
          <w:rFonts w:ascii="Arial" w:hAnsi="Arial" w:cs="Arial"/>
          <w:lang w:val="en-BB"/>
        </w:rPr>
      </w:pPr>
      <w:r w:rsidRPr="00B51E6F">
        <w:rPr>
          <w:rFonts w:ascii="Arial" w:hAnsi="Arial" w:cs="Arial"/>
          <w:b/>
          <w:bCs/>
          <w:lang w:val="en-BB"/>
        </w:rPr>
        <w:t>5. Conclusion and Recommendations</w:t>
      </w:r>
    </w:p>
    <w:p w14:paraId="4A4F1A2C" w14:textId="77777777" w:rsidR="005B4CFF" w:rsidRPr="00B51E6F" w:rsidRDefault="005B4CFF" w:rsidP="0095526A">
      <w:pPr>
        <w:jc w:val="left"/>
        <w:rPr>
          <w:rFonts w:ascii="Arial" w:hAnsi="Arial" w:cs="Arial"/>
          <w:lang w:val="en-BB"/>
        </w:rPr>
      </w:pPr>
      <w:r w:rsidRPr="00B51E6F">
        <w:rPr>
          <w:rFonts w:ascii="Arial" w:hAnsi="Arial" w:cs="Arial"/>
          <w:lang w:val="en-BB"/>
        </w:rPr>
        <w:t>Starbucks exhibits a transnationally oriented strategy that combines global brand integration with local products, partners and ownership arrangements. Its footprint creates ownership advantages through reputation, coffee expertise, digital capabilities and standardised service. Bangladesh offers selective location advantages through urban scale, younger consumers and developing café culture. These are weakened by purchasing power, inflation, currency constraints, import dependence, regulation and tea-based consumption.</w:t>
      </w:r>
    </w:p>
    <w:p w14:paraId="57ABE9BE" w14:textId="77777777" w:rsidR="005B4CFF" w:rsidRPr="00B51E6F" w:rsidRDefault="005B4CFF" w:rsidP="0095526A">
      <w:pPr>
        <w:jc w:val="left"/>
        <w:rPr>
          <w:rFonts w:ascii="Arial" w:hAnsi="Arial" w:cs="Arial"/>
          <w:lang w:val="en-BB"/>
        </w:rPr>
      </w:pPr>
      <w:r w:rsidRPr="00B51E6F">
        <w:rPr>
          <w:rFonts w:ascii="Arial" w:hAnsi="Arial" w:cs="Arial"/>
          <w:lang w:val="en-BB"/>
        </w:rPr>
        <w:t>Starbucks should enter Bangladesh only through a controlled and reversible strategy. A staged equity joint venture with a financially strong, ethically credible local partner offers a better balance than exporting, unrestricted licensing or wholly owned entry. Initial investment should be limited to two or three Dhaka stores supported by halal assurance, bilingual communication, selective adaptation and local supplier development. Expansion must depend on repeat demand, positive store margins, reliable supply and regulatory predictability. Bangladesh should be approached as a long-term learning opportunity, not a market for rapid rollout.</w:t>
      </w:r>
    </w:p>
    <w:p w14:paraId="7D40A940" w14:textId="77777777" w:rsidR="005B4CFF" w:rsidRDefault="005B4CFF" w:rsidP="0095526A">
      <w:pPr>
        <w:jc w:val="left"/>
        <w:rPr>
          <w:rFonts w:ascii="Arial" w:hAnsi="Arial" w:cs="Arial"/>
          <w:lang w:val="en-BB"/>
        </w:rPr>
      </w:pPr>
    </w:p>
    <w:p w14:paraId="652FB5E5" w14:textId="77777777" w:rsidR="004D6137" w:rsidRPr="00B51E6F" w:rsidRDefault="004D6137" w:rsidP="0095526A">
      <w:pPr>
        <w:jc w:val="left"/>
        <w:rPr>
          <w:rFonts w:ascii="Arial" w:hAnsi="Arial" w:cs="Arial"/>
          <w:lang w:val="en-BB"/>
        </w:rPr>
      </w:pPr>
    </w:p>
    <w:p w14:paraId="05FB46BE" w14:textId="69BFC6F6" w:rsidR="005B4CFF" w:rsidRPr="00B51E6F" w:rsidRDefault="005B4CFF" w:rsidP="0095526A">
      <w:pPr>
        <w:jc w:val="left"/>
        <w:rPr>
          <w:rFonts w:ascii="Arial" w:hAnsi="Arial" w:cs="Arial"/>
          <w:lang w:val="en-BB"/>
        </w:rPr>
      </w:pPr>
      <w:r w:rsidRPr="00B51E6F">
        <w:rPr>
          <w:rFonts w:ascii="Arial" w:hAnsi="Arial" w:cs="Arial"/>
          <w:b/>
          <w:bCs/>
          <w:lang w:val="en-BB"/>
        </w:rPr>
        <w:lastRenderedPageBreak/>
        <w:t>Section 2: Reflective Account Using Gibbs’ Reflective Cycle</w:t>
      </w:r>
    </w:p>
    <w:p w14:paraId="13D5A91D" w14:textId="77777777" w:rsidR="005B4CFF" w:rsidRPr="00B51E6F" w:rsidRDefault="005B4CFF" w:rsidP="0095526A">
      <w:pPr>
        <w:jc w:val="left"/>
        <w:rPr>
          <w:rFonts w:ascii="Arial" w:hAnsi="Arial" w:cs="Arial"/>
          <w:lang w:val="en-BB"/>
        </w:rPr>
      </w:pPr>
      <w:r w:rsidRPr="00B51E6F">
        <w:rPr>
          <w:rFonts w:ascii="Arial" w:hAnsi="Arial" w:cs="Arial"/>
          <w:b/>
          <w:bCs/>
          <w:lang w:val="en-BB"/>
        </w:rPr>
        <w:t>6.1 Description</w:t>
      </w:r>
    </w:p>
    <w:p w14:paraId="06C578F5" w14:textId="77777777" w:rsidR="005B4CFF" w:rsidRPr="00B51E6F" w:rsidRDefault="005B4CFF" w:rsidP="0095526A">
      <w:pPr>
        <w:jc w:val="left"/>
        <w:rPr>
          <w:rFonts w:ascii="Arial" w:hAnsi="Arial" w:cs="Arial"/>
          <w:lang w:val="en-BB"/>
        </w:rPr>
      </w:pPr>
      <w:r w:rsidRPr="00B51E6F">
        <w:rPr>
          <w:rFonts w:ascii="Arial" w:hAnsi="Arial" w:cs="Arial"/>
          <w:lang w:val="en-BB"/>
        </w:rPr>
        <w:t>I began by separating the assessment into classification, host-market evaluation and entry-mode selection. Choosing the company-country combination was fundamental because the firm had to qualify as an MNC yet lack significant host-market operations by 1 June 2026. Starbucks was selected because of its UK and Indian operations and absence of an identified authorised Bangladesh coffeehouse.</w:t>
      </w:r>
    </w:p>
    <w:p w14:paraId="60BE040D" w14:textId="77777777" w:rsidR="005B4CFF" w:rsidRPr="00B51E6F" w:rsidRDefault="005B4CFF" w:rsidP="0095526A">
      <w:pPr>
        <w:jc w:val="left"/>
        <w:rPr>
          <w:rFonts w:ascii="Arial" w:hAnsi="Arial" w:cs="Arial"/>
          <w:lang w:val="en-BB"/>
        </w:rPr>
      </w:pPr>
      <w:r w:rsidRPr="00B51E6F">
        <w:rPr>
          <w:rFonts w:ascii="Arial" w:hAnsi="Arial" w:cs="Arial"/>
          <w:lang w:val="en-BB"/>
        </w:rPr>
        <w:t>My research relied mainly on academic journal databases and university library resources. I used them to examine integration-responsiveness theory, OLI and entry mode. I connected these readings with corporate, government and international evidence. Gibbs’ (1988) cycle structures this reflection.</w:t>
      </w:r>
    </w:p>
    <w:p w14:paraId="75F3BA94" w14:textId="77777777" w:rsidR="005B4CFF" w:rsidRPr="00B51E6F" w:rsidRDefault="005B4CFF" w:rsidP="0095526A">
      <w:pPr>
        <w:jc w:val="left"/>
        <w:rPr>
          <w:rFonts w:ascii="Arial" w:hAnsi="Arial" w:cs="Arial"/>
          <w:b/>
          <w:bCs/>
          <w:lang w:val="en-BB"/>
        </w:rPr>
      </w:pPr>
    </w:p>
    <w:p w14:paraId="74AE57A3" w14:textId="34A9ECF1" w:rsidR="005B4CFF" w:rsidRPr="00B51E6F" w:rsidRDefault="005B4CFF" w:rsidP="0095526A">
      <w:pPr>
        <w:jc w:val="left"/>
        <w:rPr>
          <w:rFonts w:ascii="Arial" w:hAnsi="Arial" w:cs="Arial"/>
          <w:lang w:val="en-BB"/>
        </w:rPr>
      </w:pPr>
      <w:r w:rsidRPr="00B51E6F">
        <w:rPr>
          <w:rFonts w:ascii="Arial" w:hAnsi="Arial" w:cs="Arial"/>
          <w:b/>
          <w:bCs/>
          <w:lang w:val="en-BB"/>
        </w:rPr>
        <w:t>6.2 Feelings</w:t>
      </w:r>
    </w:p>
    <w:p w14:paraId="5F64FE27" w14:textId="77777777" w:rsidR="005B4CFF" w:rsidRPr="00B51E6F" w:rsidRDefault="005B4CFF" w:rsidP="0095526A">
      <w:pPr>
        <w:jc w:val="left"/>
        <w:rPr>
          <w:rFonts w:ascii="Arial" w:hAnsi="Arial" w:cs="Arial"/>
          <w:lang w:val="en-BB"/>
        </w:rPr>
      </w:pPr>
      <w:r w:rsidRPr="00B51E6F">
        <w:rPr>
          <w:rFonts w:ascii="Arial" w:hAnsi="Arial" w:cs="Arial"/>
          <w:lang w:val="en-BB"/>
        </w:rPr>
        <w:t>Initially I felt confident about the broad task but recognised that a company profile or generic PESTLE would not demonstrate critical analysis. My early assumption was that Bangladesh’s population made it automatically attractive. Research made me more cautious because income, inflation and beverage habits substantially narrow the realistic market.</w:t>
      </w:r>
    </w:p>
    <w:p w14:paraId="4076F469" w14:textId="77777777" w:rsidR="005B4CFF" w:rsidRPr="00B51E6F" w:rsidRDefault="005B4CFF" w:rsidP="0095526A">
      <w:pPr>
        <w:jc w:val="left"/>
        <w:rPr>
          <w:rFonts w:ascii="Arial" w:hAnsi="Arial" w:cs="Arial"/>
          <w:lang w:val="en-BB"/>
        </w:rPr>
      </w:pPr>
      <w:r w:rsidRPr="00B51E6F">
        <w:rPr>
          <w:rFonts w:ascii="Arial" w:hAnsi="Arial" w:cs="Arial"/>
          <w:lang w:val="en-BB"/>
        </w:rPr>
        <w:t>I did not identify one component as uniquely difficult. The main intellectual demand was maintaining consistency between frameworks. The recommended mode needed to follow from the environmental and OLI evidence rather than appear as an unsupported preference.</w:t>
      </w:r>
    </w:p>
    <w:p w14:paraId="333E0E58" w14:textId="77777777" w:rsidR="004D6137" w:rsidRDefault="004D6137" w:rsidP="0095526A">
      <w:pPr>
        <w:jc w:val="left"/>
        <w:rPr>
          <w:rFonts w:ascii="Arial" w:hAnsi="Arial" w:cs="Arial"/>
          <w:b/>
          <w:bCs/>
          <w:lang w:val="en-BB"/>
        </w:rPr>
      </w:pPr>
    </w:p>
    <w:p w14:paraId="2E8B3C9C" w14:textId="7261F698" w:rsidR="005B4CFF" w:rsidRPr="00B51E6F" w:rsidRDefault="005B4CFF" w:rsidP="0095526A">
      <w:pPr>
        <w:jc w:val="left"/>
        <w:rPr>
          <w:rFonts w:ascii="Arial" w:hAnsi="Arial" w:cs="Arial"/>
          <w:lang w:val="en-BB"/>
        </w:rPr>
      </w:pPr>
      <w:r w:rsidRPr="00B51E6F">
        <w:rPr>
          <w:rFonts w:ascii="Arial" w:hAnsi="Arial" w:cs="Arial"/>
          <w:b/>
          <w:bCs/>
          <w:lang w:val="en-BB"/>
        </w:rPr>
        <w:t>6.3 Evaluation</w:t>
      </w:r>
    </w:p>
    <w:p w14:paraId="2EA0E5B2" w14:textId="77777777" w:rsidR="005B4CFF" w:rsidRPr="00B51E6F" w:rsidRDefault="005B4CFF" w:rsidP="0095526A">
      <w:pPr>
        <w:jc w:val="left"/>
        <w:rPr>
          <w:rFonts w:ascii="Arial" w:hAnsi="Arial" w:cs="Arial"/>
          <w:lang w:val="en-BB"/>
        </w:rPr>
      </w:pPr>
      <w:r w:rsidRPr="00B51E6F">
        <w:rPr>
          <w:rFonts w:ascii="Arial" w:hAnsi="Arial" w:cs="Arial"/>
          <w:lang w:val="en-BB"/>
        </w:rPr>
        <w:t>Dividing the work according to the assessment criteria and word allocations was effective. It directed attention toward foreign exchange, food regulation, halal assurance and partnership rather than an exhaustive list of national facts. Academic databases and library materials helped me move beyond simplified explanations of Bartlett and Ghoshal and Dunning. Original and established sources clarified each framework’s purpose and limitations.</w:t>
      </w:r>
    </w:p>
    <w:p w14:paraId="6D9899E7" w14:textId="77777777" w:rsidR="005B4CFF" w:rsidRPr="00B51E6F" w:rsidRDefault="005B4CFF" w:rsidP="0095526A">
      <w:pPr>
        <w:jc w:val="left"/>
        <w:rPr>
          <w:rFonts w:ascii="Arial" w:hAnsi="Arial" w:cs="Arial"/>
          <w:lang w:val="en-BB"/>
        </w:rPr>
      </w:pPr>
      <w:r w:rsidRPr="00B51E6F">
        <w:rPr>
          <w:rFonts w:ascii="Arial" w:hAnsi="Arial" w:cs="Arial"/>
          <w:lang w:val="en-BB"/>
        </w:rPr>
        <w:t>Combining theory with company and country evidence was also effective. The UK and India showed how Starbucks changes ownership and adaptation. Tata Starbucks was especially relevant, although I had to resist assuming Indian success would transfer automatically.</w:t>
      </w:r>
    </w:p>
    <w:p w14:paraId="1255349F" w14:textId="77777777" w:rsidR="005B4CFF" w:rsidRPr="00B51E6F" w:rsidRDefault="005B4CFF" w:rsidP="0095526A">
      <w:pPr>
        <w:jc w:val="left"/>
        <w:rPr>
          <w:rFonts w:ascii="Arial" w:hAnsi="Arial" w:cs="Arial"/>
          <w:lang w:val="en-BB"/>
        </w:rPr>
      </w:pPr>
      <w:r w:rsidRPr="00B51E6F">
        <w:rPr>
          <w:rFonts w:ascii="Arial" w:hAnsi="Arial" w:cs="Arial"/>
          <w:lang w:val="en-BB"/>
        </w:rPr>
        <w:t>A limitation was that academic databases did not always contain the latest store or 2026 economic information. Peer-reviewed work was strongest for concepts, while corporate, government and international sources were required for current evidence. Company sources may present strategy positively, whereas macroeconomic forecasts may disagree. No source category was sufficient alone.</w:t>
      </w:r>
    </w:p>
    <w:p w14:paraId="69D07B6B" w14:textId="77777777" w:rsidR="005B4CFF" w:rsidRPr="00B51E6F" w:rsidRDefault="005B4CFF" w:rsidP="0095526A">
      <w:pPr>
        <w:jc w:val="left"/>
        <w:rPr>
          <w:rFonts w:ascii="Arial" w:hAnsi="Arial" w:cs="Arial"/>
          <w:lang w:val="en-BB"/>
        </w:rPr>
      </w:pPr>
      <w:r w:rsidRPr="00B51E6F">
        <w:rPr>
          <w:rFonts w:ascii="Arial" w:hAnsi="Arial" w:cs="Arial"/>
          <w:lang w:val="en-BB"/>
        </w:rPr>
        <w:lastRenderedPageBreak/>
        <w:t>Another positive feature was treating absence from Bangladesh carefully. I distinguished authorised operations from independently imported products and businesses using similar names. This sharpened my understanding of market entry. However, proving absence is harder than proving presence. In future, I would document the search trail formally, including store locators, subsidiary disclosures and announcements, so the conclusion is reproducible.</w:t>
      </w:r>
    </w:p>
    <w:p w14:paraId="4E202437" w14:textId="77777777" w:rsidR="004D6137" w:rsidRDefault="004D6137" w:rsidP="0095526A">
      <w:pPr>
        <w:jc w:val="left"/>
        <w:rPr>
          <w:rFonts w:ascii="Arial" w:hAnsi="Arial" w:cs="Arial"/>
          <w:b/>
          <w:bCs/>
          <w:lang w:val="en-BB"/>
        </w:rPr>
      </w:pPr>
    </w:p>
    <w:p w14:paraId="7E1BB8E5" w14:textId="6EB919D0" w:rsidR="005B4CFF" w:rsidRPr="00B51E6F" w:rsidRDefault="005B4CFF" w:rsidP="0095526A">
      <w:pPr>
        <w:jc w:val="left"/>
        <w:rPr>
          <w:rFonts w:ascii="Arial" w:hAnsi="Arial" w:cs="Arial"/>
          <w:lang w:val="en-BB"/>
        </w:rPr>
      </w:pPr>
      <w:r w:rsidRPr="00B51E6F">
        <w:rPr>
          <w:rFonts w:ascii="Arial" w:hAnsi="Arial" w:cs="Arial"/>
          <w:b/>
          <w:bCs/>
          <w:lang w:val="en-BB"/>
        </w:rPr>
        <w:t>6.4 Analysis</w:t>
      </w:r>
    </w:p>
    <w:p w14:paraId="08912128" w14:textId="77777777" w:rsidR="005B4CFF" w:rsidRPr="00B51E6F" w:rsidRDefault="005B4CFF" w:rsidP="0095526A">
      <w:pPr>
        <w:jc w:val="left"/>
        <w:rPr>
          <w:rFonts w:ascii="Arial" w:hAnsi="Arial" w:cs="Arial"/>
          <w:lang w:val="en-BB"/>
        </w:rPr>
      </w:pPr>
      <w:r w:rsidRPr="00B51E6F">
        <w:rPr>
          <w:rFonts w:ascii="Arial" w:hAnsi="Arial" w:cs="Arial"/>
          <w:lang w:val="en-BB"/>
        </w:rPr>
        <w:t>The research changed my understanding of environmental analysis. I initially viewed it as identifying opportunities and threats. I learned that its greater value is explaining consequences for decisions. Inflation affects costs, affordability, pricing, target segments and profitability. Foreign exchange affects imports, royalties, repatriation and local sourcing.</w:t>
      </w:r>
    </w:p>
    <w:p w14:paraId="42B1A7AA" w14:textId="77777777" w:rsidR="005B4CFF" w:rsidRPr="00B51E6F" w:rsidRDefault="005B4CFF" w:rsidP="0095526A">
      <w:pPr>
        <w:jc w:val="left"/>
        <w:rPr>
          <w:rFonts w:ascii="Arial" w:hAnsi="Arial" w:cs="Arial"/>
          <w:lang w:val="en-BB"/>
        </w:rPr>
      </w:pPr>
      <w:r w:rsidRPr="00B51E6F">
        <w:rPr>
          <w:rFonts w:ascii="Arial" w:hAnsi="Arial" w:cs="Arial"/>
          <w:lang w:val="en-BB"/>
        </w:rPr>
        <w:t>Bartlett and Ghoshal (1989) helped explain tension between global identity and adaptation. Starbucks benefits from recognisable quality and experience but Bangladesh requires halal assurance, local food, bilingual communication and suitable prices. Adaptation does not necessarily weaken integration; controlled adaptation can make the brand locally relevant.</w:t>
      </w:r>
    </w:p>
    <w:p w14:paraId="3479FE13" w14:textId="77777777" w:rsidR="005B4CFF" w:rsidRPr="00B51E6F" w:rsidRDefault="005B4CFF" w:rsidP="0095526A">
      <w:pPr>
        <w:jc w:val="left"/>
        <w:rPr>
          <w:rFonts w:ascii="Arial" w:hAnsi="Arial" w:cs="Arial"/>
          <w:lang w:val="en-BB"/>
        </w:rPr>
      </w:pPr>
      <w:r w:rsidRPr="00B51E6F">
        <w:rPr>
          <w:rFonts w:ascii="Arial" w:hAnsi="Arial" w:cs="Arial"/>
          <w:lang w:val="en-BB"/>
        </w:rPr>
        <w:t>OLI organised the entry decision. Starbucks has ownership advantages; Bangladesh has selective location advantages; and control of standards creates internalisation benefits. However, OLI did not independently select the mode. Comparing these advantages with uncertainty led to the joint-venture recommendation. I also recognised that OLI can appear static, whereas demand, exchange rates and learning change after entry. Staged commitment made the strategy more dynamic.</w:t>
      </w:r>
    </w:p>
    <w:p w14:paraId="4714E629" w14:textId="77777777" w:rsidR="005B4CFF" w:rsidRPr="00B51E6F" w:rsidRDefault="005B4CFF" w:rsidP="0095526A">
      <w:pPr>
        <w:jc w:val="left"/>
        <w:rPr>
          <w:rFonts w:ascii="Arial" w:hAnsi="Arial" w:cs="Arial"/>
          <w:lang w:val="en-BB"/>
        </w:rPr>
      </w:pPr>
      <w:r w:rsidRPr="00B51E6F">
        <w:rPr>
          <w:rFonts w:ascii="Arial" w:hAnsi="Arial" w:cs="Arial"/>
          <w:lang w:val="en-BB"/>
        </w:rPr>
        <w:t>Comparison with India strengthened this lesson. Tata demonstrates how a partner contributes legitimacy and sourcing, but Bangladesh has different scale and economics. International comparison should transfer principles, not copy actions. Partnership is transferable; Indian formats and expansion speed may not be.</w:t>
      </w:r>
    </w:p>
    <w:p w14:paraId="7463058D" w14:textId="4C0D3B58" w:rsidR="000144E1" w:rsidRPr="00B51E6F" w:rsidRDefault="005B4CFF" w:rsidP="000144E1">
      <w:pPr>
        <w:jc w:val="left"/>
        <w:rPr>
          <w:rFonts w:ascii="Arial" w:hAnsi="Arial" w:cs="Arial"/>
          <w:lang w:val="en-BB"/>
        </w:rPr>
      </w:pPr>
      <w:r w:rsidRPr="00B51E6F">
        <w:rPr>
          <w:rFonts w:ascii="Arial" w:hAnsi="Arial" w:cs="Arial"/>
          <w:lang w:val="en-BB"/>
        </w:rPr>
        <w:t xml:space="preserve">Source evaluation was equally important. </w:t>
      </w:r>
      <w:r w:rsidR="000144E1" w:rsidRPr="00B51E6F">
        <w:rPr>
          <w:rFonts w:ascii="Arial" w:hAnsi="Arial" w:cs="Arial"/>
          <w:lang w:val="en-BB"/>
        </w:rPr>
        <w:t>Corporate reports were good for store numbers and modes, but of course positive. There were different forecasts, but the international institutions gave independent analysis. Disagreement as proof of uncertainty did not weaken, but strengthened the staged recommendation.</w:t>
      </w:r>
    </w:p>
    <w:p w14:paraId="187B8B2C" w14:textId="4A5E3C78" w:rsidR="005B4CFF" w:rsidRPr="00B51E6F" w:rsidRDefault="000144E1" w:rsidP="000144E1">
      <w:pPr>
        <w:jc w:val="left"/>
        <w:rPr>
          <w:rFonts w:ascii="Arial" w:hAnsi="Arial" w:cs="Arial"/>
          <w:lang w:val="en-BB"/>
        </w:rPr>
      </w:pPr>
      <w:r w:rsidRPr="00B51E6F">
        <w:rPr>
          <w:rFonts w:ascii="Arial" w:hAnsi="Arial" w:cs="Arial"/>
          <w:lang w:val="en-BB"/>
        </w:rPr>
        <w:t>The process demonstrated that the quality of analysis depends on the distribution of words. My first notes had environmental facts, but not consequences.</w:t>
      </w:r>
      <w:r w:rsidR="00C65565" w:rsidRPr="00B51E6F">
        <w:rPr>
          <w:rFonts w:ascii="Arial" w:hAnsi="Arial" w:cs="Arial"/>
          <w:lang w:val="en-BB"/>
        </w:rPr>
        <w:t xml:space="preserve"> </w:t>
      </w:r>
      <w:r w:rsidR="005B4CFF" w:rsidRPr="00B51E6F">
        <w:rPr>
          <w:rFonts w:ascii="Arial" w:hAnsi="Arial" w:cs="Arial"/>
          <w:lang w:val="en-BB"/>
        </w:rPr>
        <w:t>Revising within a limit forced me to remove background description and retain factors changing demand, cost, risk or control. I now understand editing as prioritising evidence, not simply shortening sentences.</w:t>
      </w:r>
    </w:p>
    <w:p w14:paraId="5025AFC2"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I also became aware of confirmation bias. Once a joint venture appeared suitable, the Indian example could easily have been treated as proof. Comparing licensing, acquisition and ownership forced me to test that preference. The recommendation became more credible </w:t>
      </w:r>
      <w:r w:rsidRPr="00B51E6F">
        <w:rPr>
          <w:rFonts w:ascii="Arial" w:hAnsi="Arial" w:cs="Arial"/>
          <w:lang w:val="en-BB"/>
        </w:rPr>
        <w:lastRenderedPageBreak/>
        <w:t>because I acknowledged shared-profit and partner-conflict costs and proposed safeguards rather than presenting partnership as risk-free.</w:t>
      </w:r>
    </w:p>
    <w:p w14:paraId="046E422B" w14:textId="77777777" w:rsidR="004D6137" w:rsidRDefault="004D6137" w:rsidP="0095526A">
      <w:pPr>
        <w:jc w:val="left"/>
        <w:rPr>
          <w:rFonts w:ascii="Arial" w:hAnsi="Arial" w:cs="Arial"/>
          <w:b/>
          <w:bCs/>
          <w:lang w:val="en-BB"/>
        </w:rPr>
      </w:pPr>
    </w:p>
    <w:p w14:paraId="0D958CA6" w14:textId="421A424C" w:rsidR="005B4CFF" w:rsidRPr="00B51E6F" w:rsidRDefault="005B4CFF" w:rsidP="0095526A">
      <w:pPr>
        <w:jc w:val="left"/>
        <w:rPr>
          <w:rFonts w:ascii="Arial" w:hAnsi="Arial" w:cs="Arial"/>
          <w:lang w:val="en-BB"/>
        </w:rPr>
      </w:pPr>
      <w:r w:rsidRPr="00B51E6F">
        <w:rPr>
          <w:rFonts w:ascii="Arial" w:hAnsi="Arial" w:cs="Arial"/>
          <w:b/>
          <w:bCs/>
          <w:lang w:val="en-BB"/>
        </w:rPr>
        <w:t>6.5 Conclusion</w:t>
      </w:r>
    </w:p>
    <w:p w14:paraId="3D4171CE" w14:textId="77777777" w:rsidR="005B4CFF" w:rsidRPr="00B51E6F" w:rsidRDefault="005B4CFF" w:rsidP="0095526A">
      <w:pPr>
        <w:jc w:val="left"/>
        <w:rPr>
          <w:rFonts w:ascii="Arial" w:hAnsi="Arial" w:cs="Arial"/>
          <w:lang w:val="en-BB"/>
        </w:rPr>
      </w:pPr>
      <w:r w:rsidRPr="00B51E6F">
        <w:rPr>
          <w:rFonts w:ascii="Arial" w:hAnsi="Arial" w:cs="Arial"/>
          <w:lang w:val="en-BB"/>
        </w:rPr>
        <w:t>The assessment improved my ability to connect theory with practical decisions. A large country is not necessarily immediately attractive: suitability depends on the relationship between capabilities, institutions and commitment. Critical analysis requires weighing evidence, acknowledging limitations and considering alternatives. The staged joint venture emerged from integrated analysis rather than preference.</w:t>
      </w:r>
    </w:p>
    <w:p w14:paraId="12B7B9D7" w14:textId="77777777" w:rsidR="005B4CFF" w:rsidRPr="00B51E6F" w:rsidRDefault="005B4CFF" w:rsidP="0095526A">
      <w:pPr>
        <w:jc w:val="left"/>
        <w:rPr>
          <w:rFonts w:ascii="Arial" w:hAnsi="Arial" w:cs="Arial"/>
          <w:lang w:val="en-BB"/>
        </w:rPr>
      </w:pPr>
      <w:r w:rsidRPr="00B51E6F">
        <w:rPr>
          <w:rFonts w:ascii="Arial" w:hAnsi="Arial" w:cs="Arial"/>
          <w:lang w:val="en-BB"/>
        </w:rPr>
        <w:t>If repeating the task, I would classify sources earlier. Separating theoretical, corporate, country and industry evidence would expose gaps and reduce irrelevant collection.</w:t>
      </w:r>
    </w:p>
    <w:p w14:paraId="66702388" w14:textId="77777777" w:rsidR="004D6137" w:rsidRDefault="004D6137" w:rsidP="0095526A">
      <w:pPr>
        <w:jc w:val="left"/>
        <w:rPr>
          <w:rFonts w:ascii="Arial" w:hAnsi="Arial" w:cs="Arial"/>
          <w:b/>
          <w:bCs/>
          <w:lang w:val="en-BB"/>
        </w:rPr>
      </w:pPr>
    </w:p>
    <w:p w14:paraId="2D6123F4" w14:textId="14ED15F5" w:rsidR="005B4CFF" w:rsidRPr="00B51E6F" w:rsidRDefault="005B4CFF" w:rsidP="0095526A">
      <w:pPr>
        <w:jc w:val="left"/>
        <w:rPr>
          <w:rFonts w:ascii="Arial" w:hAnsi="Arial" w:cs="Arial"/>
          <w:lang w:val="en-BB"/>
        </w:rPr>
      </w:pPr>
      <w:r w:rsidRPr="00B51E6F">
        <w:rPr>
          <w:rFonts w:ascii="Arial" w:hAnsi="Arial" w:cs="Arial"/>
          <w:b/>
          <w:bCs/>
          <w:lang w:val="en-BB"/>
        </w:rPr>
        <w:t>6.6 Action plan</w:t>
      </w:r>
    </w:p>
    <w:p w14:paraId="02AD1FFC" w14:textId="77777777" w:rsidR="005B4CFF" w:rsidRPr="00B51E6F" w:rsidRDefault="005B4CFF" w:rsidP="0095526A">
      <w:pPr>
        <w:jc w:val="left"/>
        <w:rPr>
          <w:rFonts w:ascii="Arial" w:hAnsi="Arial" w:cs="Arial"/>
          <w:lang w:val="en-BB"/>
        </w:rPr>
      </w:pPr>
      <w:r w:rsidRPr="00B51E6F">
        <w:rPr>
          <w:rFonts w:ascii="Arial" w:hAnsi="Arial" w:cs="Arial"/>
          <w:lang w:val="en-BB"/>
        </w:rPr>
        <w:t>For future work, I will build a research matrix showing each requirement, theory, evidence, source quality, date and implication. Peer-reviewed journals will support theory, while official sources will provide current facts. I will maintain references during research to prevent inconsistencies.</w:t>
      </w:r>
    </w:p>
    <w:p w14:paraId="46B0BFF1" w14:textId="77777777" w:rsidR="005B4CFF" w:rsidRPr="00B51E6F" w:rsidRDefault="005B4CFF" w:rsidP="0095526A">
      <w:pPr>
        <w:jc w:val="left"/>
        <w:rPr>
          <w:rFonts w:ascii="Arial" w:hAnsi="Arial" w:cs="Arial"/>
          <w:lang w:val="en-BB"/>
        </w:rPr>
      </w:pPr>
      <w:r w:rsidRPr="00B51E6F">
        <w:rPr>
          <w:rFonts w:ascii="Arial" w:hAnsi="Arial" w:cs="Arial"/>
          <w:lang w:val="en-BB"/>
        </w:rPr>
        <w:t>Where forecasts conflict, I will compare assumptions instead of selecting the most convenient figure. Each analytical paragraph will present evidence, explain its relevance, consider a counterargument and state the strategic implication. Finally, I will conduct a separate review for unsupported claims, descriptive passages, theoretical limitations and consistency between evidence and recommendation.</w:t>
      </w:r>
    </w:p>
    <w:p w14:paraId="05C05FA4" w14:textId="77777777" w:rsidR="005B4CFF" w:rsidRPr="00B51E6F" w:rsidRDefault="005B4CFF" w:rsidP="0095526A">
      <w:pPr>
        <w:jc w:val="left"/>
        <w:rPr>
          <w:rFonts w:ascii="Arial" w:hAnsi="Arial" w:cs="Arial"/>
          <w:lang w:val="en-BB"/>
        </w:rPr>
      </w:pPr>
    </w:p>
    <w:p w14:paraId="4021CDF3" w14:textId="77777777" w:rsidR="005B4CFF" w:rsidRPr="00B51E6F" w:rsidRDefault="005B4CFF" w:rsidP="0095526A">
      <w:pPr>
        <w:jc w:val="left"/>
        <w:rPr>
          <w:rFonts w:ascii="Arial" w:hAnsi="Arial" w:cs="Arial"/>
          <w:lang w:val="en-BB"/>
        </w:rPr>
      </w:pPr>
    </w:p>
    <w:p w14:paraId="6BE6C608" w14:textId="77777777" w:rsidR="005B4CFF" w:rsidRPr="00B51E6F" w:rsidRDefault="005B4CFF" w:rsidP="0095526A">
      <w:pPr>
        <w:jc w:val="left"/>
        <w:rPr>
          <w:rFonts w:ascii="Arial" w:hAnsi="Arial" w:cs="Arial"/>
          <w:lang w:val="en-BB"/>
        </w:rPr>
      </w:pPr>
    </w:p>
    <w:p w14:paraId="0F480A2F" w14:textId="77777777" w:rsidR="005B4CFF" w:rsidRPr="00B51E6F" w:rsidRDefault="005B4CFF" w:rsidP="0095526A">
      <w:pPr>
        <w:jc w:val="left"/>
        <w:rPr>
          <w:rFonts w:ascii="Arial" w:hAnsi="Arial" w:cs="Arial"/>
          <w:lang w:val="en-BB"/>
        </w:rPr>
      </w:pPr>
    </w:p>
    <w:p w14:paraId="59BB687E" w14:textId="77777777" w:rsidR="005B4CFF" w:rsidRPr="00B51E6F" w:rsidRDefault="005B4CFF" w:rsidP="0095526A">
      <w:pPr>
        <w:jc w:val="left"/>
        <w:rPr>
          <w:rFonts w:ascii="Arial" w:hAnsi="Arial" w:cs="Arial"/>
          <w:lang w:val="en-BB"/>
        </w:rPr>
      </w:pPr>
    </w:p>
    <w:p w14:paraId="05A48531" w14:textId="77777777" w:rsidR="005B4CFF" w:rsidRPr="00B51E6F" w:rsidRDefault="005B4CFF" w:rsidP="0095526A">
      <w:pPr>
        <w:jc w:val="left"/>
        <w:rPr>
          <w:rFonts w:ascii="Arial" w:hAnsi="Arial" w:cs="Arial"/>
          <w:lang w:val="en-BB"/>
        </w:rPr>
      </w:pPr>
    </w:p>
    <w:p w14:paraId="525E2B51" w14:textId="77777777" w:rsidR="005B4CFF" w:rsidRPr="00B51E6F" w:rsidRDefault="005B4CFF" w:rsidP="0095526A">
      <w:pPr>
        <w:jc w:val="left"/>
        <w:rPr>
          <w:rFonts w:ascii="Arial" w:hAnsi="Arial" w:cs="Arial"/>
          <w:lang w:val="en-BB"/>
        </w:rPr>
      </w:pPr>
    </w:p>
    <w:p w14:paraId="13964CFF" w14:textId="77777777" w:rsidR="005B4CFF" w:rsidRPr="00B51E6F" w:rsidRDefault="005B4CFF" w:rsidP="0095526A">
      <w:pPr>
        <w:jc w:val="left"/>
        <w:rPr>
          <w:rFonts w:ascii="Arial" w:hAnsi="Arial" w:cs="Arial"/>
          <w:lang w:val="en-BB"/>
        </w:rPr>
      </w:pPr>
    </w:p>
    <w:p w14:paraId="25FE9821" w14:textId="77777777" w:rsidR="0095526A" w:rsidRPr="00B51E6F" w:rsidRDefault="0095526A" w:rsidP="0095526A">
      <w:pPr>
        <w:jc w:val="left"/>
        <w:rPr>
          <w:rFonts w:ascii="Arial" w:hAnsi="Arial" w:cs="Arial"/>
          <w:lang w:val="en-BB"/>
        </w:rPr>
      </w:pPr>
    </w:p>
    <w:p w14:paraId="2CEA9F02" w14:textId="77777777" w:rsidR="00BB0C8F" w:rsidRDefault="00BB0C8F" w:rsidP="0095526A">
      <w:pPr>
        <w:jc w:val="left"/>
        <w:rPr>
          <w:rFonts w:ascii="Arial" w:hAnsi="Arial" w:cs="Arial"/>
          <w:lang w:val="en-BB"/>
        </w:rPr>
      </w:pPr>
    </w:p>
    <w:p w14:paraId="296A9664" w14:textId="5D94B4D8" w:rsidR="005B4CFF" w:rsidRPr="00B51E6F" w:rsidRDefault="005B4CFF" w:rsidP="0095526A">
      <w:pPr>
        <w:jc w:val="left"/>
        <w:rPr>
          <w:rFonts w:ascii="Arial" w:hAnsi="Arial" w:cs="Arial"/>
          <w:lang w:val="en-BB"/>
        </w:rPr>
      </w:pPr>
      <w:r w:rsidRPr="00B51E6F">
        <w:rPr>
          <w:rFonts w:ascii="Arial" w:hAnsi="Arial" w:cs="Arial"/>
          <w:b/>
          <w:bCs/>
          <w:lang w:val="en-BB"/>
        </w:rPr>
        <w:lastRenderedPageBreak/>
        <w:t>References</w:t>
      </w:r>
    </w:p>
    <w:p w14:paraId="791835E5"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Bangladesh Bank (2025) </w:t>
      </w:r>
      <w:r w:rsidRPr="00B51E6F">
        <w:rPr>
          <w:rFonts w:ascii="Arial" w:hAnsi="Arial" w:cs="Arial"/>
          <w:i/>
          <w:iCs/>
          <w:lang w:val="en-BB"/>
        </w:rPr>
        <w:t>Foreign exchange investment department information leaflet: October 2025</w:t>
      </w:r>
      <w:r w:rsidRPr="00B51E6F">
        <w:rPr>
          <w:rFonts w:ascii="Arial" w:hAnsi="Arial" w:cs="Arial"/>
          <w:lang w:val="en-BB"/>
        </w:rPr>
        <w:t>. Available at: https://www.bb.org.bd/feidportal/pdf/Leaflet-october2025.pdf (Accessed: 28 July 2026).</w:t>
      </w:r>
    </w:p>
    <w:p w14:paraId="30D87B8B" w14:textId="77777777" w:rsidR="005B4CFF" w:rsidRPr="00B51E6F" w:rsidRDefault="005B4CFF" w:rsidP="0095526A">
      <w:pPr>
        <w:jc w:val="left"/>
        <w:rPr>
          <w:rFonts w:ascii="Arial" w:hAnsi="Arial" w:cs="Arial"/>
          <w:lang w:val="en-BB"/>
        </w:rPr>
      </w:pPr>
      <w:r w:rsidRPr="00B51E6F">
        <w:rPr>
          <w:rFonts w:ascii="Arial" w:hAnsi="Arial" w:cs="Arial"/>
          <w:lang w:val="en-BB"/>
        </w:rPr>
        <w:t>Bangladesh Food Safety Authority (2025a) ‘Safe food import registration’. Available at: https://import.bfsa.gov.bd/register (Accessed: 28 July 2026).</w:t>
      </w:r>
    </w:p>
    <w:p w14:paraId="7C0845F4" w14:textId="77777777" w:rsidR="005B4CFF" w:rsidRPr="00B51E6F" w:rsidRDefault="005B4CFF" w:rsidP="0095526A">
      <w:pPr>
        <w:jc w:val="left"/>
        <w:rPr>
          <w:rFonts w:ascii="Arial" w:hAnsi="Arial" w:cs="Arial"/>
          <w:lang w:val="en-BB"/>
        </w:rPr>
      </w:pPr>
      <w:r w:rsidRPr="00B51E6F">
        <w:rPr>
          <w:rFonts w:ascii="Arial" w:hAnsi="Arial" w:cs="Arial"/>
          <w:lang w:val="en-BB"/>
        </w:rPr>
        <w:t>Bangladesh Food Safety Authority (2025b) ‘Food safety regulations for WTO notification’. Available at: https://bfsa.gov.bd/pages/static-pages/6922dc26933eb65569e0ea67 (Accessed: 28 July 2026).</w:t>
      </w:r>
    </w:p>
    <w:p w14:paraId="6470A643" w14:textId="77777777" w:rsidR="005B4CFF" w:rsidRPr="00B51E6F" w:rsidRDefault="005B4CFF" w:rsidP="0095526A">
      <w:pPr>
        <w:jc w:val="left"/>
        <w:rPr>
          <w:rFonts w:ascii="Arial" w:hAnsi="Arial" w:cs="Arial"/>
          <w:lang w:val="en-BB"/>
        </w:rPr>
      </w:pPr>
      <w:r w:rsidRPr="00B51E6F">
        <w:rPr>
          <w:rFonts w:ascii="Arial" w:hAnsi="Arial" w:cs="Arial"/>
          <w:lang w:val="en-BB"/>
        </w:rPr>
        <w:t>Bangladesh Investment Development Authority (BIDA) (2025) ‘Foreign and joint-venture projects’. Available at: https://bida.gov.bd/foreign-joint-venture-projects (Accessed: 28 July 2026).</w:t>
      </w:r>
    </w:p>
    <w:p w14:paraId="50A745A9" w14:textId="77777777" w:rsidR="005B4CFF" w:rsidRPr="00B51E6F" w:rsidRDefault="005B4CFF" w:rsidP="0095526A">
      <w:pPr>
        <w:jc w:val="left"/>
        <w:rPr>
          <w:rFonts w:ascii="Arial" w:hAnsi="Arial" w:cs="Arial"/>
          <w:lang w:val="en-BB"/>
        </w:rPr>
      </w:pPr>
      <w:r w:rsidRPr="00B51E6F">
        <w:rPr>
          <w:rFonts w:ascii="Arial" w:hAnsi="Arial" w:cs="Arial"/>
          <w:lang w:val="en-BB"/>
        </w:rPr>
        <w:t>Bangladesh Investment Development Authority (BIDA) (2026a) ‘Bangladesh Bank simplifies share transfer and repatriation for foreign investors’, 9 March. Available at: https://bida.gov.bd/press-release/bangladesh-bank-simplifies-share-transfer-repatriation-for-foreign-investors (Accessed: 28 July 2026).</w:t>
      </w:r>
    </w:p>
    <w:p w14:paraId="3C283EC2" w14:textId="77777777" w:rsidR="005B4CFF" w:rsidRPr="00B51E6F" w:rsidRDefault="005B4CFF" w:rsidP="0095526A">
      <w:pPr>
        <w:jc w:val="left"/>
        <w:rPr>
          <w:rFonts w:ascii="Arial" w:hAnsi="Arial" w:cs="Arial"/>
          <w:lang w:val="en-BB"/>
        </w:rPr>
      </w:pPr>
      <w:r w:rsidRPr="00B51E6F">
        <w:rPr>
          <w:rFonts w:ascii="Arial" w:hAnsi="Arial" w:cs="Arial"/>
          <w:lang w:val="en-BB"/>
        </w:rPr>
        <w:t>Bangladesh Investment Development Authority (BIDA) (2026b) ‘Frequently asked questions: outward remittance of dividends and profits’. Available at: https://bida.gov.bd/faq (Accessed: 28 July 2026).</w:t>
      </w:r>
    </w:p>
    <w:p w14:paraId="6EFC7490"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Bartlett, C.A. and Ghoshal, S. (1989) </w:t>
      </w:r>
      <w:r w:rsidRPr="00B51E6F">
        <w:rPr>
          <w:rFonts w:ascii="Arial" w:hAnsi="Arial" w:cs="Arial"/>
          <w:i/>
          <w:iCs/>
          <w:lang w:val="en-BB"/>
        </w:rPr>
        <w:t>Managing across borders: the transnational solution</w:t>
      </w:r>
      <w:r w:rsidRPr="00B51E6F">
        <w:rPr>
          <w:rFonts w:ascii="Arial" w:hAnsi="Arial" w:cs="Arial"/>
          <w:lang w:val="en-BB"/>
        </w:rPr>
        <w:t>. Boston, MA: Harvard Business School Press.</w:t>
      </w:r>
    </w:p>
    <w:p w14:paraId="66109B37"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Brock, D.M. and Siscovick, I.C. (2018) ‘Transnationality: sharpening the integration-responsiveness vision in global professional firms’, </w:t>
      </w:r>
      <w:r w:rsidRPr="00B51E6F">
        <w:rPr>
          <w:rFonts w:ascii="Arial" w:hAnsi="Arial" w:cs="Arial"/>
          <w:i/>
          <w:iCs/>
          <w:lang w:val="en-BB"/>
        </w:rPr>
        <w:t>European Management Journal</w:t>
      </w:r>
      <w:r w:rsidRPr="00B51E6F">
        <w:rPr>
          <w:rFonts w:ascii="Arial" w:hAnsi="Arial" w:cs="Arial"/>
          <w:lang w:val="en-BB"/>
        </w:rPr>
        <w:t>, 36(1), pp. 117-124.</w:t>
      </w:r>
    </w:p>
    <w:p w14:paraId="261F8431" w14:textId="77777777" w:rsidR="005B4CFF" w:rsidRPr="00B51E6F" w:rsidRDefault="005B4CFF" w:rsidP="0095526A">
      <w:pPr>
        <w:jc w:val="left"/>
        <w:rPr>
          <w:rFonts w:ascii="Arial" w:hAnsi="Arial" w:cs="Arial"/>
          <w:lang w:val="en-BB"/>
        </w:rPr>
      </w:pPr>
      <w:r w:rsidRPr="00B51E6F">
        <w:rPr>
          <w:rFonts w:ascii="Arial" w:hAnsi="Arial" w:cs="Arial"/>
          <w:lang w:val="en-BB"/>
        </w:rPr>
        <w:t>Department of Patents, Designs and Trademarks (DPDT) (2026) ‘Intellectual-property laws’. Available at: https://dpdt.gov.bd/pages/laws (Accessed: 28 July 2026).</w:t>
      </w:r>
    </w:p>
    <w:p w14:paraId="221F2544"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Dunning, J.H. (1988) ‘The eclectic paradigm of international production: a restatement and some possible extensions’, </w:t>
      </w:r>
      <w:r w:rsidRPr="00B51E6F">
        <w:rPr>
          <w:rFonts w:ascii="Arial" w:hAnsi="Arial" w:cs="Arial"/>
          <w:i/>
          <w:iCs/>
          <w:lang w:val="en-BB"/>
        </w:rPr>
        <w:t>Journal of International Business Studies</w:t>
      </w:r>
      <w:r w:rsidRPr="00B51E6F">
        <w:rPr>
          <w:rFonts w:ascii="Arial" w:hAnsi="Arial" w:cs="Arial"/>
          <w:lang w:val="en-BB"/>
        </w:rPr>
        <w:t>, 19(1), pp. 1-31.</w:t>
      </w:r>
    </w:p>
    <w:p w14:paraId="1FE576E6"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Dunning, J.H. (2000) ‘The eclectic paradigm as an envelope for economic and business theories of MNE activity’, </w:t>
      </w:r>
      <w:r w:rsidRPr="00B51E6F">
        <w:rPr>
          <w:rFonts w:ascii="Arial" w:hAnsi="Arial" w:cs="Arial"/>
          <w:i/>
          <w:iCs/>
          <w:lang w:val="en-BB"/>
        </w:rPr>
        <w:t>International Business Review</w:t>
      </w:r>
      <w:r w:rsidRPr="00B51E6F">
        <w:rPr>
          <w:rFonts w:ascii="Arial" w:hAnsi="Arial" w:cs="Arial"/>
          <w:lang w:val="en-BB"/>
        </w:rPr>
        <w:t>, 9(2), pp. 163-190.</w:t>
      </w:r>
    </w:p>
    <w:p w14:paraId="410F1D30"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Export Promotion Bureau (2026) </w:t>
      </w:r>
      <w:r w:rsidRPr="00B51E6F">
        <w:rPr>
          <w:rFonts w:ascii="Arial" w:hAnsi="Arial" w:cs="Arial"/>
          <w:i/>
          <w:iCs/>
          <w:lang w:val="en-BB"/>
        </w:rPr>
        <w:t>Presentation on the BSTI halal certification process</w:t>
      </w:r>
      <w:r w:rsidRPr="00B51E6F">
        <w:rPr>
          <w:rFonts w:ascii="Arial" w:hAnsi="Arial" w:cs="Arial"/>
          <w:lang w:val="en-BB"/>
        </w:rPr>
        <w:t>. Available at: https://ditf.epb.gov.bd/wp-content/uploads/2026/01/Presentation-on-Halal-Certification-EPB.pdf (Accessed: 28 July 2026).</w:t>
      </w:r>
    </w:p>
    <w:p w14:paraId="7BDF86C9"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Gibbs, G. (1988) </w:t>
      </w:r>
      <w:r w:rsidRPr="00B51E6F">
        <w:rPr>
          <w:rFonts w:ascii="Arial" w:hAnsi="Arial" w:cs="Arial"/>
          <w:i/>
          <w:iCs/>
          <w:lang w:val="en-BB"/>
        </w:rPr>
        <w:t>Learning by doing: a guide to teaching and learning methods</w:t>
      </w:r>
      <w:r w:rsidRPr="00B51E6F">
        <w:rPr>
          <w:rFonts w:ascii="Arial" w:hAnsi="Arial" w:cs="Arial"/>
          <w:lang w:val="en-BB"/>
        </w:rPr>
        <w:t>. Oxford: Oxford Polytechnic.</w:t>
      </w:r>
    </w:p>
    <w:p w14:paraId="4942D0BE" w14:textId="77777777" w:rsidR="005B4CFF" w:rsidRPr="00B51E6F" w:rsidRDefault="005B4CFF" w:rsidP="0095526A">
      <w:pPr>
        <w:jc w:val="left"/>
        <w:rPr>
          <w:rFonts w:ascii="Arial" w:hAnsi="Arial" w:cs="Arial"/>
          <w:lang w:val="en-BB"/>
        </w:rPr>
      </w:pPr>
      <w:r w:rsidRPr="00B51E6F">
        <w:rPr>
          <w:rFonts w:ascii="Arial" w:hAnsi="Arial" w:cs="Arial"/>
          <w:lang w:val="en-BB"/>
        </w:rPr>
        <w:lastRenderedPageBreak/>
        <w:t xml:space="preserve">International Monetary Fund (IMF) (2026) </w:t>
      </w:r>
      <w:r w:rsidRPr="00B51E6F">
        <w:rPr>
          <w:rFonts w:ascii="Arial" w:hAnsi="Arial" w:cs="Arial"/>
          <w:i/>
          <w:iCs/>
          <w:lang w:val="en-BB"/>
        </w:rPr>
        <w:t>Bangladesh: 2025 Article IV consultation</w:t>
      </w:r>
      <w:r w:rsidRPr="00B51E6F">
        <w:rPr>
          <w:rFonts w:ascii="Arial" w:hAnsi="Arial" w:cs="Arial"/>
          <w:lang w:val="en-BB"/>
        </w:rPr>
        <w:t>. IMF Country Report No. 26/24. Washington, DC: IMF. Available at: https://www.imf.org/-/media/files/publications/cr/2026/english/1bgdea2026001-source-pdf.pdf (Accessed: 28 July 2026).</w:t>
      </w:r>
    </w:p>
    <w:p w14:paraId="234EEF74"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Karim, S.R. (2025) ‘Café culture, youth, and the future of coffee in Bangladesh’, </w:t>
      </w:r>
      <w:r w:rsidRPr="00B51E6F">
        <w:rPr>
          <w:rFonts w:ascii="Arial" w:hAnsi="Arial" w:cs="Arial"/>
          <w:i/>
          <w:iCs/>
          <w:lang w:val="en-BB"/>
        </w:rPr>
        <w:t>The Daily Star</w:t>
      </w:r>
      <w:r w:rsidRPr="00B51E6F">
        <w:rPr>
          <w:rFonts w:ascii="Arial" w:hAnsi="Arial" w:cs="Arial"/>
          <w:lang w:val="en-BB"/>
        </w:rPr>
        <w:t>, 5 May. Available at: https://www.thedailystar.net/lifestyle/news/cafe-culture-youth-and-the-future-coffee-bangladesh-3887416 (Accessed: 28 July 2026).</w:t>
      </w:r>
    </w:p>
    <w:p w14:paraId="2644F43B"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National Board of Revenue (2025) </w:t>
      </w:r>
      <w:r w:rsidRPr="00B51E6F">
        <w:rPr>
          <w:rFonts w:ascii="Arial" w:hAnsi="Arial" w:cs="Arial"/>
          <w:i/>
          <w:iCs/>
          <w:lang w:val="en-BB"/>
        </w:rPr>
        <w:t>Bangladesh customs tariff: fiscal year 2025-2026</w:t>
      </w:r>
      <w:r w:rsidRPr="00B51E6F">
        <w:rPr>
          <w:rFonts w:ascii="Arial" w:hAnsi="Arial" w:cs="Arial"/>
          <w:lang w:val="en-BB"/>
        </w:rPr>
        <w:t>. Dhaka: Government of Bangladesh. Available at: https://nbr.gov.bd/uploads/budget_at_a_glance/Customs_Tariff-2025-2026%2802-06-2025%29.pdf (Accessed: 28 July 2026).</w:t>
      </w:r>
    </w:p>
    <w:p w14:paraId="3E5A5306" w14:textId="77777777" w:rsidR="005B4CFF" w:rsidRPr="00B51E6F" w:rsidRDefault="005B4CFF" w:rsidP="0095526A">
      <w:pPr>
        <w:jc w:val="left"/>
        <w:rPr>
          <w:rFonts w:ascii="Arial" w:hAnsi="Arial" w:cs="Arial"/>
          <w:lang w:val="en-BB"/>
        </w:rPr>
      </w:pPr>
      <w:r w:rsidRPr="00B51E6F">
        <w:rPr>
          <w:rFonts w:ascii="Arial" w:hAnsi="Arial" w:cs="Arial"/>
          <w:lang w:val="en-BB"/>
        </w:rPr>
        <w:t>Starbucks Corporation (2019) ‘Starbucks retail business in Thailand transitions to Coffee Concepts Thailand’, 23 May. Available at: https://stories.starbucks.com/asia/stories/2019/starbucks-retail-business-in-thailand-transitions-to-coffee-concepts-thailand/ (Accessed: 28 July 2026).</w:t>
      </w:r>
    </w:p>
    <w:p w14:paraId="2A2FF3FC"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Starbucks Corporation (2025a) </w:t>
      </w:r>
      <w:r w:rsidRPr="00B51E6F">
        <w:rPr>
          <w:rFonts w:ascii="Arial" w:hAnsi="Arial" w:cs="Arial"/>
          <w:i/>
          <w:iCs/>
          <w:lang w:val="en-BB"/>
        </w:rPr>
        <w:t>Annual report for the fiscal year ended 28 September 2025</w:t>
      </w:r>
      <w:r w:rsidRPr="00B51E6F">
        <w:rPr>
          <w:rFonts w:ascii="Arial" w:hAnsi="Arial" w:cs="Arial"/>
          <w:lang w:val="en-BB"/>
        </w:rPr>
        <w:t>. Available at: https://www.sec.gov/Archives/edgar/data/829224/000082922425000114/sbux-20250928.htm (Accessed: 28 July 2026).</w:t>
      </w:r>
    </w:p>
    <w:p w14:paraId="0CAFC61E" w14:textId="77777777" w:rsidR="005B4CFF" w:rsidRPr="00B51E6F" w:rsidRDefault="005B4CFF" w:rsidP="0095526A">
      <w:pPr>
        <w:jc w:val="left"/>
        <w:rPr>
          <w:rFonts w:ascii="Arial" w:hAnsi="Arial" w:cs="Arial"/>
          <w:lang w:val="en-BB"/>
        </w:rPr>
      </w:pPr>
      <w:r w:rsidRPr="00B51E6F">
        <w:rPr>
          <w:rFonts w:ascii="Arial" w:hAnsi="Arial" w:cs="Arial"/>
          <w:lang w:val="en-BB"/>
        </w:rPr>
        <w:t>Starbucks Corporation (2025b) ‘Starbucks reports Q4 and full fiscal year 2025 results’, 29 October. Available at: https://investor.starbucks.com/news/financial-releases/news-details/2025/Starbucks-Reports-Q4-and-Full-Fiscal-Year-2025-Results/default.aspx (Accessed: 28 July 2026).</w:t>
      </w:r>
    </w:p>
    <w:p w14:paraId="4E502FE2" w14:textId="77777777" w:rsidR="005B4CFF" w:rsidRPr="00B51E6F" w:rsidRDefault="005B4CFF" w:rsidP="0095526A">
      <w:pPr>
        <w:jc w:val="left"/>
        <w:rPr>
          <w:rFonts w:ascii="Arial" w:hAnsi="Arial" w:cs="Arial"/>
          <w:lang w:val="en-BB"/>
        </w:rPr>
      </w:pPr>
      <w:r w:rsidRPr="00B51E6F">
        <w:rPr>
          <w:rFonts w:ascii="Arial" w:hAnsi="Arial" w:cs="Arial"/>
          <w:lang w:val="en-BB"/>
        </w:rPr>
        <w:t>Starbucks Corporation (2025c) ‘Starbucks celebrates 10 years in Cambodia’, 20 November. Available at: https://stories.starbucks.com/asia/stories/2025/starbucks-celebrates-10-years-in-cambodia/ (Accessed: 28 July 2026).</w:t>
      </w:r>
    </w:p>
    <w:p w14:paraId="7549D9C6" w14:textId="77777777" w:rsidR="005B4CFF" w:rsidRPr="00B51E6F" w:rsidRDefault="005B4CFF" w:rsidP="0095526A">
      <w:pPr>
        <w:jc w:val="left"/>
        <w:rPr>
          <w:rFonts w:ascii="Arial" w:hAnsi="Arial" w:cs="Arial"/>
          <w:lang w:val="en-BB"/>
        </w:rPr>
      </w:pPr>
      <w:r w:rsidRPr="00B51E6F">
        <w:rPr>
          <w:rFonts w:ascii="Arial" w:hAnsi="Arial" w:cs="Arial"/>
          <w:lang w:val="en-BB"/>
        </w:rPr>
        <w:t>Starbucks Corporation (2026a) ‘Starbucks reports Q1 fiscal year 2026 results’, 28 January. Available at: https://investor.starbucks.com/news/financial-releases/news-details/2026/Starbucks-Reports-Q1-Fiscal-Year-2026-Results/default.aspx (Accessed: 28 July 2026).</w:t>
      </w:r>
    </w:p>
    <w:p w14:paraId="2D34779E" w14:textId="77777777" w:rsidR="005B4CFF" w:rsidRPr="00B51E6F" w:rsidRDefault="005B4CFF" w:rsidP="0095526A">
      <w:pPr>
        <w:jc w:val="left"/>
        <w:rPr>
          <w:rFonts w:ascii="Arial" w:hAnsi="Arial" w:cs="Arial"/>
          <w:lang w:val="en-BB"/>
        </w:rPr>
      </w:pPr>
      <w:r w:rsidRPr="00B51E6F">
        <w:rPr>
          <w:rFonts w:ascii="Arial" w:hAnsi="Arial" w:cs="Arial"/>
          <w:lang w:val="en-BB"/>
        </w:rPr>
        <w:t>Starbucks Corporation (2026b) ‘Starbucks files UK and EMEA accounts for the fiscal year ended September 2025’, 28 March. Available at: https://stories.starbucks.com/emea/stories/2026/starbucks-uk-and-emea-accounts-fiscal-year-ended-september-2025/ (Accessed: 28 July 2026).</w:t>
      </w:r>
    </w:p>
    <w:p w14:paraId="50DDB772" w14:textId="77777777" w:rsidR="005B4CFF" w:rsidRPr="00B51E6F" w:rsidRDefault="005B4CFF" w:rsidP="0095526A">
      <w:pPr>
        <w:jc w:val="left"/>
        <w:rPr>
          <w:rFonts w:ascii="Arial" w:hAnsi="Arial" w:cs="Arial"/>
          <w:lang w:val="en-BB"/>
        </w:rPr>
      </w:pPr>
      <w:r w:rsidRPr="00B51E6F">
        <w:rPr>
          <w:rFonts w:ascii="Arial" w:hAnsi="Arial" w:cs="Arial"/>
          <w:lang w:val="en-BB"/>
        </w:rPr>
        <w:t>Tata Consumer Products (2012) ‘Tata Global Beverages and Starbucks form joint venture to open Starbucks cafés across India’, 30 January. Available at: https://www.tataconsumer.com/news/tata-global-beverages-and-starbucks-form-joint-venture-open-starbucks-cafes-across-india (Accessed: 28 July 2026).</w:t>
      </w:r>
    </w:p>
    <w:p w14:paraId="64D38274" w14:textId="77777777" w:rsidR="005B4CFF" w:rsidRPr="00B51E6F" w:rsidRDefault="005B4CFF" w:rsidP="0095526A">
      <w:pPr>
        <w:jc w:val="left"/>
        <w:rPr>
          <w:rFonts w:ascii="Arial" w:hAnsi="Arial" w:cs="Arial"/>
          <w:lang w:val="en-BB"/>
        </w:rPr>
      </w:pPr>
      <w:r w:rsidRPr="00B51E6F">
        <w:rPr>
          <w:rFonts w:ascii="Arial" w:hAnsi="Arial" w:cs="Arial"/>
          <w:lang w:val="en-BB"/>
        </w:rPr>
        <w:lastRenderedPageBreak/>
        <w:t xml:space="preserve">United Nations Department of Economic and Social Affairs (UN DESA) (2025) </w:t>
      </w:r>
      <w:r w:rsidRPr="00B51E6F">
        <w:rPr>
          <w:rFonts w:ascii="Arial" w:hAnsi="Arial" w:cs="Arial"/>
          <w:i/>
          <w:iCs/>
          <w:lang w:val="en-BB"/>
        </w:rPr>
        <w:t>World urbanization prospects 2025: summary of results</w:t>
      </w:r>
      <w:r w:rsidRPr="00B51E6F">
        <w:rPr>
          <w:rFonts w:ascii="Arial" w:hAnsi="Arial" w:cs="Arial"/>
          <w:lang w:val="en-BB"/>
        </w:rPr>
        <w:t>. New York: United Nations. Available at: https://population.un.org/wup/assets/Publications/undesa_pd_2025_wup2025_summary_of_results_final.pdf (Accessed: 28 July 2026).</w:t>
      </w:r>
    </w:p>
    <w:p w14:paraId="21408784"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US Department of State (2023) </w:t>
      </w:r>
      <w:r w:rsidRPr="00B51E6F">
        <w:rPr>
          <w:rFonts w:ascii="Arial" w:hAnsi="Arial" w:cs="Arial"/>
          <w:i/>
          <w:iCs/>
          <w:lang w:val="en-BB"/>
        </w:rPr>
        <w:t>2022 report on international religious freedom: Bangladesh</w:t>
      </w:r>
      <w:r w:rsidRPr="00B51E6F">
        <w:rPr>
          <w:rFonts w:ascii="Arial" w:hAnsi="Arial" w:cs="Arial"/>
          <w:lang w:val="en-BB"/>
        </w:rPr>
        <w:t>. Available at: https://www.state.gov/reports/2022-report-on-international-religious-freedom/bangladesh (Accessed: 28 July 2026).</w:t>
      </w:r>
    </w:p>
    <w:p w14:paraId="439B9198" w14:textId="77777777" w:rsidR="005B4CFF" w:rsidRPr="00B51E6F" w:rsidRDefault="005B4CFF" w:rsidP="0095526A">
      <w:pPr>
        <w:jc w:val="left"/>
        <w:rPr>
          <w:rFonts w:ascii="Arial" w:hAnsi="Arial" w:cs="Arial"/>
          <w:lang w:val="en-BB"/>
        </w:rPr>
      </w:pPr>
      <w:r w:rsidRPr="00B51E6F">
        <w:rPr>
          <w:rFonts w:ascii="Arial" w:hAnsi="Arial" w:cs="Arial"/>
          <w:lang w:val="en-BB"/>
        </w:rPr>
        <w:t xml:space="preserve">World Bank (2026a) </w:t>
      </w:r>
      <w:r w:rsidRPr="00B51E6F">
        <w:rPr>
          <w:rFonts w:ascii="Arial" w:hAnsi="Arial" w:cs="Arial"/>
          <w:i/>
          <w:iCs/>
          <w:lang w:val="en-BB"/>
        </w:rPr>
        <w:t>Bangladesh development update: urgent reforms needed to restore macro stability, sustain growth, and create jobs</w:t>
      </w:r>
      <w:r w:rsidRPr="00B51E6F">
        <w:rPr>
          <w:rFonts w:ascii="Arial" w:hAnsi="Arial" w:cs="Arial"/>
          <w:lang w:val="en-BB"/>
        </w:rPr>
        <w:t>. Washington, DC: World Bank. Available at: https://www.worldbank.org/en/news/press-release/2026/04/08/urgent-reforms-needed-to-restore-macro-stability-sustain-growth-and-create-jobs-in-bangladesh (Accessed: 28 July 2026).</w:t>
      </w:r>
    </w:p>
    <w:p w14:paraId="422D485D" w14:textId="77777777" w:rsidR="005B4CFF" w:rsidRPr="00B51E6F" w:rsidRDefault="005B4CFF" w:rsidP="0095526A">
      <w:pPr>
        <w:jc w:val="left"/>
        <w:rPr>
          <w:rFonts w:ascii="Arial" w:hAnsi="Arial" w:cs="Arial"/>
          <w:lang w:val="en-BB"/>
        </w:rPr>
      </w:pPr>
      <w:r w:rsidRPr="00B51E6F">
        <w:rPr>
          <w:rFonts w:ascii="Arial" w:hAnsi="Arial" w:cs="Arial"/>
          <w:lang w:val="en-BB"/>
        </w:rPr>
        <w:t>World Bank (2026b) ‘Bangladesh: country data’. Available at: https://data.worldbank.org/country/bangladesh (Accessed: 28 July 2026).</w:t>
      </w:r>
    </w:p>
    <w:p w14:paraId="5E3DF0F3" w14:textId="77777777" w:rsidR="005B4CFF" w:rsidRPr="00B51E6F" w:rsidRDefault="005B4CFF" w:rsidP="0095526A">
      <w:pPr>
        <w:jc w:val="left"/>
        <w:rPr>
          <w:rFonts w:ascii="Arial" w:hAnsi="Arial" w:cs="Arial"/>
          <w:lang w:val="en-BB"/>
        </w:rPr>
      </w:pPr>
      <w:r w:rsidRPr="00B51E6F">
        <w:rPr>
          <w:rFonts w:ascii="Arial" w:hAnsi="Arial" w:cs="Arial"/>
          <w:lang w:val="en-BB"/>
        </w:rPr>
        <w:t>World Bank (2026c) ‘Urban population (% of total population): Bangladesh’. Available at: https://data.worldbank.org/indicator/SP.URB.TOTL.IN.ZS?locations=BD (Accessed: 28 July 2026).</w:t>
      </w:r>
    </w:p>
    <w:p w14:paraId="095179F7" w14:textId="77777777" w:rsidR="005B4CFF" w:rsidRPr="00B51E6F" w:rsidRDefault="005B4CFF" w:rsidP="0095526A">
      <w:pPr>
        <w:jc w:val="left"/>
        <w:rPr>
          <w:rFonts w:ascii="Arial" w:hAnsi="Arial" w:cs="Arial"/>
        </w:rPr>
      </w:pPr>
    </w:p>
    <w:p w14:paraId="44378BDA" w14:textId="77777777" w:rsidR="00795680" w:rsidRPr="00B51E6F" w:rsidRDefault="00795680" w:rsidP="0095526A">
      <w:pPr>
        <w:jc w:val="left"/>
        <w:rPr>
          <w:rFonts w:ascii="Arial" w:hAnsi="Arial" w:cs="Arial"/>
        </w:rPr>
      </w:pPr>
    </w:p>
    <w:sectPr w:rsidR="00795680" w:rsidRPr="00B51E6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5E12D" w14:textId="77777777" w:rsidR="00FC1F7C" w:rsidRDefault="00FC1F7C" w:rsidP="00795680">
      <w:pPr>
        <w:spacing w:after="0" w:line="240" w:lineRule="auto"/>
      </w:pPr>
      <w:r>
        <w:separator/>
      </w:r>
    </w:p>
  </w:endnote>
  <w:endnote w:type="continuationSeparator" w:id="0">
    <w:p w14:paraId="153650F9" w14:textId="77777777" w:rsidR="00FC1F7C" w:rsidRDefault="00FC1F7C" w:rsidP="00795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5620715"/>
      <w:docPartObj>
        <w:docPartGallery w:val="Page Numbers (Bottom of Page)"/>
        <w:docPartUnique/>
      </w:docPartObj>
    </w:sdtPr>
    <w:sdtEndPr/>
    <w:sdtContent>
      <w:p w14:paraId="3F350C6C" w14:textId="03856F4B" w:rsidR="00795680" w:rsidRDefault="00795680">
        <w:pPr>
          <w:pStyle w:val="Footer"/>
          <w:jc w:val="center"/>
        </w:pPr>
        <w:r>
          <w:fldChar w:fldCharType="begin"/>
        </w:r>
        <w:r>
          <w:instrText>PAGE   \* MERGEFORMAT</w:instrText>
        </w:r>
        <w:r>
          <w:fldChar w:fldCharType="separate"/>
        </w:r>
        <w:r>
          <w:rPr>
            <w:lang w:val="en-GB"/>
          </w:rPr>
          <w:t>2</w:t>
        </w:r>
        <w:r>
          <w:fldChar w:fldCharType="end"/>
        </w:r>
      </w:p>
    </w:sdtContent>
  </w:sdt>
  <w:p w14:paraId="13754539" w14:textId="77777777" w:rsidR="00795680" w:rsidRDefault="00795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B4858" w14:textId="77777777" w:rsidR="00FC1F7C" w:rsidRDefault="00FC1F7C" w:rsidP="00795680">
      <w:pPr>
        <w:spacing w:after="0" w:line="240" w:lineRule="auto"/>
      </w:pPr>
      <w:r>
        <w:separator/>
      </w:r>
    </w:p>
  </w:footnote>
  <w:footnote w:type="continuationSeparator" w:id="0">
    <w:p w14:paraId="64F72869" w14:textId="77777777" w:rsidR="00FC1F7C" w:rsidRDefault="00FC1F7C" w:rsidP="00795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2220F0"/>
    <w:multiLevelType w:val="hybridMultilevel"/>
    <w:tmpl w:val="A94EC9F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408188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680"/>
    <w:rsid w:val="00002C94"/>
    <w:rsid w:val="000144E1"/>
    <w:rsid w:val="000B7484"/>
    <w:rsid w:val="0019091A"/>
    <w:rsid w:val="001A5503"/>
    <w:rsid w:val="001B13BB"/>
    <w:rsid w:val="002142BC"/>
    <w:rsid w:val="00217DF2"/>
    <w:rsid w:val="002872B9"/>
    <w:rsid w:val="003033E5"/>
    <w:rsid w:val="003465A9"/>
    <w:rsid w:val="00397109"/>
    <w:rsid w:val="00414CBF"/>
    <w:rsid w:val="00434F87"/>
    <w:rsid w:val="004829A9"/>
    <w:rsid w:val="004B0A1B"/>
    <w:rsid w:val="004D6137"/>
    <w:rsid w:val="00584091"/>
    <w:rsid w:val="005A4FC0"/>
    <w:rsid w:val="005B4CFF"/>
    <w:rsid w:val="005D3E43"/>
    <w:rsid w:val="00601FA6"/>
    <w:rsid w:val="00654E7A"/>
    <w:rsid w:val="00694EBC"/>
    <w:rsid w:val="0075762D"/>
    <w:rsid w:val="00795680"/>
    <w:rsid w:val="007E1DCD"/>
    <w:rsid w:val="00847AF2"/>
    <w:rsid w:val="00874670"/>
    <w:rsid w:val="008856C7"/>
    <w:rsid w:val="0095293B"/>
    <w:rsid w:val="0095526A"/>
    <w:rsid w:val="00992714"/>
    <w:rsid w:val="00997CF6"/>
    <w:rsid w:val="009F105D"/>
    <w:rsid w:val="00A02071"/>
    <w:rsid w:val="00A76B67"/>
    <w:rsid w:val="00AD1125"/>
    <w:rsid w:val="00B1038B"/>
    <w:rsid w:val="00B222E3"/>
    <w:rsid w:val="00B24E98"/>
    <w:rsid w:val="00B36655"/>
    <w:rsid w:val="00B51E6F"/>
    <w:rsid w:val="00B56A36"/>
    <w:rsid w:val="00BB0C8F"/>
    <w:rsid w:val="00BD6CF5"/>
    <w:rsid w:val="00C41C86"/>
    <w:rsid w:val="00C46309"/>
    <w:rsid w:val="00C65565"/>
    <w:rsid w:val="00CB1635"/>
    <w:rsid w:val="00CF48E2"/>
    <w:rsid w:val="00D37721"/>
    <w:rsid w:val="00DE0CE2"/>
    <w:rsid w:val="00E12FC9"/>
    <w:rsid w:val="00E44936"/>
    <w:rsid w:val="00F45127"/>
    <w:rsid w:val="00F47126"/>
    <w:rsid w:val="00F53625"/>
    <w:rsid w:val="00F54569"/>
    <w:rsid w:val="00FC1F7C"/>
    <w:rsid w:val="00FF3BF9"/>
  </w:rsids>
  <m:mathPr>
    <m:mathFont m:val="Cambria Math"/>
    <m:brkBin m:val="before"/>
    <m:brkBinSub m:val="--"/>
    <m:smallFrac m:val="0"/>
    <m:dispDef/>
    <m:lMargin m:val="0"/>
    <m:rMargin m:val="0"/>
    <m:defJc m:val="centerGroup"/>
    <m:wrapIndent m:val="1440"/>
    <m:intLim m:val="subSup"/>
    <m:naryLim m:val="undOvr"/>
  </m:mathPr>
  <w:themeFontLang w:val="en-B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63C44"/>
  <w15:chartTrackingRefBased/>
  <w15:docId w15:val="{8249A920-C2C5-4218-B15C-F68985B98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B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680"/>
    <w:pPr>
      <w:spacing w:line="320" w:lineRule="auto"/>
      <w:jc w:val="both"/>
    </w:pPr>
    <w:rPr>
      <w:rFonts w:ascii="Calibri" w:eastAsiaTheme="minorEastAsia" w:hAnsi="Calibri"/>
      <w:kern w:val="0"/>
      <w:sz w:val="22"/>
      <w:szCs w:val="22"/>
      <w:lang w:val="en-US"/>
      <w14:ligatures w14:val="none"/>
    </w:rPr>
  </w:style>
  <w:style w:type="paragraph" w:styleId="Heading1">
    <w:name w:val="heading 1"/>
    <w:basedOn w:val="Normal"/>
    <w:next w:val="Normal"/>
    <w:link w:val="Heading1Char"/>
    <w:uiPriority w:val="9"/>
    <w:qFormat/>
    <w:rsid w:val="007956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56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56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56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56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56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56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56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56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680"/>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795680"/>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795680"/>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795680"/>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95680"/>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9568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9568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9568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9568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956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68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956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68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95680"/>
    <w:pPr>
      <w:spacing w:before="160"/>
      <w:jc w:val="center"/>
    </w:pPr>
    <w:rPr>
      <w:i/>
      <w:iCs/>
      <w:color w:val="404040" w:themeColor="text1" w:themeTint="BF"/>
    </w:rPr>
  </w:style>
  <w:style w:type="character" w:customStyle="1" w:styleId="QuoteChar">
    <w:name w:val="Quote Char"/>
    <w:basedOn w:val="DefaultParagraphFont"/>
    <w:link w:val="Quote"/>
    <w:uiPriority w:val="29"/>
    <w:rsid w:val="00795680"/>
    <w:rPr>
      <w:i/>
      <w:iCs/>
      <w:color w:val="404040" w:themeColor="text1" w:themeTint="BF"/>
      <w:lang w:val="en-GB"/>
    </w:rPr>
  </w:style>
  <w:style w:type="paragraph" w:styleId="ListParagraph">
    <w:name w:val="List Paragraph"/>
    <w:basedOn w:val="Normal"/>
    <w:uiPriority w:val="34"/>
    <w:qFormat/>
    <w:rsid w:val="00795680"/>
    <w:pPr>
      <w:ind w:left="720"/>
      <w:contextualSpacing/>
    </w:pPr>
  </w:style>
  <w:style w:type="character" w:styleId="IntenseEmphasis">
    <w:name w:val="Intense Emphasis"/>
    <w:basedOn w:val="DefaultParagraphFont"/>
    <w:uiPriority w:val="21"/>
    <w:qFormat/>
    <w:rsid w:val="00795680"/>
    <w:rPr>
      <w:i/>
      <w:iCs/>
      <w:color w:val="0F4761" w:themeColor="accent1" w:themeShade="BF"/>
    </w:rPr>
  </w:style>
  <w:style w:type="paragraph" w:styleId="IntenseQuote">
    <w:name w:val="Intense Quote"/>
    <w:basedOn w:val="Normal"/>
    <w:next w:val="Normal"/>
    <w:link w:val="IntenseQuoteChar"/>
    <w:uiPriority w:val="30"/>
    <w:qFormat/>
    <w:rsid w:val="007956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5680"/>
    <w:rPr>
      <w:i/>
      <w:iCs/>
      <w:color w:val="0F4761" w:themeColor="accent1" w:themeShade="BF"/>
      <w:lang w:val="en-GB"/>
    </w:rPr>
  </w:style>
  <w:style w:type="character" w:styleId="IntenseReference">
    <w:name w:val="Intense Reference"/>
    <w:basedOn w:val="DefaultParagraphFont"/>
    <w:uiPriority w:val="32"/>
    <w:qFormat/>
    <w:rsid w:val="00795680"/>
    <w:rPr>
      <w:b/>
      <w:bCs/>
      <w:smallCaps/>
      <w:color w:val="0F4761" w:themeColor="accent1" w:themeShade="BF"/>
      <w:spacing w:val="5"/>
    </w:rPr>
  </w:style>
  <w:style w:type="paragraph" w:styleId="Header">
    <w:name w:val="header"/>
    <w:basedOn w:val="Normal"/>
    <w:link w:val="HeaderChar"/>
    <w:uiPriority w:val="99"/>
    <w:unhideWhenUsed/>
    <w:rsid w:val="00795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680"/>
    <w:rPr>
      <w:rFonts w:ascii="Calibri" w:eastAsiaTheme="minorEastAsia" w:hAnsi="Calibri"/>
      <w:kern w:val="0"/>
      <w:sz w:val="22"/>
      <w:szCs w:val="22"/>
      <w:lang w:val="en-US"/>
      <w14:ligatures w14:val="none"/>
    </w:rPr>
  </w:style>
  <w:style w:type="paragraph" w:styleId="Footer">
    <w:name w:val="footer"/>
    <w:basedOn w:val="Normal"/>
    <w:link w:val="FooterChar"/>
    <w:uiPriority w:val="99"/>
    <w:unhideWhenUsed/>
    <w:rsid w:val="00795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680"/>
    <w:rPr>
      <w:rFonts w:ascii="Calibri" w:eastAsiaTheme="minorEastAsia" w:hAnsi="Calibri"/>
      <w:kern w:val="0"/>
      <w:sz w:val="22"/>
      <w:szCs w:val="22"/>
      <w:lang w:val="en-US"/>
      <w14:ligatures w14:val="none"/>
    </w:rPr>
  </w:style>
  <w:style w:type="character" w:styleId="Hyperlink">
    <w:name w:val="Hyperlink"/>
    <w:basedOn w:val="DefaultParagraphFont"/>
    <w:uiPriority w:val="99"/>
    <w:unhideWhenUsed/>
    <w:rsid w:val="00997CF6"/>
    <w:rPr>
      <w:color w:val="467886" w:themeColor="hyperlink"/>
      <w:u w:val="single"/>
    </w:rPr>
  </w:style>
  <w:style w:type="character" w:styleId="UnresolvedMention">
    <w:name w:val="Unresolved Mention"/>
    <w:basedOn w:val="DefaultParagraphFont"/>
    <w:uiPriority w:val="99"/>
    <w:semiHidden/>
    <w:unhideWhenUsed/>
    <w:rsid w:val="00997CF6"/>
    <w:rPr>
      <w:color w:val="605E5C"/>
      <w:shd w:val="clear" w:color="auto" w:fill="E1DFDD"/>
    </w:rPr>
  </w:style>
  <w:style w:type="character" w:styleId="FollowedHyperlink">
    <w:name w:val="FollowedHyperlink"/>
    <w:basedOn w:val="DefaultParagraphFont"/>
    <w:uiPriority w:val="99"/>
    <w:semiHidden/>
    <w:unhideWhenUsed/>
    <w:rsid w:val="005B4CFF"/>
    <w:rPr>
      <w:color w:val="96607D" w:themeColor="followedHyperlink"/>
      <w:u w:val="single"/>
    </w:rPr>
  </w:style>
  <w:style w:type="paragraph" w:styleId="NoSpacing">
    <w:name w:val="No Spacing"/>
    <w:link w:val="NoSpacingChar"/>
    <w:uiPriority w:val="1"/>
    <w:qFormat/>
    <w:rsid w:val="00992714"/>
    <w:pPr>
      <w:spacing w:after="0" w:line="240" w:lineRule="auto"/>
    </w:pPr>
    <w:rPr>
      <w:rFonts w:eastAsiaTheme="minorEastAsia"/>
      <w:kern w:val="0"/>
      <w:sz w:val="22"/>
      <w:szCs w:val="22"/>
      <w:lang w:eastAsia="en-BB"/>
      <w14:ligatures w14:val="none"/>
    </w:rPr>
  </w:style>
  <w:style w:type="character" w:customStyle="1" w:styleId="NoSpacingChar">
    <w:name w:val="No Spacing Char"/>
    <w:basedOn w:val="DefaultParagraphFont"/>
    <w:link w:val="NoSpacing"/>
    <w:uiPriority w:val="1"/>
    <w:rsid w:val="00992714"/>
    <w:rPr>
      <w:rFonts w:eastAsiaTheme="minorEastAsia"/>
      <w:kern w:val="0"/>
      <w:sz w:val="22"/>
      <w:szCs w:val="22"/>
      <w:lang w:eastAsia="en-BB"/>
      <w14:ligatures w14:val="none"/>
    </w:rPr>
  </w:style>
  <w:style w:type="table" w:styleId="PlainTable1">
    <w:name w:val="Plain Table 1"/>
    <w:basedOn w:val="TableNormal"/>
    <w:uiPriority w:val="41"/>
    <w:rsid w:val="0099271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601F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1851</TotalTime>
  <Pages>22</Pages>
  <Words>7274</Words>
  <Characters>41463</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mahmudul hasan</dc:creator>
  <cp:keywords/>
  <dc:description/>
  <cp:lastModifiedBy>mahmudul hasan</cp:lastModifiedBy>
  <cp:revision>51</cp:revision>
  <dcterms:created xsi:type="dcterms:W3CDTF">2026-07-28T12:33:00Z</dcterms:created>
  <dcterms:modified xsi:type="dcterms:W3CDTF">2026-07-31T00:07:00Z</dcterms:modified>
</cp:coreProperties>
</file>