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A6203"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441EE7D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0B0889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3F748A6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4EF70C1" w14:textId="77777777" w:rsidR="0050578C" w:rsidRDefault="0050578C" w:rsidP="0050578C">
      <w:pPr>
        <w:spacing w:line="360" w:lineRule="auto"/>
        <w:jc w:val="center"/>
        <w:rPr>
          <w:rFonts w:ascii="Arial" w:eastAsia="Calibri" w:hAnsi="Arial" w:cs="Arial"/>
          <w:kern w:val="0"/>
          <w:sz w:val="28"/>
          <w:szCs w:val="28"/>
          <w14:ligatures w14:val="none"/>
        </w:rPr>
      </w:pPr>
    </w:p>
    <w:p w14:paraId="452658AB" w14:textId="77777777" w:rsidR="00792625" w:rsidRPr="0050578C" w:rsidRDefault="00792625" w:rsidP="0050578C">
      <w:pPr>
        <w:spacing w:line="360" w:lineRule="auto"/>
        <w:jc w:val="center"/>
        <w:rPr>
          <w:rFonts w:ascii="Arial" w:eastAsia="Calibri" w:hAnsi="Arial" w:cs="Arial"/>
          <w:kern w:val="0"/>
          <w:sz w:val="28"/>
          <w:szCs w:val="28"/>
          <w14:ligatures w14:val="none"/>
        </w:rPr>
      </w:pPr>
    </w:p>
    <w:p w14:paraId="20C5914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1471445" w14:textId="2674D384" w:rsidR="00AC55CA" w:rsidRPr="00AC55CA" w:rsidRDefault="00AC55CA" w:rsidP="00AC55CA">
      <w:pPr>
        <w:spacing w:line="360" w:lineRule="auto"/>
        <w:jc w:val="center"/>
        <w:rPr>
          <w:rFonts w:ascii="Arial" w:eastAsia="Calibri" w:hAnsi="Arial" w:cs="Arial"/>
          <w:kern w:val="0"/>
          <w:sz w:val="28"/>
          <w:szCs w:val="28"/>
          <w14:ligatures w14:val="none"/>
        </w:rPr>
      </w:pPr>
      <w:r w:rsidRPr="00AC55CA">
        <w:rPr>
          <w:rFonts w:ascii="Arial" w:eastAsia="Calibri" w:hAnsi="Arial" w:cs="Arial"/>
          <w:kern w:val="0"/>
          <w:sz w:val="28"/>
          <w:szCs w:val="28"/>
          <w14:ligatures w14:val="none"/>
        </w:rPr>
        <w:t>Corporate social responsibility (CSR) in</w:t>
      </w:r>
    </w:p>
    <w:p w14:paraId="5664141C" w14:textId="4EE1A1DD" w:rsidR="0050578C" w:rsidRPr="0050578C" w:rsidRDefault="00AC55CA" w:rsidP="00AC55CA">
      <w:pPr>
        <w:spacing w:line="360" w:lineRule="auto"/>
        <w:jc w:val="center"/>
        <w:rPr>
          <w:rFonts w:ascii="Arial" w:eastAsia="Calibri" w:hAnsi="Arial" w:cs="Arial"/>
          <w:kern w:val="0"/>
          <w:sz w:val="28"/>
          <w:szCs w:val="28"/>
          <w14:ligatures w14:val="none"/>
        </w:rPr>
      </w:pPr>
      <w:r w:rsidRPr="00AC55CA">
        <w:rPr>
          <w:rFonts w:ascii="Arial" w:eastAsia="Calibri" w:hAnsi="Arial" w:cs="Arial"/>
          <w:kern w:val="0"/>
          <w:sz w:val="28"/>
          <w:szCs w:val="28"/>
          <w14:ligatures w14:val="none"/>
        </w:rPr>
        <w:t>hospitality industry</w:t>
      </w:r>
    </w:p>
    <w:p w14:paraId="1A198361" w14:textId="1F51A2C2" w:rsidR="0050578C" w:rsidRPr="0050578C" w:rsidRDefault="00574011" w:rsidP="0050578C">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Sustainable Hospitality &amp;</w:t>
      </w:r>
      <w:r w:rsidR="004D42F1">
        <w:rPr>
          <w:rFonts w:ascii="Arial" w:eastAsia="Calibri" w:hAnsi="Arial" w:cs="Arial"/>
          <w:kern w:val="0"/>
          <w:sz w:val="28"/>
          <w:szCs w:val="28"/>
          <w14:ligatures w14:val="none"/>
        </w:rPr>
        <w:t xml:space="preserve"> </w:t>
      </w:r>
      <w:r w:rsidR="00604648">
        <w:rPr>
          <w:rFonts w:ascii="Arial" w:eastAsia="Calibri" w:hAnsi="Arial" w:cs="Arial"/>
          <w:kern w:val="0"/>
          <w:sz w:val="28"/>
          <w:szCs w:val="28"/>
          <w14:ligatures w14:val="none"/>
        </w:rPr>
        <w:t>T</w:t>
      </w:r>
      <w:r w:rsidR="004D42F1">
        <w:rPr>
          <w:rFonts w:ascii="Arial" w:eastAsia="Calibri" w:hAnsi="Arial" w:cs="Arial"/>
          <w:kern w:val="0"/>
          <w:sz w:val="28"/>
          <w:szCs w:val="28"/>
          <w14:ligatures w14:val="none"/>
        </w:rPr>
        <w:t>ourism Management</w:t>
      </w:r>
      <w:r w:rsidR="00D4180F">
        <w:rPr>
          <w:rFonts w:ascii="Arial" w:eastAsia="Calibri" w:hAnsi="Arial" w:cs="Arial"/>
          <w:kern w:val="0"/>
          <w:sz w:val="28"/>
          <w:szCs w:val="28"/>
          <w14:ligatures w14:val="none"/>
        </w:rPr>
        <w:t xml:space="preserve"> </w:t>
      </w:r>
      <w:r w:rsidR="0050578C" w:rsidRPr="0050578C">
        <w:rPr>
          <w:rFonts w:ascii="Arial" w:eastAsia="Calibri" w:hAnsi="Arial" w:cs="Arial"/>
          <w:kern w:val="0"/>
          <w:sz w:val="28"/>
          <w:szCs w:val="28"/>
          <w14:ligatures w14:val="none"/>
        </w:rPr>
        <w:t>BMIH50</w:t>
      </w:r>
      <w:r w:rsidR="004D42F1">
        <w:rPr>
          <w:rFonts w:ascii="Arial" w:eastAsia="Calibri" w:hAnsi="Arial" w:cs="Arial"/>
          <w:kern w:val="0"/>
          <w:sz w:val="28"/>
          <w:szCs w:val="28"/>
          <w14:ligatures w14:val="none"/>
        </w:rPr>
        <w:t>06</w:t>
      </w:r>
    </w:p>
    <w:p w14:paraId="612B492E" w14:textId="77777777" w:rsidR="00604648" w:rsidRDefault="008C7C9B" w:rsidP="0050578C">
      <w:pPr>
        <w:spacing w:line="360" w:lineRule="auto"/>
        <w:jc w:val="center"/>
        <w:rPr>
          <w:rFonts w:ascii="Arial" w:eastAsia="Calibri" w:hAnsi="Arial" w:cs="Arial"/>
          <w:kern w:val="0"/>
          <w:sz w:val="28"/>
          <w:szCs w:val="28"/>
          <w14:ligatures w14:val="none"/>
        </w:rPr>
      </w:pPr>
      <w:r w:rsidRPr="008C7C9B">
        <w:rPr>
          <w:rFonts w:ascii="Arial" w:eastAsia="Calibri" w:hAnsi="Arial" w:cs="Arial"/>
          <w:kern w:val="0"/>
          <w:sz w:val="28"/>
          <w:szCs w:val="28"/>
          <w14:ligatures w14:val="none"/>
        </w:rPr>
        <w:t>Ruth Taylor-Davies</w:t>
      </w:r>
    </w:p>
    <w:p w14:paraId="106EBCC0" w14:textId="03C96B70"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Gabriela Catalina Dumitru</w:t>
      </w:r>
    </w:p>
    <w:p w14:paraId="034BC574"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2209716</w:t>
      </w:r>
    </w:p>
    <w:p w14:paraId="0CE2B35C"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10/05/2024</w:t>
      </w:r>
    </w:p>
    <w:p w14:paraId="70077716" w14:textId="5C1A944A"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w:t>
      </w:r>
      <w:r w:rsidR="00465B7E">
        <w:rPr>
          <w:rFonts w:ascii="Arial" w:eastAsia="Calibri" w:hAnsi="Arial" w:cs="Arial"/>
          <w:kern w:val="0"/>
          <w:sz w:val="28"/>
          <w:szCs w:val="28"/>
          <w14:ligatures w14:val="none"/>
        </w:rPr>
        <w:t>12</w:t>
      </w:r>
      <w:r w:rsidRPr="0050578C">
        <w:rPr>
          <w:rFonts w:ascii="Arial" w:eastAsia="Calibri" w:hAnsi="Arial" w:cs="Arial"/>
          <w:kern w:val="0"/>
          <w:sz w:val="28"/>
          <w:szCs w:val="28"/>
          <w14:ligatures w14:val="none"/>
        </w:rPr>
        <w:t>4 words</w:t>
      </w:r>
    </w:p>
    <w:p w14:paraId="69706D55"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191F4B9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0A3C76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0625BBAC"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709D759F"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3B6412E"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1EF7B9E" w14:textId="77777777" w:rsidR="0050578C" w:rsidRDefault="0050578C" w:rsidP="0050578C">
      <w:pPr>
        <w:spacing w:line="360" w:lineRule="auto"/>
        <w:jc w:val="both"/>
        <w:rPr>
          <w:rFonts w:ascii="Arial" w:eastAsia="Calibri" w:hAnsi="Arial" w:cs="Arial"/>
          <w:kern w:val="0"/>
          <w:sz w:val="24"/>
          <w:szCs w:val="24"/>
          <w14:ligatures w14:val="none"/>
        </w:rPr>
      </w:pPr>
    </w:p>
    <w:p w14:paraId="0AE047A0" w14:textId="77777777" w:rsidR="004F5F8A" w:rsidRDefault="004F5F8A" w:rsidP="0050578C">
      <w:pPr>
        <w:spacing w:line="360" w:lineRule="auto"/>
        <w:jc w:val="both"/>
        <w:rPr>
          <w:rFonts w:ascii="Arial" w:eastAsia="Calibri" w:hAnsi="Arial" w:cs="Arial"/>
          <w:kern w:val="0"/>
          <w:sz w:val="24"/>
          <w:szCs w:val="24"/>
          <w14:ligatures w14:val="none"/>
        </w:rPr>
      </w:pPr>
    </w:p>
    <w:p w14:paraId="54C6A813"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lastRenderedPageBreak/>
        <w:t>Sustainability in the context of hospitality and tourism management refers to the responsible management of resources and activities to ensure that the needs of present tourists and host communities are met without compromising the ability of future generations to meet their own needs. It involves considering the economic, environmental, and social impacts of tourism and hospitality operations, with the aim of minimizing negative effects and maximizing positive ones. A critical understanding of sustainability involves recognizing the interconnectedness of various systems and stakeholders involved in the tourism and hospitality industry. It requires acknowledging that actions taken in one area can have ripple effects throughout the entire ecosystem, affecting not only the environment but also local communities, economies, and cultural heritage.</w:t>
      </w:r>
    </w:p>
    <w:p w14:paraId="642AD4D1"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 xml:space="preserve">Within the context of tourism and hospitality, sustainability can be applied in several ways, first, environmental sustainability, trying to minimize the ecological footprint of tourism and hospitality operations by reducing energy and water consumption, also minimizing waste generation, and preserving natural habitats and biodiversity. This can include initiatives such as using renewable energy sources, implementing waste reduction and recycling programs, and promoting eco-friendly transportation options. Secondly, social sustainability is about ensuring that tourism and hospitality activities benefit local communities by creating employment opportunities, supporting local businesses, and respecting local cultures and traditions. It also involves promoting inclusive tourism practices that cater to the needs of diverse groups of tourists, including those with disabilities or from marginalized communities. Another tendence is economic sustainability, this involves ensuring that tourism and hospitality activities contribute to the long-term economic development of destinations in a way that benefits local residents. This can include initiatives such as promoting fair wages and working conditions for hospitality staff, investing in infrastructure development that benefits both tourists and locals, and diversifying the tourism product to reduce dependence on seasonal or unsustainable forms of tourism. In terms of sustainable good practices within the tourism and hospitality industry, these can vary depending on the specific context and location. In rural areas, for example, sustainable practices may include promoting agro-tourism initiatives that support local farmers and artisans, implementing conservation programs to protect natural resources, and offering authentic cultural experiences that showcase local traditions. In coastal areas, sustainable practices may involve implementing responsible coastal management strategies to protect sensitive marine ecosystems, promoting sustainable fishing practices, and minimizing pollution from tourist activities such as </w:t>
      </w:r>
      <w:r w:rsidRPr="004F5F8A">
        <w:rPr>
          <w:rFonts w:ascii="Arial" w:eastAsia="Calibri" w:hAnsi="Arial" w:cs="Arial"/>
          <w:kern w:val="0"/>
          <w:sz w:val="24"/>
          <w:szCs w:val="24"/>
          <w14:ligatures w14:val="none"/>
        </w:rPr>
        <w:lastRenderedPageBreak/>
        <w:t>boating and scuba diving/ exploring. In urban areas, sustainable practices may include investing in public transportation infrastructure to reduce reliance on private cars, promoting energy-efficient building designs for hotels and other tourism facilities, and supporting local initiatives that enhance the quality of life for residents while also attracting tourists. Within the transport sector, sustainable practices can include investing in fuel-efficient vehicles, promoting alternative modes of transportation such as cycling or walking tours, and implementing carbon offset programs to mitigate the environmental impact of air travel. Additionally, efforts can be made to optimize transportation routes and schedules to minimize congestion and reduce emissions. Overall, adopting sustainable practices in hospitality, tourism, and transportation requires a holistic approach that considers the environmental, social, and economic impacts of industry activities, and involves collaboration among stakeholders including government agencies, businesses, local communities, and tourists themselves.</w:t>
      </w:r>
    </w:p>
    <w:p w14:paraId="5A332FB0"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 xml:space="preserve">Corporate Social Responsibility (CSR) refers to a business approach that integrates social and environmental concerns into its operations and interactions with stakeholders. It involves going beyond legal obligations and taking voluntary actions to address societal and environmental issues. CSR encompasses various initiatives such as philanthropy, ethical labour practices, environmental sustainability, and community engagement. In the hospitality industry, CSR plays a significant role in promoting sustainability through several key mechanisms, as reducing the impact on environment, footprint, waste, energy and water consumption; or CSR initiatives to involve actively local communities, local businesses and suppliers in community development projects, and providing employment and training opportunities for locals. CSR in the hospitality industry also extends to ensuring the well-being and rights of employees, providing fair wages and benefits, promoting workplace diversity and inclusion, and offering opportunities for professional development and advancement, all these leading to improved business performance; CSR entails upholding ethical standards and values in all aspects of business operations, by transparency and integrity in business dealings, adhering to ethical labour practices, and respecting human rights or could have initiatives of responsible tourism practices among guests and customers in raising awareness about environmental and cultural conservation, encouraging sustainable travel </w:t>
      </w:r>
      <w:proofErr w:type="spellStart"/>
      <w:r w:rsidRPr="004F5F8A">
        <w:rPr>
          <w:rFonts w:ascii="Arial" w:eastAsia="Calibri" w:hAnsi="Arial" w:cs="Arial"/>
          <w:kern w:val="0"/>
          <w:sz w:val="24"/>
          <w:szCs w:val="24"/>
          <w14:ligatures w14:val="none"/>
        </w:rPr>
        <w:t>behaviors</w:t>
      </w:r>
      <w:proofErr w:type="spellEnd"/>
      <w:r w:rsidRPr="004F5F8A">
        <w:rPr>
          <w:rFonts w:ascii="Arial" w:eastAsia="Calibri" w:hAnsi="Arial" w:cs="Arial"/>
          <w:kern w:val="0"/>
          <w:sz w:val="24"/>
          <w:szCs w:val="24"/>
          <w14:ligatures w14:val="none"/>
        </w:rPr>
        <w:t xml:space="preserve">, and offering eco-friendly amenities and activities. By promoting responsible tourism, hospitality businesses can help minimize negative impacts on destinations and preserve their natural and cultural heritage for future generations. Overall, CSR plays a crucial role in promoting </w:t>
      </w:r>
      <w:r w:rsidRPr="004F5F8A">
        <w:rPr>
          <w:rFonts w:ascii="Arial" w:eastAsia="Calibri" w:hAnsi="Arial" w:cs="Arial"/>
          <w:kern w:val="0"/>
          <w:sz w:val="24"/>
          <w:szCs w:val="24"/>
          <w14:ligatures w14:val="none"/>
        </w:rPr>
        <w:lastRenderedPageBreak/>
        <w:t>sustainability within the hospitality industry by encouraging businesses to adopt environmentally sound practices, engage with local communities, support employee welfare, uphold ethical standards, and promote responsible tourism. By integrating CSR into their operations, hospitality businesses can not only mitigate risks and enhance their reputation but also contribute to the long-term sustainability of the industry and the communities in which they operate.</w:t>
      </w:r>
    </w:p>
    <w:p w14:paraId="78B96400"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The key areas where CSR initiatives can have a significant impact on sustainability practices in the hospitality industry are in Energy Efficiency and Renewable Energy Adoption, passing to energy efficiency measures such as LED lighting, smart HVAC systems, and energy-efficient appliances, hospitality businesses can significantly reduce their energy consumption and carbon emissions; adopting renewable energy sources such as solar panels or wind turbines can further decrease reliance on fossil fuels and promote cleaner energy production; making efforts in Waste Management and Recycling Programs, by implementing comprehensive waste management strategies, including recycling, composting, and waste reduction initiatives, by partnering with local recycling facilities and educating guests and staff about proper waste disposal practices, hotels can divert significant amounts of waste from landfill disposal; could adopt Water Conservation Measures, implementing water-saving technologies such as low-flow faucets, water-efficient fixtures, and graywater recycling systems, even educating guests about the importance of water conservation through signage, in-room materials, and water-saving initiatives can further promote responsible water use; starting sourcing for food, beverages, and other products from sustainable sources can reduce the environmental and social impacts associated with the supply chain, and by prioritizing suppliers that adhere to ethical labour practices, promote fair trade, and minimize environmental harm, hospitality businesses can contribute to positive social and environmental outcomes. Nothing done without Community Engagement and Socio-economic Development, because engaging with local communities through partnerships, philanthropic initiatives, and community development projects can foster positive relationships and support socio-economic development, or, in same way, by supporting local businesses, artisans, and cultural initiatives can help preserve local traditions and contribute to the economic vitality of host communities.</w:t>
      </w:r>
    </w:p>
    <w:p w14:paraId="7B3E57DF"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In these areas, CSR initiatives can have a tangible and measurable impact on sustainability practices within the hospitality industry, leading to reduced environmental footprint, enhanced community relations, and improved social and economic outcomes.</w:t>
      </w:r>
    </w:p>
    <w:p w14:paraId="21BDFA3A"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lastRenderedPageBreak/>
        <w:t>If consider Premier Inn sample, the challenges mitigated by brand are resource constraints, Premier Inn's focus on budget-friendly accommodations may present challenges in allocating resources for CSR initiatives. Limited financial resources may constrain the implementation of comprehensive sustainability programs compared to larger hotel chains, also supply chain transparency, as Premier Inn's reliance on suppliers for various goods and services may pose challenges in ensuring supply chain transparency and ethical sourcing practices. Monitoring and vetting suppliers to comply with CSR standards require dedicated resources and expertise; in raise tendence guest expectations, meeting guest expectations for affordability and comfort while implementing CSR initiatives may pose challenges. Balancing cost-effectiveness with sustainability goals without compromising guest satisfaction requires careful planning and strategic decision-making. For Premier Inn, the opportunities are operational efficiency, Premier Inn can capitalize on opportunities to improve operational efficiency through sustainable practices. Implementing energy-saving measures, waste reduction programs, and water conservation initiatives can lower operating costs and enhance profitability in the long run. Another advantage is differentiation in the market, Premier Inn can differentiate itself in the budget hotel segment by emphasizing its commitment to CSR. Communicating its sustainability efforts effectively to guests can attract environmentally conscious travellers seeking responsible accommodation options. In employee engagement chapter, Premier Inn can leverage its focus on employee training and development to promote CSR awareness among staff. Engaging employees in sustainability initiatives and recognizing their contributions can foster a culture of environmental responsibility and enhance employee satisfaction.</w:t>
      </w:r>
    </w:p>
    <w:p w14:paraId="1035526C"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In conclusion, Premier Inn faces challenges and opportunities in implementing good CSR policies, Premier Inn can leverage its focus on operational efficiency and employee engagement to drive sustainability practices within its budget-friendly hotel offerings. Ultimately, the hotel chains have the potential to make significant contributions to CSR and sustainability in the hospitality industry</w:t>
      </w:r>
    </w:p>
    <w:p w14:paraId="68A7BA6B"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 xml:space="preserve">Premier Inn have implemented initiatives to reduce their environmental footprint. They invest in energy-efficient technologies, implement waste reduction programs, and promote water conservation measures across their properties. Also in community engagement programs, the hotel chains engage with local communities through philanthropic initiatives, community partnerships, and support for local charities and organizations. They </w:t>
      </w:r>
      <w:r w:rsidRPr="004F5F8A">
        <w:rPr>
          <w:rFonts w:ascii="Arial" w:eastAsia="Calibri" w:hAnsi="Arial" w:cs="Arial"/>
          <w:kern w:val="0"/>
          <w:sz w:val="24"/>
          <w:szCs w:val="24"/>
          <w14:ligatures w14:val="none"/>
        </w:rPr>
        <w:lastRenderedPageBreak/>
        <w:t xml:space="preserve">prioritize giving back to the communities where they operate, contributing to social development and welfare, </w:t>
      </w:r>
    </w:p>
    <w:p w14:paraId="05A79C20"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Premier Inn: Premier Inn's focus on operational efficiency and community engagement has helped it establish a positive brand image as a responsible and value-driven hotel chain, Premier Inn's commitment to sustainability resonates with its target market of budget-conscious travellers. The impact of its CSR initiatives on brand image may be more localized but still significant in enhancing customer loyalty and attracting socially conscious guests within the UK market.</w:t>
      </w:r>
    </w:p>
    <w:p w14:paraId="0A1D37C4"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In conclusion, Premier Inn share similarities in their commitment to environmental sustainability and community engagement, Premier Inn's focus on operational efficiency and value-driven services has contributed to a positive brand image within its target market. Overall, the hotel chains have successfully leveraged CSR initiatives to strengthen their brand image and appeal to socially conscious consumers, Premier Inn's CSR policy is a key focus for the company due to several reasons, and critically analysing it reveals both strengths and areas for potential improvement. Premier Inn places a strong emphasis on operational efficiency and resource management in its CSR policy. The company implements energy-saving measures, waste reduction programs, and water conservation initiatives across its properties, demonstrating a commitment to minimizing environmental impact. Premier Inn actively engages with local communities through philanthropic initiatives, community partnerships, and support for local charities and organizations. The company prioritizes giving back to the communities where it operates, contributing to social development and welfare. Premier Inn emphasizes the well-being and development of its employees in its CSR policy. The company provides fair wages, offers opportunities for training and advancement, and promotes a safe and inclusive work environment, fostering employee satisfaction and loyalty. Premier Inn's focus on offering budget-friendly accommodations aligns with sustainability principles by providing affordable options for travellers while minimizing resource consumption and environmental impact. Premier Inn demonstrates transparency and accountability in its CSR reporting, communicating its social and environmental performance to stakeholders. The company sets measurable targets, tracks progress, and engages with stakeholders to address concerns and feedback.</w:t>
      </w:r>
    </w:p>
    <w:p w14:paraId="1DF12043"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 xml:space="preserve">Some areas for Improvement as recommendation, supply chain transparency; to set new ambitious targets according with the times; bigger community impact empowering local </w:t>
      </w:r>
      <w:r w:rsidRPr="004F5F8A">
        <w:rPr>
          <w:rFonts w:ascii="Arial" w:eastAsia="Calibri" w:hAnsi="Arial" w:cs="Arial"/>
          <w:kern w:val="0"/>
          <w:sz w:val="24"/>
          <w:szCs w:val="24"/>
          <w14:ligatures w14:val="none"/>
        </w:rPr>
        <w:lastRenderedPageBreak/>
        <w:t xml:space="preserve">hotels in local initiatives; climate change mitigation, reducing the company's environmental footprint; by employee engagement, staff involvement in CSR initiatives </w:t>
      </w:r>
    </w:p>
    <w:p w14:paraId="466F7DCF"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In conclusion, Premier Inn's CSR policy is a key focus for the company as it aligns with its commitment to operational efficiency, community engagement, employee well-being, and affordable accommodations. While the company has demonstrated strengths in these areas, there are also opportunities for improvement in supply chain transparency, setting ambitious targets, deepening community impact, mitigating climate change, and enhancing employee engagement. By addressing these areas, Premier Inn can further strengthen its CSR leadership and contribute to a more sustainable future for the hospitality industry.</w:t>
      </w:r>
    </w:p>
    <w:p w14:paraId="3E3A5560" w14:textId="77777777" w:rsidR="004F5F8A" w:rsidRPr="004F5F8A" w:rsidRDefault="004F5F8A" w:rsidP="004F5F8A">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In conclusion, Premier Inn has shown a strong commitment to sustainability through its CSR policies and initiatives. By emphasizing operational efficiency, community engagement, and employee well-being, Premier Inn has not only reduced its environmental impact but also enhanced its brand reputation and contributed to positive social and economic outcomes. Through initiatives such as renewable energy integration, plastic reduction, and community engagement programs, Premier Inn has realized benefits such as cost savings, increased customer loyalty, and strengthened community relations. Looking ahead, Premier Inn's focus on sustainability will continue to drive innovation, promote collaboration, and position the company as a leader in responsible hospitality, benefiting both the organization and the wider community.</w:t>
      </w:r>
    </w:p>
    <w:p w14:paraId="5EEA2248" w14:textId="77777777" w:rsidR="004F5F8A" w:rsidRPr="004F5F8A" w:rsidRDefault="004F5F8A" w:rsidP="004F5F8A">
      <w:pPr>
        <w:spacing w:line="360" w:lineRule="auto"/>
        <w:jc w:val="both"/>
        <w:rPr>
          <w:rFonts w:ascii="Arial" w:eastAsia="Calibri" w:hAnsi="Arial" w:cs="Arial"/>
          <w:kern w:val="0"/>
          <w:sz w:val="24"/>
          <w:szCs w:val="24"/>
          <w14:ligatures w14:val="none"/>
        </w:rPr>
      </w:pPr>
    </w:p>
    <w:p w14:paraId="57321F43" w14:textId="77777777" w:rsidR="004F5F8A" w:rsidRPr="004F5F8A" w:rsidRDefault="004F5F8A" w:rsidP="004F5F8A">
      <w:pPr>
        <w:spacing w:line="360" w:lineRule="auto"/>
        <w:jc w:val="both"/>
        <w:rPr>
          <w:rFonts w:ascii="Arial" w:eastAsia="Calibri" w:hAnsi="Arial" w:cs="Arial"/>
          <w:kern w:val="0"/>
          <w:sz w:val="24"/>
          <w:szCs w:val="24"/>
          <w14:ligatures w14:val="none"/>
        </w:rPr>
      </w:pPr>
    </w:p>
    <w:p w14:paraId="0917F0A8" w14:textId="77777777" w:rsidR="0050578C" w:rsidRDefault="0050578C" w:rsidP="0050578C">
      <w:pPr>
        <w:spacing w:line="360" w:lineRule="auto"/>
        <w:jc w:val="both"/>
        <w:rPr>
          <w:rFonts w:ascii="Arial" w:eastAsia="Calibri" w:hAnsi="Arial" w:cs="Arial"/>
          <w:kern w:val="0"/>
          <w:sz w:val="24"/>
          <w:szCs w:val="24"/>
          <w14:ligatures w14:val="none"/>
        </w:rPr>
      </w:pPr>
    </w:p>
    <w:p w14:paraId="75901E2E" w14:textId="77777777" w:rsidR="00FF36CC" w:rsidRDefault="00FF36CC" w:rsidP="0050578C">
      <w:pPr>
        <w:spacing w:line="360" w:lineRule="auto"/>
        <w:jc w:val="both"/>
        <w:rPr>
          <w:rFonts w:ascii="Arial" w:eastAsia="Calibri" w:hAnsi="Arial" w:cs="Arial"/>
          <w:kern w:val="0"/>
          <w:sz w:val="24"/>
          <w:szCs w:val="24"/>
          <w14:ligatures w14:val="none"/>
        </w:rPr>
      </w:pPr>
    </w:p>
    <w:p w14:paraId="7C2D5DB7" w14:textId="77777777" w:rsidR="00FF36CC" w:rsidRDefault="00FF36CC" w:rsidP="0050578C">
      <w:pPr>
        <w:spacing w:line="360" w:lineRule="auto"/>
        <w:jc w:val="both"/>
        <w:rPr>
          <w:rFonts w:ascii="Arial" w:eastAsia="Calibri" w:hAnsi="Arial" w:cs="Arial"/>
          <w:kern w:val="0"/>
          <w:sz w:val="24"/>
          <w:szCs w:val="24"/>
          <w14:ligatures w14:val="none"/>
        </w:rPr>
      </w:pPr>
    </w:p>
    <w:p w14:paraId="55F21141" w14:textId="77777777" w:rsidR="00FF36CC" w:rsidRDefault="00FF36CC" w:rsidP="0050578C">
      <w:pPr>
        <w:spacing w:line="360" w:lineRule="auto"/>
        <w:jc w:val="both"/>
        <w:rPr>
          <w:rFonts w:ascii="Arial" w:eastAsia="Calibri" w:hAnsi="Arial" w:cs="Arial"/>
          <w:kern w:val="0"/>
          <w:sz w:val="24"/>
          <w:szCs w:val="24"/>
          <w14:ligatures w14:val="none"/>
        </w:rPr>
      </w:pPr>
    </w:p>
    <w:p w14:paraId="2D2B69E2" w14:textId="77777777" w:rsidR="00FF36CC" w:rsidRDefault="00FF36CC" w:rsidP="0050578C">
      <w:pPr>
        <w:spacing w:line="360" w:lineRule="auto"/>
        <w:jc w:val="both"/>
        <w:rPr>
          <w:rFonts w:ascii="Arial" w:eastAsia="Calibri" w:hAnsi="Arial" w:cs="Arial"/>
          <w:kern w:val="0"/>
          <w:sz w:val="24"/>
          <w:szCs w:val="24"/>
          <w14:ligatures w14:val="none"/>
        </w:rPr>
      </w:pPr>
    </w:p>
    <w:p w14:paraId="433EAE9F" w14:textId="77777777" w:rsidR="00FF36CC" w:rsidRDefault="00FF36CC" w:rsidP="0050578C">
      <w:pPr>
        <w:spacing w:line="360" w:lineRule="auto"/>
        <w:jc w:val="both"/>
        <w:rPr>
          <w:rFonts w:ascii="Arial" w:eastAsia="Calibri" w:hAnsi="Arial" w:cs="Arial"/>
          <w:kern w:val="0"/>
          <w:sz w:val="24"/>
          <w:szCs w:val="24"/>
          <w14:ligatures w14:val="none"/>
        </w:rPr>
      </w:pPr>
    </w:p>
    <w:p w14:paraId="4E66D5E4" w14:textId="77777777" w:rsidR="00FF36CC" w:rsidRDefault="00FF36CC" w:rsidP="0050578C">
      <w:pPr>
        <w:spacing w:line="360" w:lineRule="auto"/>
        <w:jc w:val="both"/>
        <w:rPr>
          <w:rFonts w:ascii="Arial" w:eastAsia="Calibri" w:hAnsi="Arial" w:cs="Arial"/>
          <w:kern w:val="0"/>
          <w:sz w:val="24"/>
          <w:szCs w:val="24"/>
          <w14:ligatures w14:val="none"/>
        </w:rPr>
      </w:pPr>
    </w:p>
    <w:p w14:paraId="5D214826" w14:textId="77777777" w:rsidR="00FF36CC" w:rsidRPr="0050578C" w:rsidRDefault="00FF36CC" w:rsidP="0050578C">
      <w:pPr>
        <w:spacing w:line="360" w:lineRule="auto"/>
        <w:jc w:val="both"/>
        <w:rPr>
          <w:rFonts w:ascii="Arial" w:eastAsia="Calibri" w:hAnsi="Arial" w:cs="Arial"/>
          <w:kern w:val="0"/>
          <w:sz w:val="24"/>
          <w:szCs w:val="24"/>
          <w14:ligatures w14:val="none"/>
        </w:rPr>
      </w:pPr>
    </w:p>
    <w:p w14:paraId="0608E7CE" w14:textId="77777777" w:rsidR="00792625" w:rsidRDefault="0050578C" w:rsidP="00792625">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lastRenderedPageBreak/>
        <w:t>References</w:t>
      </w:r>
      <w:r w:rsidR="00792625" w:rsidRPr="00792625">
        <w:rPr>
          <w:rFonts w:ascii="Arial" w:eastAsia="Calibri" w:hAnsi="Arial" w:cs="Arial"/>
          <w:kern w:val="0"/>
          <w:sz w:val="24"/>
          <w:szCs w:val="24"/>
          <w14:ligatures w14:val="none"/>
        </w:rPr>
        <w:t xml:space="preserve"> </w:t>
      </w:r>
    </w:p>
    <w:p w14:paraId="357BDFE0" w14:textId="77777777" w:rsidR="00600944" w:rsidRDefault="00600944" w:rsidP="00792625">
      <w:pPr>
        <w:spacing w:line="360" w:lineRule="auto"/>
        <w:jc w:val="both"/>
        <w:rPr>
          <w:rFonts w:ascii="Arial" w:eastAsia="Calibri" w:hAnsi="Arial" w:cs="Arial"/>
          <w:kern w:val="0"/>
          <w:sz w:val="24"/>
          <w:szCs w:val="24"/>
          <w14:ligatures w14:val="none"/>
        </w:rPr>
      </w:pPr>
    </w:p>
    <w:p w14:paraId="4849EA46" w14:textId="5A22DC8A" w:rsidR="00FE19D1" w:rsidRDefault="00FE19D1" w:rsidP="00792625">
      <w:pPr>
        <w:spacing w:line="360" w:lineRule="auto"/>
        <w:jc w:val="both"/>
        <w:rPr>
          <w:rFonts w:ascii="Arial" w:eastAsia="Calibri" w:hAnsi="Arial" w:cs="Arial"/>
          <w:kern w:val="0"/>
          <w:sz w:val="24"/>
          <w:szCs w:val="24"/>
          <w14:ligatures w14:val="none"/>
        </w:rPr>
      </w:pPr>
      <w:r w:rsidRPr="00FE19D1">
        <w:rPr>
          <w:rFonts w:ascii="Arial" w:eastAsia="Calibri" w:hAnsi="Arial" w:cs="Arial"/>
          <w:kern w:val="0"/>
          <w:sz w:val="24"/>
          <w:szCs w:val="24"/>
          <w14:ligatures w14:val="none"/>
        </w:rPr>
        <w:t xml:space="preserve">Bathurst, R. and Eweje, G. (2017) </w:t>
      </w:r>
      <w:r w:rsidRPr="00FE19D1">
        <w:rPr>
          <w:rFonts w:ascii="Arial" w:eastAsia="Calibri" w:hAnsi="Arial" w:cs="Arial"/>
          <w:i/>
          <w:iCs/>
          <w:kern w:val="0"/>
          <w:sz w:val="24"/>
          <w:szCs w:val="24"/>
          <w14:ligatures w14:val="none"/>
        </w:rPr>
        <w:t>CSR, sustainability, and leadership</w:t>
      </w:r>
      <w:r w:rsidRPr="00FE19D1">
        <w:rPr>
          <w:rFonts w:ascii="Arial" w:eastAsia="Calibri" w:hAnsi="Arial" w:cs="Arial"/>
          <w:kern w:val="0"/>
          <w:sz w:val="24"/>
          <w:szCs w:val="24"/>
          <w14:ligatures w14:val="none"/>
        </w:rPr>
        <w:t>. New York: Routledge.</w:t>
      </w:r>
    </w:p>
    <w:p w14:paraId="301DF826" w14:textId="2AACF544" w:rsidR="00600944" w:rsidRDefault="00600944" w:rsidP="00792625">
      <w:pPr>
        <w:spacing w:line="360" w:lineRule="auto"/>
        <w:jc w:val="both"/>
        <w:rPr>
          <w:rFonts w:ascii="Arial" w:eastAsia="Calibri" w:hAnsi="Arial" w:cs="Arial"/>
          <w:kern w:val="0"/>
          <w:sz w:val="24"/>
          <w:szCs w:val="24"/>
          <w14:ligatures w14:val="none"/>
        </w:rPr>
      </w:pPr>
      <w:r w:rsidRPr="00600944">
        <w:rPr>
          <w:rFonts w:ascii="Arial" w:eastAsia="Calibri" w:hAnsi="Arial" w:cs="Arial"/>
          <w:kern w:val="0"/>
          <w:sz w:val="24"/>
          <w:szCs w:val="24"/>
          <w14:ligatures w14:val="none"/>
        </w:rPr>
        <w:t xml:space="preserve">Bhargava, A. and Ligade, P. (2023) ‘Corporate social responsibility (CSR) and sustainability – a scientometric analysis of the interrelationship’, </w:t>
      </w:r>
      <w:r w:rsidRPr="00600944">
        <w:rPr>
          <w:rFonts w:ascii="Arial" w:eastAsia="Calibri" w:hAnsi="Arial" w:cs="Arial"/>
          <w:i/>
          <w:iCs/>
          <w:kern w:val="0"/>
          <w:sz w:val="24"/>
          <w:szCs w:val="24"/>
          <w14:ligatures w14:val="none"/>
        </w:rPr>
        <w:t xml:space="preserve">Journal of Indian business research, </w:t>
      </w:r>
      <w:r w:rsidRPr="00600944">
        <w:rPr>
          <w:rFonts w:ascii="Arial" w:eastAsia="Calibri" w:hAnsi="Arial" w:cs="Arial"/>
          <w:kern w:val="0"/>
          <w:sz w:val="24"/>
          <w:szCs w:val="24"/>
          <w14:ligatures w14:val="none"/>
        </w:rPr>
        <w:t>15(1), pp. 110–124.</w:t>
      </w:r>
    </w:p>
    <w:p w14:paraId="53AD97CC" w14:textId="7EB7F3BF" w:rsidR="00906D48" w:rsidRDefault="00906D48" w:rsidP="00792625">
      <w:pPr>
        <w:spacing w:line="360" w:lineRule="auto"/>
        <w:jc w:val="both"/>
        <w:rPr>
          <w:rFonts w:ascii="Arial" w:eastAsia="Calibri" w:hAnsi="Arial" w:cs="Arial"/>
          <w:kern w:val="0"/>
          <w:sz w:val="24"/>
          <w:szCs w:val="24"/>
          <w14:ligatures w14:val="none"/>
        </w:rPr>
      </w:pPr>
      <w:r w:rsidRPr="00906D48">
        <w:rPr>
          <w:rFonts w:ascii="Arial" w:eastAsia="Calibri" w:hAnsi="Arial" w:cs="Arial"/>
          <w:kern w:val="0"/>
          <w:sz w:val="24"/>
          <w:szCs w:val="24"/>
          <w14:ligatures w14:val="none"/>
        </w:rPr>
        <w:t>Chatterjee, S., Chaudhuri, R. and Vrontis, D. (2023) ‘Investigating the impacts of microlevel CSR activities on firm sustainability: mediating role of CSR performance and moderating role of top management support’, Cross cultural &amp; strategic management, 30(1), pp. 123–141.</w:t>
      </w:r>
    </w:p>
    <w:p w14:paraId="1C829C52" w14:textId="35B74A63" w:rsidR="00792625" w:rsidRDefault="001A654F" w:rsidP="00792625">
      <w:pPr>
        <w:spacing w:line="360" w:lineRule="auto"/>
        <w:jc w:val="both"/>
        <w:rPr>
          <w:rFonts w:ascii="Arial" w:eastAsia="Calibri" w:hAnsi="Arial" w:cs="Arial"/>
          <w:kern w:val="0"/>
          <w:sz w:val="24"/>
          <w:szCs w:val="24"/>
          <w14:ligatures w14:val="none"/>
        </w:rPr>
      </w:pPr>
      <w:r w:rsidRPr="001A654F">
        <w:rPr>
          <w:rFonts w:ascii="Arial" w:eastAsia="Calibri" w:hAnsi="Arial" w:cs="Arial"/>
          <w:kern w:val="0"/>
          <w:sz w:val="24"/>
          <w:szCs w:val="24"/>
          <w14:ligatures w14:val="none"/>
        </w:rPr>
        <w:t xml:space="preserve">Christensen, H.B., Hail, L. and Leuz, C. (2021) ‘Mandatory CSR and sustainability reporting: economic analysis and literature review’, </w:t>
      </w:r>
      <w:r w:rsidRPr="001A654F">
        <w:rPr>
          <w:rFonts w:ascii="Arial" w:eastAsia="Calibri" w:hAnsi="Arial" w:cs="Arial"/>
          <w:i/>
          <w:iCs/>
          <w:kern w:val="0"/>
          <w:sz w:val="24"/>
          <w:szCs w:val="24"/>
          <w14:ligatures w14:val="none"/>
        </w:rPr>
        <w:t>Review of accounting studies</w:t>
      </w:r>
      <w:r w:rsidRPr="001A654F">
        <w:rPr>
          <w:rFonts w:ascii="Arial" w:eastAsia="Calibri" w:hAnsi="Arial" w:cs="Arial"/>
          <w:kern w:val="0"/>
          <w:sz w:val="24"/>
          <w:szCs w:val="24"/>
          <w14:ligatures w14:val="none"/>
        </w:rPr>
        <w:t>, 26(3), pp. 1176–1248.</w:t>
      </w:r>
    </w:p>
    <w:p w14:paraId="7E7C4CDD" w14:textId="5F89F9A7" w:rsidR="00D63704" w:rsidRDefault="00D63704" w:rsidP="00792625">
      <w:pPr>
        <w:spacing w:line="360" w:lineRule="auto"/>
        <w:jc w:val="both"/>
        <w:rPr>
          <w:rFonts w:ascii="Arial" w:eastAsia="Calibri" w:hAnsi="Arial" w:cs="Arial"/>
          <w:kern w:val="0"/>
          <w:sz w:val="24"/>
          <w:szCs w:val="24"/>
          <w14:ligatures w14:val="none"/>
        </w:rPr>
      </w:pPr>
      <w:r w:rsidRPr="00D63704">
        <w:rPr>
          <w:rFonts w:ascii="Arial" w:eastAsia="Calibri" w:hAnsi="Arial" w:cs="Arial"/>
          <w:kern w:val="0"/>
          <w:sz w:val="24"/>
          <w:szCs w:val="24"/>
          <w14:ligatures w14:val="none"/>
        </w:rPr>
        <w:t xml:space="preserve">Christensen, L.J. et al. (2007) ‘Ethics, CSR, and Sustainability Education in the “Financial Times” Top 50 Global Business Schools: Baseline Data and Future Research Directions’, </w:t>
      </w:r>
      <w:r w:rsidRPr="00D63704">
        <w:rPr>
          <w:rFonts w:ascii="Arial" w:eastAsia="Calibri" w:hAnsi="Arial" w:cs="Arial"/>
          <w:i/>
          <w:iCs/>
          <w:kern w:val="0"/>
          <w:sz w:val="24"/>
          <w:szCs w:val="24"/>
          <w14:ligatures w14:val="none"/>
        </w:rPr>
        <w:t>Journal of business ethics</w:t>
      </w:r>
      <w:r w:rsidRPr="00D63704">
        <w:rPr>
          <w:rFonts w:ascii="Arial" w:eastAsia="Calibri" w:hAnsi="Arial" w:cs="Arial"/>
          <w:kern w:val="0"/>
          <w:sz w:val="24"/>
          <w:szCs w:val="24"/>
          <w14:ligatures w14:val="none"/>
        </w:rPr>
        <w:t>, 73(4), pp. 347–368.</w:t>
      </w:r>
    </w:p>
    <w:p w14:paraId="3E19FDCF" w14:textId="5CF001A7" w:rsidR="00E03897" w:rsidRDefault="00E03897" w:rsidP="00792625">
      <w:pPr>
        <w:spacing w:line="360" w:lineRule="auto"/>
        <w:jc w:val="both"/>
        <w:rPr>
          <w:rFonts w:ascii="Arial" w:eastAsia="Calibri" w:hAnsi="Arial" w:cs="Arial"/>
          <w:kern w:val="0"/>
          <w:sz w:val="24"/>
          <w:szCs w:val="24"/>
          <w14:ligatures w14:val="none"/>
        </w:rPr>
      </w:pPr>
      <w:r w:rsidRPr="00E03897">
        <w:rPr>
          <w:rFonts w:ascii="Arial" w:eastAsia="Calibri" w:hAnsi="Arial" w:cs="Arial"/>
          <w:kern w:val="0"/>
          <w:sz w:val="24"/>
          <w:szCs w:val="24"/>
          <w14:ligatures w14:val="none"/>
        </w:rPr>
        <w:t>Ertuna, B., Karatas-Ozkan, M. and Yamak, S. (2019) ‘Diffusion of sustainability and CSR discourse in hospitality industry: Dynamics of local context’</w:t>
      </w:r>
      <w:r w:rsidRPr="00E03897">
        <w:rPr>
          <w:rFonts w:ascii="Arial" w:eastAsia="Calibri" w:hAnsi="Arial" w:cs="Arial"/>
          <w:i/>
          <w:iCs/>
          <w:kern w:val="0"/>
          <w:sz w:val="24"/>
          <w:szCs w:val="24"/>
          <w14:ligatures w14:val="none"/>
        </w:rPr>
        <w:t>, International journal of contemporary hospitality management,</w:t>
      </w:r>
      <w:r w:rsidRPr="00E03897">
        <w:rPr>
          <w:rFonts w:ascii="Arial" w:eastAsia="Calibri" w:hAnsi="Arial" w:cs="Arial"/>
          <w:kern w:val="0"/>
          <w:sz w:val="24"/>
          <w:szCs w:val="24"/>
          <w14:ligatures w14:val="none"/>
        </w:rPr>
        <w:t xml:space="preserve"> 31(6), pp. 2564–2581.</w:t>
      </w:r>
    </w:p>
    <w:p w14:paraId="24E6F125" w14:textId="3FAFA5D2" w:rsidR="005F2A86" w:rsidRDefault="005F2A86" w:rsidP="00792625">
      <w:pPr>
        <w:spacing w:line="360" w:lineRule="auto"/>
        <w:jc w:val="both"/>
        <w:rPr>
          <w:rFonts w:ascii="Arial" w:eastAsia="Calibri" w:hAnsi="Arial" w:cs="Arial"/>
          <w:kern w:val="0"/>
          <w:sz w:val="24"/>
          <w:szCs w:val="24"/>
          <w14:ligatures w14:val="none"/>
        </w:rPr>
      </w:pPr>
      <w:r w:rsidRPr="005F2A86">
        <w:rPr>
          <w:rFonts w:ascii="Arial" w:eastAsia="Calibri" w:hAnsi="Arial" w:cs="Arial"/>
          <w:kern w:val="0"/>
          <w:sz w:val="24"/>
          <w:szCs w:val="24"/>
          <w14:ligatures w14:val="none"/>
        </w:rPr>
        <w:t xml:space="preserve">Guliani, L.K. and Rizwan, S.A. (eds) (2016) </w:t>
      </w:r>
      <w:r w:rsidRPr="005F2A86">
        <w:rPr>
          <w:rFonts w:ascii="Arial" w:eastAsia="Calibri" w:hAnsi="Arial" w:cs="Arial"/>
          <w:i/>
          <w:iCs/>
          <w:kern w:val="0"/>
          <w:sz w:val="24"/>
          <w:szCs w:val="24"/>
          <w14:ligatures w14:val="none"/>
        </w:rPr>
        <w:t>Corporate social responsibility in the hospitality and tourism industry.</w:t>
      </w:r>
      <w:r w:rsidRPr="005F2A86">
        <w:rPr>
          <w:rFonts w:ascii="Arial" w:eastAsia="Calibri" w:hAnsi="Arial" w:cs="Arial"/>
          <w:kern w:val="0"/>
          <w:sz w:val="24"/>
          <w:szCs w:val="24"/>
          <w14:ligatures w14:val="none"/>
        </w:rPr>
        <w:t xml:space="preserve"> Hershey, PA: Business Science Reference, an imprint of IGI Global.</w:t>
      </w:r>
    </w:p>
    <w:p w14:paraId="5DAD9926" w14:textId="1FA20001" w:rsidR="00792625" w:rsidRDefault="00C36594" w:rsidP="00792625">
      <w:pPr>
        <w:spacing w:line="360" w:lineRule="auto"/>
        <w:jc w:val="both"/>
        <w:rPr>
          <w:rFonts w:ascii="Arial" w:eastAsia="Calibri" w:hAnsi="Arial" w:cs="Arial"/>
          <w:kern w:val="0"/>
          <w:sz w:val="24"/>
          <w:szCs w:val="24"/>
          <w14:ligatures w14:val="none"/>
        </w:rPr>
      </w:pPr>
      <w:r w:rsidRPr="00C36594">
        <w:rPr>
          <w:rFonts w:ascii="Arial" w:eastAsia="Calibri" w:hAnsi="Arial" w:cs="Arial"/>
          <w:kern w:val="0"/>
          <w:sz w:val="24"/>
          <w:szCs w:val="24"/>
          <w14:ligatures w14:val="none"/>
        </w:rPr>
        <w:t>Haski-Leventhal, D. (2018)</w:t>
      </w:r>
      <w:r w:rsidRPr="00C36594">
        <w:rPr>
          <w:rFonts w:ascii="Arial" w:eastAsia="Calibri" w:hAnsi="Arial" w:cs="Arial"/>
          <w:i/>
          <w:iCs/>
          <w:kern w:val="0"/>
          <w:sz w:val="24"/>
          <w:szCs w:val="24"/>
          <w14:ligatures w14:val="none"/>
        </w:rPr>
        <w:t xml:space="preserve"> Strategic corporate social responsibility : tools &amp; theories for responsible management.</w:t>
      </w:r>
      <w:r w:rsidRPr="00C36594">
        <w:rPr>
          <w:rFonts w:ascii="Arial" w:eastAsia="Calibri" w:hAnsi="Arial" w:cs="Arial"/>
          <w:kern w:val="0"/>
          <w:sz w:val="24"/>
          <w:szCs w:val="24"/>
          <w14:ligatures w14:val="none"/>
        </w:rPr>
        <w:t xml:space="preserve"> London: SAGE.</w:t>
      </w:r>
    </w:p>
    <w:p w14:paraId="444CE732" w14:textId="73638533" w:rsidR="00516B40" w:rsidRDefault="00516B40" w:rsidP="00792625">
      <w:pPr>
        <w:spacing w:line="360" w:lineRule="auto"/>
        <w:jc w:val="both"/>
        <w:rPr>
          <w:rFonts w:ascii="Arial" w:eastAsia="Calibri" w:hAnsi="Arial" w:cs="Arial"/>
          <w:kern w:val="0"/>
          <w:sz w:val="24"/>
          <w:szCs w:val="24"/>
          <w14:ligatures w14:val="none"/>
        </w:rPr>
      </w:pPr>
      <w:r w:rsidRPr="00516B40">
        <w:rPr>
          <w:rFonts w:ascii="Arial" w:eastAsia="Calibri" w:hAnsi="Arial" w:cs="Arial"/>
          <w:kern w:val="0"/>
          <w:sz w:val="24"/>
          <w:szCs w:val="24"/>
          <w14:ligatures w14:val="none"/>
        </w:rPr>
        <w:t xml:space="preserve">Haski-Leventhal, D. (2022) ‘Editorial: The role of CSR leadership’, </w:t>
      </w:r>
      <w:r w:rsidRPr="00516B40">
        <w:rPr>
          <w:rFonts w:ascii="Arial" w:eastAsia="Calibri" w:hAnsi="Arial" w:cs="Arial"/>
          <w:i/>
          <w:iCs/>
          <w:kern w:val="0"/>
          <w:sz w:val="24"/>
          <w:szCs w:val="24"/>
          <w14:ligatures w14:val="none"/>
        </w:rPr>
        <w:t>Society and business review,</w:t>
      </w:r>
      <w:r w:rsidRPr="00516B40">
        <w:rPr>
          <w:rFonts w:ascii="Arial" w:eastAsia="Calibri" w:hAnsi="Arial" w:cs="Arial"/>
          <w:kern w:val="0"/>
          <w:sz w:val="24"/>
          <w:szCs w:val="24"/>
          <w14:ligatures w14:val="none"/>
        </w:rPr>
        <w:t xml:space="preserve"> 17(2), pp. 157–159. </w:t>
      </w:r>
    </w:p>
    <w:p w14:paraId="255B7624" w14:textId="2E1C0263" w:rsidR="00AF2D1A" w:rsidRDefault="00AF2D1A" w:rsidP="00792625">
      <w:pPr>
        <w:spacing w:line="360" w:lineRule="auto"/>
        <w:jc w:val="both"/>
        <w:rPr>
          <w:rFonts w:ascii="Arial" w:eastAsia="Calibri" w:hAnsi="Arial" w:cs="Arial"/>
          <w:kern w:val="0"/>
          <w:sz w:val="24"/>
          <w:szCs w:val="24"/>
          <w14:ligatures w14:val="none"/>
        </w:rPr>
      </w:pPr>
      <w:r w:rsidRPr="00AF2D1A">
        <w:rPr>
          <w:rFonts w:ascii="Arial" w:eastAsia="Calibri" w:hAnsi="Arial" w:cs="Arial"/>
          <w:kern w:val="0"/>
          <w:sz w:val="24"/>
          <w:szCs w:val="24"/>
          <w14:ligatures w14:val="none"/>
        </w:rPr>
        <w:t xml:space="preserve">Haski-Leventhal, D. (2022) </w:t>
      </w:r>
      <w:r w:rsidRPr="00AF2D1A">
        <w:rPr>
          <w:rFonts w:ascii="Arial" w:eastAsia="Calibri" w:hAnsi="Arial" w:cs="Arial"/>
          <w:i/>
          <w:iCs/>
          <w:kern w:val="0"/>
          <w:sz w:val="24"/>
          <w:szCs w:val="24"/>
          <w14:ligatures w14:val="none"/>
        </w:rPr>
        <w:t>Strategic corporate social responsibility : a holistic approach to responsible &amp; sustainable business</w:t>
      </w:r>
      <w:r w:rsidRPr="00AF2D1A">
        <w:rPr>
          <w:rFonts w:ascii="Arial" w:eastAsia="Calibri" w:hAnsi="Arial" w:cs="Arial"/>
          <w:kern w:val="0"/>
          <w:sz w:val="24"/>
          <w:szCs w:val="24"/>
          <w14:ligatures w14:val="none"/>
        </w:rPr>
        <w:t>. Second edition. Los Angeles: SAGE.</w:t>
      </w:r>
    </w:p>
    <w:p w14:paraId="7933B636" w14:textId="6D636FED" w:rsidR="00886E97" w:rsidRDefault="00886E97" w:rsidP="00792625">
      <w:pPr>
        <w:spacing w:line="360" w:lineRule="auto"/>
        <w:jc w:val="both"/>
        <w:rPr>
          <w:rFonts w:ascii="Arial" w:eastAsia="Calibri" w:hAnsi="Arial" w:cs="Arial"/>
          <w:kern w:val="0"/>
          <w:sz w:val="24"/>
          <w:szCs w:val="24"/>
          <w14:ligatures w14:val="none"/>
        </w:rPr>
      </w:pPr>
      <w:r w:rsidRPr="00886E97">
        <w:rPr>
          <w:rFonts w:ascii="Arial" w:eastAsia="Calibri" w:hAnsi="Arial" w:cs="Arial"/>
          <w:kern w:val="0"/>
          <w:sz w:val="24"/>
          <w:szCs w:val="24"/>
          <w14:ligatures w14:val="none"/>
        </w:rPr>
        <w:lastRenderedPageBreak/>
        <w:t xml:space="preserve">Idowu, S.O. and Vertigans, Stephen. (eds) (2017) </w:t>
      </w:r>
      <w:r w:rsidRPr="00886E97">
        <w:rPr>
          <w:rFonts w:ascii="Arial" w:eastAsia="Calibri" w:hAnsi="Arial" w:cs="Arial"/>
          <w:i/>
          <w:iCs/>
          <w:kern w:val="0"/>
          <w:sz w:val="24"/>
          <w:szCs w:val="24"/>
          <w14:ligatures w14:val="none"/>
        </w:rPr>
        <w:t>Stages of Corporate Social Responsibility From Ideas to Impacts</w:t>
      </w:r>
      <w:r w:rsidRPr="00886E97">
        <w:rPr>
          <w:rFonts w:ascii="Arial" w:eastAsia="Calibri" w:hAnsi="Arial" w:cs="Arial"/>
          <w:kern w:val="0"/>
          <w:sz w:val="24"/>
          <w:szCs w:val="24"/>
          <w14:ligatures w14:val="none"/>
        </w:rPr>
        <w:t>. 1st ed. 2017. Cham: Springer International Publishing.</w:t>
      </w:r>
    </w:p>
    <w:p w14:paraId="47F5EA81" w14:textId="5971AE58" w:rsidR="00D721B6" w:rsidRDefault="00D721B6" w:rsidP="00792625">
      <w:pPr>
        <w:spacing w:line="360" w:lineRule="auto"/>
        <w:jc w:val="both"/>
        <w:rPr>
          <w:rFonts w:ascii="Arial" w:eastAsia="Calibri" w:hAnsi="Arial" w:cs="Arial"/>
          <w:kern w:val="0"/>
          <w:sz w:val="24"/>
          <w:szCs w:val="24"/>
          <w14:ligatures w14:val="none"/>
        </w:rPr>
      </w:pPr>
      <w:r w:rsidRPr="00D721B6">
        <w:rPr>
          <w:rFonts w:ascii="Arial" w:eastAsia="Calibri" w:hAnsi="Arial" w:cs="Arial"/>
          <w:kern w:val="0"/>
          <w:sz w:val="24"/>
          <w:szCs w:val="24"/>
          <w14:ligatures w14:val="none"/>
        </w:rPr>
        <w:t xml:space="preserve">Kaur, P. et al. (2022) ‘Corporate social responsibility (CSR) and hospitality sector: Charting new frontiers for restaurant businesses’, </w:t>
      </w:r>
      <w:r w:rsidRPr="00D721B6">
        <w:rPr>
          <w:rFonts w:ascii="Arial" w:eastAsia="Calibri" w:hAnsi="Arial" w:cs="Arial"/>
          <w:i/>
          <w:iCs/>
          <w:kern w:val="0"/>
          <w:sz w:val="24"/>
          <w:szCs w:val="24"/>
          <w14:ligatures w14:val="none"/>
        </w:rPr>
        <w:t>Journal of business research</w:t>
      </w:r>
      <w:r w:rsidRPr="00D721B6">
        <w:rPr>
          <w:rFonts w:ascii="Arial" w:eastAsia="Calibri" w:hAnsi="Arial" w:cs="Arial"/>
          <w:kern w:val="0"/>
          <w:sz w:val="24"/>
          <w:szCs w:val="24"/>
          <w14:ligatures w14:val="none"/>
        </w:rPr>
        <w:t>, 144, pp. 1234–1248.</w:t>
      </w:r>
    </w:p>
    <w:p w14:paraId="4AD6E52A" w14:textId="6AB54A72" w:rsidR="00C601CA" w:rsidRDefault="00C601CA" w:rsidP="00792625">
      <w:pPr>
        <w:spacing w:line="360" w:lineRule="auto"/>
        <w:jc w:val="both"/>
        <w:rPr>
          <w:rFonts w:ascii="Arial" w:eastAsia="Calibri" w:hAnsi="Arial" w:cs="Arial"/>
          <w:kern w:val="0"/>
          <w:sz w:val="24"/>
          <w:szCs w:val="24"/>
          <w14:ligatures w14:val="none"/>
        </w:rPr>
      </w:pPr>
      <w:r w:rsidRPr="00C601CA">
        <w:rPr>
          <w:rFonts w:ascii="Arial" w:eastAsia="Calibri" w:hAnsi="Arial" w:cs="Arial"/>
          <w:kern w:val="0"/>
          <w:sz w:val="24"/>
          <w:szCs w:val="24"/>
          <w14:ligatures w14:val="none"/>
        </w:rPr>
        <w:t xml:space="preserve">Khatter, A. et al. (2019) ‘Analysis of hotels’ environmentally sustainable policies and practices: Sustainability and corporate social responsibility in hospitality and tourism’, </w:t>
      </w:r>
      <w:r w:rsidRPr="00C601CA">
        <w:rPr>
          <w:rFonts w:ascii="Arial" w:eastAsia="Calibri" w:hAnsi="Arial" w:cs="Arial"/>
          <w:i/>
          <w:iCs/>
          <w:kern w:val="0"/>
          <w:sz w:val="24"/>
          <w:szCs w:val="24"/>
          <w14:ligatures w14:val="none"/>
        </w:rPr>
        <w:t>International journal of contemporary hospitality management,</w:t>
      </w:r>
      <w:r w:rsidRPr="00C601CA">
        <w:rPr>
          <w:rFonts w:ascii="Arial" w:eastAsia="Calibri" w:hAnsi="Arial" w:cs="Arial"/>
          <w:kern w:val="0"/>
          <w:sz w:val="24"/>
          <w:szCs w:val="24"/>
          <w14:ligatures w14:val="none"/>
        </w:rPr>
        <w:t xml:space="preserve"> 31(6), pp. 2394–2410.</w:t>
      </w:r>
    </w:p>
    <w:p w14:paraId="5B6D239B" w14:textId="5DACD792" w:rsidR="009D123A" w:rsidRDefault="009D123A" w:rsidP="00792625">
      <w:pPr>
        <w:spacing w:line="360" w:lineRule="auto"/>
        <w:jc w:val="both"/>
        <w:rPr>
          <w:rFonts w:ascii="Arial" w:eastAsia="Calibri" w:hAnsi="Arial" w:cs="Arial"/>
          <w:kern w:val="0"/>
          <w:sz w:val="24"/>
          <w:szCs w:val="24"/>
          <w14:ligatures w14:val="none"/>
        </w:rPr>
      </w:pPr>
      <w:r w:rsidRPr="009D123A">
        <w:rPr>
          <w:rFonts w:ascii="Arial" w:eastAsia="Calibri" w:hAnsi="Arial" w:cs="Arial"/>
          <w:kern w:val="0"/>
          <w:sz w:val="24"/>
          <w:szCs w:val="24"/>
          <w14:ligatures w14:val="none"/>
        </w:rPr>
        <w:t xml:space="preserve">Laasch, O. (2021) </w:t>
      </w:r>
      <w:r w:rsidRPr="00F76816">
        <w:rPr>
          <w:rFonts w:ascii="Arial" w:eastAsia="Calibri" w:hAnsi="Arial" w:cs="Arial"/>
          <w:i/>
          <w:iCs/>
          <w:kern w:val="0"/>
          <w:sz w:val="24"/>
          <w:szCs w:val="24"/>
          <w14:ligatures w14:val="none"/>
        </w:rPr>
        <w:t>Principles of management : practicing ethics, responsibility, sustainability.</w:t>
      </w:r>
      <w:r w:rsidRPr="009D123A">
        <w:rPr>
          <w:rFonts w:ascii="Arial" w:eastAsia="Calibri" w:hAnsi="Arial" w:cs="Arial"/>
          <w:kern w:val="0"/>
          <w:sz w:val="24"/>
          <w:szCs w:val="24"/>
          <w14:ligatures w14:val="none"/>
        </w:rPr>
        <w:t xml:space="preserve"> Second edition. London: SAGE.</w:t>
      </w:r>
    </w:p>
    <w:p w14:paraId="10C3203C" w14:textId="76ACBA1F" w:rsidR="00792625" w:rsidRDefault="00EE6CE8" w:rsidP="00792625">
      <w:pPr>
        <w:spacing w:line="360" w:lineRule="auto"/>
        <w:jc w:val="both"/>
        <w:rPr>
          <w:rFonts w:ascii="Arial" w:eastAsia="Calibri" w:hAnsi="Arial" w:cs="Arial"/>
          <w:kern w:val="0"/>
          <w:sz w:val="24"/>
          <w:szCs w:val="24"/>
          <w14:ligatures w14:val="none"/>
        </w:rPr>
      </w:pPr>
      <w:r w:rsidRPr="00EE6CE8">
        <w:rPr>
          <w:rFonts w:ascii="Arial" w:eastAsia="Calibri" w:hAnsi="Arial" w:cs="Arial"/>
          <w:kern w:val="0"/>
          <w:sz w:val="24"/>
          <w:szCs w:val="24"/>
          <w14:ligatures w14:val="none"/>
        </w:rPr>
        <w:t xml:space="preserve">Lee, S.Y., Zhang, W. and Abitbol, A. (2019) ‘What Makes CSR Communication Lead to CSR Participation? Testing the Mediating Effects of CSR Associations, CSR Credibility, and Organization-Public Relationships’, </w:t>
      </w:r>
      <w:r w:rsidRPr="005775E9">
        <w:rPr>
          <w:rFonts w:ascii="Arial" w:eastAsia="Calibri" w:hAnsi="Arial" w:cs="Arial"/>
          <w:i/>
          <w:iCs/>
          <w:kern w:val="0"/>
          <w:sz w:val="24"/>
          <w:szCs w:val="24"/>
          <w14:ligatures w14:val="none"/>
        </w:rPr>
        <w:t>Journal of business ethics,</w:t>
      </w:r>
      <w:r w:rsidRPr="00EE6CE8">
        <w:rPr>
          <w:rFonts w:ascii="Arial" w:eastAsia="Calibri" w:hAnsi="Arial" w:cs="Arial"/>
          <w:kern w:val="0"/>
          <w:sz w:val="24"/>
          <w:szCs w:val="24"/>
          <w14:ligatures w14:val="none"/>
        </w:rPr>
        <w:t xml:space="preserve"> 157(2), pp. 413–429. </w:t>
      </w:r>
    </w:p>
    <w:p w14:paraId="543A3D1A" w14:textId="341E38F2" w:rsidR="00FB004C" w:rsidRDefault="00FB004C" w:rsidP="00792625">
      <w:pPr>
        <w:spacing w:line="360" w:lineRule="auto"/>
        <w:jc w:val="both"/>
        <w:rPr>
          <w:rFonts w:ascii="Arial" w:eastAsia="Calibri" w:hAnsi="Arial" w:cs="Arial"/>
          <w:kern w:val="0"/>
          <w:sz w:val="24"/>
          <w:szCs w:val="24"/>
          <w14:ligatures w14:val="none"/>
        </w:rPr>
      </w:pPr>
      <w:r w:rsidRPr="00FB004C">
        <w:rPr>
          <w:rFonts w:ascii="Arial" w:eastAsia="Calibri" w:hAnsi="Arial" w:cs="Arial"/>
          <w:kern w:val="0"/>
          <w:sz w:val="24"/>
          <w:szCs w:val="24"/>
          <w14:ligatures w14:val="none"/>
        </w:rPr>
        <w:t xml:space="preserve">Perez, A. (ed.) (2022) </w:t>
      </w:r>
      <w:r w:rsidRPr="00FB004C">
        <w:rPr>
          <w:rFonts w:ascii="Arial" w:eastAsia="Calibri" w:hAnsi="Arial" w:cs="Arial"/>
          <w:i/>
          <w:iCs/>
          <w:kern w:val="0"/>
          <w:sz w:val="24"/>
          <w:szCs w:val="24"/>
          <w14:ligatures w14:val="none"/>
        </w:rPr>
        <w:t>Future advancements for CSR and the sustainable development goals in a post-COVID-19 world</w:t>
      </w:r>
      <w:r w:rsidRPr="00FB004C">
        <w:rPr>
          <w:rFonts w:ascii="Arial" w:eastAsia="Calibri" w:hAnsi="Arial" w:cs="Arial"/>
          <w:kern w:val="0"/>
          <w:sz w:val="24"/>
          <w:szCs w:val="24"/>
          <w14:ligatures w14:val="none"/>
        </w:rPr>
        <w:t>. Hershey, Pennsylvania: Business Science Reference.</w:t>
      </w:r>
    </w:p>
    <w:p w14:paraId="3B8B2AA1" w14:textId="17813E28" w:rsidR="00CA1DAD" w:rsidRDefault="00CA1DAD" w:rsidP="00792625">
      <w:pPr>
        <w:spacing w:line="360" w:lineRule="auto"/>
        <w:jc w:val="both"/>
        <w:rPr>
          <w:rFonts w:ascii="Arial" w:eastAsia="Calibri" w:hAnsi="Arial" w:cs="Arial"/>
          <w:kern w:val="0"/>
          <w:sz w:val="24"/>
          <w:szCs w:val="24"/>
          <w14:ligatures w14:val="none"/>
        </w:rPr>
      </w:pPr>
      <w:r w:rsidRPr="00CA1DAD">
        <w:rPr>
          <w:rFonts w:ascii="Arial" w:eastAsia="Calibri" w:hAnsi="Arial" w:cs="Arial"/>
          <w:kern w:val="0"/>
          <w:sz w:val="24"/>
          <w:szCs w:val="24"/>
          <w14:ligatures w14:val="none"/>
        </w:rPr>
        <w:t xml:space="preserve">Oncioiu, I. (ed.) (2021) </w:t>
      </w:r>
      <w:r w:rsidRPr="00336826">
        <w:rPr>
          <w:rFonts w:ascii="Arial" w:eastAsia="Calibri" w:hAnsi="Arial" w:cs="Arial"/>
          <w:i/>
          <w:iCs/>
          <w:kern w:val="0"/>
          <w:sz w:val="24"/>
          <w:szCs w:val="24"/>
          <w14:ligatures w14:val="none"/>
        </w:rPr>
        <w:t>CSR and management accounting challenges in a time of global crises</w:t>
      </w:r>
      <w:r w:rsidRPr="00CA1DAD">
        <w:rPr>
          <w:rFonts w:ascii="Arial" w:eastAsia="Calibri" w:hAnsi="Arial" w:cs="Arial"/>
          <w:kern w:val="0"/>
          <w:sz w:val="24"/>
          <w:szCs w:val="24"/>
          <w14:ligatures w14:val="none"/>
        </w:rPr>
        <w:t xml:space="preserve">. Hershey, Pennsylvania: Business Science Reference. </w:t>
      </w:r>
    </w:p>
    <w:p w14:paraId="75C49907" w14:textId="272C1993" w:rsidR="00772A9E" w:rsidRDefault="00772A9E" w:rsidP="00792625">
      <w:pPr>
        <w:spacing w:line="360" w:lineRule="auto"/>
        <w:jc w:val="both"/>
        <w:rPr>
          <w:rFonts w:ascii="Arial" w:eastAsia="Calibri" w:hAnsi="Arial" w:cs="Arial"/>
          <w:kern w:val="0"/>
          <w:sz w:val="24"/>
          <w:szCs w:val="24"/>
          <w14:ligatures w14:val="none"/>
        </w:rPr>
      </w:pPr>
      <w:r w:rsidRPr="00772A9E">
        <w:rPr>
          <w:rFonts w:ascii="Arial" w:eastAsia="Calibri" w:hAnsi="Arial" w:cs="Arial"/>
          <w:kern w:val="0"/>
          <w:sz w:val="24"/>
          <w:szCs w:val="24"/>
          <w14:ligatures w14:val="none"/>
        </w:rPr>
        <w:t xml:space="preserve">Sánchez-Teba, E.M. et al. (2021) </w:t>
      </w:r>
      <w:r w:rsidRPr="00772A9E">
        <w:rPr>
          <w:rFonts w:ascii="Arial" w:eastAsia="Calibri" w:hAnsi="Arial" w:cs="Arial"/>
          <w:i/>
          <w:iCs/>
          <w:kern w:val="0"/>
          <w:sz w:val="24"/>
          <w:szCs w:val="24"/>
          <w14:ligatures w14:val="none"/>
        </w:rPr>
        <w:t>‘Mapping the Knowledge of CSR and Sustainability’</w:t>
      </w:r>
      <w:r w:rsidRPr="00772A9E">
        <w:rPr>
          <w:rFonts w:ascii="Arial" w:eastAsia="Calibri" w:hAnsi="Arial" w:cs="Arial"/>
          <w:kern w:val="0"/>
          <w:sz w:val="24"/>
          <w:szCs w:val="24"/>
          <w14:ligatures w14:val="none"/>
        </w:rPr>
        <w:t>, Sustainability (Basel, Switzerland), 13(18), pp. 10106-</w:t>
      </w:r>
    </w:p>
    <w:p w14:paraId="661A5E15" w14:textId="1E6DCFAB" w:rsidR="00EA0A76" w:rsidRDefault="00EA0A76" w:rsidP="00792625">
      <w:pPr>
        <w:spacing w:line="360" w:lineRule="auto"/>
        <w:jc w:val="both"/>
        <w:rPr>
          <w:rFonts w:ascii="Arial" w:eastAsia="Calibri" w:hAnsi="Arial" w:cs="Arial"/>
          <w:kern w:val="0"/>
          <w:sz w:val="24"/>
          <w:szCs w:val="24"/>
          <w14:ligatures w14:val="none"/>
        </w:rPr>
      </w:pPr>
      <w:r w:rsidRPr="00EA0A76">
        <w:rPr>
          <w:rFonts w:ascii="Arial" w:eastAsia="Calibri" w:hAnsi="Arial" w:cs="Arial"/>
          <w:kern w:val="0"/>
          <w:sz w:val="24"/>
          <w:szCs w:val="24"/>
          <w14:ligatures w14:val="none"/>
        </w:rPr>
        <w:t xml:space="preserve">Sardana, D. et al. (2020) ‘CSR “sustainability” practices and firm performance in an emerging economy’, </w:t>
      </w:r>
      <w:r w:rsidRPr="00EA0A76">
        <w:rPr>
          <w:rFonts w:ascii="Arial" w:eastAsia="Calibri" w:hAnsi="Arial" w:cs="Arial"/>
          <w:i/>
          <w:iCs/>
          <w:kern w:val="0"/>
          <w:sz w:val="24"/>
          <w:szCs w:val="24"/>
          <w14:ligatures w14:val="none"/>
        </w:rPr>
        <w:t>Journal of cleaner production</w:t>
      </w:r>
      <w:r w:rsidRPr="00EA0A76">
        <w:rPr>
          <w:rFonts w:ascii="Arial" w:eastAsia="Calibri" w:hAnsi="Arial" w:cs="Arial"/>
          <w:kern w:val="0"/>
          <w:sz w:val="24"/>
          <w:szCs w:val="24"/>
          <w14:ligatures w14:val="none"/>
        </w:rPr>
        <w:t>, 258, pp. 120766-</w:t>
      </w:r>
    </w:p>
    <w:p w14:paraId="64E1E42B" w14:textId="6F3F2FD1" w:rsidR="00A14371" w:rsidRDefault="00A14371" w:rsidP="00792625">
      <w:pPr>
        <w:spacing w:line="360" w:lineRule="auto"/>
        <w:jc w:val="both"/>
        <w:rPr>
          <w:rFonts w:ascii="Arial" w:eastAsia="Calibri" w:hAnsi="Arial" w:cs="Arial"/>
          <w:kern w:val="0"/>
          <w:sz w:val="24"/>
          <w:szCs w:val="24"/>
          <w14:ligatures w14:val="none"/>
        </w:rPr>
      </w:pPr>
      <w:r w:rsidRPr="00A14371">
        <w:rPr>
          <w:rFonts w:ascii="Arial" w:eastAsia="Calibri" w:hAnsi="Arial" w:cs="Arial"/>
          <w:kern w:val="0"/>
          <w:sz w:val="24"/>
          <w:szCs w:val="24"/>
          <w14:ligatures w14:val="none"/>
        </w:rPr>
        <w:t xml:space="preserve">Sloan, P., Legrand, W. and Chen, J.S. (2009) </w:t>
      </w:r>
      <w:r w:rsidRPr="00A14371">
        <w:rPr>
          <w:rFonts w:ascii="Arial" w:eastAsia="Calibri" w:hAnsi="Arial" w:cs="Arial"/>
          <w:i/>
          <w:iCs/>
          <w:kern w:val="0"/>
          <w:sz w:val="24"/>
          <w:szCs w:val="24"/>
          <w14:ligatures w14:val="none"/>
        </w:rPr>
        <w:t>Sustainability in the hospitality industry : principles of sustainable operations.</w:t>
      </w:r>
      <w:r w:rsidRPr="00A14371">
        <w:rPr>
          <w:rFonts w:ascii="Arial" w:eastAsia="Calibri" w:hAnsi="Arial" w:cs="Arial"/>
          <w:kern w:val="0"/>
          <w:sz w:val="24"/>
          <w:szCs w:val="24"/>
          <w14:ligatures w14:val="none"/>
        </w:rPr>
        <w:t xml:space="preserve"> London: Butterworth-Heinemann.</w:t>
      </w:r>
    </w:p>
    <w:p w14:paraId="3064D6F1" w14:textId="06B18FAF" w:rsidR="00792625" w:rsidRPr="0050578C" w:rsidRDefault="00792625" w:rsidP="00792625">
      <w:pPr>
        <w:spacing w:line="360" w:lineRule="auto"/>
        <w:jc w:val="both"/>
        <w:rPr>
          <w:rFonts w:ascii="Arial" w:eastAsia="Calibri" w:hAnsi="Arial" w:cs="Arial"/>
          <w:kern w:val="0"/>
          <w:sz w:val="24"/>
          <w:szCs w:val="24"/>
          <w14:ligatures w14:val="none"/>
        </w:rPr>
      </w:pPr>
      <w:r w:rsidRPr="004F5F8A">
        <w:rPr>
          <w:rFonts w:ascii="Arial" w:eastAsia="Calibri" w:hAnsi="Arial" w:cs="Arial"/>
          <w:kern w:val="0"/>
          <w:sz w:val="24"/>
          <w:szCs w:val="24"/>
          <w14:ligatures w14:val="none"/>
        </w:rPr>
        <w:t xml:space="preserve">Susila, I., et al (2024). Does interconnectivity matter? An integration model of agro-tourism development. </w:t>
      </w:r>
      <w:r w:rsidRPr="00EE6CE8">
        <w:rPr>
          <w:rFonts w:ascii="Arial" w:eastAsia="Calibri" w:hAnsi="Arial" w:cs="Arial"/>
          <w:i/>
          <w:iCs/>
          <w:kern w:val="0"/>
          <w:sz w:val="24"/>
          <w:szCs w:val="24"/>
          <w14:ligatures w14:val="none"/>
        </w:rPr>
        <w:t>Asia Pacific Management Review</w:t>
      </w:r>
      <w:r w:rsidRPr="004F5F8A">
        <w:rPr>
          <w:rFonts w:ascii="Arial" w:eastAsia="Calibri" w:hAnsi="Arial" w:cs="Arial"/>
          <w:kern w:val="0"/>
          <w:sz w:val="24"/>
          <w:szCs w:val="24"/>
          <w14:ligatures w14:val="none"/>
        </w:rPr>
        <w:t>, 29(1), 104-114.</w:t>
      </w:r>
    </w:p>
    <w:p w14:paraId="27969D31" w14:textId="77777777" w:rsidR="00792625" w:rsidRPr="0050578C" w:rsidRDefault="00792625" w:rsidP="00792625">
      <w:pPr>
        <w:spacing w:line="360" w:lineRule="auto"/>
        <w:jc w:val="both"/>
        <w:rPr>
          <w:rFonts w:ascii="Arial" w:eastAsia="Calibri" w:hAnsi="Arial" w:cs="Arial"/>
          <w:kern w:val="0"/>
          <w:sz w:val="24"/>
          <w:szCs w:val="24"/>
          <w14:ligatures w14:val="none"/>
        </w:rPr>
      </w:pPr>
    </w:p>
    <w:p w14:paraId="76781706" w14:textId="581918C5" w:rsidR="0050578C" w:rsidRPr="0050578C" w:rsidRDefault="0050578C" w:rsidP="0050578C">
      <w:pPr>
        <w:spacing w:line="360" w:lineRule="auto"/>
        <w:jc w:val="both"/>
        <w:rPr>
          <w:rFonts w:ascii="Arial" w:eastAsia="Calibri" w:hAnsi="Arial" w:cs="Arial"/>
          <w:kern w:val="0"/>
          <w:sz w:val="24"/>
          <w:szCs w:val="24"/>
          <w14:ligatures w14:val="none"/>
        </w:rPr>
      </w:pPr>
    </w:p>
    <w:sectPr w:rsidR="0050578C" w:rsidRPr="0050578C" w:rsidSect="0050578C">
      <w:pgSz w:w="11906" w:h="16838"/>
      <w:pgMar w:top="1418" w:right="1134" w:bottom="1134" w:left="136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78C"/>
    <w:rsid w:val="000172FF"/>
    <w:rsid w:val="000538ED"/>
    <w:rsid w:val="00142C2F"/>
    <w:rsid w:val="001455BC"/>
    <w:rsid w:val="00165F4D"/>
    <w:rsid w:val="00171CA5"/>
    <w:rsid w:val="001A4631"/>
    <w:rsid w:val="001A654F"/>
    <w:rsid w:val="001F384A"/>
    <w:rsid w:val="00210119"/>
    <w:rsid w:val="002202D9"/>
    <w:rsid w:val="00220995"/>
    <w:rsid w:val="002557AA"/>
    <w:rsid w:val="0028626C"/>
    <w:rsid w:val="002D3BC4"/>
    <w:rsid w:val="00336826"/>
    <w:rsid w:val="00416A03"/>
    <w:rsid w:val="00436AD8"/>
    <w:rsid w:val="00465B7E"/>
    <w:rsid w:val="004B61E6"/>
    <w:rsid w:val="004D42F1"/>
    <w:rsid w:val="004E7CB9"/>
    <w:rsid w:val="004F5F8A"/>
    <w:rsid w:val="0050578C"/>
    <w:rsid w:val="00512262"/>
    <w:rsid w:val="00516B40"/>
    <w:rsid w:val="00565FF0"/>
    <w:rsid w:val="00574011"/>
    <w:rsid w:val="005775E9"/>
    <w:rsid w:val="005D0C3A"/>
    <w:rsid w:val="005E3BF2"/>
    <w:rsid w:val="005F2A86"/>
    <w:rsid w:val="00600944"/>
    <w:rsid w:val="00604648"/>
    <w:rsid w:val="0063653F"/>
    <w:rsid w:val="00690E86"/>
    <w:rsid w:val="006C49CD"/>
    <w:rsid w:val="006C4DB7"/>
    <w:rsid w:val="006D1832"/>
    <w:rsid w:val="00734943"/>
    <w:rsid w:val="00744CED"/>
    <w:rsid w:val="00772A9E"/>
    <w:rsid w:val="007906A5"/>
    <w:rsid w:val="00792625"/>
    <w:rsid w:val="007B45AA"/>
    <w:rsid w:val="0083300F"/>
    <w:rsid w:val="00840BB5"/>
    <w:rsid w:val="00886E97"/>
    <w:rsid w:val="008A583D"/>
    <w:rsid w:val="008C7C9B"/>
    <w:rsid w:val="00906D48"/>
    <w:rsid w:val="00957CA6"/>
    <w:rsid w:val="009D123A"/>
    <w:rsid w:val="009E0C7D"/>
    <w:rsid w:val="00A1130E"/>
    <w:rsid w:val="00A14371"/>
    <w:rsid w:val="00A970A4"/>
    <w:rsid w:val="00AA52B0"/>
    <w:rsid w:val="00AC55CA"/>
    <w:rsid w:val="00AF2D1A"/>
    <w:rsid w:val="00BB4180"/>
    <w:rsid w:val="00BE51A0"/>
    <w:rsid w:val="00C36594"/>
    <w:rsid w:val="00C601CA"/>
    <w:rsid w:val="00CA1DAD"/>
    <w:rsid w:val="00D4180F"/>
    <w:rsid w:val="00D63704"/>
    <w:rsid w:val="00D721B6"/>
    <w:rsid w:val="00D7457D"/>
    <w:rsid w:val="00D94CD4"/>
    <w:rsid w:val="00DB4A21"/>
    <w:rsid w:val="00E00FC5"/>
    <w:rsid w:val="00E03897"/>
    <w:rsid w:val="00E478DC"/>
    <w:rsid w:val="00EA0A76"/>
    <w:rsid w:val="00EE6CE8"/>
    <w:rsid w:val="00F675F1"/>
    <w:rsid w:val="00F76816"/>
    <w:rsid w:val="00FA214C"/>
    <w:rsid w:val="00FB004C"/>
    <w:rsid w:val="00FC2537"/>
    <w:rsid w:val="00FE19D1"/>
    <w:rsid w:val="00FF3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43F7"/>
  <w15:chartTrackingRefBased/>
  <w15:docId w15:val="{C09E3193-DC2E-45E3-A836-6DD7A5A69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78C"/>
    <w:rPr>
      <w:rFonts w:eastAsiaTheme="majorEastAsia" w:cstheme="majorBidi"/>
      <w:color w:val="272727" w:themeColor="text1" w:themeTint="D8"/>
    </w:rPr>
  </w:style>
  <w:style w:type="paragraph" w:styleId="Title">
    <w:name w:val="Title"/>
    <w:basedOn w:val="Normal"/>
    <w:next w:val="Normal"/>
    <w:link w:val="TitleChar"/>
    <w:uiPriority w:val="10"/>
    <w:qFormat/>
    <w:rsid w:val="00505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78C"/>
    <w:pPr>
      <w:spacing w:before="160"/>
      <w:jc w:val="center"/>
    </w:pPr>
    <w:rPr>
      <w:i/>
      <w:iCs/>
      <w:color w:val="404040" w:themeColor="text1" w:themeTint="BF"/>
    </w:rPr>
  </w:style>
  <w:style w:type="character" w:customStyle="1" w:styleId="QuoteChar">
    <w:name w:val="Quote Char"/>
    <w:basedOn w:val="DefaultParagraphFont"/>
    <w:link w:val="Quote"/>
    <w:uiPriority w:val="29"/>
    <w:rsid w:val="0050578C"/>
    <w:rPr>
      <w:i/>
      <w:iCs/>
      <w:color w:val="404040" w:themeColor="text1" w:themeTint="BF"/>
    </w:rPr>
  </w:style>
  <w:style w:type="paragraph" w:styleId="ListParagraph">
    <w:name w:val="List Paragraph"/>
    <w:basedOn w:val="Normal"/>
    <w:uiPriority w:val="34"/>
    <w:qFormat/>
    <w:rsid w:val="0050578C"/>
    <w:pPr>
      <w:ind w:left="720"/>
      <w:contextualSpacing/>
    </w:pPr>
  </w:style>
  <w:style w:type="character" w:styleId="IntenseEmphasis">
    <w:name w:val="Intense Emphasis"/>
    <w:basedOn w:val="DefaultParagraphFont"/>
    <w:uiPriority w:val="21"/>
    <w:qFormat/>
    <w:rsid w:val="0050578C"/>
    <w:rPr>
      <w:i/>
      <w:iCs/>
      <w:color w:val="0F4761" w:themeColor="accent1" w:themeShade="BF"/>
    </w:rPr>
  </w:style>
  <w:style w:type="paragraph" w:styleId="IntenseQuote">
    <w:name w:val="Intense Quote"/>
    <w:basedOn w:val="Normal"/>
    <w:next w:val="Normal"/>
    <w:link w:val="IntenseQuoteChar"/>
    <w:uiPriority w:val="30"/>
    <w:qFormat/>
    <w:rsid w:val="00505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78C"/>
    <w:rPr>
      <w:i/>
      <w:iCs/>
      <w:color w:val="0F4761" w:themeColor="accent1" w:themeShade="BF"/>
    </w:rPr>
  </w:style>
  <w:style w:type="character" w:styleId="IntenseReference">
    <w:name w:val="Intense Reference"/>
    <w:basedOn w:val="DefaultParagraphFont"/>
    <w:uiPriority w:val="32"/>
    <w:qFormat/>
    <w:rsid w:val="0050578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2930</Words>
  <Characters>16706</Characters>
  <Application>Microsoft Office Word</Application>
  <DocSecurity>0</DocSecurity>
  <Lines>139</Lines>
  <Paragraphs>39</Paragraphs>
  <ScaleCrop>false</ScaleCrop>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35</cp:revision>
  <dcterms:created xsi:type="dcterms:W3CDTF">2024-05-13T16:53:00Z</dcterms:created>
  <dcterms:modified xsi:type="dcterms:W3CDTF">2024-05-13T17:45:00Z</dcterms:modified>
</cp:coreProperties>
</file>