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06777" w14:textId="77777777" w:rsidR="003701D2" w:rsidRDefault="009B7820">
      <w:r>
        <w:rPr>
          <w:noProof/>
        </w:rPr>
        <w:drawing>
          <wp:inline distT="0" distB="0" distL="0" distR="0" wp14:anchorId="708981D7" wp14:editId="2132D19D">
            <wp:extent cx="4218940" cy="1396365"/>
            <wp:effectExtent l="0" t="0" r="0" b="0"/>
            <wp:docPr id="32050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8940" cy="1396365"/>
                    </a:xfrm>
                    <a:prstGeom prst="rect">
                      <a:avLst/>
                    </a:prstGeom>
                    <a:noFill/>
                  </pic:spPr>
                </pic:pic>
              </a:graphicData>
            </a:graphic>
          </wp:inline>
        </w:drawing>
      </w:r>
    </w:p>
    <w:p w14:paraId="6CF5F950" w14:textId="77777777" w:rsidR="003701D2" w:rsidRDefault="003701D2"/>
    <w:p w14:paraId="1330492A" w14:textId="77777777" w:rsidR="003701D2" w:rsidRDefault="003701D2"/>
    <w:p w14:paraId="70AB73CD" w14:textId="77777777" w:rsidR="003701D2" w:rsidRDefault="003701D2"/>
    <w:p w14:paraId="4EFC803F" w14:textId="77777777" w:rsidR="003701D2" w:rsidRDefault="003701D2"/>
    <w:p w14:paraId="406A15B0" w14:textId="0C9B80CF" w:rsidR="003701D2" w:rsidRPr="00E2761F" w:rsidRDefault="003701D2" w:rsidP="003701D2">
      <w:pPr>
        <w:rPr>
          <w:rFonts w:ascii="Arial" w:hAnsi="Arial" w:cs="Arial"/>
          <w:sz w:val="28"/>
          <w:szCs w:val="28"/>
        </w:rPr>
      </w:pPr>
      <w:r>
        <w:t xml:space="preserve">   </w:t>
      </w:r>
      <w:r w:rsidRPr="00E2761F">
        <w:rPr>
          <w:rFonts w:ascii="Arial" w:hAnsi="Arial" w:cs="Arial"/>
          <w:sz w:val="28"/>
          <w:szCs w:val="28"/>
        </w:rPr>
        <w:t xml:space="preserve"> Assignment 1</w:t>
      </w:r>
    </w:p>
    <w:p w14:paraId="40CEE8F0" w14:textId="77777777" w:rsidR="003701D2" w:rsidRPr="00E2761F" w:rsidRDefault="003701D2" w:rsidP="003701D2">
      <w:pPr>
        <w:rPr>
          <w:rFonts w:ascii="Arial" w:hAnsi="Arial" w:cs="Arial"/>
          <w:sz w:val="28"/>
          <w:szCs w:val="28"/>
        </w:rPr>
      </w:pPr>
    </w:p>
    <w:p w14:paraId="5CCB1D85" w14:textId="77777777" w:rsidR="003701D2" w:rsidRPr="00E2761F" w:rsidRDefault="003701D2" w:rsidP="003701D2">
      <w:pPr>
        <w:rPr>
          <w:rFonts w:ascii="Arial" w:hAnsi="Arial" w:cs="Arial"/>
          <w:sz w:val="28"/>
          <w:szCs w:val="28"/>
        </w:rPr>
      </w:pPr>
    </w:p>
    <w:p w14:paraId="77386B74" w14:textId="77777777" w:rsidR="003701D2" w:rsidRPr="00E2761F" w:rsidRDefault="003701D2" w:rsidP="003701D2">
      <w:pPr>
        <w:rPr>
          <w:rFonts w:ascii="Arial" w:hAnsi="Arial" w:cs="Arial"/>
          <w:sz w:val="28"/>
          <w:szCs w:val="28"/>
        </w:rPr>
      </w:pPr>
      <w:r w:rsidRPr="00E2761F">
        <w:rPr>
          <w:rFonts w:ascii="Arial" w:hAnsi="Arial" w:cs="Arial"/>
          <w:sz w:val="28"/>
          <w:szCs w:val="28"/>
        </w:rPr>
        <w:t xml:space="preserve">Name: Stefania-Diana Stanciu </w:t>
      </w:r>
    </w:p>
    <w:p w14:paraId="4A7F2FCF" w14:textId="77777777" w:rsidR="003701D2" w:rsidRPr="00E2761F" w:rsidRDefault="003701D2" w:rsidP="003701D2">
      <w:pPr>
        <w:rPr>
          <w:rFonts w:ascii="Arial" w:hAnsi="Arial" w:cs="Arial"/>
          <w:sz w:val="28"/>
          <w:szCs w:val="28"/>
        </w:rPr>
      </w:pPr>
      <w:r w:rsidRPr="00E2761F">
        <w:rPr>
          <w:rFonts w:ascii="Arial" w:hAnsi="Arial" w:cs="Arial"/>
          <w:sz w:val="28"/>
          <w:szCs w:val="28"/>
        </w:rPr>
        <w:t>Student ID: 2234963</w:t>
      </w:r>
    </w:p>
    <w:p w14:paraId="0C59FCFB" w14:textId="714F4364" w:rsidR="003701D2" w:rsidRPr="00E2761F" w:rsidRDefault="003701D2" w:rsidP="003701D2">
      <w:pPr>
        <w:rPr>
          <w:rFonts w:ascii="Arial" w:hAnsi="Arial" w:cs="Arial"/>
          <w:sz w:val="28"/>
          <w:szCs w:val="28"/>
        </w:rPr>
      </w:pPr>
      <w:r w:rsidRPr="00E2761F">
        <w:rPr>
          <w:rFonts w:ascii="Arial" w:hAnsi="Arial" w:cs="Arial"/>
          <w:sz w:val="28"/>
          <w:szCs w:val="28"/>
        </w:rPr>
        <w:t>Module code: LCBB4001</w:t>
      </w:r>
    </w:p>
    <w:p w14:paraId="734AE86C" w14:textId="3AEBD28D" w:rsidR="003701D2" w:rsidRPr="00E2761F" w:rsidRDefault="003701D2" w:rsidP="003701D2">
      <w:pPr>
        <w:rPr>
          <w:rFonts w:ascii="Arial" w:hAnsi="Arial" w:cs="Arial"/>
          <w:sz w:val="28"/>
          <w:szCs w:val="28"/>
        </w:rPr>
      </w:pPr>
      <w:r w:rsidRPr="00E2761F">
        <w:rPr>
          <w:rFonts w:ascii="Arial" w:hAnsi="Arial" w:cs="Arial"/>
          <w:sz w:val="28"/>
          <w:szCs w:val="28"/>
        </w:rPr>
        <w:t xml:space="preserve">Module name: Accounting fundamentals </w:t>
      </w:r>
    </w:p>
    <w:p w14:paraId="01A39316" w14:textId="77777777" w:rsidR="00E2761F" w:rsidRPr="00E2761F" w:rsidRDefault="003701D2" w:rsidP="003701D2">
      <w:pPr>
        <w:rPr>
          <w:rFonts w:ascii="Arial" w:hAnsi="Arial" w:cs="Arial"/>
          <w:sz w:val="28"/>
          <w:szCs w:val="28"/>
        </w:rPr>
      </w:pPr>
      <w:r w:rsidRPr="00E2761F">
        <w:rPr>
          <w:rFonts w:ascii="Arial" w:hAnsi="Arial" w:cs="Arial"/>
          <w:sz w:val="28"/>
          <w:szCs w:val="28"/>
        </w:rPr>
        <w:t xml:space="preserve">Lecturer: </w:t>
      </w:r>
      <w:proofErr w:type="spellStart"/>
      <w:r w:rsidRPr="00E2761F">
        <w:rPr>
          <w:rFonts w:ascii="Arial" w:hAnsi="Arial" w:cs="Arial"/>
          <w:sz w:val="28"/>
          <w:szCs w:val="28"/>
        </w:rPr>
        <w:t>Dr.</w:t>
      </w:r>
      <w:proofErr w:type="spellEnd"/>
      <w:r w:rsidRPr="00E2761F">
        <w:rPr>
          <w:rFonts w:ascii="Arial" w:hAnsi="Arial" w:cs="Arial"/>
          <w:sz w:val="28"/>
          <w:szCs w:val="28"/>
        </w:rPr>
        <w:t xml:space="preserve"> Nadeem Mirza </w:t>
      </w:r>
    </w:p>
    <w:p w14:paraId="5B9A9BB7" w14:textId="0D0176AD" w:rsidR="00E2761F" w:rsidRDefault="00F61E45">
      <w:r>
        <w:br w:type="page"/>
      </w:r>
    </w:p>
    <w:sdt>
      <w:sdtPr>
        <w:rPr>
          <w:rFonts w:asciiTheme="minorHAnsi" w:eastAsiaTheme="minorHAnsi" w:hAnsiTheme="minorHAnsi" w:cstheme="minorBidi"/>
          <w:color w:val="auto"/>
          <w:sz w:val="22"/>
          <w:szCs w:val="22"/>
          <w:lang w:val="en-GB"/>
        </w:rPr>
        <w:id w:val="-1227453563"/>
        <w:docPartObj>
          <w:docPartGallery w:val="Table of Contents"/>
          <w:docPartUnique/>
        </w:docPartObj>
      </w:sdtPr>
      <w:sdtEndPr>
        <w:rPr>
          <w:b/>
          <w:bCs/>
          <w:noProof/>
        </w:rPr>
      </w:sdtEndPr>
      <w:sdtContent>
        <w:p w14:paraId="555495B1" w14:textId="6517C19D" w:rsidR="00E2761F" w:rsidRDefault="00E2761F">
          <w:pPr>
            <w:pStyle w:val="TOCHeading"/>
          </w:pPr>
          <w:r>
            <w:t>Contents</w:t>
          </w:r>
        </w:p>
        <w:p w14:paraId="7E826802" w14:textId="11A4288F" w:rsidR="00C277C8" w:rsidRDefault="00E2761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779001" w:history="1">
            <w:r w:rsidR="00C277C8" w:rsidRPr="000F7DED">
              <w:rPr>
                <w:rStyle w:val="Hyperlink"/>
                <w:rFonts w:ascii="Arial" w:hAnsi="Arial" w:cs="Arial"/>
                <w:b/>
                <w:bCs/>
                <w:noProof/>
              </w:rPr>
              <w:t>Introduction</w:t>
            </w:r>
            <w:r w:rsidR="00C277C8">
              <w:rPr>
                <w:noProof/>
                <w:webHidden/>
              </w:rPr>
              <w:tab/>
            </w:r>
            <w:r w:rsidR="00C277C8">
              <w:rPr>
                <w:noProof/>
                <w:webHidden/>
              </w:rPr>
              <w:fldChar w:fldCharType="begin"/>
            </w:r>
            <w:r w:rsidR="00C277C8">
              <w:rPr>
                <w:noProof/>
                <w:webHidden/>
              </w:rPr>
              <w:instrText xml:space="preserve"> PAGEREF _Toc153779001 \h </w:instrText>
            </w:r>
            <w:r w:rsidR="00C277C8">
              <w:rPr>
                <w:noProof/>
                <w:webHidden/>
              </w:rPr>
            </w:r>
            <w:r w:rsidR="00C277C8">
              <w:rPr>
                <w:noProof/>
                <w:webHidden/>
              </w:rPr>
              <w:fldChar w:fldCharType="separate"/>
            </w:r>
            <w:r w:rsidR="00C277C8">
              <w:rPr>
                <w:noProof/>
                <w:webHidden/>
              </w:rPr>
              <w:t>3</w:t>
            </w:r>
            <w:r w:rsidR="00C277C8">
              <w:rPr>
                <w:noProof/>
                <w:webHidden/>
              </w:rPr>
              <w:fldChar w:fldCharType="end"/>
            </w:r>
          </w:hyperlink>
        </w:p>
        <w:p w14:paraId="6BDD0831" w14:textId="33BF41EF" w:rsidR="00C277C8" w:rsidRDefault="00000000">
          <w:pPr>
            <w:pStyle w:val="TOC1"/>
            <w:tabs>
              <w:tab w:val="right" w:leader="dot" w:pos="9016"/>
            </w:tabs>
            <w:rPr>
              <w:rFonts w:eastAsiaTheme="minorEastAsia"/>
              <w:noProof/>
              <w:kern w:val="2"/>
              <w:lang w:eastAsia="en-GB"/>
              <w14:ligatures w14:val="standardContextual"/>
            </w:rPr>
          </w:pPr>
          <w:hyperlink w:anchor="_Toc153779002" w:history="1">
            <w:r w:rsidR="00C277C8" w:rsidRPr="000F7DED">
              <w:rPr>
                <w:rStyle w:val="Hyperlink"/>
                <w:rFonts w:ascii="Arial" w:hAnsi="Arial" w:cs="Arial"/>
                <w:b/>
                <w:bCs/>
                <w:noProof/>
              </w:rPr>
              <w:t>Question 1</w:t>
            </w:r>
            <w:r w:rsidR="00C277C8">
              <w:rPr>
                <w:noProof/>
                <w:webHidden/>
              </w:rPr>
              <w:tab/>
            </w:r>
            <w:r w:rsidR="00C277C8">
              <w:rPr>
                <w:noProof/>
                <w:webHidden/>
              </w:rPr>
              <w:fldChar w:fldCharType="begin"/>
            </w:r>
            <w:r w:rsidR="00C277C8">
              <w:rPr>
                <w:noProof/>
                <w:webHidden/>
              </w:rPr>
              <w:instrText xml:space="preserve"> PAGEREF _Toc153779002 \h </w:instrText>
            </w:r>
            <w:r w:rsidR="00C277C8">
              <w:rPr>
                <w:noProof/>
                <w:webHidden/>
              </w:rPr>
            </w:r>
            <w:r w:rsidR="00C277C8">
              <w:rPr>
                <w:noProof/>
                <w:webHidden/>
              </w:rPr>
              <w:fldChar w:fldCharType="separate"/>
            </w:r>
            <w:r w:rsidR="00C277C8">
              <w:rPr>
                <w:noProof/>
                <w:webHidden/>
              </w:rPr>
              <w:t>3</w:t>
            </w:r>
            <w:r w:rsidR="00C277C8">
              <w:rPr>
                <w:noProof/>
                <w:webHidden/>
              </w:rPr>
              <w:fldChar w:fldCharType="end"/>
            </w:r>
          </w:hyperlink>
        </w:p>
        <w:p w14:paraId="19902D20" w14:textId="03AF1B89" w:rsidR="00C277C8" w:rsidRDefault="00000000">
          <w:pPr>
            <w:pStyle w:val="TOC1"/>
            <w:tabs>
              <w:tab w:val="right" w:leader="dot" w:pos="9016"/>
            </w:tabs>
            <w:rPr>
              <w:rFonts w:eastAsiaTheme="minorEastAsia"/>
              <w:noProof/>
              <w:kern w:val="2"/>
              <w:lang w:eastAsia="en-GB"/>
              <w14:ligatures w14:val="standardContextual"/>
            </w:rPr>
          </w:pPr>
          <w:hyperlink w:anchor="_Toc153779003" w:history="1">
            <w:r w:rsidR="00C277C8" w:rsidRPr="000F7DED">
              <w:rPr>
                <w:rStyle w:val="Hyperlink"/>
                <w:rFonts w:ascii="Arial" w:hAnsi="Arial" w:cs="Arial"/>
                <w:b/>
                <w:bCs/>
                <w:noProof/>
              </w:rPr>
              <w:t>Question 2</w:t>
            </w:r>
            <w:r w:rsidR="00C277C8">
              <w:rPr>
                <w:noProof/>
                <w:webHidden/>
              </w:rPr>
              <w:tab/>
            </w:r>
            <w:r w:rsidR="00C277C8">
              <w:rPr>
                <w:noProof/>
                <w:webHidden/>
              </w:rPr>
              <w:fldChar w:fldCharType="begin"/>
            </w:r>
            <w:r w:rsidR="00C277C8">
              <w:rPr>
                <w:noProof/>
                <w:webHidden/>
              </w:rPr>
              <w:instrText xml:space="preserve"> PAGEREF _Toc153779003 \h </w:instrText>
            </w:r>
            <w:r w:rsidR="00C277C8">
              <w:rPr>
                <w:noProof/>
                <w:webHidden/>
              </w:rPr>
            </w:r>
            <w:r w:rsidR="00C277C8">
              <w:rPr>
                <w:noProof/>
                <w:webHidden/>
              </w:rPr>
              <w:fldChar w:fldCharType="separate"/>
            </w:r>
            <w:r w:rsidR="00C277C8">
              <w:rPr>
                <w:noProof/>
                <w:webHidden/>
              </w:rPr>
              <w:t>6</w:t>
            </w:r>
            <w:r w:rsidR="00C277C8">
              <w:rPr>
                <w:noProof/>
                <w:webHidden/>
              </w:rPr>
              <w:fldChar w:fldCharType="end"/>
            </w:r>
          </w:hyperlink>
        </w:p>
        <w:p w14:paraId="4B1FD8B3" w14:textId="4CA9774F" w:rsidR="00C277C8" w:rsidRDefault="00000000">
          <w:pPr>
            <w:pStyle w:val="TOC1"/>
            <w:tabs>
              <w:tab w:val="right" w:leader="dot" w:pos="9016"/>
            </w:tabs>
            <w:rPr>
              <w:rFonts w:eastAsiaTheme="minorEastAsia"/>
              <w:noProof/>
              <w:kern w:val="2"/>
              <w:lang w:eastAsia="en-GB"/>
              <w14:ligatures w14:val="standardContextual"/>
            </w:rPr>
          </w:pPr>
          <w:hyperlink w:anchor="_Toc153779004" w:history="1">
            <w:r w:rsidR="00C277C8" w:rsidRPr="000F7DED">
              <w:rPr>
                <w:rStyle w:val="Hyperlink"/>
                <w:rFonts w:ascii="Arial" w:hAnsi="Arial" w:cs="Arial"/>
                <w:b/>
                <w:bCs/>
                <w:noProof/>
              </w:rPr>
              <w:t>Question 3 (a+b)</w:t>
            </w:r>
            <w:r w:rsidR="00C277C8">
              <w:rPr>
                <w:noProof/>
                <w:webHidden/>
              </w:rPr>
              <w:tab/>
            </w:r>
            <w:r w:rsidR="00C277C8">
              <w:rPr>
                <w:noProof/>
                <w:webHidden/>
              </w:rPr>
              <w:fldChar w:fldCharType="begin"/>
            </w:r>
            <w:r w:rsidR="00C277C8">
              <w:rPr>
                <w:noProof/>
                <w:webHidden/>
              </w:rPr>
              <w:instrText xml:space="preserve"> PAGEREF _Toc153779004 \h </w:instrText>
            </w:r>
            <w:r w:rsidR="00C277C8">
              <w:rPr>
                <w:noProof/>
                <w:webHidden/>
              </w:rPr>
            </w:r>
            <w:r w:rsidR="00C277C8">
              <w:rPr>
                <w:noProof/>
                <w:webHidden/>
              </w:rPr>
              <w:fldChar w:fldCharType="separate"/>
            </w:r>
            <w:r w:rsidR="00C277C8">
              <w:rPr>
                <w:noProof/>
                <w:webHidden/>
              </w:rPr>
              <w:t>7</w:t>
            </w:r>
            <w:r w:rsidR="00C277C8">
              <w:rPr>
                <w:noProof/>
                <w:webHidden/>
              </w:rPr>
              <w:fldChar w:fldCharType="end"/>
            </w:r>
          </w:hyperlink>
        </w:p>
        <w:p w14:paraId="1FC92E16" w14:textId="4E51BC76" w:rsidR="00C277C8" w:rsidRDefault="00000000">
          <w:pPr>
            <w:pStyle w:val="TOC1"/>
            <w:tabs>
              <w:tab w:val="right" w:leader="dot" w:pos="9016"/>
            </w:tabs>
            <w:rPr>
              <w:rFonts w:eastAsiaTheme="minorEastAsia"/>
              <w:noProof/>
              <w:kern w:val="2"/>
              <w:lang w:eastAsia="en-GB"/>
              <w14:ligatures w14:val="standardContextual"/>
            </w:rPr>
          </w:pPr>
          <w:hyperlink w:anchor="_Toc153779005" w:history="1">
            <w:r w:rsidR="00C277C8" w:rsidRPr="000F7DED">
              <w:rPr>
                <w:rStyle w:val="Hyperlink"/>
                <w:rFonts w:ascii="Arial" w:hAnsi="Arial" w:cs="Arial"/>
                <w:b/>
                <w:bCs/>
                <w:noProof/>
              </w:rPr>
              <w:t>References</w:t>
            </w:r>
            <w:r w:rsidR="00C277C8">
              <w:rPr>
                <w:noProof/>
                <w:webHidden/>
              </w:rPr>
              <w:tab/>
            </w:r>
            <w:r w:rsidR="00C277C8">
              <w:rPr>
                <w:noProof/>
                <w:webHidden/>
              </w:rPr>
              <w:fldChar w:fldCharType="begin"/>
            </w:r>
            <w:r w:rsidR="00C277C8">
              <w:rPr>
                <w:noProof/>
                <w:webHidden/>
              </w:rPr>
              <w:instrText xml:space="preserve"> PAGEREF _Toc153779005 \h </w:instrText>
            </w:r>
            <w:r w:rsidR="00C277C8">
              <w:rPr>
                <w:noProof/>
                <w:webHidden/>
              </w:rPr>
            </w:r>
            <w:r w:rsidR="00C277C8">
              <w:rPr>
                <w:noProof/>
                <w:webHidden/>
              </w:rPr>
              <w:fldChar w:fldCharType="separate"/>
            </w:r>
            <w:r w:rsidR="00C277C8">
              <w:rPr>
                <w:noProof/>
                <w:webHidden/>
              </w:rPr>
              <w:t>13</w:t>
            </w:r>
            <w:r w:rsidR="00C277C8">
              <w:rPr>
                <w:noProof/>
                <w:webHidden/>
              </w:rPr>
              <w:fldChar w:fldCharType="end"/>
            </w:r>
          </w:hyperlink>
        </w:p>
        <w:p w14:paraId="28FF9BD1" w14:textId="03F9BA6B" w:rsidR="00E2761F" w:rsidRDefault="00E2761F">
          <w:r>
            <w:rPr>
              <w:b/>
              <w:bCs/>
              <w:noProof/>
            </w:rPr>
            <w:fldChar w:fldCharType="end"/>
          </w:r>
        </w:p>
      </w:sdtContent>
    </w:sdt>
    <w:p w14:paraId="2A8C6440" w14:textId="569635CB" w:rsidR="00F61E45" w:rsidRDefault="00F61E45"/>
    <w:p w14:paraId="52A51092" w14:textId="77777777" w:rsidR="00E2761F" w:rsidRDefault="00E2761F"/>
    <w:p w14:paraId="4DC37791" w14:textId="77777777" w:rsidR="00E2761F" w:rsidRDefault="00E2761F"/>
    <w:p w14:paraId="3F7A46EF" w14:textId="77777777" w:rsidR="00E2761F" w:rsidRDefault="00E2761F"/>
    <w:p w14:paraId="0D40321A" w14:textId="77777777" w:rsidR="00E2761F" w:rsidRDefault="00E2761F"/>
    <w:p w14:paraId="04828218" w14:textId="77777777" w:rsidR="00E2761F" w:rsidRDefault="00E2761F"/>
    <w:p w14:paraId="3FA86798" w14:textId="77777777" w:rsidR="00E2761F" w:rsidRDefault="00E2761F"/>
    <w:p w14:paraId="665BCD73" w14:textId="77777777" w:rsidR="00E2761F" w:rsidRDefault="00E2761F"/>
    <w:p w14:paraId="0876DD35" w14:textId="77777777" w:rsidR="00E2761F" w:rsidRDefault="00E2761F"/>
    <w:p w14:paraId="491B8C06" w14:textId="77777777" w:rsidR="00E2761F" w:rsidRDefault="00E2761F"/>
    <w:p w14:paraId="292A8D45" w14:textId="77777777" w:rsidR="00E2761F" w:rsidRDefault="00E2761F"/>
    <w:p w14:paraId="4E07F6F6" w14:textId="77777777" w:rsidR="00E2761F" w:rsidRDefault="00E2761F"/>
    <w:p w14:paraId="0B352F0D" w14:textId="77777777" w:rsidR="00E2761F" w:rsidRDefault="00E2761F"/>
    <w:p w14:paraId="3ECD1C33" w14:textId="77777777" w:rsidR="00E2761F" w:rsidRDefault="00E2761F"/>
    <w:p w14:paraId="1A40091F" w14:textId="77777777" w:rsidR="00E2761F" w:rsidRDefault="00E2761F"/>
    <w:p w14:paraId="1D5B2E5E" w14:textId="77777777" w:rsidR="00E2761F" w:rsidRDefault="00E2761F"/>
    <w:p w14:paraId="222276AC" w14:textId="77777777" w:rsidR="00E2761F" w:rsidRDefault="00E2761F"/>
    <w:p w14:paraId="786AB1B9" w14:textId="77777777" w:rsidR="00E2761F" w:rsidRDefault="00E2761F"/>
    <w:p w14:paraId="629F0999" w14:textId="77777777" w:rsidR="00E2761F" w:rsidRDefault="00E2761F"/>
    <w:p w14:paraId="0CF59DD0" w14:textId="77777777" w:rsidR="00F61E45" w:rsidRDefault="00F61E45" w:rsidP="009528A1">
      <w:pPr>
        <w:pStyle w:val="Heading1"/>
      </w:pPr>
    </w:p>
    <w:p w14:paraId="077A095A" w14:textId="77777777" w:rsidR="00E2761F" w:rsidRDefault="00E2761F" w:rsidP="00E2761F"/>
    <w:p w14:paraId="081B28E8" w14:textId="77777777" w:rsidR="00E2761F" w:rsidRDefault="00E2761F" w:rsidP="00E2761F"/>
    <w:p w14:paraId="77F3F939" w14:textId="77777777" w:rsidR="00E2761F" w:rsidRDefault="00E2761F" w:rsidP="00E2761F"/>
    <w:p w14:paraId="53AA62A3" w14:textId="77777777" w:rsidR="00E2761F" w:rsidRDefault="00E2761F" w:rsidP="00E2761F"/>
    <w:p w14:paraId="4C36091E" w14:textId="77777777" w:rsidR="00E2761F" w:rsidRPr="00E2761F" w:rsidRDefault="00E2761F" w:rsidP="00E2761F"/>
    <w:p w14:paraId="576FC275" w14:textId="4474261A" w:rsidR="00493B02" w:rsidRPr="00C277C8" w:rsidRDefault="00493B02" w:rsidP="009528A1">
      <w:pPr>
        <w:pStyle w:val="Heading1"/>
        <w:rPr>
          <w:rFonts w:ascii="Arial" w:hAnsi="Arial" w:cs="Arial"/>
          <w:b/>
          <w:bCs/>
        </w:rPr>
      </w:pPr>
      <w:bookmarkStart w:id="0" w:name="_Toc153779001"/>
      <w:r w:rsidRPr="00C277C8">
        <w:rPr>
          <w:rFonts w:ascii="Arial" w:hAnsi="Arial" w:cs="Arial"/>
          <w:b/>
          <w:bCs/>
        </w:rPr>
        <w:lastRenderedPageBreak/>
        <w:t>Introduction</w:t>
      </w:r>
      <w:bookmarkEnd w:id="0"/>
      <w:r w:rsidRPr="00C277C8">
        <w:rPr>
          <w:rFonts w:ascii="Arial" w:hAnsi="Arial" w:cs="Arial"/>
          <w:b/>
          <w:bCs/>
        </w:rPr>
        <w:t xml:space="preserve"> </w:t>
      </w:r>
    </w:p>
    <w:p w14:paraId="6B71ACBA" w14:textId="77777777" w:rsidR="009528A1" w:rsidRPr="009528A1" w:rsidRDefault="009528A1" w:rsidP="009528A1">
      <w:pPr>
        <w:spacing w:line="360" w:lineRule="auto"/>
        <w:jc w:val="both"/>
        <w:rPr>
          <w:rFonts w:ascii="Arial" w:hAnsi="Arial" w:cs="Arial"/>
          <w:sz w:val="24"/>
          <w:szCs w:val="24"/>
        </w:rPr>
      </w:pPr>
    </w:p>
    <w:p w14:paraId="2568178B" w14:textId="7C9AA741" w:rsidR="009528A1" w:rsidRPr="009528A1" w:rsidRDefault="009528A1" w:rsidP="009528A1">
      <w:pPr>
        <w:spacing w:line="360" w:lineRule="auto"/>
        <w:jc w:val="both"/>
        <w:rPr>
          <w:rFonts w:ascii="Arial" w:hAnsi="Arial" w:cs="Arial"/>
          <w:sz w:val="24"/>
          <w:szCs w:val="24"/>
        </w:rPr>
      </w:pPr>
      <w:r w:rsidRPr="009528A1">
        <w:rPr>
          <w:rFonts w:ascii="Arial" w:hAnsi="Arial" w:cs="Arial"/>
          <w:sz w:val="24"/>
          <w:szCs w:val="24"/>
        </w:rPr>
        <w:t>In this assessment, I will critically evaluate fundamental aspects of financial accounting. Initially, I'll address several common misconceptions in accounting by analysing six specific statements. Following this, I will prepare an income statement for Wales plc for the year ended 31st December 2022, to provide insights into the company's financial performance.</w:t>
      </w:r>
    </w:p>
    <w:p w14:paraId="519C9F29" w14:textId="6CD07BB5" w:rsidR="00EF3244" w:rsidRPr="00EF3244" w:rsidRDefault="009528A1" w:rsidP="009528A1">
      <w:pPr>
        <w:spacing w:line="360" w:lineRule="auto"/>
        <w:jc w:val="both"/>
        <w:rPr>
          <w:rFonts w:ascii="Arial" w:hAnsi="Arial" w:cs="Arial"/>
          <w:sz w:val="24"/>
          <w:szCs w:val="24"/>
        </w:rPr>
      </w:pPr>
      <w:r w:rsidRPr="009528A1">
        <w:rPr>
          <w:rFonts w:ascii="Arial" w:hAnsi="Arial" w:cs="Arial"/>
          <w:sz w:val="24"/>
          <w:szCs w:val="24"/>
        </w:rPr>
        <w:t xml:space="preserve">Furthermore, I will calculate and analyse key financial ratios for </w:t>
      </w:r>
      <w:proofErr w:type="gramStart"/>
      <w:r w:rsidRPr="009528A1">
        <w:rPr>
          <w:rFonts w:ascii="Arial" w:hAnsi="Arial" w:cs="Arial"/>
          <w:sz w:val="24"/>
          <w:szCs w:val="24"/>
        </w:rPr>
        <w:t>Sweets</w:t>
      </w:r>
      <w:proofErr w:type="gramEnd"/>
      <w:r w:rsidRPr="009528A1">
        <w:rPr>
          <w:rFonts w:ascii="Arial" w:hAnsi="Arial" w:cs="Arial"/>
          <w:sz w:val="24"/>
          <w:szCs w:val="24"/>
        </w:rPr>
        <w:t xml:space="preserve"> plc for the years 2022 and 2021.</w:t>
      </w:r>
    </w:p>
    <w:p w14:paraId="65C0A862" w14:textId="38595DC9" w:rsidR="004645FD" w:rsidRPr="00C277C8" w:rsidRDefault="00FD4904" w:rsidP="009528A1">
      <w:pPr>
        <w:pStyle w:val="Heading1"/>
        <w:rPr>
          <w:rFonts w:ascii="Arial" w:hAnsi="Arial" w:cs="Arial"/>
          <w:b/>
          <w:bCs/>
        </w:rPr>
      </w:pPr>
      <w:bookmarkStart w:id="1" w:name="_Toc153779002"/>
      <w:r w:rsidRPr="00C277C8">
        <w:rPr>
          <w:rFonts w:ascii="Arial" w:hAnsi="Arial" w:cs="Arial"/>
          <w:b/>
          <w:bCs/>
        </w:rPr>
        <w:t>Question 1</w:t>
      </w:r>
      <w:bookmarkEnd w:id="1"/>
      <w:r w:rsidRPr="00C277C8">
        <w:rPr>
          <w:rFonts w:ascii="Arial" w:hAnsi="Arial" w:cs="Arial"/>
          <w:b/>
          <w:bCs/>
        </w:rPr>
        <w:t xml:space="preserve"> </w:t>
      </w:r>
    </w:p>
    <w:p w14:paraId="7EC689A2" w14:textId="57582114" w:rsidR="00FD4904" w:rsidRPr="00FD4904" w:rsidRDefault="00F02640" w:rsidP="00FD4904">
      <w:pPr>
        <w:pStyle w:val="ListParagraph"/>
        <w:numPr>
          <w:ilvl w:val="0"/>
          <w:numId w:val="6"/>
        </w:numPr>
        <w:spacing w:line="360" w:lineRule="auto"/>
        <w:jc w:val="both"/>
        <w:rPr>
          <w:rFonts w:ascii="Arial" w:hAnsi="Arial" w:cs="Arial"/>
          <w:sz w:val="24"/>
          <w:szCs w:val="24"/>
        </w:rPr>
      </w:pPr>
      <w:r w:rsidRPr="00F02640">
        <w:rPr>
          <w:rFonts w:ascii="Arial" w:hAnsi="Arial" w:cs="Arial"/>
          <w:b/>
          <w:bCs/>
          <w:sz w:val="24"/>
          <w:szCs w:val="24"/>
        </w:rPr>
        <w:t>Statement of financial position</w:t>
      </w:r>
      <w:r>
        <w:rPr>
          <w:rFonts w:ascii="Arial" w:hAnsi="Arial" w:cs="Arial"/>
          <w:sz w:val="24"/>
          <w:szCs w:val="24"/>
        </w:rPr>
        <w:t xml:space="preserve">: </w:t>
      </w:r>
      <w:r w:rsidR="00FD4904" w:rsidRPr="00FD4904">
        <w:rPr>
          <w:rFonts w:ascii="Arial" w:hAnsi="Arial" w:cs="Arial"/>
          <w:sz w:val="24"/>
          <w:szCs w:val="24"/>
        </w:rPr>
        <w:t xml:space="preserve">It's a common error to think that the balance sheet, also known as the statement of financial position, shows a company's cash flow. </w:t>
      </w:r>
      <w:r w:rsidR="002C5900" w:rsidRPr="00FD4904">
        <w:rPr>
          <w:rFonts w:ascii="Arial" w:hAnsi="Arial" w:cs="Arial"/>
          <w:sz w:val="24"/>
          <w:szCs w:val="24"/>
        </w:rPr>
        <w:t>The</w:t>
      </w:r>
      <w:r w:rsidR="00FD4904" w:rsidRPr="00FD4904">
        <w:rPr>
          <w:rFonts w:ascii="Arial" w:hAnsi="Arial" w:cs="Arial"/>
          <w:sz w:val="24"/>
          <w:szCs w:val="24"/>
        </w:rPr>
        <w:t xml:space="preserve"> balance sheet is a momentary glimpse of the company's financial status, listing its assets, liabilities, and shareholders' equity as of a specific date. It doesn't track cash inflows and outflows; that's the job of the cash flow statement. The cash flow statement details how cash is produced and spent during a financial period, giving a clear picture of the company's cash liquidity and overall financial health. In contrast, the balance sheet focuses on the longer-term financial situation of a company, indicating what it owns and what it owes. Understanding these distinct roles of the financial statements is essential for proper financial analysis and </w:t>
      </w:r>
      <w:r w:rsidR="0037514A" w:rsidRPr="00FD4904">
        <w:rPr>
          <w:rFonts w:ascii="Arial" w:hAnsi="Arial" w:cs="Arial"/>
          <w:sz w:val="24"/>
          <w:szCs w:val="24"/>
        </w:rPr>
        <w:t>interpretation</w:t>
      </w:r>
      <w:r w:rsidR="0037514A">
        <w:rPr>
          <w:rFonts w:ascii="Arial" w:hAnsi="Arial" w:cs="Arial"/>
          <w:sz w:val="24"/>
          <w:szCs w:val="24"/>
        </w:rPr>
        <w:t xml:space="preserve"> </w:t>
      </w:r>
      <w:r w:rsidR="00142FA4" w:rsidRPr="00142FA4">
        <w:rPr>
          <w:rFonts w:ascii="Arial" w:hAnsi="Arial" w:cs="Arial"/>
          <w:sz w:val="24"/>
          <w:szCs w:val="24"/>
        </w:rPr>
        <w:t>(Libby, Libby, &amp; Hodge, 2019)</w:t>
      </w:r>
      <w:r w:rsidR="00142FA4">
        <w:rPr>
          <w:rFonts w:ascii="Arial" w:hAnsi="Arial" w:cs="Arial"/>
          <w:sz w:val="24"/>
          <w:szCs w:val="24"/>
        </w:rPr>
        <w:t>.</w:t>
      </w:r>
    </w:p>
    <w:p w14:paraId="3F399550" w14:textId="77777777" w:rsidR="00FD4904" w:rsidRPr="00FD4904" w:rsidRDefault="00FD4904" w:rsidP="00FD4904">
      <w:pPr>
        <w:spacing w:line="360" w:lineRule="auto"/>
        <w:jc w:val="both"/>
        <w:rPr>
          <w:rFonts w:ascii="Arial" w:hAnsi="Arial" w:cs="Arial"/>
          <w:sz w:val="24"/>
          <w:szCs w:val="24"/>
        </w:rPr>
      </w:pPr>
    </w:p>
    <w:p w14:paraId="313778B0" w14:textId="0E31D355" w:rsidR="00FD4904" w:rsidRDefault="00B70210" w:rsidP="00F02640">
      <w:pPr>
        <w:pStyle w:val="ListParagraph"/>
        <w:numPr>
          <w:ilvl w:val="0"/>
          <w:numId w:val="6"/>
        </w:numPr>
        <w:spacing w:line="360" w:lineRule="auto"/>
        <w:jc w:val="both"/>
        <w:rPr>
          <w:rFonts w:ascii="Arial" w:hAnsi="Arial" w:cs="Arial"/>
          <w:sz w:val="24"/>
          <w:szCs w:val="24"/>
        </w:rPr>
      </w:pPr>
      <w:r w:rsidRPr="00B70210">
        <w:rPr>
          <w:rFonts w:ascii="Arial" w:hAnsi="Arial" w:cs="Arial"/>
          <w:b/>
          <w:bCs/>
          <w:sz w:val="24"/>
          <w:szCs w:val="24"/>
        </w:rPr>
        <w:t>Non-current assets are things that cannot be moved.</w:t>
      </w:r>
      <w:r>
        <w:rPr>
          <w:rFonts w:ascii="Arial" w:hAnsi="Arial" w:cs="Arial"/>
          <w:b/>
          <w:bCs/>
          <w:sz w:val="24"/>
          <w:szCs w:val="24"/>
        </w:rPr>
        <w:t xml:space="preserve"> </w:t>
      </w:r>
      <w:r w:rsidR="00FD4904" w:rsidRPr="00F02640">
        <w:rPr>
          <w:rFonts w:ascii="Arial" w:hAnsi="Arial" w:cs="Arial"/>
          <w:sz w:val="24"/>
          <w:szCs w:val="24"/>
        </w:rPr>
        <w:t xml:space="preserve">The belief that non-current assets are exclusively immovable items is incorrect in accounting terms. Non-current assets, sometimes referred to as fixed assets, are assets a company plans to use over a period extending beyond one year. These assets can include tangible items like property and machinery, some of which may be immovable, but also cover movable assets such as vehicles and various equipment. Additionally, non-current assets include intangible items such as patents, trademarks, and goodwill, which are non-physical in nature. The critical aspect of non-current assets is their contribution to generating business value </w:t>
      </w:r>
      <w:r w:rsidR="00FD4904" w:rsidRPr="00F02640">
        <w:rPr>
          <w:rFonts w:ascii="Arial" w:hAnsi="Arial" w:cs="Arial"/>
          <w:sz w:val="24"/>
          <w:szCs w:val="24"/>
        </w:rPr>
        <w:lastRenderedPageBreak/>
        <w:t>over a prolonged period, unlike current assets such as cash or inventory that are typically either converted into cash or consumed within a year. This classification encompasses a wide array of assets that a business invests in for long-term operational effectiveness and growth</w:t>
      </w:r>
      <w:r w:rsidR="002C64CD">
        <w:rPr>
          <w:rFonts w:ascii="Arial" w:hAnsi="Arial" w:cs="Arial"/>
          <w:sz w:val="24"/>
          <w:szCs w:val="24"/>
        </w:rPr>
        <w:t xml:space="preserve"> </w:t>
      </w:r>
      <w:r w:rsidR="00634F52" w:rsidRPr="00634F52">
        <w:rPr>
          <w:rFonts w:ascii="Arial" w:hAnsi="Arial" w:cs="Arial"/>
          <w:sz w:val="24"/>
          <w:szCs w:val="24"/>
        </w:rPr>
        <w:t>(</w:t>
      </w:r>
      <w:proofErr w:type="spellStart"/>
      <w:r w:rsidR="00634F52" w:rsidRPr="00634F52">
        <w:rPr>
          <w:rFonts w:ascii="Arial" w:hAnsi="Arial" w:cs="Arial"/>
          <w:sz w:val="24"/>
          <w:szCs w:val="24"/>
        </w:rPr>
        <w:t>Kieso</w:t>
      </w:r>
      <w:proofErr w:type="spellEnd"/>
      <w:r w:rsidR="00634F52" w:rsidRPr="00634F52">
        <w:rPr>
          <w:rFonts w:ascii="Arial" w:hAnsi="Arial" w:cs="Arial"/>
          <w:sz w:val="24"/>
          <w:szCs w:val="24"/>
        </w:rPr>
        <w:t>, Weygandt, &amp; Warfield, 2019)</w:t>
      </w:r>
      <w:r w:rsidR="00634F52">
        <w:rPr>
          <w:rFonts w:ascii="Arial" w:hAnsi="Arial" w:cs="Arial"/>
          <w:sz w:val="24"/>
          <w:szCs w:val="24"/>
        </w:rPr>
        <w:t>.</w:t>
      </w:r>
    </w:p>
    <w:p w14:paraId="1CFE0EC0" w14:textId="77777777" w:rsidR="002C64CD" w:rsidRPr="002C64CD" w:rsidRDefault="002C64CD" w:rsidP="002C64CD">
      <w:pPr>
        <w:pStyle w:val="ListParagraph"/>
        <w:rPr>
          <w:rFonts w:ascii="Arial" w:hAnsi="Arial" w:cs="Arial"/>
          <w:sz w:val="24"/>
          <w:szCs w:val="24"/>
        </w:rPr>
      </w:pPr>
    </w:p>
    <w:p w14:paraId="5C289C39" w14:textId="41C834CE" w:rsidR="002C64CD" w:rsidRDefault="0004637C" w:rsidP="00250E37">
      <w:pPr>
        <w:pStyle w:val="ListParagraph"/>
        <w:numPr>
          <w:ilvl w:val="0"/>
          <w:numId w:val="6"/>
        </w:numPr>
        <w:spacing w:line="360" w:lineRule="auto"/>
        <w:jc w:val="both"/>
        <w:rPr>
          <w:rFonts w:ascii="Arial" w:hAnsi="Arial" w:cs="Arial"/>
          <w:sz w:val="24"/>
          <w:szCs w:val="24"/>
        </w:rPr>
      </w:pPr>
      <w:r w:rsidRPr="0004637C">
        <w:rPr>
          <w:rFonts w:ascii="Arial" w:hAnsi="Arial" w:cs="Arial"/>
          <w:b/>
          <w:bCs/>
          <w:sz w:val="24"/>
          <w:szCs w:val="24"/>
        </w:rPr>
        <w:t>Managers should only supply financial information to the “current” shareholders of companies</w:t>
      </w:r>
      <w:r>
        <w:rPr>
          <w:rFonts w:ascii="Arial" w:hAnsi="Arial" w:cs="Arial"/>
          <w:b/>
          <w:bCs/>
          <w:sz w:val="24"/>
          <w:szCs w:val="24"/>
        </w:rPr>
        <w:t xml:space="preserve">: </w:t>
      </w:r>
      <w:r w:rsidR="00250E37" w:rsidRPr="00250E37">
        <w:rPr>
          <w:rFonts w:ascii="Arial" w:hAnsi="Arial" w:cs="Arial"/>
          <w:sz w:val="24"/>
          <w:szCs w:val="24"/>
        </w:rPr>
        <w:t>The idea that financial information should be exclusively shared with current shareholders is a limited perspective that fails to consider the wider roles and duties involved in financial communication. In the modern corporate landscape, the responsibility of ensuring transparency and accountability in reporting extends well beyond just the existing shareholders. Public companies are required to share financial details with a diverse group of stakeholders, including prospective investors, lenders, regulatory bodies, and the broader public. This obligation is not just a legal mandate but also a crucial element of ethical corporate governance.</w:t>
      </w:r>
      <w:r w:rsidR="00250E37">
        <w:rPr>
          <w:rFonts w:ascii="Arial" w:hAnsi="Arial" w:cs="Arial"/>
          <w:sz w:val="24"/>
          <w:szCs w:val="24"/>
        </w:rPr>
        <w:t xml:space="preserve"> </w:t>
      </w:r>
      <w:r w:rsidR="00250E37" w:rsidRPr="00250E37">
        <w:rPr>
          <w:rFonts w:ascii="Arial" w:hAnsi="Arial" w:cs="Arial"/>
          <w:sz w:val="24"/>
          <w:szCs w:val="24"/>
        </w:rPr>
        <w:t>By openly providing detailed financial information, businesses build trust and establish their credibility in the marketplace. Such transparency is instrumental in helping potential investors make well-informed choices, contributing to the overall functionality and stability of financial markets. Restricting this information to only current shareholders might create a disparity in information distribution, which could unfairly affect other stakeholders and alter the market's view of the business</w:t>
      </w:r>
      <w:r w:rsidR="005C0234">
        <w:rPr>
          <w:rFonts w:ascii="Arial" w:hAnsi="Arial" w:cs="Arial"/>
          <w:sz w:val="24"/>
          <w:szCs w:val="24"/>
        </w:rPr>
        <w:t xml:space="preserve"> </w:t>
      </w:r>
      <w:r w:rsidR="007036F8">
        <w:rPr>
          <w:rFonts w:ascii="Arial" w:hAnsi="Arial" w:cs="Arial"/>
          <w:sz w:val="24"/>
          <w:szCs w:val="24"/>
        </w:rPr>
        <w:t>(Tricker</w:t>
      </w:r>
      <w:r w:rsidR="005C0234" w:rsidRPr="000C2434">
        <w:rPr>
          <w:rFonts w:ascii="Arial" w:hAnsi="Arial" w:cs="Arial"/>
          <w:sz w:val="24"/>
          <w:szCs w:val="24"/>
        </w:rPr>
        <w:t>, 2019).</w:t>
      </w:r>
    </w:p>
    <w:p w14:paraId="09F02095" w14:textId="77777777" w:rsidR="009528A1" w:rsidRDefault="009528A1" w:rsidP="009528A1">
      <w:pPr>
        <w:pStyle w:val="ListParagraph"/>
        <w:spacing w:line="360" w:lineRule="auto"/>
        <w:jc w:val="both"/>
        <w:rPr>
          <w:rFonts w:ascii="Arial" w:hAnsi="Arial" w:cs="Arial"/>
          <w:sz w:val="24"/>
          <w:szCs w:val="24"/>
        </w:rPr>
      </w:pPr>
    </w:p>
    <w:p w14:paraId="7FB6F92A" w14:textId="59DD9C57" w:rsidR="007036F8" w:rsidRDefault="0004637C" w:rsidP="00662EF9">
      <w:pPr>
        <w:pStyle w:val="ListParagraph"/>
        <w:numPr>
          <w:ilvl w:val="0"/>
          <w:numId w:val="6"/>
        </w:numPr>
        <w:spacing w:line="360" w:lineRule="auto"/>
        <w:jc w:val="both"/>
        <w:rPr>
          <w:rFonts w:ascii="Arial" w:hAnsi="Arial" w:cs="Arial"/>
          <w:sz w:val="24"/>
          <w:szCs w:val="24"/>
        </w:rPr>
      </w:pPr>
      <w:r w:rsidRPr="0004637C">
        <w:rPr>
          <w:rFonts w:ascii="Arial" w:hAnsi="Arial" w:cs="Arial"/>
          <w:b/>
          <w:bCs/>
          <w:sz w:val="24"/>
          <w:szCs w:val="24"/>
        </w:rPr>
        <w:t>No need to include prepayments and accruals on the statement of financial position:</w:t>
      </w:r>
      <w:r>
        <w:rPr>
          <w:rFonts w:ascii="Arial" w:hAnsi="Arial" w:cs="Arial"/>
          <w:sz w:val="24"/>
          <w:szCs w:val="24"/>
        </w:rPr>
        <w:t xml:space="preserve"> </w:t>
      </w:r>
      <w:r w:rsidR="00662EF9" w:rsidRPr="00662EF9">
        <w:rPr>
          <w:rFonts w:ascii="Arial" w:hAnsi="Arial" w:cs="Arial"/>
          <w:sz w:val="24"/>
          <w:szCs w:val="24"/>
        </w:rPr>
        <w:t xml:space="preserve">The idea that prepayments and accruals are not needed in the statement of financial position, or balance sheet, is at odds with essential accounting practices. This statement is integral to accurately reflecting a company’s financial condition at a particular moment, including all assets, liabilities, and equity. Central to this are prepayments, which are advance payments for future expenses or services, recognized as current assets and symbolizing resources not yet fully used. Equally important are accruals, representing either </w:t>
      </w:r>
      <w:proofErr w:type="gramStart"/>
      <w:r w:rsidR="00662EF9" w:rsidRPr="00662EF9">
        <w:rPr>
          <w:rFonts w:ascii="Arial" w:hAnsi="Arial" w:cs="Arial"/>
          <w:sz w:val="24"/>
          <w:szCs w:val="24"/>
        </w:rPr>
        <w:t>expenses</w:t>
      </w:r>
      <w:proofErr w:type="gramEnd"/>
      <w:r w:rsidR="00662EF9" w:rsidRPr="00662EF9">
        <w:rPr>
          <w:rFonts w:ascii="Arial" w:hAnsi="Arial" w:cs="Arial"/>
          <w:sz w:val="24"/>
          <w:szCs w:val="24"/>
        </w:rPr>
        <w:t xml:space="preserve"> incurred but unpaid or revenues earned but not received, and recorded as liabilities or assets. This approach is in line with </w:t>
      </w:r>
      <w:r w:rsidR="00662EF9" w:rsidRPr="00662EF9">
        <w:rPr>
          <w:rFonts w:ascii="Arial" w:hAnsi="Arial" w:cs="Arial"/>
          <w:sz w:val="24"/>
          <w:szCs w:val="24"/>
        </w:rPr>
        <w:lastRenderedPageBreak/>
        <w:t>accrual accounting, ensuring that expenses and revenues are recorded when they occur, not when cash changes hands. Ignoring prepayments and accruals can result in a misleading balance sheet, missing key information vital for a thorough evaluation of a company’s financial health and strategic decision-making</w:t>
      </w:r>
      <w:r w:rsidR="009B3E91">
        <w:rPr>
          <w:rFonts w:ascii="Arial" w:hAnsi="Arial" w:cs="Arial"/>
          <w:sz w:val="24"/>
          <w:szCs w:val="24"/>
        </w:rPr>
        <w:t xml:space="preserve"> </w:t>
      </w:r>
      <w:r w:rsidR="009B3E91" w:rsidRPr="009B3E91">
        <w:rPr>
          <w:rFonts w:ascii="Arial" w:hAnsi="Arial" w:cs="Arial"/>
          <w:sz w:val="24"/>
          <w:szCs w:val="24"/>
        </w:rPr>
        <w:t>(Harrison Jr. et al., 2020)</w:t>
      </w:r>
      <w:r w:rsidR="009B3E91">
        <w:rPr>
          <w:rFonts w:ascii="Arial" w:hAnsi="Arial" w:cs="Arial"/>
          <w:sz w:val="24"/>
          <w:szCs w:val="24"/>
        </w:rPr>
        <w:t xml:space="preserve">. </w:t>
      </w:r>
    </w:p>
    <w:p w14:paraId="214CBD3F" w14:textId="77777777" w:rsidR="009528A1" w:rsidRDefault="009528A1" w:rsidP="009528A1">
      <w:pPr>
        <w:pStyle w:val="ListParagraph"/>
        <w:spacing w:line="360" w:lineRule="auto"/>
        <w:jc w:val="both"/>
        <w:rPr>
          <w:rFonts w:ascii="Arial" w:hAnsi="Arial" w:cs="Arial"/>
          <w:sz w:val="24"/>
          <w:szCs w:val="24"/>
        </w:rPr>
      </w:pPr>
    </w:p>
    <w:p w14:paraId="5CC4CB07" w14:textId="7885FBEE" w:rsidR="00091C78" w:rsidRDefault="00930661" w:rsidP="00091C78">
      <w:pPr>
        <w:pStyle w:val="ListParagraph"/>
        <w:numPr>
          <w:ilvl w:val="0"/>
          <w:numId w:val="6"/>
        </w:numPr>
        <w:spacing w:line="360" w:lineRule="auto"/>
        <w:jc w:val="both"/>
        <w:rPr>
          <w:rFonts w:ascii="Arial" w:hAnsi="Arial" w:cs="Arial"/>
          <w:sz w:val="24"/>
          <w:szCs w:val="24"/>
        </w:rPr>
      </w:pPr>
      <w:r w:rsidRPr="00930661">
        <w:rPr>
          <w:rFonts w:ascii="Arial" w:hAnsi="Arial" w:cs="Arial"/>
          <w:b/>
          <w:bCs/>
          <w:sz w:val="24"/>
          <w:szCs w:val="24"/>
        </w:rPr>
        <w:t>No need for regulation over financial accounts:</w:t>
      </w:r>
      <w:r>
        <w:rPr>
          <w:rFonts w:ascii="Arial" w:hAnsi="Arial" w:cs="Arial"/>
          <w:sz w:val="24"/>
          <w:szCs w:val="24"/>
        </w:rPr>
        <w:t xml:space="preserve"> </w:t>
      </w:r>
      <w:r w:rsidR="00091C78" w:rsidRPr="00091C78">
        <w:rPr>
          <w:rFonts w:ascii="Arial" w:hAnsi="Arial" w:cs="Arial"/>
          <w:sz w:val="24"/>
          <w:szCs w:val="24"/>
        </w:rPr>
        <w:t xml:space="preserve">The claim that financial accounts don't require regulation fails to recognize the importance of such oversight in guaranteeing transparency, accuracy, and trustworthiness in financial reporting. Regulatory frameworks like </w:t>
      </w:r>
      <w:r w:rsidR="003E2588" w:rsidRPr="00C1551E">
        <w:rPr>
          <w:rFonts w:ascii="Arial" w:hAnsi="Arial" w:cs="Arial"/>
          <w:sz w:val="24"/>
          <w:szCs w:val="24"/>
        </w:rPr>
        <w:t>Financial Accounting Standards Board (FASB)</w:t>
      </w:r>
      <w:r w:rsidR="003E2588">
        <w:rPr>
          <w:rFonts w:ascii="Arial" w:hAnsi="Arial" w:cs="Arial"/>
          <w:sz w:val="24"/>
          <w:szCs w:val="24"/>
        </w:rPr>
        <w:t xml:space="preserve"> </w:t>
      </w:r>
      <w:r w:rsidR="00091C78" w:rsidRPr="00091C78">
        <w:rPr>
          <w:rFonts w:ascii="Arial" w:hAnsi="Arial" w:cs="Arial"/>
          <w:sz w:val="24"/>
          <w:szCs w:val="24"/>
        </w:rPr>
        <w:t>and International Financial Reporting Standards (IFRS) are crucial for standardizing financial statements, ensuring they are understandable and comparable for investors, authorities, and other interested parties. Absent these regulations, the risk of inconsistent reporting, financial deception, and misleading data increases, potentially damaging investor trust and market stability. These rules are pivotal in upholding investor confidence and ensuring the efficient operation of capital markets, especially in a global economy where business transcends national boundaries. Hence, regulatory oversight of financial accounts is indispensable for safeguarding stakeholder interests and maintaining the health of the broader financial system</w:t>
      </w:r>
      <w:r w:rsidR="003E2588">
        <w:rPr>
          <w:rFonts w:ascii="Arial" w:hAnsi="Arial" w:cs="Arial"/>
          <w:sz w:val="24"/>
          <w:szCs w:val="24"/>
        </w:rPr>
        <w:t xml:space="preserve"> (</w:t>
      </w:r>
      <w:r w:rsidR="003E2588" w:rsidRPr="00C1551E">
        <w:rPr>
          <w:rFonts w:ascii="Arial" w:hAnsi="Arial" w:cs="Arial"/>
          <w:sz w:val="24"/>
          <w:szCs w:val="24"/>
        </w:rPr>
        <w:t>FASB</w:t>
      </w:r>
      <w:r w:rsidR="003E2588">
        <w:rPr>
          <w:rFonts w:ascii="Arial" w:hAnsi="Arial" w:cs="Arial"/>
          <w:sz w:val="24"/>
          <w:szCs w:val="24"/>
        </w:rPr>
        <w:t>,</w:t>
      </w:r>
      <w:r w:rsidR="003E2588" w:rsidRPr="00C1551E">
        <w:rPr>
          <w:rFonts w:ascii="Arial" w:hAnsi="Arial" w:cs="Arial"/>
          <w:sz w:val="24"/>
          <w:szCs w:val="24"/>
        </w:rPr>
        <w:t xml:space="preserve"> 2022</w:t>
      </w:r>
      <w:r>
        <w:rPr>
          <w:rFonts w:ascii="Arial" w:hAnsi="Arial" w:cs="Arial"/>
          <w:sz w:val="24"/>
          <w:szCs w:val="24"/>
        </w:rPr>
        <w:t xml:space="preserve"> </w:t>
      </w:r>
      <w:r w:rsidR="00B60268">
        <w:rPr>
          <w:rFonts w:ascii="Arial" w:hAnsi="Arial" w:cs="Arial"/>
          <w:sz w:val="24"/>
          <w:szCs w:val="24"/>
        </w:rPr>
        <w:t>&amp;</w:t>
      </w:r>
      <w:r w:rsidR="0020722B" w:rsidRPr="0020722B">
        <w:t xml:space="preserve"> </w:t>
      </w:r>
      <w:r w:rsidR="0020722B" w:rsidRPr="0020722B">
        <w:rPr>
          <w:rFonts w:ascii="Arial" w:hAnsi="Arial" w:cs="Arial"/>
          <w:sz w:val="24"/>
          <w:szCs w:val="24"/>
        </w:rPr>
        <w:t xml:space="preserve">Napier &amp; </w:t>
      </w:r>
      <w:proofErr w:type="gramStart"/>
      <w:r w:rsidR="0020722B" w:rsidRPr="0020722B">
        <w:rPr>
          <w:rFonts w:ascii="Arial" w:hAnsi="Arial" w:cs="Arial"/>
          <w:sz w:val="24"/>
          <w:szCs w:val="24"/>
        </w:rPr>
        <w:t xml:space="preserve">Stadler, </w:t>
      </w:r>
      <w:r w:rsidRPr="00930661">
        <w:t xml:space="preserve"> </w:t>
      </w:r>
      <w:r w:rsidRPr="00930661">
        <w:rPr>
          <w:rFonts w:ascii="Arial" w:hAnsi="Arial" w:cs="Arial"/>
          <w:sz w:val="24"/>
          <w:szCs w:val="24"/>
        </w:rPr>
        <w:t>2020</w:t>
      </w:r>
      <w:proofErr w:type="gramEnd"/>
      <w:r w:rsidR="003E2588" w:rsidRPr="00C1551E">
        <w:rPr>
          <w:rFonts w:ascii="Arial" w:hAnsi="Arial" w:cs="Arial"/>
          <w:sz w:val="24"/>
          <w:szCs w:val="24"/>
        </w:rPr>
        <w:t>).</w:t>
      </w:r>
    </w:p>
    <w:p w14:paraId="0ECAF1FB" w14:textId="77777777" w:rsidR="009528A1" w:rsidRDefault="009528A1" w:rsidP="009528A1">
      <w:pPr>
        <w:pStyle w:val="ListParagraph"/>
        <w:spacing w:line="360" w:lineRule="auto"/>
        <w:jc w:val="both"/>
        <w:rPr>
          <w:rFonts w:ascii="Arial" w:hAnsi="Arial" w:cs="Arial"/>
          <w:sz w:val="24"/>
          <w:szCs w:val="24"/>
        </w:rPr>
      </w:pPr>
    </w:p>
    <w:p w14:paraId="78B68B76" w14:textId="49E3BC02" w:rsidR="00930661" w:rsidRPr="00930661" w:rsidRDefault="00930661" w:rsidP="00930661">
      <w:pPr>
        <w:pStyle w:val="ListParagraph"/>
        <w:numPr>
          <w:ilvl w:val="0"/>
          <w:numId w:val="6"/>
        </w:numPr>
        <w:spacing w:line="360" w:lineRule="auto"/>
        <w:jc w:val="both"/>
        <w:rPr>
          <w:rFonts w:ascii="Arial" w:hAnsi="Arial" w:cs="Arial"/>
          <w:b/>
          <w:bCs/>
          <w:sz w:val="24"/>
          <w:szCs w:val="24"/>
        </w:rPr>
      </w:pPr>
      <w:r w:rsidRPr="00930661">
        <w:rPr>
          <w:rFonts w:ascii="Arial" w:hAnsi="Arial" w:cs="Arial"/>
          <w:b/>
          <w:bCs/>
          <w:sz w:val="24"/>
          <w:szCs w:val="24"/>
        </w:rPr>
        <w:t>It is important to balance ledger (T) accounts and trial balance before preparing financial statements</w:t>
      </w:r>
      <w:r>
        <w:rPr>
          <w:rFonts w:ascii="Arial" w:hAnsi="Arial" w:cs="Arial"/>
          <w:b/>
          <w:bCs/>
          <w:sz w:val="24"/>
          <w:szCs w:val="24"/>
        </w:rPr>
        <w:t xml:space="preserve">: </w:t>
      </w:r>
      <w:r w:rsidRPr="00930661">
        <w:rPr>
          <w:rFonts w:ascii="Arial" w:hAnsi="Arial" w:cs="Arial"/>
          <w:sz w:val="24"/>
          <w:szCs w:val="24"/>
        </w:rPr>
        <w:t xml:space="preserve">The assertion validating the accuracy of balancing ledger accounts and preparing a trial balance is indeed accurate. These procedures are integral components of the accounting process. Balancing ledger accounts is crucial to ensure that debits match credits within individual accounts, preserving precision at a detailed level. Simultaneously, the trial balance acts as a foundational verification, confirming that the total debits equal the total credits throughout the entire accounting system. This thorough reconciliation is imperative before progressing to the generation of financial statements, serving as a protective measure to detect errors and uphold accuracy in recording financial transactions. This approach contributes to the dependability and honesty of financial reporting by mitigating the risk of </w:t>
      </w:r>
      <w:r w:rsidRPr="00930661">
        <w:rPr>
          <w:rFonts w:ascii="Arial" w:hAnsi="Arial" w:cs="Arial"/>
          <w:sz w:val="24"/>
          <w:szCs w:val="24"/>
        </w:rPr>
        <w:lastRenderedPageBreak/>
        <w:t>significant misstatements Essentially, the processes of balancing ledger accounts and preparing a trial balance are crucial for establishing a robust and accurate accounting framework</w:t>
      </w:r>
      <w:r w:rsidR="00EE5FC9" w:rsidRPr="00EE5FC9">
        <w:t xml:space="preserve"> </w:t>
      </w:r>
      <w:r w:rsidR="00EE5FC9" w:rsidRPr="00EE5FC9">
        <w:rPr>
          <w:rFonts w:ascii="Arial" w:hAnsi="Arial" w:cs="Arial"/>
          <w:sz w:val="24"/>
          <w:szCs w:val="24"/>
        </w:rPr>
        <w:t>(</w:t>
      </w:r>
      <w:proofErr w:type="spellStart"/>
      <w:r w:rsidR="00EE5FC9" w:rsidRPr="00EE5FC9">
        <w:rPr>
          <w:rFonts w:ascii="Arial" w:hAnsi="Arial" w:cs="Arial"/>
          <w:sz w:val="24"/>
          <w:szCs w:val="24"/>
        </w:rPr>
        <w:t>Kucic</w:t>
      </w:r>
      <w:proofErr w:type="spellEnd"/>
      <w:r w:rsidR="00EE5FC9" w:rsidRPr="00EE5FC9">
        <w:rPr>
          <w:rFonts w:ascii="Arial" w:hAnsi="Arial" w:cs="Arial"/>
          <w:sz w:val="24"/>
          <w:szCs w:val="24"/>
        </w:rPr>
        <w:t xml:space="preserve"> &amp; Battaglia, 1981)</w:t>
      </w:r>
      <w:r w:rsidR="00EE5FC9">
        <w:rPr>
          <w:rFonts w:ascii="Arial" w:hAnsi="Arial" w:cs="Arial"/>
          <w:sz w:val="24"/>
          <w:szCs w:val="24"/>
        </w:rPr>
        <w:t xml:space="preserve">. </w:t>
      </w:r>
      <w:r w:rsidRPr="00930661">
        <w:rPr>
          <w:rFonts w:ascii="Arial" w:hAnsi="Arial" w:cs="Arial"/>
          <w:sz w:val="24"/>
          <w:szCs w:val="24"/>
        </w:rPr>
        <w:t xml:space="preserve"> </w:t>
      </w:r>
    </w:p>
    <w:p w14:paraId="7478AA10" w14:textId="2F96EFB8" w:rsidR="00930661" w:rsidRDefault="00930661" w:rsidP="00930661">
      <w:pPr>
        <w:pStyle w:val="ListParagraph"/>
        <w:spacing w:line="360" w:lineRule="auto"/>
        <w:jc w:val="both"/>
        <w:rPr>
          <w:rFonts w:ascii="Arial" w:hAnsi="Arial" w:cs="Arial"/>
          <w:sz w:val="24"/>
          <w:szCs w:val="24"/>
        </w:rPr>
      </w:pPr>
    </w:p>
    <w:p w14:paraId="16686786" w14:textId="2A70DD82" w:rsidR="006F5072" w:rsidRPr="00C277C8" w:rsidRDefault="006F5072" w:rsidP="009528A1">
      <w:pPr>
        <w:pStyle w:val="Heading1"/>
        <w:rPr>
          <w:rFonts w:ascii="Arial" w:hAnsi="Arial" w:cs="Arial"/>
          <w:b/>
          <w:bCs/>
        </w:rPr>
      </w:pPr>
      <w:bookmarkStart w:id="2" w:name="_Toc153779003"/>
      <w:r w:rsidRPr="00C277C8">
        <w:rPr>
          <w:rFonts w:ascii="Arial" w:hAnsi="Arial" w:cs="Arial"/>
          <w:b/>
          <w:bCs/>
        </w:rPr>
        <w:t>Question 2</w:t>
      </w:r>
      <w:bookmarkEnd w:id="2"/>
      <w:r w:rsidRPr="00C277C8">
        <w:rPr>
          <w:rFonts w:ascii="Arial" w:hAnsi="Arial" w:cs="Arial"/>
          <w:b/>
          <w:bCs/>
        </w:rPr>
        <w:t xml:space="preserve"> </w:t>
      </w:r>
    </w:p>
    <w:p w14:paraId="1C988A87" w14:textId="59022E55" w:rsidR="008970FB" w:rsidRDefault="008970FB" w:rsidP="00930661">
      <w:pPr>
        <w:pStyle w:val="ListParagraph"/>
        <w:spacing w:line="360" w:lineRule="auto"/>
        <w:jc w:val="both"/>
        <w:rPr>
          <w:rFonts w:ascii="Arial" w:hAnsi="Arial" w:cs="Arial"/>
          <w:b/>
          <w:bCs/>
          <w:sz w:val="24"/>
          <w:szCs w:val="24"/>
        </w:rPr>
      </w:pPr>
      <w:r w:rsidRPr="00254788">
        <w:rPr>
          <w:rFonts w:ascii="Arial" w:hAnsi="Arial" w:cs="Arial"/>
          <w:b/>
          <w:bCs/>
          <w:sz w:val="24"/>
          <w:szCs w:val="24"/>
        </w:rPr>
        <w:t>Income state</w:t>
      </w:r>
      <w:r w:rsidR="00254788" w:rsidRPr="00254788">
        <w:rPr>
          <w:rFonts w:ascii="Arial" w:hAnsi="Arial" w:cs="Arial"/>
          <w:b/>
          <w:bCs/>
          <w:sz w:val="24"/>
          <w:szCs w:val="24"/>
        </w:rPr>
        <w:t xml:space="preserve">ment </w:t>
      </w:r>
    </w:p>
    <w:p w14:paraId="23C18F13" w14:textId="77777777" w:rsidR="00254788" w:rsidRPr="00254788" w:rsidRDefault="00254788" w:rsidP="00254788">
      <w:pPr>
        <w:pStyle w:val="ListParagraph"/>
        <w:spacing w:line="360" w:lineRule="auto"/>
        <w:jc w:val="both"/>
        <w:rPr>
          <w:rFonts w:ascii="Arial" w:hAnsi="Arial" w:cs="Arial"/>
          <w:sz w:val="24"/>
          <w:szCs w:val="24"/>
        </w:rPr>
      </w:pPr>
    </w:p>
    <w:p w14:paraId="7775DC28" w14:textId="2223A0BF" w:rsidR="00A83DA2" w:rsidRDefault="00254788" w:rsidP="004455E0">
      <w:pPr>
        <w:pStyle w:val="ListParagraph"/>
        <w:spacing w:line="360" w:lineRule="auto"/>
        <w:jc w:val="both"/>
        <w:rPr>
          <w:rFonts w:ascii="Arial" w:hAnsi="Arial" w:cs="Arial"/>
          <w:sz w:val="24"/>
          <w:szCs w:val="24"/>
        </w:rPr>
      </w:pPr>
      <w:r w:rsidRPr="00254788">
        <w:rPr>
          <w:rFonts w:ascii="Arial" w:hAnsi="Arial" w:cs="Arial"/>
          <w:sz w:val="24"/>
          <w:szCs w:val="24"/>
        </w:rPr>
        <w:t>The income statement, or profit and loss statement, is a crucial financial document that records a company's financial performance over a designated period. This report specifies the company's total revenue and delineates the expenses incurred to generate this revenue, culminating in the net income calculation. Often referred to as the statement of operations or earnings, this document is indispensable for analysts assessing a company's profitability, a fundamental aspect in both equity and credit analysis. Typically presented either independently or within a comprehensive income statement, it starts with the profit or loss figure and incorporates other comprehensive income components</w:t>
      </w:r>
      <w:r w:rsidR="00A83DA2">
        <w:rPr>
          <w:rFonts w:ascii="Arial" w:hAnsi="Arial" w:cs="Arial"/>
          <w:sz w:val="24"/>
          <w:szCs w:val="24"/>
        </w:rPr>
        <w:t xml:space="preserve"> (</w:t>
      </w:r>
      <w:proofErr w:type="spellStart"/>
      <w:r w:rsidR="00A83DA2" w:rsidRPr="00B34CB7">
        <w:rPr>
          <w:rFonts w:ascii="Arial" w:hAnsi="Arial" w:cs="Arial"/>
          <w:sz w:val="24"/>
          <w:szCs w:val="24"/>
        </w:rPr>
        <w:t>Atrill</w:t>
      </w:r>
      <w:proofErr w:type="spellEnd"/>
      <w:r w:rsidR="00A83DA2" w:rsidRPr="00B34CB7">
        <w:rPr>
          <w:rFonts w:ascii="Arial" w:hAnsi="Arial" w:cs="Arial"/>
          <w:sz w:val="24"/>
          <w:szCs w:val="24"/>
        </w:rPr>
        <w:t>, Peter, et al.</w:t>
      </w:r>
      <w:r w:rsidR="00A83DA2">
        <w:rPr>
          <w:rFonts w:ascii="Arial" w:hAnsi="Arial" w:cs="Arial"/>
          <w:sz w:val="24"/>
          <w:szCs w:val="24"/>
        </w:rPr>
        <w:t xml:space="preserve">, </w:t>
      </w:r>
      <w:r w:rsidR="00A83DA2" w:rsidRPr="00B34CB7">
        <w:rPr>
          <w:rFonts w:ascii="Arial" w:hAnsi="Arial" w:cs="Arial"/>
          <w:sz w:val="24"/>
          <w:szCs w:val="24"/>
        </w:rPr>
        <w:t>2018</w:t>
      </w:r>
      <w:r w:rsidR="00A83DA2">
        <w:rPr>
          <w:rFonts w:ascii="Arial" w:hAnsi="Arial" w:cs="Arial"/>
          <w:sz w:val="24"/>
          <w:szCs w:val="24"/>
        </w:rPr>
        <w:t xml:space="preserve">). </w:t>
      </w:r>
    </w:p>
    <w:p w14:paraId="5DE240C0" w14:textId="77777777" w:rsidR="004455E0" w:rsidRPr="004455E0" w:rsidRDefault="004455E0" w:rsidP="004455E0">
      <w:pPr>
        <w:pStyle w:val="ListParagraph"/>
        <w:spacing w:line="360" w:lineRule="auto"/>
        <w:jc w:val="both"/>
        <w:rPr>
          <w:rFonts w:ascii="Arial" w:hAnsi="Arial" w:cs="Arial"/>
          <w:sz w:val="24"/>
          <w:szCs w:val="24"/>
        </w:rPr>
      </w:pPr>
    </w:p>
    <w:p w14:paraId="4BDAFC83" w14:textId="77777777" w:rsidR="004455E0" w:rsidRPr="004455E0" w:rsidRDefault="004455E0" w:rsidP="004455E0">
      <w:pPr>
        <w:pStyle w:val="ListParagraph"/>
        <w:spacing w:line="360" w:lineRule="auto"/>
        <w:jc w:val="both"/>
        <w:rPr>
          <w:rFonts w:ascii="Arial" w:hAnsi="Arial" w:cs="Arial"/>
          <w:sz w:val="24"/>
          <w:szCs w:val="24"/>
        </w:rPr>
      </w:pPr>
    </w:p>
    <w:p w14:paraId="452FAF15" w14:textId="11516EA5" w:rsidR="004477F1" w:rsidRPr="004477F1" w:rsidRDefault="004477F1" w:rsidP="004477F1">
      <w:pPr>
        <w:spacing w:after="0" w:line="240" w:lineRule="auto"/>
        <w:jc w:val="center"/>
        <w:rPr>
          <w:rFonts w:ascii="Times New Roman" w:eastAsia="Times New Roman" w:hAnsi="Times New Roman" w:cs="Times New Roman"/>
          <w:b/>
          <w:sz w:val="32"/>
          <w:szCs w:val="32"/>
          <w:u w:val="single"/>
          <w:lang w:eastAsia="en-GB"/>
        </w:rPr>
      </w:pPr>
      <w:r>
        <w:rPr>
          <w:rFonts w:ascii="Times New Roman" w:eastAsia="Times New Roman" w:hAnsi="Times New Roman" w:cs="Times New Roman"/>
          <w:b/>
          <w:sz w:val="32"/>
          <w:szCs w:val="32"/>
          <w:u w:val="single"/>
          <w:lang w:eastAsia="en-GB"/>
        </w:rPr>
        <w:t>I</w:t>
      </w:r>
      <w:r w:rsidRPr="004477F1">
        <w:rPr>
          <w:rFonts w:ascii="Times New Roman" w:eastAsia="Times New Roman" w:hAnsi="Times New Roman" w:cs="Times New Roman"/>
          <w:b/>
          <w:sz w:val="32"/>
          <w:szCs w:val="32"/>
          <w:u w:val="single"/>
          <w:lang w:eastAsia="en-GB"/>
        </w:rPr>
        <w:t xml:space="preserve">NCOME STATEMENT FOR THE YEAR ENDED </w:t>
      </w:r>
      <w:r>
        <w:rPr>
          <w:rFonts w:ascii="Times New Roman" w:eastAsia="Times New Roman" w:hAnsi="Times New Roman" w:cs="Times New Roman"/>
          <w:b/>
          <w:sz w:val="32"/>
          <w:szCs w:val="32"/>
          <w:u w:val="single"/>
          <w:lang w:eastAsia="en-GB"/>
        </w:rPr>
        <w:t xml:space="preserve">2021 </w:t>
      </w:r>
    </w:p>
    <w:p w14:paraId="515C85E1" w14:textId="77777777" w:rsidR="004477F1" w:rsidRPr="004477F1" w:rsidRDefault="004477F1" w:rsidP="004477F1">
      <w:pPr>
        <w:spacing w:after="0" w:line="240" w:lineRule="auto"/>
        <w:jc w:val="center"/>
        <w:rPr>
          <w:rFonts w:ascii="Times New Roman" w:eastAsia="Times New Roman" w:hAnsi="Times New Roman" w:cs="Times New Roman"/>
          <w:b/>
          <w:sz w:val="32"/>
          <w:szCs w:val="32"/>
          <w:u w:val="single"/>
          <w:lang w:eastAsia="en-GB"/>
        </w:rPr>
      </w:pPr>
    </w:p>
    <w:p w14:paraId="6588ECFE" w14:textId="7C8E9926" w:rsidR="004477F1" w:rsidRPr="004477F1" w:rsidRDefault="00821B7E" w:rsidP="004477F1">
      <w:pPr>
        <w:spacing w:after="0" w:line="240" w:lineRule="auto"/>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 Wales Plc                      </w:t>
      </w:r>
    </w:p>
    <w:tbl>
      <w:tblPr>
        <w:tblW w:w="0" w:type="auto"/>
        <w:tblLook w:val="01E0" w:firstRow="1" w:lastRow="1" w:firstColumn="1" w:lastColumn="1" w:noHBand="0" w:noVBand="0"/>
      </w:tblPr>
      <w:tblGrid>
        <w:gridCol w:w="6672"/>
        <w:gridCol w:w="1729"/>
      </w:tblGrid>
      <w:tr w:rsidR="004477F1" w:rsidRPr="004477F1" w14:paraId="3D48D4AD" w14:textId="77777777" w:rsidTr="00C52D72">
        <w:trPr>
          <w:trHeight w:val="343"/>
        </w:trPr>
        <w:tc>
          <w:tcPr>
            <w:tcW w:w="6672" w:type="dxa"/>
          </w:tcPr>
          <w:p w14:paraId="50F8A776" w14:textId="77777777" w:rsidR="004477F1" w:rsidRPr="004477F1" w:rsidRDefault="004477F1" w:rsidP="004477F1">
            <w:pPr>
              <w:spacing w:after="0" w:line="240" w:lineRule="auto"/>
              <w:rPr>
                <w:rFonts w:ascii="Times New Roman" w:eastAsia="Times New Roman" w:hAnsi="Times New Roman" w:cs="Times New Roman"/>
                <w:sz w:val="32"/>
                <w:szCs w:val="32"/>
                <w:lang w:eastAsia="en-GB"/>
              </w:rPr>
            </w:pPr>
          </w:p>
        </w:tc>
        <w:tc>
          <w:tcPr>
            <w:tcW w:w="1729" w:type="dxa"/>
            <w:hideMark/>
          </w:tcPr>
          <w:p w14:paraId="6E3D35E0" w14:textId="446C0BCA" w:rsidR="004477F1" w:rsidRPr="004477F1" w:rsidRDefault="004477F1" w:rsidP="004477F1">
            <w:pPr>
              <w:spacing w:after="0" w:line="240" w:lineRule="auto"/>
              <w:jc w:val="center"/>
              <w:rPr>
                <w:rFonts w:ascii="Times New Roman" w:eastAsia="Times New Roman" w:hAnsi="Times New Roman" w:cs="Times New Roman"/>
                <w:sz w:val="32"/>
                <w:szCs w:val="32"/>
                <w:lang w:eastAsia="en-GB"/>
              </w:rPr>
            </w:pPr>
            <w:r w:rsidRPr="004477F1">
              <w:rPr>
                <w:rFonts w:ascii="Times New Roman" w:eastAsia="Times New Roman" w:hAnsi="Times New Roman" w:cs="Times New Roman"/>
                <w:sz w:val="32"/>
                <w:szCs w:val="32"/>
                <w:lang w:eastAsia="en-GB"/>
              </w:rPr>
              <w:t>£</w:t>
            </w:r>
          </w:p>
        </w:tc>
      </w:tr>
      <w:tr w:rsidR="004477F1" w:rsidRPr="004477F1" w14:paraId="37B8280F" w14:textId="77777777" w:rsidTr="00C52D72">
        <w:trPr>
          <w:trHeight w:val="380"/>
        </w:trPr>
        <w:tc>
          <w:tcPr>
            <w:tcW w:w="6672" w:type="dxa"/>
            <w:hideMark/>
          </w:tcPr>
          <w:p w14:paraId="12E59B87" w14:textId="5372E95D" w:rsidR="000E0941" w:rsidRPr="00A10B1B" w:rsidRDefault="004477F1" w:rsidP="00A10B1B">
            <w:pPr>
              <w:spacing w:after="0" w:line="360" w:lineRule="auto"/>
              <w:rPr>
                <w:rFonts w:ascii="Arial" w:eastAsia="Times New Roman" w:hAnsi="Arial" w:cs="Arial"/>
                <w:b/>
                <w:bCs/>
                <w:sz w:val="24"/>
                <w:szCs w:val="24"/>
                <w:lang w:eastAsia="en-GB"/>
              </w:rPr>
            </w:pPr>
            <w:r w:rsidRPr="004477F1">
              <w:rPr>
                <w:rFonts w:ascii="Arial" w:eastAsia="Times New Roman" w:hAnsi="Arial" w:cs="Arial"/>
                <w:b/>
                <w:bCs/>
                <w:sz w:val="24"/>
                <w:szCs w:val="24"/>
                <w:lang w:eastAsia="en-GB"/>
              </w:rPr>
              <w:t xml:space="preserve">Revenue </w:t>
            </w:r>
            <w:r w:rsidR="000E0941" w:rsidRPr="00A10B1B">
              <w:rPr>
                <w:rFonts w:ascii="Arial" w:eastAsia="Times New Roman" w:hAnsi="Arial" w:cs="Arial"/>
                <w:sz w:val="24"/>
                <w:szCs w:val="24"/>
                <w:lang w:eastAsia="en-GB"/>
              </w:rPr>
              <w:t xml:space="preserve">                                                                                                                                                                                                                                      </w:t>
            </w:r>
          </w:p>
          <w:p w14:paraId="2E13C5E5" w14:textId="77777777" w:rsidR="00CB5018" w:rsidRPr="004477F1" w:rsidRDefault="00CB5018" w:rsidP="00A10B1B">
            <w:pPr>
              <w:spacing w:after="0" w:line="360" w:lineRule="auto"/>
              <w:rPr>
                <w:rFonts w:ascii="Arial" w:eastAsia="Times New Roman" w:hAnsi="Arial" w:cs="Arial"/>
                <w:sz w:val="24"/>
                <w:szCs w:val="24"/>
                <w:lang w:eastAsia="en-GB"/>
              </w:rPr>
            </w:pPr>
          </w:p>
        </w:tc>
        <w:tc>
          <w:tcPr>
            <w:tcW w:w="1729" w:type="dxa"/>
            <w:hideMark/>
          </w:tcPr>
          <w:p w14:paraId="479B9BE3" w14:textId="36570BCA" w:rsidR="004477F1" w:rsidRPr="004477F1" w:rsidRDefault="004477F1" w:rsidP="00A10B1B">
            <w:pPr>
              <w:spacing w:after="0" w:line="360" w:lineRule="auto"/>
              <w:jc w:val="center"/>
              <w:rPr>
                <w:rFonts w:ascii="Arial" w:eastAsia="Times New Roman" w:hAnsi="Arial" w:cs="Arial"/>
                <w:sz w:val="24"/>
                <w:szCs w:val="24"/>
                <w:lang w:eastAsia="en-GB"/>
              </w:rPr>
            </w:pPr>
          </w:p>
        </w:tc>
      </w:tr>
      <w:tr w:rsidR="000E0941" w:rsidRPr="00A10B1B" w14:paraId="139DB3BC" w14:textId="77777777" w:rsidTr="00C52D72">
        <w:trPr>
          <w:trHeight w:val="390"/>
        </w:trPr>
        <w:tc>
          <w:tcPr>
            <w:tcW w:w="6672" w:type="dxa"/>
          </w:tcPr>
          <w:p w14:paraId="17E9B833" w14:textId="6F16C4E8" w:rsidR="000E0941" w:rsidRPr="00A10B1B" w:rsidRDefault="000E0941" w:rsidP="00A10B1B">
            <w:pPr>
              <w:spacing w:after="0" w:line="360" w:lineRule="auto"/>
              <w:rPr>
                <w:rFonts w:ascii="Arial" w:eastAsia="Times New Roman" w:hAnsi="Arial" w:cs="Arial"/>
                <w:sz w:val="24"/>
                <w:szCs w:val="24"/>
                <w:lang w:eastAsia="en-GB"/>
              </w:rPr>
            </w:pPr>
            <w:r w:rsidRPr="00A10B1B">
              <w:rPr>
                <w:rFonts w:ascii="Arial" w:eastAsia="Times New Roman" w:hAnsi="Arial" w:cs="Arial"/>
                <w:sz w:val="24"/>
                <w:szCs w:val="24"/>
                <w:lang w:eastAsia="en-GB"/>
              </w:rPr>
              <w:t xml:space="preserve">Sales                                                                            </w:t>
            </w:r>
          </w:p>
        </w:tc>
        <w:tc>
          <w:tcPr>
            <w:tcW w:w="1729" w:type="dxa"/>
          </w:tcPr>
          <w:p w14:paraId="7C4C3BC3" w14:textId="236BA58F" w:rsidR="000E0941" w:rsidRPr="00A10B1B" w:rsidRDefault="000E0941"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901,000</w:t>
            </w:r>
          </w:p>
        </w:tc>
      </w:tr>
      <w:tr w:rsidR="004477F1" w:rsidRPr="004477F1" w14:paraId="68971FEE" w14:textId="77777777" w:rsidTr="00C52D72">
        <w:trPr>
          <w:trHeight w:val="380"/>
        </w:trPr>
        <w:tc>
          <w:tcPr>
            <w:tcW w:w="6672" w:type="dxa"/>
            <w:hideMark/>
          </w:tcPr>
          <w:p w14:paraId="2EE5A410" w14:textId="77777777" w:rsidR="004477F1" w:rsidRPr="004477F1" w:rsidRDefault="004477F1" w:rsidP="00A10B1B">
            <w:pPr>
              <w:spacing w:after="0" w:line="360" w:lineRule="auto"/>
              <w:rPr>
                <w:rFonts w:ascii="Arial" w:eastAsia="Times New Roman" w:hAnsi="Arial" w:cs="Arial"/>
                <w:b/>
                <w:bCs/>
                <w:sz w:val="24"/>
                <w:szCs w:val="24"/>
                <w:lang w:eastAsia="en-GB"/>
              </w:rPr>
            </w:pPr>
            <w:r w:rsidRPr="004477F1">
              <w:rPr>
                <w:rFonts w:ascii="Arial" w:eastAsia="Times New Roman" w:hAnsi="Arial" w:cs="Arial"/>
                <w:b/>
                <w:bCs/>
                <w:sz w:val="24"/>
                <w:szCs w:val="24"/>
                <w:lang w:eastAsia="en-GB"/>
              </w:rPr>
              <w:t>Cost of sales</w:t>
            </w:r>
          </w:p>
        </w:tc>
        <w:tc>
          <w:tcPr>
            <w:tcW w:w="1729" w:type="dxa"/>
            <w:hideMark/>
          </w:tcPr>
          <w:p w14:paraId="3AD3C0C5" w14:textId="0277C1AA" w:rsidR="004477F1" w:rsidRPr="004477F1" w:rsidRDefault="004477F1" w:rsidP="00A10B1B">
            <w:pPr>
              <w:spacing w:after="0" w:line="360" w:lineRule="auto"/>
              <w:jc w:val="center"/>
              <w:rPr>
                <w:rFonts w:ascii="Arial" w:eastAsia="Times New Roman" w:hAnsi="Arial" w:cs="Arial"/>
                <w:sz w:val="24"/>
                <w:szCs w:val="24"/>
                <w:u w:val="single"/>
                <w:lang w:eastAsia="en-GB"/>
              </w:rPr>
            </w:pPr>
          </w:p>
        </w:tc>
      </w:tr>
      <w:tr w:rsidR="00757AD5" w:rsidRPr="00A10B1B" w14:paraId="20EEBF46" w14:textId="77777777" w:rsidTr="00C52D72">
        <w:trPr>
          <w:trHeight w:val="380"/>
        </w:trPr>
        <w:tc>
          <w:tcPr>
            <w:tcW w:w="6672" w:type="dxa"/>
          </w:tcPr>
          <w:p w14:paraId="3D264F72" w14:textId="7A2A8E14" w:rsidR="00757AD5" w:rsidRPr="00A10B1B" w:rsidRDefault="00757AD5" w:rsidP="00A10B1B">
            <w:pPr>
              <w:spacing w:after="0" w:line="360" w:lineRule="auto"/>
              <w:rPr>
                <w:rFonts w:ascii="Arial" w:eastAsia="Times New Roman" w:hAnsi="Arial" w:cs="Arial"/>
                <w:sz w:val="24"/>
                <w:szCs w:val="24"/>
                <w:lang w:eastAsia="en-GB"/>
              </w:rPr>
            </w:pPr>
            <w:r w:rsidRPr="00A10B1B">
              <w:rPr>
                <w:rFonts w:ascii="Arial" w:eastAsia="Times New Roman" w:hAnsi="Arial" w:cs="Arial"/>
                <w:sz w:val="24"/>
                <w:szCs w:val="24"/>
                <w:lang w:eastAsia="en-GB"/>
              </w:rPr>
              <w:t xml:space="preserve">Original cost of sales </w:t>
            </w:r>
          </w:p>
        </w:tc>
        <w:tc>
          <w:tcPr>
            <w:tcW w:w="1729" w:type="dxa"/>
          </w:tcPr>
          <w:p w14:paraId="01C29585" w14:textId="7C7BC214" w:rsidR="00757AD5" w:rsidRPr="00A10B1B" w:rsidRDefault="00B2520B"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(578,650)</w:t>
            </w:r>
          </w:p>
        </w:tc>
      </w:tr>
      <w:tr w:rsidR="00757AD5" w:rsidRPr="00A10B1B" w14:paraId="2D3C93E3" w14:textId="77777777" w:rsidTr="00C52D72">
        <w:trPr>
          <w:trHeight w:val="390"/>
        </w:trPr>
        <w:tc>
          <w:tcPr>
            <w:tcW w:w="6672" w:type="dxa"/>
          </w:tcPr>
          <w:p w14:paraId="3D0C129F" w14:textId="559626A9" w:rsidR="00757AD5" w:rsidRPr="00A10B1B" w:rsidRDefault="00B2520B" w:rsidP="00A10B1B">
            <w:pPr>
              <w:spacing w:after="0" w:line="360" w:lineRule="auto"/>
              <w:rPr>
                <w:rFonts w:ascii="Arial" w:eastAsia="Times New Roman" w:hAnsi="Arial" w:cs="Arial"/>
                <w:sz w:val="24"/>
                <w:szCs w:val="24"/>
                <w:lang w:eastAsia="en-GB"/>
              </w:rPr>
            </w:pPr>
            <w:r w:rsidRPr="00A10B1B">
              <w:rPr>
                <w:rFonts w:ascii="Arial" w:eastAsia="Times New Roman" w:hAnsi="Arial" w:cs="Arial"/>
                <w:sz w:val="24"/>
                <w:szCs w:val="24"/>
                <w:lang w:eastAsia="en-GB"/>
              </w:rPr>
              <w:t>Depre</w:t>
            </w:r>
            <w:r w:rsidR="00274B88" w:rsidRPr="00A10B1B">
              <w:rPr>
                <w:rFonts w:ascii="Arial" w:eastAsia="Times New Roman" w:hAnsi="Arial" w:cs="Arial"/>
                <w:sz w:val="24"/>
                <w:szCs w:val="24"/>
                <w:lang w:eastAsia="en-GB"/>
              </w:rPr>
              <w:t>ciation on Equipment</w:t>
            </w:r>
          </w:p>
        </w:tc>
        <w:tc>
          <w:tcPr>
            <w:tcW w:w="1729" w:type="dxa"/>
          </w:tcPr>
          <w:p w14:paraId="13332C71" w14:textId="0269A83F" w:rsidR="00757AD5" w:rsidRPr="00A10B1B" w:rsidRDefault="00274B88"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(65,000)</w:t>
            </w:r>
          </w:p>
        </w:tc>
      </w:tr>
      <w:tr w:rsidR="00274B88" w:rsidRPr="00A10B1B" w14:paraId="7E518918" w14:textId="77777777" w:rsidTr="00C52D72">
        <w:trPr>
          <w:trHeight w:val="380"/>
        </w:trPr>
        <w:tc>
          <w:tcPr>
            <w:tcW w:w="6672" w:type="dxa"/>
          </w:tcPr>
          <w:p w14:paraId="60C55067" w14:textId="0A56ED58" w:rsidR="00274B88" w:rsidRPr="00A10B1B" w:rsidRDefault="00274B88" w:rsidP="00A10B1B">
            <w:pPr>
              <w:spacing w:after="0" w:line="360" w:lineRule="auto"/>
              <w:rPr>
                <w:rFonts w:ascii="Arial" w:eastAsia="Times New Roman" w:hAnsi="Arial" w:cs="Arial"/>
                <w:b/>
                <w:bCs/>
                <w:sz w:val="24"/>
                <w:szCs w:val="24"/>
                <w:lang w:eastAsia="en-GB"/>
              </w:rPr>
            </w:pPr>
            <w:r w:rsidRPr="00A10B1B">
              <w:rPr>
                <w:rFonts w:ascii="Arial" w:eastAsia="Times New Roman" w:hAnsi="Arial" w:cs="Arial"/>
                <w:b/>
                <w:bCs/>
                <w:sz w:val="24"/>
                <w:szCs w:val="24"/>
                <w:lang w:eastAsia="en-GB"/>
              </w:rPr>
              <w:t xml:space="preserve">Total Cost of sales </w:t>
            </w:r>
          </w:p>
        </w:tc>
        <w:tc>
          <w:tcPr>
            <w:tcW w:w="1729" w:type="dxa"/>
          </w:tcPr>
          <w:p w14:paraId="0CAA5A29" w14:textId="5BFAC787" w:rsidR="00274B88" w:rsidRPr="00A10B1B" w:rsidRDefault="00376A10"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(643,650)</w:t>
            </w:r>
          </w:p>
        </w:tc>
      </w:tr>
      <w:tr w:rsidR="004477F1" w:rsidRPr="004477F1" w14:paraId="4B784A0D" w14:textId="77777777" w:rsidTr="00C52D72">
        <w:trPr>
          <w:trHeight w:val="390"/>
        </w:trPr>
        <w:tc>
          <w:tcPr>
            <w:tcW w:w="6672" w:type="dxa"/>
            <w:hideMark/>
          </w:tcPr>
          <w:p w14:paraId="08B0C98D" w14:textId="77777777" w:rsidR="004477F1" w:rsidRPr="004477F1" w:rsidRDefault="004477F1" w:rsidP="00A10B1B">
            <w:pPr>
              <w:spacing w:after="0" w:line="360" w:lineRule="auto"/>
              <w:rPr>
                <w:rFonts w:ascii="Arial" w:eastAsia="Times New Roman" w:hAnsi="Arial" w:cs="Arial"/>
                <w:b/>
                <w:bCs/>
                <w:sz w:val="24"/>
                <w:szCs w:val="24"/>
                <w:lang w:eastAsia="en-GB"/>
              </w:rPr>
            </w:pPr>
            <w:r w:rsidRPr="004477F1">
              <w:rPr>
                <w:rFonts w:ascii="Arial" w:eastAsia="Times New Roman" w:hAnsi="Arial" w:cs="Arial"/>
                <w:b/>
                <w:bCs/>
                <w:sz w:val="24"/>
                <w:szCs w:val="24"/>
                <w:lang w:eastAsia="en-GB"/>
              </w:rPr>
              <w:t>Gross profit</w:t>
            </w:r>
          </w:p>
        </w:tc>
        <w:tc>
          <w:tcPr>
            <w:tcW w:w="1729" w:type="dxa"/>
            <w:hideMark/>
          </w:tcPr>
          <w:p w14:paraId="0130E2C5" w14:textId="7186B78E" w:rsidR="004477F1" w:rsidRPr="004477F1" w:rsidRDefault="00297B49"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257,350</w:t>
            </w:r>
          </w:p>
        </w:tc>
      </w:tr>
      <w:tr w:rsidR="004477F1" w:rsidRPr="004477F1" w14:paraId="3C6AA6B2" w14:textId="77777777" w:rsidTr="00C52D72">
        <w:trPr>
          <w:trHeight w:val="380"/>
        </w:trPr>
        <w:tc>
          <w:tcPr>
            <w:tcW w:w="6672" w:type="dxa"/>
          </w:tcPr>
          <w:p w14:paraId="60BDAE30" w14:textId="0115DD32" w:rsidR="004477F1" w:rsidRPr="004477F1" w:rsidRDefault="00C80922" w:rsidP="00A10B1B">
            <w:pPr>
              <w:spacing w:after="0" w:line="360" w:lineRule="auto"/>
              <w:rPr>
                <w:rFonts w:ascii="Arial" w:eastAsia="Times New Roman" w:hAnsi="Arial" w:cs="Arial"/>
                <w:b/>
                <w:bCs/>
                <w:sz w:val="24"/>
                <w:szCs w:val="24"/>
                <w:lang w:eastAsia="en-GB"/>
              </w:rPr>
            </w:pPr>
            <w:r w:rsidRPr="00A10B1B">
              <w:rPr>
                <w:rFonts w:ascii="Arial" w:eastAsia="Times New Roman" w:hAnsi="Arial" w:cs="Arial"/>
                <w:b/>
                <w:bCs/>
                <w:sz w:val="24"/>
                <w:szCs w:val="24"/>
                <w:lang w:eastAsia="en-GB"/>
              </w:rPr>
              <w:t xml:space="preserve">Operating expenses </w:t>
            </w:r>
          </w:p>
        </w:tc>
        <w:tc>
          <w:tcPr>
            <w:tcW w:w="1729" w:type="dxa"/>
          </w:tcPr>
          <w:p w14:paraId="67D04818" w14:textId="4C17BE35" w:rsidR="004477F1" w:rsidRPr="004477F1" w:rsidRDefault="004477F1" w:rsidP="00A10B1B">
            <w:pPr>
              <w:spacing w:after="0" w:line="360" w:lineRule="auto"/>
              <w:jc w:val="center"/>
              <w:rPr>
                <w:rFonts w:ascii="Arial" w:eastAsia="Times New Roman" w:hAnsi="Arial" w:cs="Arial"/>
                <w:sz w:val="24"/>
                <w:szCs w:val="24"/>
                <w:lang w:eastAsia="en-GB"/>
              </w:rPr>
            </w:pPr>
          </w:p>
        </w:tc>
      </w:tr>
      <w:tr w:rsidR="004477F1" w:rsidRPr="004477F1" w14:paraId="7B29B93D" w14:textId="77777777" w:rsidTr="00C52D72">
        <w:trPr>
          <w:trHeight w:val="380"/>
        </w:trPr>
        <w:tc>
          <w:tcPr>
            <w:tcW w:w="6672" w:type="dxa"/>
            <w:hideMark/>
          </w:tcPr>
          <w:p w14:paraId="6289DCAB" w14:textId="77777777" w:rsidR="004477F1" w:rsidRPr="004477F1" w:rsidRDefault="004477F1" w:rsidP="00A10B1B">
            <w:pPr>
              <w:spacing w:after="0" w:line="360" w:lineRule="auto"/>
              <w:rPr>
                <w:rFonts w:ascii="Arial" w:eastAsia="Times New Roman" w:hAnsi="Arial" w:cs="Arial"/>
                <w:sz w:val="24"/>
                <w:szCs w:val="24"/>
                <w:lang w:eastAsia="en-GB"/>
              </w:rPr>
            </w:pPr>
            <w:r w:rsidRPr="004477F1">
              <w:rPr>
                <w:rFonts w:ascii="Arial" w:eastAsia="Times New Roman" w:hAnsi="Arial" w:cs="Arial"/>
                <w:sz w:val="24"/>
                <w:szCs w:val="24"/>
                <w:lang w:eastAsia="en-GB"/>
              </w:rPr>
              <w:t>Distribution costs</w:t>
            </w:r>
          </w:p>
        </w:tc>
        <w:tc>
          <w:tcPr>
            <w:tcW w:w="1729" w:type="dxa"/>
            <w:hideMark/>
          </w:tcPr>
          <w:p w14:paraId="5DE37C70" w14:textId="59AD3188" w:rsidR="004477F1" w:rsidRPr="004477F1" w:rsidRDefault="004477F1" w:rsidP="00A10B1B">
            <w:pPr>
              <w:spacing w:after="0" w:line="360" w:lineRule="auto"/>
              <w:jc w:val="center"/>
              <w:rPr>
                <w:rFonts w:ascii="Arial" w:eastAsia="Times New Roman" w:hAnsi="Arial" w:cs="Arial"/>
                <w:sz w:val="24"/>
                <w:szCs w:val="24"/>
                <w:lang w:eastAsia="en-GB"/>
              </w:rPr>
            </w:pPr>
            <w:r w:rsidRPr="004477F1">
              <w:rPr>
                <w:rFonts w:ascii="Arial" w:eastAsia="Times New Roman" w:hAnsi="Arial" w:cs="Arial"/>
                <w:sz w:val="24"/>
                <w:szCs w:val="24"/>
                <w:lang w:eastAsia="en-GB"/>
              </w:rPr>
              <w:t>(</w:t>
            </w:r>
            <w:r w:rsidR="00412AAC" w:rsidRPr="00A10B1B">
              <w:rPr>
                <w:rFonts w:ascii="Arial" w:eastAsia="Times New Roman" w:hAnsi="Arial" w:cs="Arial"/>
                <w:sz w:val="24"/>
                <w:szCs w:val="24"/>
                <w:lang w:eastAsia="en-GB"/>
              </w:rPr>
              <w:t>28,000</w:t>
            </w:r>
            <w:r w:rsidRPr="004477F1">
              <w:rPr>
                <w:rFonts w:ascii="Arial" w:eastAsia="Times New Roman" w:hAnsi="Arial" w:cs="Arial"/>
                <w:sz w:val="24"/>
                <w:szCs w:val="24"/>
                <w:lang w:eastAsia="en-GB"/>
              </w:rPr>
              <w:t>)</w:t>
            </w:r>
          </w:p>
        </w:tc>
      </w:tr>
      <w:tr w:rsidR="004477F1" w:rsidRPr="004477F1" w14:paraId="533FC91A" w14:textId="77777777" w:rsidTr="00C52D72">
        <w:trPr>
          <w:trHeight w:val="390"/>
        </w:trPr>
        <w:tc>
          <w:tcPr>
            <w:tcW w:w="6672" w:type="dxa"/>
            <w:hideMark/>
          </w:tcPr>
          <w:p w14:paraId="0AB4503A" w14:textId="77777777" w:rsidR="004477F1" w:rsidRPr="004477F1" w:rsidRDefault="004477F1" w:rsidP="00A10B1B">
            <w:pPr>
              <w:spacing w:after="0" w:line="360" w:lineRule="auto"/>
              <w:rPr>
                <w:rFonts w:ascii="Arial" w:eastAsia="Times New Roman" w:hAnsi="Arial" w:cs="Arial"/>
                <w:sz w:val="24"/>
                <w:szCs w:val="24"/>
                <w:lang w:eastAsia="en-GB"/>
              </w:rPr>
            </w:pPr>
            <w:r w:rsidRPr="004477F1">
              <w:rPr>
                <w:rFonts w:ascii="Arial" w:eastAsia="Times New Roman" w:hAnsi="Arial" w:cs="Arial"/>
                <w:sz w:val="24"/>
                <w:szCs w:val="24"/>
                <w:lang w:eastAsia="en-GB"/>
              </w:rPr>
              <w:t>Administration expenses</w:t>
            </w:r>
          </w:p>
        </w:tc>
        <w:tc>
          <w:tcPr>
            <w:tcW w:w="1729" w:type="dxa"/>
            <w:hideMark/>
          </w:tcPr>
          <w:p w14:paraId="4276664F" w14:textId="22FCF4D7" w:rsidR="004477F1" w:rsidRPr="004477F1" w:rsidRDefault="004477F1" w:rsidP="00A10B1B">
            <w:pPr>
              <w:spacing w:after="0" w:line="360" w:lineRule="auto"/>
              <w:jc w:val="center"/>
              <w:rPr>
                <w:rFonts w:ascii="Arial" w:eastAsia="Times New Roman" w:hAnsi="Arial" w:cs="Arial"/>
                <w:sz w:val="24"/>
                <w:szCs w:val="24"/>
                <w:lang w:eastAsia="en-GB"/>
              </w:rPr>
            </w:pPr>
            <w:r w:rsidRPr="004477F1">
              <w:rPr>
                <w:rFonts w:ascii="Arial" w:eastAsia="Times New Roman" w:hAnsi="Arial" w:cs="Arial"/>
                <w:sz w:val="24"/>
                <w:szCs w:val="24"/>
                <w:lang w:eastAsia="en-GB"/>
              </w:rPr>
              <w:t>(</w:t>
            </w:r>
            <w:r w:rsidR="00595F61" w:rsidRPr="00A10B1B">
              <w:rPr>
                <w:rFonts w:ascii="Arial" w:eastAsia="Times New Roman" w:hAnsi="Arial" w:cs="Arial"/>
                <w:sz w:val="24"/>
                <w:szCs w:val="24"/>
                <w:lang w:eastAsia="en-GB"/>
              </w:rPr>
              <w:t>170,000</w:t>
            </w:r>
            <w:r w:rsidRPr="004477F1">
              <w:rPr>
                <w:rFonts w:ascii="Arial" w:eastAsia="Times New Roman" w:hAnsi="Arial" w:cs="Arial"/>
                <w:sz w:val="24"/>
                <w:szCs w:val="24"/>
                <w:lang w:eastAsia="en-GB"/>
              </w:rPr>
              <w:t>)</w:t>
            </w:r>
          </w:p>
        </w:tc>
      </w:tr>
      <w:tr w:rsidR="00595F61" w:rsidRPr="00A10B1B" w14:paraId="17477A58" w14:textId="77777777" w:rsidTr="00C52D72">
        <w:trPr>
          <w:trHeight w:val="380"/>
        </w:trPr>
        <w:tc>
          <w:tcPr>
            <w:tcW w:w="6672" w:type="dxa"/>
          </w:tcPr>
          <w:p w14:paraId="6CC249DC" w14:textId="708AA9D9" w:rsidR="00595F61" w:rsidRPr="00A10B1B" w:rsidRDefault="00595F61" w:rsidP="00A10B1B">
            <w:pPr>
              <w:spacing w:after="0" w:line="360" w:lineRule="auto"/>
              <w:rPr>
                <w:rFonts w:ascii="Arial" w:eastAsia="Times New Roman" w:hAnsi="Arial" w:cs="Arial"/>
                <w:sz w:val="24"/>
                <w:szCs w:val="24"/>
                <w:lang w:eastAsia="en-GB"/>
              </w:rPr>
            </w:pPr>
            <w:r w:rsidRPr="00A10B1B">
              <w:rPr>
                <w:rFonts w:ascii="Arial" w:eastAsia="Times New Roman" w:hAnsi="Arial" w:cs="Arial"/>
                <w:sz w:val="24"/>
                <w:szCs w:val="24"/>
                <w:lang w:eastAsia="en-GB"/>
              </w:rPr>
              <w:lastRenderedPageBreak/>
              <w:t>Directors’ renumeration</w:t>
            </w:r>
          </w:p>
        </w:tc>
        <w:tc>
          <w:tcPr>
            <w:tcW w:w="1729" w:type="dxa"/>
          </w:tcPr>
          <w:p w14:paraId="74987182" w14:textId="16B01DA5" w:rsidR="00595F61" w:rsidRPr="00A10B1B" w:rsidRDefault="00595F61"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w:t>
            </w:r>
            <w:r w:rsidR="00CF55EA" w:rsidRPr="00A10B1B">
              <w:rPr>
                <w:rFonts w:ascii="Arial" w:eastAsia="Times New Roman" w:hAnsi="Arial" w:cs="Arial"/>
                <w:sz w:val="24"/>
                <w:szCs w:val="24"/>
                <w:lang w:eastAsia="en-GB"/>
              </w:rPr>
              <w:t>5,000)</w:t>
            </w:r>
          </w:p>
        </w:tc>
      </w:tr>
      <w:tr w:rsidR="00CF55EA" w:rsidRPr="00A10B1B" w14:paraId="2164A606" w14:textId="77777777" w:rsidTr="00C52D72">
        <w:trPr>
          <w:trHeight w:val="390"/>
        </w:trPr>
        <w:tc>
          <w:tcPr>
            <w:tcW w:w="6672" w:type="dxa"/>
          </w:tcPr>
          <w:p w14:paraId="6B193CA9" w14:textId="6D470714" w:rsidR="00CF55EA" w:rsidRPr="00A10B1B" w:rsidRDefault="00CF55EA" w:rsidP="00A10B1B">
            <w:pPr>
              <w:spacing w:after="0" w:line="360" w:lineRule="auto"/>
              <w:rPr>
                <w:rFonts w:ascii="Arial" w:eastAsia="Times New Roman" w:hAnsi="Arial" w:cs="Arial"/>
                <w:b/>
                <w:bCs/>
                <w:sz w:val="24"/>
                <w:szCs w:val="24"/>
                <w:lang w:eastAsia="en-GB"/>
              </w:rPr>
            </w:pPr>
            <w:r w:rsidRPr="00A10B1B">
              <w:rPr>
                <w:rFonts w:ascii="Arial" w:eastAsia="Times New Roman" w:hAnsi="Arial" w:cs="Arial"/>
                <w:b/>
                <w:bCs/>
                <w:sz w:val="24"/>
                <w:szCs w:val="24"/>
                <w:lang w:eastAsia="en-GB"/>
              </w:rPr>
              <w:t xml:space="preserve">Total operating expenses </w:t>
            </w:r>
          </w:p>
        </w:tc>
        <w:tc>
          <w:tcPr>
            <w:tcW w:w="1729" w:type="dxa"/>
          </w:tcPr>
          <w:p w14:paraId="42390AEB" w14:textId="50E8BD13" w:rsidR="00CF55EA" w:rsidRPr="00A10B1B" w:rsidRDefault="00040C96"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w:t>
            </w:r>
            <w:r w:rsidR="003F52B2" w:rsidRPr="00A10B1B">
              <w:rPr>
                <w:rFonts w:ascii="Arial" w:eastAsia="Times New Roman" w:hAnsi="Arial" w:cs="Arial"/>
                <w:sz w:val="24"/>
                <w:szCs w:val="24"/>
                <w:lang w:eastAsia="en-GB"/>
              </w:rPr>
              <w:t>203,000</w:t>
            </w:r>
            <w:r w:rsidRPr="00A10B1B">
              <w:rPr>
                <w:rFonts w:ascii="Arial" w:eastAsia="Times New Roman" w:hAnsi="Arial" w:cs="Arial"/>
                <w:sz w:val="24"/>
                <w:szCs w:val="24"/>
                <w:lang w:eastAsia="en-GB"/>
              </w:rPr>
              <w:t>)</w:t>
            </w:r>
          </w:p>
        </w:tc>
      </w:tr>
      <w:tr w:rsidR="004477F1" w:rsidRPr="004477F1" w14:paraId="180DF0E3" w14:textId="77777777" w:rsidTr="00C52D72">
        <w:trPr>
          <w:trHeight w:val="380"/>
        </w:trPr>
        <w:tc>
          <w:tcPr>
            <w:tcW w:w="6672" w:type="dxa"/>
            <w:hideMark/>
          </w:tcPr>
          <w:p w14:paraId="5112D392" w14:textId="77777777" w:rsidR="004477F1" w:rsidRPr="004477F1" w:rsidRDefault="004477F1" w:rsidP="00A10B1B">
            <w:pPr>
              <w:spacing w:after="0" w:line="360" w:lineRule="auto"/>
              <w:rPr>
                <w:rFonts w:ascii="Arial" w:eastAsia="Times New Roman" w:hAnsi="Arial" w:cs="Arial"/>
                <w:b/>
                <w:bCs/>
                <w:sz w:val="24"/>
                <w:szCs w:val="24"/>
                <w:lang w:eastAsia="en-GB"/>
              </w:rPr>
            </w:pPr>
            <w:r w:rsidRPr="004477F1">
              <w:rPr>
                <w:rFonts w:ascii="Arial" w:eastAsia="Times New Roman" w:hAnsi="Arial" w:cs="Arial"/>
                <w:b/>
                <w:bCs/>
                <w:sz w:val="24"/>
                <w:szCs w:val="24"/>
                <w:lang w:eastAsia="en-GB"/>
              </w:rPr>
              <w:t>Operating profit</w:t>
            </w:r>
          </w:p>
        </w:tc>
        <w:tc>
          <w:tcPr>
            <w:tcW w:w="1729" w:type="dxa"/>
            <w:hideMark/>
          </w:tcPr>
          <w:p w14:paraId="5A4B5BCF" w14:textId="4F0DF80C" w:rsidR="004477F1" w:rsidRPr="004477F1" w:rsidRDefault="003F52B2"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54,350</w:t>
            </w:r>
          </w:p>
        </w:tc>
      </w:tr>
      <w:tr w:rsidR="004B47C2" w:rsidRPr="00A10B1B" w14:paraId="05221F39" w14:textId="77777777" w:rsidTr="00C52D72">
        <w:trPr>
          <w:trHeight w:val="380"/>
        </w:trPr>
        <w:tc>
          <w:tcPr>
            <w:tcW w:w="6672" w:type="dxa"/>
          </w:tcPr>
          <w:p w14:paraId="033CDBC1" w14:textId="6AABC59E" w:rsidR="004B47C2" w:rsidRPr="00A10B1B" w:rsidRDefault="004B47C2" w:rsidP="00A10B1B">
            <w:pPr>
              <w:spacing w:after="0" w:line="360" w:lineRule="auto"/>
              <w:rPr>
                <w:rFonts w:ascii="Arial" w:eastAsia="Times New Roman" w:hAnsi="Arial" w:cs="Arial"/>
                <w:b/>
                <w:bCs/>
                <w:sz w:val="24"/>
                <w:szCs w:val="24"/>
                <w:lang w:eastAsia="en-GB"/>
              </w:rPr>
            </w:pPr>
            <w:r w:rsidRPr="00A10B1B">
              <w:rPr>
                <w:rFonts w:ascii="Arial" w:eastAsia="Times New Roman" w:hAnsi="Arial" w:cs="Arial"/>
                <w:b/>
                <w:bCs/>
                <w:sz w:val="24"/>
                <w:szCs w:val="24"/>
                <w:lang w:eastAsia="en-GB"/>
              </w:rPr>
              <w:t xml:space="preserve">Other expenses </w:t>
            </w:r>
          </w:p>
        </w:tc>
        <w:tc>
          <w:tcPr>
            <w:tcW w:w="1729" w:type="dxa"/>
          </w:tcPr>
          <w:p w14:paraId="50C733FC" w14:textId="77777777" w:rsidR="004B47C2" w:rsidRPr="00A10B1B" w:rsidRDefault="004B47C2" w:rsidP="00A10B1B">
            <w:pPr>
              <w:spacing w:after="0" w:line="360" w:lineRule="auto"/>
              <w:jc w:val="center"/>
              <w:rPr>
                <w:rFonts w:ascii="Arial" w:eastAsia="Times New Roman" w:hAnsi="Arial" w:cs="Arial"/>
                <w:sz w:val="24"/>
                <w:szCs w:val="24"/>
                <w:lang w:eastAsia="en-GB"/>
              </w:rPr>
            </w:pPr>
          </w:p>
        </w:tc>
      </w:tr>
      <w:tr w:rsidR="00040C96" w:rsidRPr="00A10B1B" w14:paraId="7C19FB3E" w14:textId="77777777" w:rsidTr="00C52D72">
        <w:trPr>
          <w:trHeight w:val="390"/>
        </w:trPr>
        <w:tc>
          <w:tcPr>
            <w:tcW w:w="6672" w:type="dxa"/>
          </w:tcPr>
          <w:p w14:paraId="5A27B4E9" w14:textId="04CC235C" w:rsidR="00040C96" w:rsidRPr="00A10B1B" w:rsidRDefault="00040C96" w:rsidP="00A10B1B">
            <w:pPr>
              <w:spacing w:after="0" w:line="360" w:lineRule="auto"/>
              <w:rPr>
                <w:rFonts w:ascii="Arial" w:eastAsia="Times New Roman" w:hAnsi="Arial" w:cs="Arial"/>
                <w:sz w:val="24"/>
                <w:szCs w:val="24"/>
                <w:lang w:eastAsia="en-GB"/>
              </w:rPr>
            </w:pPr>
            <w:r w:rsidRPr="00A10B1B">
              <w:rPr>
                <w:rFonts w:ascii="Arial" w:eastAsia="Times New Roman" w:hAnsi="Arial" w:cs="Arial"/>
                <w:sz w:val="24"/>
                <w:szCs w:val="24"/>
                <w:lang w:eastAsia="en-GB"/>
              </w:rPr>
              <w:t xml:space="preserve">Interest paid </w:t>
            </w:r>
          </w:p>
        </w:tc>
        <w:tc>
          <w:tcPr>
            <w:tcW w:w="1729" w:type="dxa"/>
          </w:tcPr>
          <w:p w14:paraId="4054464E" w14:textId="61C355F8" w:rsidR="00040C96" w:rsidRPr="00A10B1B" w:rsidRDefault="00040C96"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(2,000)</w:t>
            </w:r>
          </w:p>
        </w:tc>
      </w:tr>
      <w:tr w:rsidR="004477F1" w:rsidRPr="004477F1" w14:paraId="57FC9980" w14:textId="77777777" w:rsidTr="00C52D72">
        <w:trPr>
          <w:trHeight w:val="380"/>
        </w:trPr>
        <w:tc>
          <w:tcPr>
            <w:tcW w:w="6672" w:type="dxa"/>
            <w:hideMark/>
          </w:tcPr>
          <w:p w14:paraId="69DF0263" w14:textId="30F04732" w:rsidR="004477F1" w:rsidRPr="004477F1" w:rsidRDefault="002E6675" w:rsidP="00A10B1B">
            <w:pPr>
              <w:spacing w:after="0" w:line="360" w:lineRule="auto"/>
              <w:rPr>
                <w:rFonts w:ascii="Arial" w:eastAsia="Times New Roman" w:hAnsi="Arial" w:cs="Arial"/>
                <w:sz w:val="24"/>
                <w:szCs w:val="24"/>
                <w:lang w:eastAsia="en-GB"/>
              </w:rPr>
            </w:pPr>
            <w:r w:rsidRPr="00A10B1B">
              <w:rPr>
                <w:rFonts w:ascii="Arial" w:eastAsia="Times New Roman" w:hAnsi="Arial" w:cs="Arial"/>
                <w:sz w:val="24"/>
                <w:szCs w:val="24"/>
                <w:lang w:eastAsia="en-GB"/>
              </w:rPr>
              <w:t>Salesman commission</w:t>
            </w:r>
          </w:p>
        </w:tc>
        <w:tc>
          <w:tcPr>
            <w:tcW w:w="1729" w:type="dxa"/>
            <w:hideMark/>
          </w:tcPr>
          <w:p w14:paraId="2B6B8C92" w14:textId="30390F8F" w:rsidR="004477F1" w:rsidRPr="004477F1" w:rsidRDefault="002E6675"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(2,000)</w:t>
            </w:r>
          </w:p>
        </w:tc>
      </w:tr>
      <w:tr w:rsidR="00203900" w:rsidRPr="004477F1" w14:paraId="25309763" w14:textId="77777777" w:rsidTr="00C52D72">
        <w:trPr>
          <w:trHeight w:val="380"/>
        </w:trPr>
        <w:tc>
          <w:tcPr>
            <w:tcW w:w="6672" w:type="dxa"/>
          </w:tcPr>
          <w:p w14:paraId="533FAEE3" w14:textId="49B0C51B" w:rsidR="00203900" w:rsidRPr="00A10B1B" w:rsidRDefault="00392033" w:rsidP="00A10B1B">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Debentures interest </w:t>
            </w:r>
          </w:p>
        </w:tc>
        <w:tc>
          <w:tcPr>
            <w:tcW w:w="1729" w:type="dxa"/>
          </w:tcPr>
          <w:p w14:paraId="4D252606" w14:textId="2C7CD704" w:rsidR="00203900" w:rsidRPr="00A10B1B" w:rsidRDefault="00392033" w:rsidP="00A10B1B">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(4,000)</w:t>
            </w:r>
          </w:p>
        </w:tc>
      </w:tr>
      <w:tr w:rsidR="002E6675" w:rsidRPr="00A10B1B" w14:paraId="1E5CDEAB" w14:textId="77777777" w:rsidTr="00C52D72">
        <w:trPr>
          <w:trHeight w:val="390"/>
        </w:trPr>
        <w:tc>
          <w:tcPr>
            <w:tcW w:w="6672" w:type="dxa"/>
          </w:tcPr>
          <w:p w14:paraId="7D4A5731" w14:textId="3CF3D9C9" w:rsidR="002E6675" w:rsidRPr="00A10B1B" w:rsidRDefault="002E6675" w:rsidP="00A10B1B">
            <w:pPr>
              <w:spacing w:after="0" w:line="360" w:lineRule="auto"/>
              <w:rPr>
                <w:rFonts w:ascii="Arial" w:eastAsia="Times New Roman" w:hAnsi="Arial" w:cs="Arial"/>
                <w:b/>
                <w:bCs/>
                <w:sz w:val="24"/>
                <w:szCs w:val="24"/>
                <w:lang w:eastAsia="en-GB"/>
              </w:rPr>
            </w:pPr>
            <w:r w:rsidRPr="00A10B1B">
              <w:rPr>
                <w:rFonts w:ascii="Arial" w:eastAsia="Times New Roman" w:hAnsi="Arial" w:cs="Arial"/>
                <w:b/>
                <w:bCs/>
                <w:sz w:val="24"/>
                <w:szCs w:val="24"/>
                <w:lang w:eastAsia="en-GB"/>
              </w:rPr>
              <w:t xml:space="preserve">Total other expenses </w:t>
            </w:r>
          </w:p>
        </w:tc>
        <w:tc>
          <w:tcPr>
            <w:tcW w:w="1729" w:type="dxa"/>
          </w:tcPr>
          <w:p w14:paraId="27FFE0B9" w14:textId="6F202CAD" w:rsidR="002E6675" w:rsidRPr="00A10B1B" w:rsidRDefault="002E6675" w:rsidP="00A10B1B">
            <w:pPr>
              <w:spacing w:after="0" w:line="360" w:lineRule="auto"/>
              <w:jc w:val="center"/>
              <w:rPr>
                <w:rFonts w:ascii="Arial" w:eastAsia="Times New Roman" w:hAnsi="Arial" w:cs="Arial"/>
                <w:sz w:val="24"/>
                <w:szCs w:val="24"/>
                <w:lang w:eastAsia="en-GB"/>
              </w:rPr>
            </w:pPr>
            <w:r w:rsidRPr="00A10B1B">
              <w:rPr>
                <w:rFonts w:ascii="Arial" w:eastAsia="Times New Roman" w:hAnsi="Arial" w:cs="Arial"/>
                <w:sz w:val="24"/>
                <w:szCs w:val="24"/>
                <w:lang w:eastAsia="en-GB"/>
              </w:rPr>
              <w:t>(</w:t>
            </w:r>
            <w:r w:rsidR="00392033">
              <w:rPr>
                <w:rFonts w:ascii="Arial" w:eastAsia="Times New Roman" w:hAnsi="Arial" w:cs="Arial"/>
                <w:sz w:val="24"/>
                <w:szCs w:val="24"/>
                <w:lang w:eastAsia="en-GB"/>
              </w:rPr>
              <w:t>8</w:t>
            </w:r>
            <w:r w:rsidRPr="00A10B1B">
              <w:rPr>
                <w:rFonts w:ascii="Arial" w:eastAsia="Times New Roman" w:hAnsi="Arial" w:cs="Arial"/>
                <w:sz w:val="24"/>
                <w:szCs w:val="24"/>
                <w:lang w:eastAsia="en-GB"/>
              </w:rPr>
              <w:t>,000)</w:t>
            </w:r>
          </w:p>
        </w:tc>
      </w:tr>
      <w:tr w:rsidR="004477F1" w:rsidRPr="004477F1" w14:paraId="3EDDED18" w14:textId="77777777" w:rsidTr="00C52D72">
        <w:trPr>
          <w:trHeight w:val="380"/>
        </w:trPr>
        <w:tc>
          <w:tcPr>
            <w:tcW w:w="6672" w:type="dxa"/>
            <w:hideMark/>
          </w:tcPr>
          <w:p w14:paraId="1099A2E3" w14:textId="77777777" w:rsidR="004477F1" w:rsidRPr="004477F1" w:rsidRDefault="004477F1" w:rsidP="00A10B1B">
            <w:pPr>
              <w:spacing w:after="0" w:line="360" w:lineRule="auto"/>
              <w:rPr>
                <w:rFonts w:ascii="Arial" w:eastAsia="Times New Roman" w:hAnsi="Arial" w:cs="Arial"/>
                <w:sz w:val="24"/>
                <w:szCs w:val="24"/>
                <w:lang w:eastAsia="en-GB"/>
              </w:rPr>
            </w:pPr>
            <w:r w:rsidRPr="004477F1">
              <w:rPr>
                <w:rFonts w:ascii="Arial" w:eastAsia="Times New Roman" w:hAnsi="Arial" w:cs="Arial"/>
                <w:sz w:val="24"/>
                <w:szCs w:val="24"/>
                <w:lang w:eastAsia="en-GB"/>
              </w:rPr>
              <w:t>Profit before tax</w:t>
            </w:r>
          </w:p>
        </w:tc>
        <w:tc>
          <w:tcPr>
            <w:tcW w:w="1729" w:type="dxa"/>
            <w:hideMark/>
          </w:tcPr>
          <w:p w14:paraId="710A9AB4" w14:textId="30A78B8D" w:rsidR="004477F1" w:rsidRPr="004477F1" w:rsidRDefault="00620B49" w:rsidP="00A10B1B">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46</w:t>
            </w:r>
            <w:r w:rsidR="00A10B1B" w:rsidRPr="00A10B1B">
              <w:rPr>
                <w:rFonts w:ascii="Arial" w:eastAsia="Times New Roman" w:hAnsi="Arial" w:cs="Arial"/>
                <w:sz w:val="24"/>
                <w:szCs w:val="24"/>
                <w:lang w:eastAsia="en-GB"/>
              </w:rPr>
              <w:t>,350</w:t>
            </w:r>
          </w:p>
        </w:tc>
      </w:tr>
      <w:tr w:rsidR="004477F1" w:rsidRPr="004477F1" w14:paraId="6F164383" w14:textId="77777777" w:rsidTr="00C52D72">
        <w:trPr>
          <w:trHeight w:val="380"/>
        </w:trPr>
        <w:tc>
          <w:tcPr>
            <w:tcW w:w="6672" w:type="dxa"/>
            <w:hideMark/>
          </w:tcPr>
          <w:p w14:paraId="62DD7561" w14:textId="77777777" w:rsidR="004477F1" w:rsidRPr="004477F1" w:rsidRDefault="004477F1" w:rsidP="00A10B1B">
            <w:pPr>
              <w:spacing w:after="0" w:line="360" w:lineRule="auto"/>
              <w:rPr>
                <w:rFonts w:ascii="Arial" w:eastAsia="Times New Roman" w:hAnsi="Arial" w:cs="Arial"/>
                <w:sz w:val="24"/>
                <w:szCs w:val="24"/>
                <w:lang w:eastAsia="en-GB"/>
              </w:rPr>
            </w:pPr>
            <w:r w:rsidRPr="004477F1">
              <w:rPr>
                <w:rFonts w:ascii="Arial" w:eastAsia="Times New Roman" w:hAnsi="Arial" w:cs="Arial"/>
                <w:sz w:val="24"/>
                <w:szCs w:val="24"/>
                <w:lang w:eastAsia="en-GB"/>
              </w:rPr>
              <w:t>Taxation</w:t>
            </w:r>
          </w:p>
        </w:tc>
        <w:tc>
          <w:tcPr>
            <w:tcW w:w="1729" w:type="dxa"/>
            <w:hideMark/>
          </w:tcPr>
          <w:p w14:paraId="64ECE4E6" w14:textId="301B698D" w:rsidR="004477F1" w:rsidRPr="004477F1" w:rsidRDefault="004477F1" w:rsidP="00A10B1B">
            <w:pPr>
              <w:spacing w:after="0" w:line="360" w:lineRule="auto"/>
              <w:jc w:val="center"/>
              <w:rPr>
                <w:rFonts w:ascii="Arial" w:eastAsia="Times New Roman" w:hAnsi="Arial" w:cs="Arial"/>
                <w:sz w:val="24"/>
                <w:szCs w:val="24"/>
                <w:lang w:eastAsia="en-GB"/>
              </w:rPr>
            </w:pPr>
            <w:r w:rsidRPr="004477F1">
              <w:rPr>
                <w:rFonts w:ascii="Arial" w:eastAsia="Times New Roman" w:hAnsi="Arial" w:cs="Arial"/>
                <w:sz w:val="24"/>
                <w:szCs w:val="24"/>
                <w:lang w:eastAsia="en-GB"/>
              </w:rPr>
              <w:t>(</w:t>
            </w:r>
            <w:r w:rsidR="00A10B1B" w:rsidRPr="00A10B1B">
              <w:rPr>
                <w:rFonts w:ascii="Arial" w:eastAsia="Times New Roman" w:hAnsi="Arial" w:cs="Arial"/>
                <w:sz w:val="24"/>
                <w:szCs w:val="24"/>
                <w:lang w:eastAsia="en-GB"/>
              </w:rPr>
              <w:t>15,000</w:t>
            </w:r>
            <w:r w:rsidRPr="004477F1">
              <w:rPr>
                <w:rFonts w:ascii="Arial" w:eastAsia="Times New Roman" w:hAnsi="Arial" w:cs="Arial"/>
                <w:sz w:val="24"/>
                <w:szCs w:val="24"/>
                <w:lang w:eastAsia="en-GB"/>
              </w:rPr>
              <w:t>)</w:t>
            </w:r>
          </w:p>
        </w:tc>
      </w:tr>
      <w:tr w:rsidR="004477F1" w:rsidRPr="004477F1" w14:paraId="0AE7D017" w14:textId="77777777" w:rsidTr="00C52D72">
        <w:trPr>
          <w:trHeight w:val="390"/>
        </w:trPr>
        <w:tc>
          <w:tcPr>
            <w:tcW w:w="6672" w:type="dxa"/>
            <w:hideMark/>
          </w:tcPr>
          <w:p w14:paraId="4428F160" w14:textId="77777777" w:rsidR="004477F1" w:rsidRPr="004477F1" w:rsidRDefault="004477F1" w:rsidP="00A10B1B">
            <w:pPr>
              <w:spacing w:after="0" w:line="360" w:lineRule="auto"/>
              <w:rPr>
                <w:rFonts w:ascii="Arial" w:eastAsia="Times New Roman" w:hAnsi="Arial" w:cs="Arial"/>
                <w:b/>
                <w:bCs/>
                <w:sz w:val="24"/>
                <w:szCs w:val="24"/>
                <w:lang w:eastAsia="en-GB"/>
              </w:rPr>
            </w:pPr>
            <w:r w:rsidRPr="004477F1">
              <w:rPr>
                <w:rFonts w:ascii="Arial" w:eastAsia="Times New Roman" w:hAnsi="Arial" w:cs="Arial"/>
                <w:b/>
                <w:bCs/>
                <w:sz w:val="24"/>
                <w:szCs w:val="24"/>
                <w:lang w:eastAsia="en-GB"/>
              </w:rPr>
              <w:t>Profit for the period</w:t>
            </w:r>
          </w:p>
        </w:tc>
        <w:tc>
          <w:tcPr>
            <w:tcW w:w="1729" w:type="dxa"/>
            <w:hideMark/>
          </w:tcPr>
          <w:p w14:paraId="71C0C238" w14:textId="172B9F28" w:rsidR="004477F1" w:rsidRPr="004477F1" w:rsidRDefault="00A10B1B" w:rsidP="00A10B1B">
            <w:pPr>
              <w:spacing w:after="0" w:line="360" w:lineRule="auto"/>
              <w:jc w:val="center"/>
              <w:rPr>
                <w:rFonts w:ascii="Arial" w:eastAsia="Times New Roman" w:hAnsi="Arial" w:cs="Arial"/>
                <w:sz w:val="24"/>
                <w:szCs w:val="24"/>
                <w:u w:val="single"/>
                <w:lang w:eastAsia="en-GB"/>
              </w:rPr>
            </w:pPr>
            <w:r w:rsidRPr="00A10B1B">
              <w:rPr>
                <w:rFonts w:ascii="Arial" w:eastAsia="Times New Roman" w:hAnsi="Arial" w:cs="Arial"/>
                <w:sz w:val="24"/>
                <w:szCs w:val="24"/>
                <w:u w:val="single"/>
                <w:lang w:eastAsia="en-GB"/>
              </w:rPr>
              <w:t>3</w:t>
            </w:r>
            <w:r w:rsidR="00620B49">
              <w:rPr>
                <w:rFonts w:ascii="Arial" w:eastAsia="Times New Roman" w:hAnsi="Arial" w:cs="Arial"/>
                <w:sz w:val="24"/>
                <w:szCs w:val="24"/>
                <w:u w:val="single"/>
                <w:lang w:eastAsia="en-GB"/>
              </w:rPr>
              <w:t>1</w:t>
            </w:r>
            <w:r w:rsidRPr="00A10B1B">
              <w:rPr>
                <w:rFonts w:ascii="Arial" w:eastAsia="Times New Roman" w:hAnsi="Arial" w:cs="Arial"/>
                <w:sz w:val="24"/>
                <w:szCs w:val="24"/>
                <w:u w:val="single"/>
                <w:lang w:eastAsia="en-GB"/>
              </w:rPr>
              <w:t>,350</w:t>
            </w:r>
          </w:p>
        </w:tc>
      </w:tr>
      <w:tr w:rsidR="00E34867" w:rsidRPr="004477F1" w14:paraId="57BA737E" w14:textId="77777777" w:rsidTr="00C52D72">
        <w:trPr>
          <w:trHeight w:val="380"/>
        </w:trPr>
        <w:tc>
          <w:tcPr>
            <w:tcW w:w="6672" w:type="dxa"/>
          </w:tcPr>
          <w:p w14:paraId="01FA57E9" w14:textId="77777777" w:rsidR="00E34867" w:rsidRPr="004477F1" w:rsidRDefault="00E34867" w:rsidP="00A10B1B">
            <w:pPr>
              <w:spacing w:after="0" w:line="360" w:lineRule="auto"/>
              <w:rPr>
                <w:rFonts w:ascii="Arial" w:eastAsia="Times New Roman" w:hAnsi="Arial" w:cs="Arial"/>
                <w:b/>
                <w:bCs/>
                <w:sz w:val="24"/>
                <w:szCs w:val="24"/>
                <w:lang w:eastAsia="en-GB"/>
              </w:rPr>
            </w:pPr>
          </w:p>
        </w:tc>
        <w:tc>
          <w:tcPr>
            <w:tcW w:w="1729" w:type="dxa"/>
          </w:tcPr>
          <w:p w14:paraId="7C0B4747" w14:textId="77777777" w:rsidR="00E34867" w:rsidRPr="00A10B1B" w:rsidRDefault="00E34867" w:rsidP="00A10B1B">
            <w:pPr>
              <w:spacing w:after="0" w:line="360" w:lineRule="auto"/>
              <w:jc w:val="center"/>
              <w:rPr>
                <w:rFonts w:ascii="Arial" w:eastAsia="Times New Roman" w:hAnsi="Arial" w:cs="Arial"/>
                <w:sz w:val="24"/>
                <w:szCs w:val="24"/>
                <w:u w:val="single"/>
                <w:lang w:eastAsia="en-GB"/>
              </w:rPr>
            </w:pPr>
          </w:p>
        </w:tc>
      </w:tr>
      <w:tr w:rsidR="004477F1" w:rsidRPr="004477F1" w14:paraId="0FFA5123" w14:textId="77777777" w:rsidTr="00C52D72">
        <w:trPr>
          <w:trHeight w:val="390"/>
        </w:trPr>
        <w:tc>
          <w:tcPr>
            <w:tcW w:w="6672" w:type="dxa"/>
          </w:tcPr>
          <w:p w14:paraId="7A26ABA3" w14:textId="77777777" w:rsidR="004477F1" w:rsidRPr="004477F1" w:rsidRDefault="004477F1" w:rsidP="00A10B1B">
            <w:pPr>
              <w:spacing w:after="0" w:line="360" w:lineRule="auto"/>
              <w:rPr>
                <w:rFonts w:ascii="Arial" w:eastAsia="Times New Roman" w:hAnsi="Arial" w:cs="Arial"/>
                <w:sz w:val="24"/>
                <w:szCs w:val="24"/>
                <w:lang w:eastAsia="en-GB"/>
              </w:rPr>
            </w:pPr>
          </w:p>
        </w:tc>
        <w:tc>
          <w:tcPr>
            <w:tcW w:w="1729" w:type="dxa"/>
          </w:tcPr>
          <w:p w14:paraId="38938FA4" w14:textId="77777777" w:rsidR="004477F1" w:rsidRPr="004477F1" w:rsidRDefault="004477F1" w:rsidP="00A10B1B">
            <w:pPr>
              <w:spacing w:after="0" w:line="360" w:lineRule="auto"/>
              <w:rPr>
                <w:rFonts w:ascii="Arial" w:eastAsia="Times New Roman" w:hAnsi="Arial" w:cs="Arial"/>
                <w:sz w:val="24"/>
                <w:szCs w:val="24"/>
                <w:lang w:eastAsia="en-GB"/>
              </w:rPr>
            </w:pPr>
          </w:p>
        </w:tc>
      </w:tr>
    </w:tbl>
    <w:p w14:paraId="40097911" w14:textId="77777777" w:rsidR="003C4694" w:rsidRDefault="003C4694" w:rsidP="004455E0">
      <w:pPr>
        <w:pStyle w:val="ListParagraph"/>
        <w:spacing w:line="360" w:lineRule="auto"/>
        <w:jc w:val="both"/>
        <w:rPr>
          <w:rFonts w:ascii="Arial" w:hAnsi="Arial" w:cs="Arial"/>
          <w:sz w:val="24"/>
          <w:szCs w:val="24"/>
        </w:rPr>
      </w:pPr>
    </w:p>
    <w:p w14:paraId="1ADF0722" w14:textId="4211CD9B" w:rsidR="004455E0" w:rsidRDefault="003C4694" w:rsidP="004455E0">
      <w:pPr>
        <w:pStyle w:val="ListParagraph"/>
        <w:spacing w:line="360" w:lineRule="auto"/>
        <w:jc w:val="both"/>
        <w:rPr>
          <w:rFonts w:ascii="Arial" w:hAnsi="Arial" w:cs="Arial"/>
          <w:sz w:val="24"/>
          <w:szCs w:val="24"/>
        </w:rPr>
      </w:pPr>
      <w:r w:rsidRPr="003C4694">
        <w:rPr>
          <w:rFonts w:ascii="Arial" w:hAnsi="Arial" w:cs="Arial"/>
          <w:sz w:val="24"/>
          <w:szCs w:val="24"/>
        </w:rPr>
        <w:t>The income statement for Wales plc for the year ended 31st December 2021 reflects the company's financial performance. Revenue from sales, including goods sent to customers in December but not paid for until 2022, is recognized, adhering to accrual accounting principles. Expenses, including cost of sales (with added depreciation on equipment), administrative expenses (inclusive of unpaid December salaries), and other expenses like interest and salesmen commission, are deducted from revenue. The statement concludes with the net profit, calculated after subtracting these expenses and estimated corporation tax from the total revenue, providing a comprehensive view of the company's earnings for the year.</w:t>
      </w:r>
    </w:p>
    <w:p w14:paraId="462C9303" w14:textId="77777777" w:rsidR="003C4694" w:rsidRDefault="003C4694" w:rsidP="004455E0">
      <w:pPr>
        <w:pStyle w:val="ListParagraph"/>
        <w:spacing w:line="360" w:lineRule="auto"/>
        <w:jc w:val="both"/>
        <w:rPr>
          <w:rFonts w:ascii="Arial" w:hAnsi="Arial" w:cs="Arial"/>
          <w:sz w:val="24"/>
          <w:szCs w:val="24"/>
        </w:rPr>
      </w:pPr>
    </w:p>
    <w:p w14:paraId="41387CFF" w14:textId="205988B6" w:rsidR="00BB0C36" w:rsidRPr="00C277C8" w:rsidRDefault="003C4694" w:rsidP="00E2761F">
      <w:pPr>
        <w:pStyle w:val="Heading1"/>
        <w:rPr>
          <w:rFonts w:ascii="Arial" w:hAnsi="Arial" w:cs="Arial"/>
          <w:b/>
          <w:bCs/>
        </w:rPr>
      </w:pPr>
      <w:bookmarkStart w:id="3" w:name="_Toc153779004"/>
      <w:r w:rsidRPr="00C277C8">
        <w:rPr>
          <w:rFonts w:ascii="Arial" w:hAnsi="Arial" w:cs="Arial"/>
          <w:b/>
          <w:bCs/>
        </w:rPr>
        <w:t xml:space="preserve">Question 3 </w:t>
      </w:r>
      <w:r w:rsidR="00A0037D" w:rsidRPr="00C277C8">
        <w:rPr>
          <w:rFonts w:ascii="Arial" w:hAnsi="Arial" w:cs="Arial"/>
          <w:b/>
          <w:bCs/>
        </w:rPr>
        <w:t>(</w:t>
      </w:r>
      <w:proofErr w:type="spellStart"/>
      <w:r w:rsidR="00A0037D" w:rsidRPr="00C277C8">
        <w:rPr>
          <w:rFonts w:ascii="Arial" w:hAnsi="Arial" w:cs="Arial"/>
          <w:b/>
          <w:bCs/>
        </w:rPr>
        <w:t>a</w:t>
      </w:r>
      <w:r w:rsidR="008D2748" w:rsidRPr="00C277C8">
        <w:rPr>
          <w:rFonts w:ascii="Arial" w:hAnsi="Arial" w:cs="Arial"/>
          <w:b/>
          <w:bCs/>
        </w:rPr>
        <w:t>+b</w:t>
      </w:r>
      <w:proofErr w:type="spellEnd"/>
      <w:r w:rsidR="008D2748" w:rsidRPr="00C277C8">
        <w:rPr>
          <w:rFonts w:ascii="Arial" w:hAnsi="Arial" w:cs="Arial"/>
          <w:b/>
          <w:bCs/>
        </w:rPr>
        <w:t>)</w:t>
      </w:r>
      <w:bookmarkEnd w:id="3"/>
    </w:p>
    <w:p w14:paraId="60C4FE9F" w14:textId="77777777" w:rsidR="00493B02" w:rsidRPr="00493B02" w:rsidRDefault="00493B02" w:rsidP="00493B02">
      <w:pPr>
        <w:pStyle w:val="ListParagraph"/>
        <w:spacing w:line="360" w:lineRule="auto"/>
        <w:jc w:val="both"/>
        <w:rPr>
          <w:rFonts w:ascii="Arial" w:hAnsi="Arial" w:cs="Arial"/>
          <w:sz w:val="24"/>
          <w:szCs w:val="24"/>
        </w:rPr>
      </w:pPr>
      <w:r w:rsidRPr="00493B02">
        <w:rPr>
          <w:rFonts w:ascii="Arial" w:hAnsi="Arial" w:cs="Arial"/>
          <w:sz w:val="24"/>
          <w:szCs w:val="24"/>
        </w:rPr>
        <w:t xml:space="preserve">Ratio analysis is an essential tool in financial analysis, crucial for understanding a company's performance, efficiency, and financial health. It involves comparing various financial statement figures, aiding stakeholders like management, investors, and analysts in making informed decisions. This method, as described in </w:t>
      </w:r>
      <w:proofErr w:type="spellStart"/>
      <w:r w:rsidRPr="00493B02">
        <w:rPr>
          <w:rFonts w:ascii="Arial" w:hAnsi="Arial" w:cs="Arial"/>
          <w:sz w:val="24"/>
          <w:szCs w:val="24"/>
        </w:rPr>
        <w:t>Atrill</w:t>
      </w:r>
      <w:proofErr w:type="spellEnd"/>
      <w:r w:rsidRPr="00493B02">
        <w:rPr>
          <w:rFonts w:ascii="Arial" w:hAnsi="Arial" w:cs="Arial"/>
          <w:sz w:val="24"/>
          <w:szCs w:val="24"/>
        </w:rPr>
        <w:t>, Peter, et al., 2018, evaluates key ratios such as Return on Capital Employed (ROCE), Return on Equity (ROE), and Earnings Per Share (EPS), each assessing different aspects of a company’s operations.</w:t>
      </w:r>
    </w:p>
    <w:p w14:paraId="006912B3" w14:textId="77777777" w:rsidR="00493B02" w:rsidRPr="00493B02" w:rsidRDefault="00493B02" w:rsidP="00493B02">
      <w:pPr>
        <w:pStyle w:val="ListParagraph"/>
        <w:spacing w:line="360" w:lineRule="auto"/>
        <w:jc w:val="both"/>
        <w:rPr>
          <w:rFonts w:ascii="Arial" w:hAnsi="Arial" w:cs="Arial"/>
          <w:sz w:val="24"/>
          <w:szCs w:val="24"/>
        </w:rPr>
      </w:pPr>
    </w:p>
    <w:p w14:paraId="51EF3AE9" w14:textId="5608F6A6" w:rsidR="008D2748" w:rsidRDefault="00493B02" w:rsidP="00493B02">
      <w:pPr>
        <w:pStyle w:val="ListParagraph"/>
        <w:spacing w:line="360" w:lineRule="auto"/>
        <w:jc w:val="both"/>
        <w:rPr>
          <w:rFonts w:ascii="Arial" w:hAnsi="Arial" w:cs="Arial"/>
          <w:sz w:val="24"/>
          <w:szCs w:val="24"/>
        </w:rPr>
      </w:pPr>
      <w:r w:rsidRPr="00493B02">
        <w:rPr>
          <w:rFonts w:ascii="Arial" w:hAnsi="Arial" w:cs="Arial"/>
          <w:sz w:val="24"/>
          <w:szCs w:val="24"/>
        </w:rPr>
        <w:t xml:space="preserve">In this analysis, </w:t>
      </w:r>
      <w:r w:rsidR="00766B7A">
        <w:rPr>
          <w:rFonts w:ascii="Arial" w:hAnsi="Arial" w:cs="Arial"/>
          <w:sz w:val="24"/>
          <w:szCs w:val="24"/>
        </w:rPr>
        <w:t xml:space="preserve">I </w:t>
      </w:r>
      <w:r w:rsidRPr="00493B02">
        <w:rPr>
          <w:rFonts w:ascii="Arial" w:hAnsi="Arial" w:cs="Arial"/>
          <w:sz w:val="24"/>
          <w:szCs w:val="24"/>
        </w:rPr>
        <w:t xml:space="preserve">apply these ratios to </w:t>
      </w:r>
      <w:r w:rsidR="00766B7A">
        <w:rPr>
          <w:rFonts w:ascii="Arial" w:eastAsiaTheme="minorEastAsia" w:hAnsi="Arial" w:cs="Arial"/>
          <w:sz w:val="24"/>
          <w:szCs w:val="24"/>
        </w:rPr>
        <w:t>Sweets</w:t>
      </w:r>
      <w:r w:rsidR="00766B7A" w:rsidRPr="00493B02">
        <w:rPr>
          <w:rFonts w:ascii="Arial" w:hAnsi="Arial" w:cs="Arial"/>
          <w:sz w:val="24"/>
          <w:szCs w:val="24"/>
        </w:rPr>
        <w:t xml:space="preserve"> </w:t>
      </w:r>
      <w:r w:rsidRPr="00493B02">
        <w:rPr>
          <w:rFonts w:ascii="Arial" w:hAnsi="Arial" w:cs="Arial"/>
          <w:sz w:val="24"/>
          <w:szCs w:val="24"/>
        </w:rPr>
        <w:t xml:space="preserve">PLC's 2021 and 2022 financial data, providing insights into its financial and operational effectiveness. The study not only assesses annual performance but also compares these two years. This approach, based on principles from “Accounting and Finance for Non-Specialists”, Chapter 6 by </w:t>
      </w:r>
      <w:proofErr w:type="spellStart"/>
      <w:r w:rsidRPr="00493B02">
        <w:rPr>
          <w:rFonts w:ascii="Arial" w:hAnsi="Arial" w:cs="Arial"/>
          <w:sz w:val="24"/>
          <w:szCs w:val="24"/>
        </w:rPr>
        <w:t>Atrill</w:t>
      </w:r>
      <w:proofErr w:type="spellEnd"/>
      <w:r w:rsidRPr="00493B02">
        <w:rPr>
          <w:rFonts w:ascii="Arial" w:hAnsi="Arial" w:cs="Arial"/>
          <w:sz w:val="24"/>
          <w:szCs w:val="24"/>
        </w:rPr>
        <w:t xml:space="preserve">, Peter, et al., aims to offer a comprehensive view of </w:t>
      </w:r>
      <w:r w:rsidR="00766B7A">
        <w:rPr>
          <w:rFonts w:ascii="Arial" w:eastAsiaTheme="minorEastAsia" w:hAnsi="Arial" w:cs="Arial"/>
          <w:sz w:val="24"/>
          <w:szCs w:val="24"/>
        </w:rPr>
        <w:t>Sweets</w:t>
      </w:r>
      <w:r w:rsidR="00766B7A" w:rsidRPr="00493B02">
        <w:rPr>
          <w:rFonts w:ascii="Arial" w:hAnsi="Arial" w:cs="Arial"/>
          <w:sz w:val="24"/>
          <w:szCs w:val="24"/>
        </w:rPr>
        <w:t xml:space="preserve"> </w:t>
      </w:r>
      <w:r w:rsidRPr="00493B02">
        <w:rPr>
          <w:rFonts w:ascii="Arial" w:hAnsi="Arial" w:cs="Arial"/>
          <w:sz w:val="24"/>
          <w:szCs w:val="24"/>
        </w:rPr>
        <w:t>PLC's financial trajectory and strategic position during this period, highlighting its financial evolution and key operational aspects.</w:t>
      </w:r>
    </w:p>
    <w:p w14:paraId="17FF4DD3" w14:textId="77777777" w:rsidR="00493B02" w:rsidRDefault="00493B02" w:rsidP="00493B02">
      <w:pPr>
        <w:pStyle w:val="ListParagraph"/>
        <w:spacing w:line="360" w:lineRule="auto"/>
        <w:jc w:val="both"/>
        <w:rPr>
          <w:rFonts w:ascii="Arial" w:hAnsi="Arial" w:cs="Arial"/>
          <w:sz w:val="24"/>
          <w:szCs w:val="24"/>
        </w:rPr>
      </w:pPr>
    </w:p>
    <w:p w14:paraId="4D65F6B4" w14:textId="18B4D4D7"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ROCE= </w:t>
      </w:r>
      <m:oMath>
        <m:f>
          <m:fPr>
            <m:ctrlPr>
              <w:rPr>
                <w:rFonts w:ascii="Cambria Math" w:hAnsi="Cambria Math" w:cs="Arial"/>
                <w:i/>
                <w:sz w:val="24"/>
                <w:szCs w:val="24"/>
              </w:rPr>
            </m:ctrlPr>
          </m:fPr>
          <m:num>
            <m:r>
              <w:rPr>
                <w:rFonts w:ascii="Cambria Math" w:hAnsi="Cambria Math" w:cs="Arial"/>
                <w:sz w:val="24"/>
                <w:szCs w:val="24"/>
              </w:rPr>
              <m:t xml:space="preserve">Profit before interest </m:t>
            </m:r>
          </m:num>
          <m:den>
            <m:r>
              <w:rPr>
                <w:rFonts w:ascii="Cambria Math" w:hAnsi="Cambria Math" w:cs="Arial"/>
                <w:sz w:val="24"/>
                <w:szCs w:val="24"/>
              </w:rPr>
              <m:t xml:space="preserve">Capital Employed </m:t>
            </m:r>
          </m:den>
        </m:f>
      </m:oMath>
      <w:r w:rsidRPr="00FD4F80">
        <w:rPr>
          <w:rFonts w:ascii="Arial" w:eastAsiaTheme="minorEastAsia" w:hAnsi="Arial" w:cs="Arial"/>
          <w:sz w:val="24"/>
          <w:szCs w:val="24"/>
        </w:rPr>
        <w:t xml:space="preserve"> x 100%</w:t>
      </w:r>
    </w:p>
    <w:p w14:paraId="5BB63473"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ROCE 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846</m:t>
            </m:r>
          </m:num>
          <m:den>
            <m:r>
              <w:rPr>
                <w:rFonts w:ascii="Cambria Math" w:eastAsiaTheme="minorEastAsia" w:hAnsi="Cambria Math" w:cs="Arial"/>
                <w:sz w:val="24"/>
                <w:szCs w:val="24"/>
              </w:rPr>
              <m:t xml:space="preserve">7225 </m:t>
            </m:r>
          </m:den>
        </m:f>
      </m:oMath>
      <w:r>
        <w:rPr>
          <w:rFonts w:ascii="Arial" w:eastAsiaTheme="minorEastAsia" w:hAnsi="Arial" w:cs="Arial"/>
          <w:sz w:val="24"/>
          <w:szCs w:val="24"/>
        </w:rPr>
        <w:t xml:space="preserve"> x100% = 11,70%</w:t>
      </w:r>
    </w:p>
    <w:p w14:paraId="7807108B"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ROCE 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720</m:t>
            </m:r>
          </m:num>
          <m:den>
            <m:r>
              <w:rPr>
                <w:rFonts w:ascii="Cambria Math" w:eastAsiaTheme="minorEastAsia" w:hAnsi="Cambria Math" w:cs="Arial"/>
                <w:sz w:val="24"/>
                <w:szCs w:val="24"/>
              </w:rPr>
              <m:t>7041</m:t>
            </m:r>
          </m:den>
        </m:f>
      </m:oMath>
      <w:r>
        <w:rPr>
          <w:rFonts w:ascii="Arial" w:eastAsiaTheme="minorEastAsia" w:hAnsi="Arial" w:cs="Arial"/>
          <w:sz w:val="24"/>
          <w:szCs w:val="24"/>
        </w:rPr>
        <w:t xml:space="preserve"> x 100%= 10.23%   </w:t>
      </w:r>
    </w:p>
    <w:p w14:paraId="42128C7F" w14:textId="33033ACF"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T</w:t>
      </w:r>
      <w:r w:rsidRPr="00CB408D">
        <w:rPr>
          <w:rFonts w:ascii="Arial" w:eastAsiaTheme="minorEastAsia" w:hAnsi="Arial" w:cs="Arial"/>
          <w:sz w:val="24"/>
          <w:szCs w:val="24"/>
        </w:rPr>
        <w:t xml:space="preserve">he improvement in ROCE from 10.23% in 2021 to 11.70% in 2022 for </w:t>
      </w:r>
      <w:r w:rsidR="00CF1E9C">
        <w:rPr>
          <w:rFonts w:ascii="Arial" w:eastAsiaTheme="minorEastAsia" w:hAnsi="Arial" w:cs="Arial"/>
          <w:sz w:val="24"/>
          <w:szCs w:val="24"/>
        </w:rPr>
        <w:t>Sweets</w:t>
      </w:r>
      <w:r w:rsidR="00CF1E9C" w:rsidRPr="00CB408D">
        <w:rPr>
          <w:rFonts w:ascii="Arial" w:eastAsiaTheme="minorEastAsia" w:hAnsi="Arial" w:cs="Arial"/>
          <w:sz w:val="24"/>
          <w:szCs w:val="24"/>
        </w:rPr>
        <w:t xml:space="preserve"> </w:t>
      </w:r>
      <w:r w:rsidRPr="00CB408D">
        <w:rPr>
          <w:rFonts w:ascii="Arial" w:eastAsiaTheme="minorEastAsia" w:hAnsi="Arial" w:cs="Arial"/>
          <w:sz w:val="24"/>
          <w:szCs w:val="24"/>
        </w:rPr>
        <w:t>suggests a notable increase in the company's efficiency in using its capital to generate profits. This positive shift indicates that the company has made effective operational and investment decisions, potentially outperforming industry standards.</w:t>
      </w:r>
      <w:r w:rsidRPr="00C10E43">
        <w:t xml:space="preserve"> </w:t>
      </w:r>
      <w:r>
        <w:rPr>
          <w:rFonts w:ascii="Arial" w:eastAsiaTheme="minorEastAsia" w:hAnsi="Arial" w:cs="Arial"/>
          <w:sz w:val="24"/>
          <w:szCs w:val="24"/>
        </w:rPr>
        <w:t>T</w:t>
      </w:r>
      <w:r w:rsidRPr="00C10E43">
        <w:rPr>
          <w:rFonts w:ascii="Arial" w:eastAsiaTheme="minorEastAsia" w:hAnsi="Arial" w:cs="Arial"/>
          <w:sz w:val="24"/>
          <w:szCs w:val="24"/>
        </w:rPr>
        <w:t>his increase reflects well on the company’s financial health and management effectivenes</w:t>
      </w:r>
      <w:r>
        <w:rPr>
          <w:rFonts w:ascii="Arial" w:eastAsiaTheme="minorEastAsia" w:hAnsi="Arial" w:cs="Arial"/>
          <w:sz w:val="24"/>
          <w:szCs w:val="24"/>
        </w:rPr>
        <w:t xml:space="preserve">s.     </w:t>
      </w:r>
    </w:p>
    <w:p w14:paraId="5CA4C278" w14:textId="55C7477F"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eastAsiaTheme="minorEastAsia" w:hAnsi="Arial" w:cs="Arial"/>
          <w:sz w:val="24"/>
          <w:szCs w:val="24"/>
        </w:rPr>
        <w:t xml:space="preserve">ROE=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Earnings</m:t>
            </m:r>
          </m:num>
          <m:den>
            <m:r>
              <w:rPr>
                <w:rFonts w:ascii="Cambria Math" w:eastAsiaTheme="minorEastAsia" w:hAnsi="Cambria Math" w:cs="Arial"/>
                <w:sz w:val="24"/>
                <w:szCs w:val="24"/>
              </w:rPr>
              <m:t xml:space="preserve">Equity </m:t>
            </m:r>
          </m:den>
        </m:f>
      </m:oMath>
      <w:r w:rsidRPr="00FD4F80">
        <w:rPr>
          <w:rFonts w:ascii="Arial" w:eastAsiaTheme="minorEastAsia" w:hAnsi="Arial" w:cs="Arial"/>
          <w:sz w:val="24"/>
          <w:szCs w:val="24"/>
        </w:rPr>
        <w:t xml:space="preserve"> x 100%</w:t>
      </w:r>
    </w:p>
    <w:p w14:paraId="37C569BC"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Roe 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431</m:t>
            </m:r>
          </m:num>
          <m:den>
            <m:r>
              <w:rPr>
                <w:rFonts w:ascii="Cambria Math" w:eastAsiaTheme="minorEastAsia" w:hAnsi="Cambria Math" w:cs="Arial"/>
                <w:sz w:val="24"/>
                <w:szCs w:val="24"/>
              </w:rPr>
              <m:t xml:space="preserve">3088 </m:t>
            </m:r>
          </m:den>
        </m:f>
      </m:oMath>
      <w:r>
        <w:rPr>
          <w:rFonts w:ascii="Arial" w:eastAsiaTheme="minorEastAsia" w:hAnsi="Arial" w:cs="Arial"/>
          <w:sz w:val="24"/>
          <w:szCs w:val="24"/>
        </w:rPr>
        <w:t>x 100% = 13,95%</w:t>
      </w:r>
    </w:p>
    <w:p w14:paraId="2B76199B" w14:textId="77777777" w:rsidR="00C04E35" w:rsidRDefault="00C04E35" w:rsidP="00C04E35">
      <w:pPr>
        <w:spacing w:line="360" w:lineRule="auto"/>
        <w:jc w:val="both"/>
        <w:rPr>
          <w:rFonts w:ascii="Arial" w:eastAsiaTheme="minorEastAsia" w:hAnsi="Arial" w:cs="Arial"/>
          <w:sz w:val="24"/>
          <w:szCs w:val="24"/>
        </w:rPr>
      </w:pPr>
      <w:r>
        <w:rPr>
          <w:rFonts w:ascii="Arial" w:hAnsi="Arial" w:cs="Arial"/>
          <w:sz w:val="24"/>
          <w:szCs w:val="24"/>
        </w:rPr>
        <w:t xml:space="preserve">ROE 2021: </w:t>
      </w:r>
      <m:oMath>
        <m:f>
          <m:fPr>
            <m:ctrlPr>
              <w:rPr>
                <w:rFonts w:ascii="Cambria Math" w:hAnsi="Cambria Math" w:cs="Arial"/>
                <w:i/>
                <w:sz w:val="24"/>
                <w:szCs w:val="24"/>
              </w:rPr>
            </m:ctrlPr>
          </m:fPr>
          <m:num>
            <m:r>
              <w:rPr>
                <w:rFonts w:ascii="Cambria Math" w:hAnsi="Cambria Math" w:cs="Arial"/>
                <w:sz w:val="24"/>
                <w:szCs w:val="24"/>
              </w:rPr>
              <m:t>366</m:t>
            </m:r>
          </m:num>
          <m:den>
            <m:r>
              <w:rPr>
                <w:rFonts w:ascii="Cambria Math" w:hAnsi="Cambria Math" w:cs="Arial"/>
                <w:sz w:val="24"/>
                <w:szCs w:val="24"/>
              </w:rPr>
              <m:t>2912</m:t>
            </m:r>
          </m:den>
        </m:f>
      </m:oMath>
      <w:r>
        <w:rPr>
          <w:rFonts w:ascii="Arial" w:eastAsiaTheme="minorEastAsia" w:hAnsi="Arial" w:cs="Arial"/>
          <w:sz w:val="24"/>
          <w:szCs w:val="24"/>
        </w:rPr>
        <w:t xml:space="preserve"> x100% = 12, 57% </w:t>
      </w:r>
    </w:p>
    <w:p w14:paraId="6CC10DA6" w14:textId="7B2B7FFA" w:rsidR="00C04E35" w:rsidRDefault="00C04E35" w:rsidP="00C04E35">
      <w:pPr>
        <w:spacing w:line="360" w:lineRule="auto"/>
        <w:jc w:val="both"/>
        <w:rPr>
          <w:rFonts w:ascii="Arial" w:hAnsi="Arial" w:cs="Arial"/>
          <w:sz w:val="24"/>
          <w:szCs w:val="24"/>
        </w:rPr>
      </w:pPr>
      <w:r w:rsidRPr="00E14162">
        <w:rPr>
          <w:rFonts w:ascii="Arial" w:hAnsi="Arial" w:cs="Arial"/>
          <w:sz w:val="24"/>
          <w:szCs w:val="24"/>
        </w:rPr>
        <w:t>The increase in Return on Equity (ROE) from 12.57% in 2021 to 13.95% in 2022 signifies a positive trend in</w:t>
      </w:r>
      <w:r w:rsidR="00CF1E9C" w:rsidRPr="00CF1E9C">
        <w:rPr>
          <w:rFonts w:ascii="Arial" w:eastAsiaTheme="minorEastAsia" w:hAnsi="Arial" w:cs="Arial"/>
          <w:sz w:val="24"/>
          <w:szCs w:val="24"/>
        </w:rPr>
        <w:t xml:space="preserve"> </w:t>
      </w:r>
      <w:r w:rsidR="00CF1E9C">
        <w:rPr>
          <w:rFonts w:ascii="Arial" w:eastAsiaTheme="minorEastAsia" w:hAnsi="Arial" w:cs="Arial"/>
          <w:sz w:val="24"/>
          <w:szCs w:val="24"/>
        </w:rPr>
        <w:t>Sweets</w:t>
      </w:r>
      <w:r w:rsidRPr="00E14162">
        <w:rPr>
          <w:rFonts w:ascii="Arial" w:hAnsi="Arial" w:cs="Arial"/>
          <w:sz w:val="24"/>
          <w:szCs w:val="24"/>
        </w:rPr>
        <w:t>’s financial performance. ROE, a key measure of profitability, indicates the company's ability to generate earnings from shareholders' equity. This upward movement suggests enhanced efficiency in utilizing equity capital, potentially reflecting successful management strategies and operational improvements.</w:t>
      </w:r>
    </w:p>
    <w:p w14:paraId="453577F0" w14:textId="5C113D63"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Earnings per share=  </w:t>
      </w:r>
      <m:oMath>
        <m:f>
          <m:fPr>
            <m:ctrlPr>
              <w:rPr>
                <w:rFonts w:ascii="Cambria Math" w:hAnsi="Cambria Math" w:cs="Arial"/>
                <w:i/>
                <w:sz w:val="24"/>
                <w:szCs w:val="24"/>
              </w:rPr>
            </m:ctrlPr>
          </m:fPr>
          <m:num>
            <m:r>
              <w:rPr>
                <w:rFonts w:ascii="Cambria Math" w:hAnsi="Cambria Math" w:cs="Arial"/>
                <w:sz w:val="24"/>
                <w:szCs w:val="24"/>
              </w:rPr>
              <m:t xml:space="preserve">Earnings </m:t>
            </m:r>
          </m:num>
          <m:den>
            <m:r>
              <w:rPr>
                <w:rFonts w:ascii="Cambria Math" w:hAnsi="Cambria Math" w:cs="Arial"/>
                <w:sz w:val="24"/>
                <w:szCs w:val="24"/>
              </w:rPr>
              <m:t>Number of ordinary shares</m:t>
            </m:r>
          </m:den>
        </m:f>
      </m:oMath>
      <w:r w:rsidRPr="00FD4F80">
        <w:rPr>
          <w:rFonts w:ascii="Arial" w:eastAsiaTheme="minorEastAsia" w:hAnsi="Arial" w:cs="Arial"/>
          <w:sz w:val="24"/>
          <w:szCs w:val="24"/>
        </w:rPr>
        <w:t xml:space="preserve"> £</w:t>
      </w:r>
    </w:p>
    <w:p w14:paraId="2F471BEA"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lastRenderedPageBreak/>
        <w:t xml:space="preserve">Number of ordinary shares (2021, 2022)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Ordinary share capital</m:t>
            </m:r>
          </m:num>
          <m:den>
            <m:r>
              <w:rPr>
                <w:rFonts w:ascii="Cambria Math" w:eastAsiaTheme="minorEastAsia" w:hAnsi="Cambria Math" w:cs="Arial"/>
                <w:sz w:val="24"/>
                <w:szCs w:val="24"/>
              </w:rPr>
              <m:t xml:space="preserve">Nominal value per share </m:t>
            </m:r>
          </m:den>
        </m:f>
      </m:oMath>
    </w:p>
    <w:p w14:paraId="56069ECC"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300 milions </m:t>
            </m:r>
          </m:num>
          <m:den>
            <m:r>
              <w:rPr>
                <w:rFonts w:ascii="Cambria Math" w:eastAsiaTheme="minorEastAsia" w:hAnsi="Cambria Math" w:cs="Arial"/>
                <w:sz w:val="24"/>
                <w:szCs w:val="24"/>
              </w:rPr>
              <m:t xml:space="preserve">0.50 per share </m:t>
            </m:r>
          </m:den>
        </m:f>
      </m:oMath>
      <w:r>
        <w:rPr>
          <w:rFonts w:ascii="Arial" w:eastAsiaTheme="minorEastAsia" w:hAnsi="Arial" w:cs="Arial"/>
          <w:sz w:val="24"/>
          <w:szCs w:val="24"/>
        </w:rPr>
        <w:t xml:space="preserve">    = 600 million shares </w:t>
      </w:r>
    </w:p>
    <w:p w14:paraId="5706DA30"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EPS 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431</m:t>
            </m:r>
          </m:num>
          <m:den>
            <m:r>
              <w:rPr>
                <w:rFonts w:ascii="Cambria Math" w:eastAsiaTheme="minorEastAsia" w:hAnsi="Cambria Math" w:cs="Arial"/>
                <w:sz w:val="24"/>
                <w:szCs w:val="24"/>
              </w:rPr>
              <m:t>600</m:t>
            </m:r>
          </m:den>
        </m:f>
      </m:oMath>
      <w:r>
        <w:rPr>
          <w:rFonts w:ascii="Arial" w:eastAsiaTheme="minorEastAsia" w:hAnsi="Arial" w:cs="Arial"/>
          <w:sz w:val="24"/>
          <w:szCs w:val="24"/>
        </w:rPr>
        <w:t xml:space="preserve"> = 0, 718£</w:t>
      </w:r>
    </w:p>
    <w:p w14:paraId="3CED5AB9"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EPS 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366</m:t>
            </m:r>
          </m:num>
          <m:den>
            <m:r>
              <w:rPr>
                <w:rFonts w:ascii="Cambria Math" w:eastAsiaTheme="minorEastAsia" w:hAnsi="Cambria Math" w:cs="Arial"/>
                <w:sz w:val="24"/>
                <w:szCs w:val="24"/>
              </w:rPr>
              <m:t>600</m:t>
            </m:r>
          </m:den>
        </m:f>
      </m:oMath>
      <w:r>
        <w:rPr>
          <w:rFonts w:ascii="Arial" w:eastAsiaTheme="minorEastAsia" w:hAnsi="Arial" w:cs="Arial"/>
          <w:sz w:val="24"/>
          <w:szCs w:val="24"/>
        </w:rPr>
        <w:t>= 0, 61£</w:t>
      </w:r>
    </w:p>
    <w:p w14:paraId="78BE4BA3" w14:textId="77777777" w:rsidR="00C04E35" w:rsidRPr="0000682B" w:rsidRDefault="00C04E35" w:rsidP="00C04E35">
      <w:pPr>
        <w:spacing w:line="360" w:lineRule="auto"/>
        <w:jc w:val="both"/>
        <w:rPr>
          <w:rFonts w:ascii="Arial" w:eastAsiaTheme="minorEastAsia" w:hAnsi="Arial" w:cs="Arial"/>
          <w:sz w:val="24"/>
          <w:szCs w:val="24"/>
        </w:rPr>
      </w:pPr>
    </w:p>
    <w:p w14:paraId="3768A3A7" w14:textId="77777777" w:rsidR="00C04E35" w:rsidRPr="00C664E0" w:rsidRDefault="00C04E35" w:rsidP="00C04E35">
      <w:pPr>
        <w:spacing w:line="360" w:lineRule="auto"/>
        <w:jc w:val="both"/>
        <w:rPr>
          <w:rFonts w:ascii="Arial" w:hAnsi="Arial" w:cs="Arial"/>
          <w:sz w:val="24"/>
          <w:szCs w:val="24"/>
        </w:rPr>
      </w:pPr>
    </w:p>
    <w:p w14:paraId="445B05D3" w14:textId="58CCAF14" w:rsidR="00C04E35" w:rsidRPr="002F6626" w:rsidRDefault="00CF1E9C" w:rsidP="00C04E35">
      <w:pPr>
        <w:spacing w:line="360" w:lineRule="auto"/>
        <w:jc w:val="both"/>
        <w:rPr>
          <w:rFonts w:ascii="Arial" w:hAnsi="Arial" w:cs="Arial"/>
          <w:sz w:val="24"/>
          <w:szCs w:val="24"/>
        </w:rPr>
      </w:pPr>
      <w:r>
        <w:rPr>
          <w:rFonts w:ascii="Arial" w:eastAsiaTheme="minorEastAsia" w:hAnsi="Arial" w:cs="Arial"/>
          <w:sz w:val="24"/>
          <w:szCs w:val="24"/>
        </w:rPr>
        <w:t>Sweets</w:t>
      </w:r>
      <w:r>
        <w:rPr>
          <w:rFonts w:ascii="Arial" w:hAnsi="Arial" w:cs="Arial"/>
          <w:sz w:val="24"/>
          <w:szCs w:val="24"/>
        </w:rPr>
        <w:t xml:space="preserve">’s </w:t>
      </w:r>
      <w:r w:rsidR="00C04E35" w:rsidRPr="00C664E0">
        <w:rPr>
          <w:rFonts w:ascii="Arial" w:hAnsi="Arial" w:cs="Arial"/>
          <w:sz w:val="24"/>
          <w:szCs w:val="24"/>
        </w:rPr>
        <w:t>Earnings Per Share (EPS) has risen from £0.61 in 2021 to £0.718 in 2022, demonstrating a favourable upward trend in the company's profit-making ability. As a vital measure of financial performance, EPS represents the profit allocated to each share of common stock. This increase points to</w:t>
      </w:r>
      <w:r w:rsidRPr="00CF1E9C">
        <w:rPr>
          <w:rFonts w:ascii="Arial" w:eastAsiaTheme="minorEastAsia" w:hAnsi="Arial" w:cs="Arial"/>
          <w:sz w:val="24"/>
          <w:szCs w:val="24"/>
        </w:rPr>
        <w:t xml:space="preserve"> </w:t>
      </w:r>
      <w:proofErr w:type="gramStart"/>
      <w:r>
        <w:rPr>
          <w:rFonts w:ascii="Arial" w:eastAsiaTheme="minorEastAsia" w:hAnsi="Arial" w:cs="Arial"/>
          <w:sz w:val="24"/>
          <w:szCs w:val="24"/>
        </w:rPr>
        <w:t>Sweets</w:t>
      </w:r>
      <w:proofErr w:type="gramEnd"/>
      <w:r>
        <w:rPr>
          <w:rFonts w:ascii="Arial" w:eastAsiaTheme="minorEastAsia" w:hAnsi="Arial" w:cs="Arial"/>
          <w:sz w:val="24"/>
          <w:szCs w:val="24"/>
        </w:rPr>
        <w:t xml:space="preserve"> plc</w:t>
      </w:r>
      <w:r w:rsidR="00C04E35" w:rsidRPr="00C664E0">
        <w:rPr>
          <w:rFonts w:ascii="Arial" w:hAnsi="Arial" w:cs="Arial"/>
          <w:sz w:val="24"/>
          <w:szCs w:val="24"/>
        </w:rPr>
        <w:t xml:space="preserve"> effective strategies in boosting its profitability, likely driven by growth in revenues. Such a positive shift in EPS underscores the company's success in amplifying its earnings power.</w:t>
      </w:r>
    </w:p>
    <w:p w14:paraId="72FB466B" w14:textId="60B08AEC"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Net profit margin= </w:t>
      </w:r>
      <m:oMath>
        <m:f>
          <m:fPr>
            <m:ctrlPr>
              <w:rPr>
                <w:rFonts w:ascii="Cambria Math" w:hAnsi="Cambria Math" w:cs="Arial"/>
                <w:i/>
                <w:sz w:val="24"/>
                <w:szCs w:val="24"/>
              </w:rPr>
            </m:ctrlPr>
          </m:fPr>
          <m:num>
            <m:r>
              <w:rPr>
                <w:rFonts w:ascii="Cambria Math" w:hAnsi="Cambria Math" w:cs="Arial"/>
                <w:sz w:val="24"/>
                <w:szCs w:val="24"/>
              </w:rPr>
              <m:t xml:space="preserve">net profit  </m:t>
            </m:r>
          </m:num>
          <m:den>
            <m:r>
              <w:rPr>
                <w:rFonts w:ascii="Cambria Math" w:hAnsi="Cambria Math" w:cs="Arial"/>
                <w:sz w:val="24"/>
                <w:szCs w:val="24"/>
              </w:rPr>
              <m:t xml:space="preserve">Sales </m:t>
            </m:r>
          </m:den>
        </m:f>
      </m:oMath>
      <w:r w:rsidRPr="00FD4F80">
        <w:rPr>
          <w:rFonts w:ascii="Arial" w:eastAsiaTheme="minorEastAsia" w:hAnsi="Arial" w:cs="Arial"/>
          <w:sz w:val="24"/>
          <w:szCs w:val="24"/>
        </w:rPr>
        <w:t xml:space="preserve"> x 100%</w:t>
      </w:r>
    </w:p>
    <w:p w14:paraId="2CC95DC0"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431</m:t>
            </m:r>
          </m:num>
          <m:den>
            <m:r>
              <w:rPr>
                <w:rFonts w:ascii="Cambria Math" w:eastAsiaTheme="minorEastAsia" w:hAnsi="Cambria Math" w:cs="Arial"/>
                <w:sz w:val="24"/>
                <w:szCs w:val="24"/>
              </w:rPr>
              <m:t>6738</m:t>
            </m:r>
          </m:den>
        </m:f>
      </m:oMath>
      <w:r>
        <w:rPr>
          <w:rFonts w:ascii="Arial" w:eastAsiaTheme="minorEastAsia" w:hAnsi="Arial" w:cs="Arial"/>
          <w:sz w:val="24"/>
          <w:szCs w:val="24"/>
        </w:rPr>
        <w:t xml:space="preserve"> x100% = 6,39%</w:t>
      </w:r>
    </w:p>
    <w:p w14:paraId="441E515D"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366</m:t>
            </m:r>
          </m:num>
          <m:den>
            <m:r>
              <w:rPr>
                <w:rFonts w:ascii="Cambria Math" w:eastAsiaTheme="minorEastAsia" w:hAnsi="Cambria Math" w:cs="Arial"/>
                <w:sz w:val="24"/>
                <w:szCs w:val="24"/>
              </w:rPr>
              <m:t>6441</m:t>
            </m:r>
          </m:den>
        </m:f>
      </m:oMath>
      <w:r>
        <w:rPr>
          <w:rFonts w:ascii="Arial" w:eastAsiaTheme="minorEastAsia" w:hAnsi="Arial" w:cs="Arial"/>
          <w:sz w:val="24"/>
          <w:szCs w:val="24"/>
        </w:rPr>
        <w:t xml:space="preserve"> x100% = 5,68%</w:t>
      </w:r>
    </w:p>
    <w:p w14:paraId="5A24229E" w14:textId="77777777" w:rsidR="00C04E35" w:rsidRPr="007818F3" w:rsidRDefault="00C04E35" w:rsidP="00C04E35">
      <w:pPr>
        <w:spacing w:line="360" w:lineRule="auto"/>
        <w:jc w:val="both"/>
        <w:rPr>
          <w:rFonts w:ascii="Arial" w:hAnsi="Arial" w:cs="Arial"/>
          <w:sz w:val="24"/>
          <w:szCs w:val="24"/>
        </w:rPr>
      </w:pPr>
    </w:p>
    <w:p w14:paraId="3750EC54" w14:textId="12454C6A" w:rsidR="00C04E35" w:rsidRPr="002F6626" w:rsidRDefault="00CF1E9C" w:rsidP="00C04E35">
      <w:pPr>
        <w:spacing w:line="360" w:lineRule="auto"/>
        <w:jc w:val="both"/>
        <w:rPr>
          <w:rFonts w:ascii="Arial" w:hAnsi="Arial" w:cs="Arial"/>
          <w:sz w:val="24"/>
          <w:szCs w:val="24"/>
        </w:rPr>
      </w:pPr>
      <w:r>
        <w:rPr>
          <w:rFonts w:ascii="Arial" w:eastAsiaTheme="minorEastAsia" w:hAnsi="Arial" w:cs="Arial"/>
          <w:sz w:val="24"/>
          <w:szCs w:val="24"/>
        </w:rPr>
        <w:t>Sweets</w:t>
      </w:r>
      <w:r w:rsidR="00C04E35" w:rsidRPr="007818F3">
        <w:rPr>
          <w:rFonts w:ascii="Arial" w:hAnsi="Arial" w:cs="Arial"/>
          <w:sz w:val="24"/>
          <w:szCs w:val="24"/>
        </w:rPr>
        <w:t xml:space="preserve"> Net Profit Margin saw a commendable rise from 5.68% in 2021 to 6.39% in 2022. This key financial ratio, which calculates the proportion of net income generated from total revenue, underscores the company's capacity to translate sales into profits effectively. The uptick indicates enhanced control over operational expenditures and/or more efficient sales strategies. An increasing Net Profit Margin is an encouraging sign, demonstrating not just revenue growth but also the company's ability to convert a greater share of these revenues into profits. This year-over-year enhancement signals robust financial well-being and superior operational management.</w:t>
      </w:r>
    </w:p>
    <w:p w14:paraId="36871FB1" w14:textId="7882A2A2"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Asset turnover= </w:t>
      </w:r>
      <m:oMath>
        <m:f>
          <m:fPr>
            <m:ctrlPr>
              <w:rPr>
                <w:rFonts w:ascii="Cambria Math" w:hAnsi="Cambria Math" w:cs="Arial"/>
                <w:i/>
                <w:sz w:val="24"/>
                <w:szCs w:val="24"/>
              </w:rPr>
            </m:ctrlPr>
          </m:fPr>
          <m:num>
            <m:r>
              <w:rPr>
                <w:rFonts w:ascii="Cambria Math" w:hAnsi="Cambria Math" w:cs="Arial"/>
                <w:sz w:val="24"/>
                <w:szCs w:val="24"/>
              </w:rPr>
              <m:t xml:space="preserve">Revenue </m:t>
            </m:r>
          </m:num>
          <m:den>
            <m:r>
              <w:rPr>
                <w:rFonts w:ascii="Cambria Math" w:hAnsi="Cambria Math" w:cs="Arial"/>
                <w:sz w:val="24"/>
                <w:szCs w:val="24"/>
              </w:rPr>
              <m:t xml:space="preserve">Capital employed </m:t>
            </m:r>
          </m:den>
        </m:f>
      </m:oMath>
      <w:r w:rsidRPr="00FD4F80">
        <w:rPr>
          <w:rFonts w:ascii="Arial" w:eastAsiaTheme="minorEastAsia" w:hAnsi="Arial" w:cs="Arial"/>
          <w:sz w:val="24"/>
          <w:szCs w:val="24"/>
        </w:rPr>
        <w:t xml:space="preserve"> (times)</w:t>
      </w:r>
    </w:p>
    <w:p w14:paraId="78D7A695"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lastRenderedPageBreak/>
        <w:t xml:space="preserve"> 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6738</m:t>
            </m:r>
          </m:num>
          <m:den>
            <m:r>
              <w:rPr>
                <w:rFonts w:ascii="Cambria Math" w:eastAsiaTheme="minorEastAsia" w:hAnsi="Cambria Math" w:cs="Arial"/>
                <w:sz w:val="24"/>
                <w:szCs w:val="24"/>
              </w:rPr>
              <m:t>7225</m:t>
            </m:r>
          </m:den>
        </m:f>
      </m:oMath>
      <w:r>
        <w:rPr>
          <w:rFonts w:ascii="Arial" w:eastAsiaTheme="minorEastAsia" w:hAnsi="Arial" w:cs="Arial"/>
          <w:sz w:val="24"/>
          <w:szCs w:val="24"/>
        </w:rPr>
        <w:t xml:space="preserve"> = 0, 93 </w:t>
      </w:r>
    </w:p>
    <w:p w14:paraId="041EA7CE"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6441</m:t>
            </m:r>
          </m:num>
          <m:den>
            <m:r>
              <w:rPr>
                <w:rFonts w:ascii="Cambria Math" w:eastAsiaTheme="minorEastAsia" w:hAnsi="Cambria Math" w:cs="Arial"/>
                <w:sz w:val="24"/>
                <w:szCs w:val="24"/>
              </w:rPr>
              <m:t>7041</m:t>
            </m:r>
          </m:den>
        </m:f>
      </m:oMath>
      <w:r>
        <w:rPr>
          <w:rFonts w:ascii="Arial" w:eastAsiaTheme="minorEastAsia" w:hAnsi="Arial" w:cs="Arial"/>
          <w:sz w:val="24"/>
          <w:szCs w:val="24"/>
        </w:rPr>
        <w:t xml:space="preserve"> = 0, 91</w:t>
      </w:r>
    </w:p>
    <w:p w14:paraId="27183F1D" w14:textId="77777777" w:rsidR="00C04E35" w:rsidRPr="008B26A3" w:rsidRDefault="00C04E35" w:rsidP="00C04E35">
      <w:pPr>
        <w:spacing w:line="360" w:lineRule="auto"/>
        <w:jc w:val="both"/>
        <w:rPr>
          <w:rFonts w:ascii="Arial" w:hAnsi="Arial" w:cs="Arial"/>
          <w:sz w:val="24"/>
          <w:szCs w:val="24"/>
        </w:rPr>
      </w:pPr>
    </w:p>
    <w:p w14:paraId="6839F4A1" w14:textId="0CBD2B4F" w:rsidR="00C04E35" w:rsidRPr="002F6626" w:rsidRDefault="00C04E35" w:rsidP="00C04E35">
      <w:pPr>
        <w:spacing w:line="360" w:lineRule="auto"/>
        <w:jc w:val="both"/>
        <w:rPr>
          <w:rFonts w:ascii="Arial" w:hAnsi="Arial" w:cs="Arial"/>
          <w:sz w:val="24"/>
          <w:szCs w:val="24"/>
        </w:rPr>
      </w:pPr>
      <w:r w:rsidRPr="008B26A3">
        <w:rPr>
          <w:rFonts w:ascii="Arial" w:hAnsi="Arial" w:cs="Arial"/>
          <w:sz w:val="24"/>
          <w:szCs w:val="24"/>
        </w:rPr>
        <w:t xml:space="preserve">The Asset Turnover Ratio has shown a slight improvement from 0.91 in 2021 to 0.93 in 2022. This ratio, which measures how efficiently a company uses its assets to generate sales, is calculated by dividing total revenue by total assets. The increase from 0.91 to 0.93 indicates that </w:t>
      </w:r>
      <w:r w:rsidR="00EF05EA">
        <w:rPr>
          <w:rFonts w:ascii="Arial" w:eastAsiaTheme="minorEastAsia" w:hAnsi="Arial" w:cs="Arial"/>
          <w:sz w:val="24"/>
          <w:szCs w:val="24"/>
        </w:rPr>
        <w:t>Sweets</w:t>
      </w:r>
      <w:r w:rsidR="00EF05EA" w:rsidRPr="008B26A3">
        <w:rPr>
          <w:rFonts w:ascii="Arial" w:hAnsi="Arial" w:cs="Arial"/>
          <w:sz w:val="24"/>
          <w:szCs w:val="24"/>
        </w:rPr>
        <w:t xml:space="preserve"> </w:t>
      </w:r>
      <w:r w:rsidRPr="008B26A3">
        <w:rPr>
          <w:rFonts w:ascii="Arial" w:hAnsi="Arial" w:cs="Arial"/>
          <w:sz w:val="24"/>
          <w:szCs w:val="24"/>
        </w:rPr>
        <w:t>has become marginally more effective in using its assets to produce revenue. While this is a positive development, the change is relatively small, suggesting only a modest enhancement in asset utilization efficiency. Nonetheless, in financial analysis, even small improvements in efficiency can be significant, especially when considered alongside other financial metrics.</w:t>
      </w:r>
    </w:p>
    <w:p w14:paraId="126AAE11" w14:textId="0577EB4C"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Stock holding days= </w:t>
      </w:r>
      <m:oMath>
        <m:f>
          <m:fPr>
            <m:ctrlPr>
              <w:rPr>
                <w:rFonts w:ascii="Cambria Math" w:hAnsi="Cambria Math" w:cs="Arial"/>
                <w:i/>
                <w:sz w:val="24"/>
                <w:szCs w:val="24"/>
              </w:rPr>
            </m:ctrlPr>
          </m:fPr>
          <m:num>
            <m:r>
              <w:rPr>
                <w:rFonts w:ascii="Cambria Math" w:hAnsi="Cambria Math" w:cs="Arial"/>
                <w:sz w:val="24"/>
                <w:szCs w:val="24"/>
              </w:rPr>
              <m:t xml:space="preserve">Inventory </m:t>
            </m:r>
          </m:num>
          <m:den>
            <m:r>
              <w:rPr>
                <w:rFonts w:ascii="Cambria Math" w:hAnsi="Cambria Math" w:cs="Arial"/>
                <w:sz w:val="24"/>
                <w:szCs w:val="24"/>
              </w:rPr>
              <m:t xml:space="preserve">Cost of sales  </m:t>
            </m:r>
          </m:den>
        </m:f>
      </m:oMath>
      <w:r w:rsidRPr="00FD4F80">
        <w:rPr>
          <w:rFonts w:ascii="Arial" w:eastAsiaTheme="minorEastAsia" w:hAnsi="Arial" w:cs="Arial"/>
          <w:sz w:val="24"/>
          <w:szCs w:val="24"/>
        </w:rPr>
        <w:t xml:space="preserve"> x 365 (days)  </w:t>
      </w:r>
    </w:p>
    <w:p w14:paraId="21A47308"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708</m:t>
            </m:r>
          </m:num>
          <m:den>
            <m:r>
              <w:rPr>
                <w:rFonts w:ascii="Cambria Math" w:eastAsiaTheme="minorEastAsia" w:hAnsi="Cambria Math" w:cs="Arial"/>
                <w:sz w:val="24"/>
                <w:szCs w:val="24"/>
              </w:rPr>
              <m:t>3235</m:t>
            </m:r>
          </m:den>
        </m:f>
      </m:oMath>
      <w:r>
        <w:rPr>
          <w:rFonts w:ascii="Arial" w:eastAsiaTheme="minorEastAsia" w:hAnsi="Arial" w:cs="Arial"/>
          <w:sz w:val="24"/>
          <w:szCs w:val="24"/>
        </w:rPr>
        <w:t xml:space="preserve"> x 365= 79, 88</w:t>
      </w:r>
    </w:p>
    <w:p w14:paraId="3CDDBDDE"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659</m:t>
            </m:r>
          </m:num>
          <m:den>
            <m:r>
              <w:rPr>
                <w:rFonts w:ascii="Cambria Math" w:eastAsiaTheme="minorEastAsia" w:hAnsi="Cambria Math" w:cs="Arial"/>
                <w:sz w:val="24"/>
                <w:szCs w:val="24"/>
              </w:rPr>
              <m:t>3096</m:t>
            </m:r>
          </m:den>
        </m:f>
      </m:oMath>
      <w:r>
        <w:rPr>
          <w:rFonts w:ascii="Arial" w:eastAsiaTheme="minorEastAsia" w:hAnsi="Arial" w:cs="Arial"/>
          <w:sz w:val="24"/>
          <w:szCs w:val="24"/>
        </w:rPr>
        <w:t xml:space="preserve"> x365= 77, 69 </w:t>
      </w:r>
    </w:p>
    <w:p w14:paraId="3B5F3F67" w14:textId="77777777" w:rsidR="004F11ED" w:rsidRPr="004F11ED" w:rsidRDefault="004F11ED" w:rsidP="004F11ED">
      <w:pPr>
        <w:spacing w:line="360" w:lineRule="auto"/>
        <w:jc w:val="both"/>
        <w:rPr>
          <w:rFonts w:ascii="Arial" w:hAnsi="Arial" w:cs="Arial"/>
          <w:sz w:val="24"/>
          <w:szCs w:val="24"/>
        </w:rPr>
      </w:pPr>
    </w:p>
    <w:p w14:paraId="21C9BDD3" w14:textId="501034E0" w:rsidR="00C04E35" w:rsidRPr="009952DD" w:rsidRDefault="004F11ED" w:rsidP="004F11ED">
      <w:pPr>
        <w:spacing w:line="360" w:lineRule="auto"/>
        <w:jc w:val="both"/>
        <w:rPr>
          <w:rFonts w:ascii="Arial" w:hAnsi="Arial" w:cs="Arial"/>
          <w:sz w:val="24"/>
          <w:szCs w:val="24"/>
        </w:rPr>
      </w:pPr>
      <w:r w:rsidRPr="004F11ED">
        <w:rPr>
          <w:rFonts w:ascii="Arial" w:hAnsi="Arial" w:cs="Arial"/>
          <w:sz w:val="24"/>
          <w:szCs w:val="24"/>
        </w:rPr>
        <w:t xml:space="preserve">The Stock Holding Days for Sweets plc saw a minor rise, moving from 77.69 days in 2021 to 79.88 days in 2022. This metric reflects the average duration that inventory remains with the company before being sold. The uptick suggests that, on average, </w:t>
      </w:r>
      <w:proofErr w:type="gramStart"/>
      <w:r w:rsidRPr="004F11ED">
        <w:rPr>
          <w:rFonts w:ascii="Arial" w:hAnsi="Arial" w:cs="Arial"/>
          <w:sz w:val="24"/>
          <w:szCs w:val="24"/>
        </w:rPr>
        <w:t>Sweets</w:t>
      </w:r>
      <w:proofErr w:type="gramEnd"/>
      <w:r w:rsidRPr="004F11ED">
        <w:rPr>
          <w:rFonts w:ascii="Arial" w:hAnsi="Arial" w:cs="Arial"/>
          <w:sz w:val="24"/>
          <w:szCs w:val="24"/>
        </w:rPr>
        <w:t xml:space="preserve"> plc took a bit longer to sell its inventory in 2022 compared to 2021. This might be indicative of a slight slowdown in sales pace or adjustments in how inventory is managed. However, given the small magnitude of the change, it points to only a slight shift in the rate at which inventory is turned over.</w:t>
      </w:r>
    </w:p>
    <w:p w14:paraId="0B511B20" w14:textId="6B049D41"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proofErr w:type="gramStart"/>
      <w:r w:rsidRPr="00FD4F80">
        <w:rPr>
          <w:rFonts w:ascii="Arial" w:hAnsi="Arial" w:cs="Arial"/>
          <w:sz w:val="24"/>
          <w:szCs w:val="24"/>
        </w:rPr>
        <w:t>Debtors</w:t>
      </w:r>
      <w:proofErr w:type="gramEnd"/>
      <w:r w:rsidRPr="00FD4F80">
        <w:rPr>
          <w:rFonts w:ascii="Arial" w:hAnsi="Arial" w:cs="Arial"/>
          <w:sz w:val="24"/>
          <w:szCs w:val="24"/>
        </w:rPr>
        <w:t xml:space="preserve"> collection period = </w:t>
      </w:r>
      <m:oMath>
        <m:f>
          <m:fPr>
            <m:ctrlPr>
              <w:rPr>
                <w:rFonts w:ascii="Cambria Math" w:hAnsi="Cambria Math" w:cs="Arial"/>
                <w:i/>
                <w:sz w:val="24"/>
                <w:szCs w:val="24"/>
              </w:rPr>
            </m:ctrlPr>
          </m:fPr>
          <m:num>
            <m:r>
              <w:rPr>
                <w:rFonts w:ascii="Cambria Math" w:hAnsi="Cambria Math" w:cs="Arial"/>
                <w:sz w:val="24"/>
                <w:szCs w:val="24"/>
              </w:rPr>
              <m:t xml:space="preserve">Trade receivables </m:t>
            </m:r>
          </m:num>
          <m:den>
            <m:r>
              <w:rPr>
                <w:rFonts w:ascii="Cambria Math" w:hAnsi="Cambria Math" w:cs="Arial"/>
                <w:sz w:val="24"/>
                <w:szCs w:val="24"/>
              </w:rPr>
              <m:t>Credit sales (Revenue)</m:t>
            </m:r>
          </m:den>
        </m:f>
      </m:oMath>
      <w:r w:rsidRPr="00FD4F80">
        <w:rPr>
          <w:rFonts w:ascii="Arial" w:eastAsiaTheme="minorEastAsia" w:hAnsi="Arial" w:cs="Arial"/>
          <w:sz w:val="24"/>
          <w:szCs w:val="24"/>
        </w:rPr>
        <w:t xml:space="preserve"> x 365 (days)</w:t>
      </w:r>
    </w:p>
    <w:p w14:paraId="418A5EE3"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1249</m:t>
            </m:r>
          </m:num>
          <m:den>
            <m:r>
              <w:rPr>
                <w:rFonts w:ascii="Cambria Math" w:eastAsiaTheme="minorEastAsia" w:hAnsi="Cambria Math" w:cs="Arial"/>
                <w:sz w:val="24"/>
                <w:szCs w:val="24"/>
              </w:rPr>
              <m:t>6738</m:t>
            </m:r>
          </m:den>
        </m:f>
      </m:oMath>
      <w:r>
        <w:rPr>
          <w:rFonts w:ascii="Arial" w:eastAsiaTheme="minorEastAsia" w:hAnsi="Arial" w:cs="Arial"/>
          <w:sz w:val="24"/>
          <w:szCs w:val="24"/>
        </w:rPr>
        <w:t xml:space="preserve"> x 365= 67,66 days </w:t>
      </w:r>
    </w:p>
    <w:p w14:paraId="7466F025"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1287</m:t>
            </m:r>
          </m:num>
          <m:den>
            <m:r>
              <w:rPr>
                <w:rFonts w:ascii="Cambria Math" w:eastAsiaTheme="minorEastAsia" w:hAnsi="Cambria Math" w:cs="Arial"/>
                <w:sz w:val="24"/>
                <w:szCs w:val="24"/>
              </w:rPr>
              <m:t>6441</m:t>
            </m:r>
          </m:den>
        </m:f>
      </m:oMath>
      <w:r>
        <w:rPr>
          <w:rFonts w:ascii="Arial" w:eastAsiaTheme="minorEastAsia" w:hAnsi="Arial" w:cs="Arial"/>
          <w:sz w:val="24"/>
          <w:szCs w:val="24"/>
        </w:rPr>
        <w:t xml:space="preserve"> x 365= 72,93 days </w:t>
      </w:r>
    </w:p>
    <w:p w14:paraId="2C17B8CC" w14:textId="77C6DA20" w:rsidR="00C04E35" w:rsidRDefault="00EF05EA" w:rsidP="00C04E35">
      <w:pPr>
        <w:spacing w:line="360" w:lineRule="auto"/>
        <w:jc w:val="both"/>
        <w:rPr>
          <w:rFonts w:ascii="Arial" w:hAnsi="Arial" w:cs="Arial"/>
          <w:sz w:val="24"/>
          <w:szCs w:val="24"/>
        </w:rPr>
      </w:pPr>
      <w:r>
        <w:rPr>
          <w:rFonts w:ascii="Arial" w:eastAsiaTheme="minorEastAsia" w:hAnsi="Arial" w:cs="Arial"/>
          <w:sz w:val="24"/>
          <w:szCs w:val="24"/>
        </w:rPr>
        <w:lastRenderedPageBreak/>
        <w:t>Sweets</w:t>
      </w:r>
      <w:r w:rsidRPr="00931DBC">
        <w:rPr>
          <w:rFonts w:ascii="Arial" w:hAnsi="Arial" w:cs="Arial"/>
          <w:sz w:val="24"/>
          <w:szCs w:val="24"/>
        </w:rPr>
        <w:t xml:space="preserve"> </w:t>
      </w:r>
      <w:r w:rsidR="00C04E35" w:rsidRPr="00931DBC">
        <w:rPr>
          <w:rFonts w:ascii="Arial" w:hAnsi="Arial" w:cs="Arial"/>
          <w:sz w:val="24"/>
          <w:szCs w:val="24"/>
        </w:rPr>
        <w:t xml:space="preserve">PLC demonstrated a significant improvement in its Debtors Collection Period, decreasing from 72.93 days in 2021 to 67.66 days in 2022. This metric reflects the average time taken by the company to collect payments from its customers. The reduction in this period indicates enhanced efficiency in </w:t>
      </w:r>
      <w:r>
        <w:rPr>
          <w:rFonts w:ascii="Arial" w:eastAsiaTheme="minorEastAsia" w:hAnsi="Arial" w:cs="Arial"/>
          <w:sz w:val="24"/>
          <w:szCs w:val="24"/>
        </w:rPr>
        <w:t>Sweets</w:t>
      </w:r>
      <w:r w:rsidRPr="00931DBC">
        <w:rPr>
          <w:rFonts w:ascii="Arial" w:hAnsi="Arial" w:cs="Arial"/>
          <w:sz w:val="24"/>
          <w:szCs w:val="24"/>
        </w:rPr>
        <w:t xml:space="preserve"> </w:t>
      </w:r>
      <w:r w:rsidR="00C04E35" w:rsidRPr="00931DBC">
        <w:rPr>
          <w:rFonts w:ascii="Arial" w:hAnsi="Arial" w:cs="Arial"/>
          <w:sz w:val="24"/>
          <w:szCs w:val="24"/>
        </w:rPr>
        <w:t>PLC's receivables management. Such a decrease could be attributed to more effective credit control policies, improved customer payment practices, or a more proactive approach in collections. A shorter Debtors Collection Period is generally advantageous, as it suggests better liquidity and efficient cash flow management for the company.</w:t>
      </w:r>
    </w:p>
    <w:p w14:paraId="25193F9B" w14:textId="2A79FAD8"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Current ratio = </w:t>
      </w:r>
      <m:oMath>
        <m:f>
          <m:fPr>
            <m:ctrlPr>
              <w:rPr>
                <w:rFonts w:ascii="Cambria Math" w:hAnsi="Cambria Math" w:cs="Arial"/>
                <w:i/>
                <w:sz w:val="24"/>
                <w:szCs w:val="24"/>
              </w:rPr>
            </m:ctrlPr>
          </m:fPr>
          <m:num>
            <m:r>
              <w:rPr>
                <w:rFonts w:ascii="Cambria Math" w:hAnsi="Cambria Math" w:cs="Arial"/>
                <w:sz w:val="24"/>
                <w:szCs w:val="24"/>
              </w:rPr>
              <m:t>Current Assets</m:t>
            </m:r>
          </m:num>
          <m:den>
            <m:r>
              <w:rPr>
                <w:rFonts w:ascii="Cambria Math" w:hAnsi="Cambria Math" w:cs="Arial"/>
                <w:sz w:val="24"/>
                <w:szCs w:val="24"/>
              </w:rPr>
              <m:t xml:space="preserve">Curent libilities </m:t>
            </m:r>
          </m:den>
        </m:f>
      </m:oMath>
      <w:r w:rsidRPr="00FD4F80">
        <w:rPr>
          <w:rFonts w:ascii="Arial" w:eastAsiaTheme="minorEastAsia" w:hAnsi="Arial" w:cs="Arial"/>
          <w:sz w:val="24"/>
          <w:szCs w:val="24"/>
        </w:rPr>
        <w:t xml:space="preserve">  ( x:1)</w:t>
      </w:r>
    </w:p>
    <w:p w14:paraId="54A9DA73"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2303</m:t>
            </m:r>
          </m:num>
          <m:den>
            <m:r>
              <w:rPr>
                <w:rFonts w:ascii="Cambria Math" w:eastAsiaTheme="minorEastAsia" w:hAnsi="Cambria Math" w:cs="Arial"/>
                <w:sz w:val="24"/>
                <w:szCs w:val="24"/>
              </w:rPr>
              <m:t>2511</m:t>
            </m:r>
          </m:den>
        </m:f>
      </m:oMath>
      <w:r>
        <w:rPr>
          <w:rFonts w:ascii="Arial" w:eastAsiaTheme="minorEastAsia" w:hAnsi="Arial" w:cs="Arial"/>
          <w:sz w:val="24"/>
          <w:szCs w:val="24"/>
        </w:rPr>
        <w:t xml:space="preserve"> = 0,92:1</w:t>
      </w:r>
    </w:p>
    <w:p w14:paraId="132E5003"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2355</m:t>
            </m:r>
          </m:num>
          <m:den>
            <m:r>
              <w:rPr>
                <w:rFonts w:ascii="Cambria Math" w:eastAsiaTheme="minorEastAsia" w:hAnsi="Cambria Math" w:cs="Arial"/>
                <w:sz w:val="24"/>
                <w:szCs w:val="24"/>
              </w:rPr>
              <m:t>3046</m:t>
            </m:r>
          </m:den>
        </m:f>
      </m:oMath>
      <w:r>
        <w:rPr>
          <w:rFonts w:ascii="Arial" w:eastAsiaTheme="minorEastAsia" w:hAnsi="Arial" w:cs="Arial"/>
          <w:sz w:val="24"/>
          <w:szCs w:val="24"/>
        </w:rPr>
        <w:t xml:space="preserve"> – 0,77:1 </w:t>
      </w:r>
    </w:p>
    <w:p w14:paraId="5B3C6B35" w14:textId="77777777" w:rsidR="000A7CCB" w:rsidRPr="000A7CCB" w:rsidRDefault="000A7CCB" w:rsidP="000A7CCB">
      <w:pPr>
        <w:spacing w:line="360" w:lineRule="auto"/>
        <w:jc w:val="both"/>
        <w:rPr>
          <w:rFonts w:ascii="Arial" w:eastAsiaTheme="minorEastAsia" w:hAnsi="Arial" w:cs="Arial"/>
          <w:sz w:val="24"/>
          <w:szCs w:val="24"/>
        </w:rPr>
      </w:pPr>
    </w:p>
    <w:p w14:paraId="603C190C" w14:textId="4B9EA301" w:rsidR="000A7CCB" w:rsidRPr="004065F3" w:rsidRDefault="000A7CCB" w:rsidP="000A7CCB">
      <w:pPr>
        <w:spacing w:line="360" w:lineRule="auto"/>
        <w:jc w:val="both"/>
        <w:rPr>
          <w:rFonts w:ascii="Arial" w:eastAsiaTheme="minorEastAsia" w:hAnsi="Arial" w:cs="Arial"/>
          <w:sz w:val="24"/>
          <w:szCs w:val="24"/>
        </w:rPr>
      </w:pPr>
      <w:r w:rsidRPr="000A7CCB">
        <w:rPr>
          <w:rFonts w:ascii="Arial" w:eastAsiaTheme="minorEastAsia" w:hAnsi="Arial" w:cs="Arial"/>
          <w:sz w:val="24"/>
          <w:szCs w:val="24"/>
        </w:rPr>
        <w:t xml:space="preserve">The Current Ratio of </w:t>
      </w:r>
      <w:r w:rsidR="00EF05EA">
        <w:rPr>
          <w:rFonts w:ascii="Arial" w:eastAsiaTheme="minorEastAsia" w:hAnsi="Arial" w:cs="Arial"/>
          <w:sz w:val="24"/>
          <w:szCs w:val="24"/>
        </w:rPr>
        <w:t>Sweets</w:t>
      </w:r>
      <w:r w:rsidR="00EF05EA" w:rsidRPr="000A7CCB">
        <w:rPr>
          <w:rFonts w:ascii="Arial" w:eastAsiaTheme="minorEastAsia" w:hAnsi="Arial" w:cs="Arial"/>
          <w:sz w:val="24"/>
          <w:szCs w:val="24"/>
        </w:rPr>
        <w:t xml:space="preserve"> </w:t>
      </w:r>
      <w:r w:rsidRPr="000A7CCB">
        <w:rPr>
          <w:rFonts w:ascii="Arial" w:eastAsiaTheme="minorEastAsia" w:hAnsi="Arial" w:cs="Arial"/>
          <w:sz w:val="24"/>
          <w:szCs w:val="24"/>
        </w:rPr>
        <w:t xml:space="preserve">PLC significantly improved from 0.77:1 in 2021 to 0.92:1 in 2022, indicating a stronger liquidity position. This key financial metric, which compares current assets to current liabilities, reflects the company's capability to meet its short-term obligations. The increase suggests </w:t>
      </w:r>
      <w:r w:rsidR="00EF05EA">
        <w:rPr>
          <w:rFonts w:ascii="Arial" w:eastAsiaTheme="minorEastAsia" w:hAnsi="Arial" w:cs="Arial"/>
          <w:sz w:val="24"/>
          <w:szCs w:val="24"/>
        </w:rPr>
        <w:t xml:space="preserve">Sweets </w:t>
      </w:r>
      <w:r w:rsidRPr="000A7CCB">
        <w:rPr>
          <w:rFonts w:ascii="Arial" w:eastAsiaTheme="minorEastAsia" w:hAnsi="Arial" w:cs="Arial"/>
          <w:sz w:val="24"/>
          <w:szCs w:val="24"/>
        </w:rPr>
        <w:t xml:space="preserve">PLC has effectively managed its working capital, possibly by increasing liquid assets or reducing short-term debts. Approaching a 1:1 ratio is </w:t>
      </w:r>
      <w:proofErr w:type="spellStart"/>
      <w:r w:rsidRPr="000A7CCB">
        <w:rPr>
          <w:rFonts w:ascii="Arial" w:eastAsiaTheme="minorEastAsia" w:hAnsi="Arial" w:cs="Arial"/>
          <w:sz w:val="24"/>
          <w:szCs w:val="24"/>
        </w:rPr>
        <w:t>favorable</w:t>
      </w:r>
      <w:proofErr w:type="spellEnd"/>
      <w:r w:rsidRPr="000A7CCB">
        <w:rPr>
          <w:rFonts w:ascii="Arial" w:eastAsiaTheme="minorEastAsia" w:hAnsi="Arial" w:cs="Arial"/>
          <w:sz w:val="24"/>
          <w:szCs w:val="24"/>
        </w:rPr>
        <w:t xml:space="preserve">, signifying near-equal assets and liabilities. This improvement is a positive indication of </w:t>
      </w:r>
      <w:r w:rsidR="006D7655">
        <w:rPr>
          <w:rFonts w:ascii="Arial" w:eastAsiaTheme="minorEastAsia" w:hAnsi="Arial" w:cs="Arial"/>
          <w:sz w:val="24"/>
          <w:szCs w:val="24"/>
        </w:rPr>
        <w:t>Sweets</w:t>
      </w:r>
      <w:r w:rsidR="006D7655" w:rsidRPr="000A7CCB">
        <w:rPr>
          <w:rFonts w:ascii="Arial" w:eastAsiaTheme="minorEastAsia" w:hAnsi="Arial" w:cs="Arial"/>
          <w:sz w:val="24"/>
          <w:szCs w:val="24"/>
        </w:rPr>
        <w:t xml:space="preserve"> </w:t>
      </w:r>
      <w:r w:rsidRPr="000A7CCB">
        <w:rPr>
          <w:rFonts w:ascii="Arial" w:eastAsiaTheme="minorEastAsia" w:hAnsi="Arial" w:cs="Arial"/>
          <w:sz w:val="24"/>
          <w:szCs w:val="24"/>
        </w:rPr>
        <w:t>PLC's financial health, highlighting its ability to cover short-term liabilities, maintain operational stability, and ensure financial flexibility in the short term.</w:t>
      </w:r>
    </w:p>
    <w:p w14:paraId="72C03B95" w14:textId="608C9405"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Gearing ratio = </w:t>
      </w:r>
      <m:oMath>
        <m:f>
          <m:fPr>
            <m:ctrlPr>
              <w:rPr>
                <w:rFonts w:ascii="Cambria Math" w:hAnsi="Cambria Math" w:cs="Arial"/>
                <w:i/>
                <w:sz w:val="24"/>
                <w:szCs w:val="24"/>
              </w:rPr>
            </m:ctrlPr>
          </m:fPr>
          <m:num>
            <m:r>
              <w:rPr>
                <w:rFonts w:ascii="Cambria Math" w:hAnsi="Cambria Math" w:cs="Arial"/>
                <w:sz w:val="24"/>
                <w:szCs w:val="24"/>
              </w:rPr>
              <m:t>Long term debt</m:t>
            </m:r>
          </m:num>
          <m:den>
            <m:r>
              <w:rPr>
                <w:rFonts w:ascii="Cambria Math" w:hAnsi="Cambria Math" w:cs="Arial"/>
                <w:sz w:val="24"/>
                <w:szCs w:val="24"/>
              </w:rPr>
              <m:t>Long term debt+Equity</m:t>
            </m:r>
          </m:den>
        </m:f>
      </m:oMath>
      <w:r w:rsidRPr="00FD4F80">
        <w:rPr>
          <w:rFonts w:ascii="Arial" w:eastAsiaTheme="minorEastAsia" w:hAnsi="Arial" w:cs="Arial"/>
          <w:sz w:val="24"/>
          <w:szCs w:val="24"/>
        </w:rPr>
        <w:t xml:space="preserve"> x 100%</w:t>
      </w:r>
    </w:p>
    <w:p w14:paraId="53BAC1AF"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4137</m:t>
            </m:r>
          </m:num>
          <m:den>
            <m:r>
              <w:rPr>
                <w:rFonts w:ascii="Cambria Math" w:eastAsiaTheme="minorEastAsia" w:hAnsi="Cambria Math" w:cs="Arial"/>
                <w:sz w:val="24"/>
                <w:szCs w:val="24"/>
              </w:rPr>
              <m:t>4137+3088</m:t>
            </m:r>
          </m:den>
        </m:f>
      </m:oMath>
      <w:r>
        <w:rPr>
          <w:rFonts w:ascii="Arial" w:eastAsiaTheme="minorEastAsia" w:hAnsi="Arial" w:cs="Arial"/>
          <w:sz w:val="24"/>
          <w:szCs w:val="24"/>
        </w:rPr>
        <w:t xml:space="preserve"> x100%= 57,26%</w:t>
      </w:r>
    </w:p>
    <w:p w14:paraId="3EA52879"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4129</m:t>
            </m:r>
          </m:num>
          <m:den>
            <m:r>
              <w:rPr>
                <w:rFonts w:ascii="Cambria Math" w:eastAsiaTheme="minorEastAsia" w:hAnsi="Cambria Math" w:cs="Arial"/>
                <w:sz w:val="24"/>
                <w:szCs w:val="24"/>
              </w:rPr>
              <m:t>4129+2912</m:t>
            </m:r>
          </m:den>
        </m:f>
      </m:oMath>
      <w:r>
        <w:rPr>
          <w:rFonts w:ascii="Arial" w:eastAsiaTheme="minorEastAsia" w:hAnsi="Arial" w:cs="Arial"/>
          <w:sz w:val="24"/>
          <w:szCs w:val="24"/>
        </w:rPr>
        <w:t xml:space="preserve"> x 100%= 58,64% </w:t>
      </w:r>
    </w:p>
    <w:p w14:paraId="347F5857" w14:textId="77777777" w:rsidR="0057632D" w:rsidRPr="0057632D" w:rsidRDefault="0057632D" w:rsidP="0057632D">
      <w:pPr>
        <w:spacing w:line="360" w:lineRule="auto"/>
        <w:jc w:val="both"/>
        <w:rPr>
          <w:rFonts w:ascii="Arial" w:eastAsiaTheme="minorEastAsia" w:hAnsi="Arial" w:cs="Arial"/>
          <w:sz w:val="24"/>
          <w:szCs w:val="24"/>
        </w:rPr>
      </w:pPr>
    </w:p>
    <w:p w14:paraId="1EEF2312" w14:textId="1342C921" w:rsidR="0057632D" w:rsidRDefault="006D7655" w:rsidP="0057632D">
      <w:pPr>
        <w:spacing w:line="360" w:lineRule="auto"/>
        <w:jc w:val="both"/>
        <w:rPr>
          <w:rFonts w:ascii="Arial" w:eastAsiaTheme="minorEastAsia" w:hAnsi="Arial" w:cs="Arial"/>
          <w:sz w:val="24"/>
          <w:szCs w:val="24"/>
        </w:rPr>
      </w:pPr>
      <w:r>
        <w:rPr>
          <w:rFonts w:ascii="Arial" w:eastAsiaTheme="minorEastAsia" w:hAnsi="Arial" w:cs="Arial"/>
          <w:sz w:val="24"/>
          <w:szCs w:val="24"/>
        </w:rPr>
        <w:t>Sweets</w:t>
      </w:r>
      <w:r w:rsidRPr="0057632D">
        <w:rPr>
          <w:rFonts w:ascii="Arial" w:eastAsiaTheme="minorEastAsia" w:hAnsi="Arial" w:cs="Arial"/>
          <w:sz w:val="24"/>
          <w:szCs w:val="24"/>
        </w:rPr>
        <w:t xml:space="preserve"> </w:t>
      </w:r>
      <w:r w:rsidR="0057632D" w:rsidRPr="0057632D">
        <w:rPr>
          <w:rFonts w:ascii="Arial" w:eastAsiaTheme="minorEastAsia" w:hAnsi="Arial" w:cs="Arial"/>
          <w:sz w:val="24"/>
          <w:szCs w:val="24"/>
        </w:rPr>
        <w:t xml:space="preserve">PLC's Gearing Ratio, a key indicator of financial leverage, slightly decreased from 58.64% in 2021 to 57.26% in 2022. This ratio, calculated by dividing long-term debt by the sum of long-term debt and equity, reflects the company's reliance on debt </w:t>
      </w:r>
      <w:r w:rsidR="0057632D" w:rsidRPr="0057632D">
        <w:rPr>
          <w:rFonts w:ascii="Arial" w:eastAsiaTheme="minorEastAsia" w:hAnsi="Arial" w:cs="Arial"/>
          <w:sz w:val="24"/>
          <w:szCs w:val="24"/>
        </w:rPr>
        <w:lastRenderedPageBreak/>
        <w:t xml:space="preserve">financing. The reduction suggests a minor shift in </w:t>
      </w:r>
      <w:r>
        <w:rPr>
          <w:rFonts w:ascii="Arial" w:eastAsiaTheme="minorEastAsia" w:hAnsi="Arial" w:cs="Arial"/>
          <w:sz w:val="24"/>
          <w:szCs w:val="24"/>
        </w:rPr>
        <w:t>Sweets</w:t>
      </w:r>
      <w:r w:rsidRPr="0057632D">
        <w:rPr>
          <w:rFonts w:ascii="Arial" w:eastAsiaTheme="minorEastAsia" w:hAnsi="Arial" w:cs="Arial"/>
          <w:sz w:val="24"/>
          <w:szCs w:val="24"/>
        </w:rPr>
        <w:t xml:space="preserve"> </w:t>
      </w:r>
      <w:r w:rsidR="0057632D" w:rsidRPr="0057632D">
        <w:rPr>
          <w:rFonts w:ascii="Arial" w:eastAsiaTheme="minorEastAsia" w:hAnsi="Arial" w:cs="Arial"/>
          <w:sz w:val="24"/>
          <w:szCs w:val="24"/>
        </w:rPr>
        <w:t>PLC's financial strategy, favouring equity over debt. This adjustment points towards a strategic move to reduce financial risk and interest-related burdens, indicative of a cautious approach to maintaining a balanced capital structure for better financial resilience and stability.</w:t>
      </w:r>
    </w:p>
    <w:p w14:paraId="21E78BB2" w14:textId="77777777" w:rsidR="009F25F2" w:rsidRPr="009F25F2" w:rsidRDefault="009F25F2" w:rsidP="009F25F2">
      <w:pPr>
        <w:spacing w:line="360" w:lineRule="auto"/>
        <w:jc w:val="both"/>
        <w:rPr>
          <w:rFonts w:ascii="Arial" w:hAnsi="Arial" w:cs="Arial"/>
          <w:sz w:val="24"/>
          <w:szCs w:val="24"/>
        </w:rPr>
      </w:pPr>
    </w:p>
    <w:p w14:paraId="610E71E3" w14:textId="1E9A427C" w:rsidR="00C04E35" w:rsidRPr="00FD4F80" w:rsidRDefault="00C04E35" w:rsidP="00FD4F80">
      <w:pPr>
        <w:pStyle w:val="ListParagraph"/>
        <w:numPr>
          <w:ilvl w:val="0"/>
          <w:numId w:val="7"/>
        </w:numPr>
        <w:spacing w:line="360" w:lineRule="auto"/>
        <w:jc w:val="both"/>
        <w:rPr>
          <w:rFonts w:ascii="Arial" w:eastAsiaTheme="minorEastAsia" w:hAnsi="Arial" w:cs="Arial"/>
          <w:sz w:val="24"/>
          <w:szCs w:val="24"/>
        </w:rPr>
      </w:pPr>
      <w:r w:rsidRPr="00FD4F80">
        <w:rPr>
          <w:rFonts w:ascii="Arial" w:hAnsi="Arial" w:cs="Arial"/>
          <w:sz w:val="24"/>
          <w:szCs w:val="24"/>
        </w:rPr>
        <w:t xml:space="preserve">Interest cover = </w:t>
      </w:r>
      <m:oMath>
        <m:f>
          <m:fPr>
            <m:ctrlPr>
              <w:rPr>
                <w:rFonts w:ascii="Cambria Math" w:hAnsi="Cambria Math" w:cs="Arial"/>
                <w:i/>
                <w:sz w:val="24"/>
                <w:szCs w:val="24"/>
              </w:rPr>
            </m:ctrlPr>
          </m:fPr>
          <m:num>
            <m:r>
              <w:rPr>
                <w:rFonts w:ascii="Cambria Math" w:hAnsi="Cambria Math" w:cs="Arial"/>
                <w:sz w:val="24"/>
                <w:szCs w:val="24"/>
              </w:rPr>
              <m:t>Profit before interest</m:t>
            </m:r>
          </m:num>
          <m:den>
            <m:r>
              <w:rPr>
                <w:rFonts w:ascii="Cambria Math" w:hAnsi="Cambria Math" w:cs="Arial"/>
                <w:sz w:val="24"/>
                <w:szCs w:val="24"/>
              </w:rPr>
              <m:t xml:space="preserve">Interest charge </m:t>
            </m:r>
          </m:den>
        </m:f>
      </m:oMath>
      <w:r w:rsidRPr="00FD4F80">
        <w:rPr>
          <w:rFonts w:ascii="Arial" w:eastAsiaTheme="minorEastAsia" w:hAnsi="Arial" w:cs="Arial"/>
          <w:sz w:val="24"/>
          <w:szCs w:val="24"/>
        </w:rPr>
        <w:t xml:space="preserve"> (times) </w:t>
      </w:r>
    </w:p>
    <w:p w14:paraId="0233F9B2"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2022: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846</m:t>
            </m:r>
          </m:num>
          <m:den>
            <m:r>
              <w:rPr>
                <w:rFonts w:ascii="Cambria Math" w:eastAsiaTheme="minorEastAsia" w:hAnsi="Cambria Math" w:cs="Arial"/>
                <w:sz w:val="24"/>
                <w:szCs w:val="24"/>
              </w:rPr>
              <m:t>226</m:t>
            </m:r>
          </m:den>
        </m:f>
      </m:oMath>
      <w:r>
        <w:rPr>
          <w:rFonts w:ascii="Arial" w:eastAsiaTheme="minorEastAsia" w:hAnsi="Arial" w:cs="Arial"/>
          <w:sz w:val="24"/>
          <w:szCs w:val="24"/>
        </w:rPr>
        <w:t xml:space="preserve"> = 3,74 </w:t>
      </w:r>
    </w:p>
    <w:p w14:paraId="1EFEC82E" w14:textId="77777777" w:rsidR="00C04E35" w:rsidRDefault="00C04E35" w:rsidP="00C04E35">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2021: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720</m:t>
            </m:r>
          </m:num>
          <m:den>
            <m:r>
              <w:rPr>
                <w:rFonts w:ascii="Cambria Math" w:eastAsiaTheme="minorEastAsia" w:hAnsi="Cambria Math" w:cs="Arial"/>
                <w:sz w:val="24"/>
                <w:szCs w:val="24"/>
              </w:rPr>
              <m:t>181</m:t>
            </m:r>
          </m:den>
        </m:f>
      </m:oMath>
      <w:r>
        <w:rPr>
          <w:rFonts w:ascii="Arial" w:eastAsiaTheme="minorEastAsia" w:hAnsi="Arial" w:cs="Arial"/>
          <w:sz w:val="24"/>
          <w:szCs w:val="24"/>
        </w:rPr>
        <w:t xml:space="preserve"> = 3,98 </w:t>
      </w:r>
    </w:p>
    <w:p w14:paraId="6AD15C91" w14:textId="77777777" w:rsidR="00FD4F80" w:rsidRPr="00FD4F80" w:rsidRDefault="00FD4F80" w:rsidP="00FD4F80">
      <w:pPr>
        <w:spacing w:line="360" w:lineRule="auto"/>
        <w:jc w:val="both"/>
        <w:rPr>
          <w:rFonts w:ascii="Arial" w:eastAsiaTheme="minorEastAsia" w:hAnsi="Arial" w:cs="Arial"/>
          <w:sz w:val="24"/>
          <w:szCs w:val="24"/>
        </w:rPr>
      </w:pPr>
    </w:p>
    <w:p w14:paraId="24C6B866" w14:textId="60174706" w:rsidR="00FD4F80" w:rsidRDefault="0001271F" w:rsidP="00FD4F80">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Sweets </w:t>
      </w:r>
      <w:r w:rsidR="00FD4F80" w:rsidRPr="00FD4F80">
        <w:rPr>
          <w:rFonts w:ascii="Arial" w:eastAsiaTheme="minorEastAsia" w:hAnsi="Arial" w:cs="Arial"/>
          <w:sz w:val="24"/>
          <w:szCs w:val="24"/>
        </w:rPr>
        <w:t xml:space="preserve">PLC experienced a decrease in its Interest Cover from 3.98 times in 2021 to 3.74 times in 2022. This financial ratio, calculated by dividing profit before interest by the interest charge, indicates the company's ability to meet its interest obligations from its profits. The slight drop in the Interest Cover ratio suggests a reduction in the company's ease of covering interest expenses from its operating profit. While the change is not drastic, it points to either a slight increase in financial burden due to interest or a reduction in profitability relative to these charges. However, with a ratio still above 3, </w:t>
      </w:r>
      <w:r>
        <w:rPr>
          <w:rFonts w:ascii="Arial" w:eastAsiaTheme="minorEastAsia" w:hAnsi="Arial" w:cs="Arial"/>
          <w:sz w:val="24"/>
          <w:szCs w:val="24"/>
        </w:rPr>
        <w:t>S</w:t>
      </w:r>
      <w:r w:rsidR="006D7655">
        <w:rPr>
          <w:rFonts w:ascii="Arial" w:eastAsiaTheme="minorEastAsia" w:hAnsi="Arial" w:cs="Arial"/>
          <w:sz w:val="24"/>
          <w:szCs w:val="24"/>
        </w:rPr>
        <w:t xml:space="preserve">weets </w:t>
      </w:r>
      <w:r w:rsidR="00FD4F80" w:rsidRPr="00FD4F80">
        <w:rPr>
          <w:rFonts w:ascii="Arial" w:eastAsiaTheme="minorEastAsia" w:hAnsi="Arial" w:cs="Arial"/>
          <w:sz w:val="24"/>
          <w:szCs w:val="24"/>
        </w:rPr>
        <w:t>PLC maintains a reasonable level of coverage, indicating a solid capacity to manage its interest payments.</w:t>
      </w:r>
    </w:p>
    <w:p w14:paraId="4D4AB245" w14:textId="77777777" w:rsidR="003C4694" w:rsidRDefault="003C4694" w:rsidP="004455E0">
      <w:pPr>
        <w:pStyle w:val="ListParagraph"/>
        <w:spacing w:line="360" w:lineRule="auto"/>
        <w:jc w:val="both"/>
        <w:rPr>
          <w:rFonts w:ascii="Arial" w:hAnsi="Arial" w:cs="Arial"/>
          <w:sz w:val="24"/>
          <w:szCs w:val="24"/>
        </w:rPr>
      </w:pPr>
    </w:p>
    <w:p w14:paraId="26A63A86" w14:textId="77777777" w:rsidR="00F9262C" w:rsidRDefault="00F9262C" w:rsidP="004455E0">
      <w:pPr>
        <w:pStyle w:val="ListParagraph"/>
        <w:spacing w:line="360" w:lineRule="auto"/>
        <w:jc w:val="both"/>
        <w:rPr>
          <w:rFonts w:ascii="Arial" w:hAnsi="Arial" w:cs="Arial"/>
          <w:sz w:val="24"/>
          <w:szCs w:val="24"/>
        </w:rPr>
      </w:pPr>
    </w:p>
    <w:p w14:paraId="2C9EEF95" w14:textId="77777777" w:rsidR="00F9262C" w:rsidRDefault="00F9262C" w:rsidP="004455E0">
      <w:pPr>
        <w:pStyle w:val="ListParagraph"/>
        <w:spacing w:line="360" w:lineRule="auto"/>
        <w:jc w:val="both"/>
        <w:rPr>
          <w:rFonts w:ascii="Arial" w:hAnsi="Arial" w:cs="Arial"/>
          <w:sz w:val="24"/>
          <w:szCs w:val="24"/>
        </w:rPr>
      </w:pPr>
    </w:p>
    <w:p w14:paraId="5D20DB94" w14:textId="77777777" w:rsidR="00F9262C" w:rsidRDefault="00F9262C" w:rsidP="004455E0">
      <w:pPr>
        <w:pStyle w:val="ListParagraph"/>
        <w:spacing w:line="360" w:lineRule="auto"/>
        <w:jc w:val="both"/>
        <w:rPr>
          <w:rFonts w:ascii="Arial" w:hAnsi="Arial" w:cs="Arial"/>
          <w:sz w:val="24"/>
          <w:szCs w:val="24"/>
        </w:rPr>
      </w:pPr>
    </w:p>
    <w:p w14:paraId="71C3EE90" w14:textId="77777777" w:rsidR="00F9262C" w:rsidRDefault="00F9262C" w:rsidP="004455E0">
      <w:pPr>
        <w:pStyle w:val="ListParagraph"/>
        <w:spacing w:line="360" w:lineRule="auto"/>
        <w:jc w:val="both"/>
        <w:rPr>
          <w:rFonts w:ascii="Arial" w:hAnsi="Arial" w:cs="Arial"/>
          <w:sz w:val="24"/>
          <w:szCs w:val="24"/>
        </w:rPr>
      </w:pPr>
    </w:p>
    <w:p w14:paraId="1FB0AFB1" w14:textId="77777777" w:rsidR="00F9262C" w:rsidRDefault="00F9262C" w:rsidP="004455E0">
      <w:pPr>
        <w:pStyle w:val="ListParagraph"/>
        <w:spacing w:line="360" w:lineRule="auto"/>
        <w:jc w:val="both"/>
        <w:rPr>
          <w:rFonts w:ascii="Arial" w:hAnsi="Arial" w:cs="Arial"/>
          <w:sz w:val="24"/>
          <w:szCs w:val="24"/>
        </w:rPr>
      </w:pPr>
    </w:p>
    <w:p w14:paraId="30D5088F" w14:textId="77777777" w:rsidR="00F9262C" w:rsidRDefault="00F9262C" w:rsidP="004455E0">
      <w:pPr>
        <w:pStyle w:val="ListParagraph"/>
        <w:spacing w:line="360" w:lineRule="auto"/>
        <w:jc w:val="both"/>
        <w:rPr>
          <w:rFonts w:ascii="Arial" w:hAnsi="Arial" w:cs="Arial"/>
          <w:sz w:val="24"/>
          <w:szCs w:val="24"/>
        </w:rPr>
      </w:pPr>
    </w:p>
    <w:p w14:paraId="20B66831" w14:textId="77777777" w:rsidR="00F9262C" w:rsidRDefault="00F9262C" w:rsidP="004455E0">
      <w:pPr>
        <w:pStyle w:val="ListParagraph"/>
        <w:spacing w:line="360" w:lineRule="auto"/>
        <w:jc w:val="both"/>
        <w:rPr>
          <w:rFonts w:ascii="Arial" w:hAnsi="Arial" w:cs="Arial"/>
          <w:sz w:val="24"/>
          <w:szCs w:val="24"/>
        </w:rPr>
      </w:pPr>
    </w:p>
    <w:p w14:paraId="5D1DDB2C" w14:textId="77777777" w:rsidR="00F9262C" w:rsidRDefault="00F9262C" w:rsidP="004455E0">
      <w:pPr>
        <w:pStyle w:val="ListParagraph"/>
        <w:spacing w:line="360" w:lineRule="auto"/>
        <w:jc w:val="both"/>
        <w:rPr>
          <w:rFonts w:ascii="Arial" w:hAnsi="Arial" w:cs="Arial"/>
          <w:sz w:val="24"/>
          <w:szCs w:val="24"/>
        </w:rPr>
      </w:pPr>
    </w:p>
    <w:p w14:paraId="5FA3F603" w14:textId="77777777" w:rsidR="00F9262C" w:rsidRDefault="00F9262C" w:rsidP="004455E0">
      <w:pPr>
        <w:pStyle w:val="ListParagraph"/>
        <w:spacing w:line="360" w:lineRule="auto"/>
        <w:jc w:val="both"/>
        <w:rPr>
          <w:rFonts w:ascii="Arial" w:hAnsi="Arial" w:cs="Arial"/>
          <w:sz w:val="24"/>
          <w:szCs w:val="24"/>
        </w:rPr>
      </w:pPr>
    </w:p>
    <w:p w14:paraId="4405A319" w14:textId="77777777" w:rsidR="00F9262C" w:rsidRPr="00E2761F" w:rsidRDefault="00F9262C" w:rsidP="00E2761F">
      <w:pPr>
        <w:spacing w:line="360" w:lineRule="auto"/>
        <w:jc w:val="both"/>
        <w:rPr>
          <w:rFonts w:ascii="Arial" w:hAnsi="Arial" w:cs="Arial"/>
          <w:sz w:val="24"/>
          <w:szCs w:val="24"/>
        </w:rPr>
      </w:pPr>
    </w:p>
    <w:p w14:paraId="15DBDECA" w14:textId="77777777" w:rsidR="00F9262C" w:rsidRDefault="00F9262C" w:rsidP="004455E0">
      <w:pPr>
        <w:pStyle w:val="ListParagraph"/>
        <w:spacing w:line="360" w:lineRule="auto"/>
        <w:jc w:val="both"/>
        <w:rPr>
          <w:rFonts w:ascii="Arial" w:hAnsi="Arial" w:cs="Arial"/>
          <w:sz w:val="24"/>
          <w:szCs w:val="24"/>
        </w:rPr>
      </w:pPr>
    </w:p>
    <w:p w14:paraId="790470E2" w14:textId="356B9F80" w:rsidR="00F9262C" w:rsidRPr="00C277C8" w:rsidRDefault="00F9262C" w:rsidP="00F9262C">
      <w:pPr>
        <w:pStyle w:val="Heading1"/>
        <w:rPr>
          <w:rFonts w:ascii="Arial" w:hAnsi="Arial" w:cs="Arial"/>
          <w:b/>
          <w:bCs/>
        </w:rPr>
      </w:pPr>
      <w:bookmarkStart w:id="4" w:name="_Toc153779005"/>
      <w:r w:rsidRPr="00C277C8">
        <w:rPr>
          <w:rFonts w:ascii="Arial" w:hAnsi="Arial" w:cs="Arial"/>
          <w:b/>
          <w:bCs/>
        </w:rPr>
        <w:t>References</w:t>
      </w:r>
      <w:bookmarkEnd w:id="4"/>
      <w:r w:rsidRPr="00C277C8">
        <w:rPr>
          <w:rFonts w:ascii="Arial" w:hAnsi="Arial" w:cs="Arial"/>
          <w:b/>
          <w:bCs/>
        </w:rPr>
        <w:t xml:space="preserve"> </w:t>
      </w:r>
    </w:p>
    <w:p w14:paraId="510AA803" w14:textId="77777777" w:rsidR="00F9262C" w:rsidRPr="005E3BA5" w:rsidRDefault="00F9262C" w:rsidP="00F9262C">
      <w:pPr>
        <w:spacing w:line="360" w:lineRule="auto"/>
        <w:jc w:val="both"/>
        <w:rPr>
          <w:rFonts w:ascii="Arial" w:hAnsi="Arial" w:cs="Arial"/>
          <w:sz w:val="24"/>
          <w:szCs w:val="24"/>
        </w:rPr>
      </w:pPr>
      <w:proofErr w:type="spellStart"/>
      <w:r w:rsidRPr="005E3BA5">
        <w:rPr>
          <w:rFonts w:ascii="Arial" w:hAnsi="Arial" w:cs="Arial"/>
          <w:sz w:val="24"/>
          <w:szCs w:val="24"/>
        </w:rPr>
        <w:t>Atrill</w:t>
      </w:r>
      <w:proofErr w:type="spellEnd"/>
      <w:r w:rsidRPr="005E3BA5">
        <w:rPr>
          <w:rFonts w:ascii="Arial" w:hAnsi="Arial" w:cs="Arial"/>
          <w:sz w:val="24"/>
          <w:szCs w:val="24"/>
        </w:rPr>
        <w:t xml:space="preserve">, P., et al., 2018. </w:t>
      </w:r>
      <w:r w:rsidRPr="005E3BA5">
        <w:rPr>
          <w:rFonts w:ascii="Arial" w:hAnsi="Arial" w:cs="Arial"/>
          <w:i/>
          <w:iCs/>
          <w:sz w:val="24"/>
          <w:szCs w:val="24"/>
        </w:rPr>
        <w:t>Accounting and Finance for Non-Specialists</w:t>
      </w:r>
      <w:r w:rsidRPr="005E3BA5">
        <w:rPr>
          <w:rFonts w:ascii="Arial" w:hAnsi="Arial" w:cs="Arial"/>
          <w:sz w:val="24"/>
          <w:szCs w:val="24"/>
        </w:rPr>
        <w:t>. Pearson Education, Limited.</w:t>
      </w:r>
    </w:p>
    <w:p w14:paraId="4259619D" w14:textId="77777777" w:rsidR="00F9262C" w:rsidRPr="005E3BA5" w:rsidRDefault="00F9262C" w:rsidP="00F9262C">
      <w:pPr>
        <w:spacing w:line="360" w:lineRule="auto"/>
        <w:jc w:val="both"/>
        <w:rPr>
          <w:rFonts w:ascii="Arial" w:hAnsi="Arial" w:cs="Arial"/>
          <w:sz w:val="24"/>
          <w:szCs w:val="24"/>
        </w:rPr>
      </w:pPr>
      <w:r w:rsidRPr="005E3BA5">
        <w:rPr>
          <w:rFonts w:ascii="Arial" w:hAnsi="Arial" w:cs="Arial"/>
          <w:sz w:val="24"/>
          <w:szCs w:val="24"/>
        </w:rPr>
        <w:t>Financial Accounting Standards Board (FASB), 2022. Accounting Standards Update 2022-03—Fair Value Measurement (Topic 820): Fair Value Measurement of Equity Securities Subject to Contractual Sale Restrictions.</w:t>
      </w:r>
    </w:p>
    <w:p w14:paraId="7A028FEF" w14:textId="77777777" w:rsidR="00F9262C" w:rsidRPr="005E3BA5" w:rsidRDefault="00F9262C" w:rsidP="00F9262C">
      <w:pPr>
        <w:spacing w:line="360" w:lineRule="auto"/>
        <w:jc w:val="both"/>
        <w:rPr>
          <w:rFonts w:ascii="Arial" w:hAnsi="Arial" w:cs="Arial"/>
          <w:sz w:val="24"/>
          <w:szCs w:val="24"/>
        </w:rPr>
      </w:pPr>
      <w:r w:rsidRPr="005E3BA5">
        <w:rPr>
          <w:rFonts w:ascii="Arial" w:hAnsi="Arial" w:cs="Arial"/>
          <w:sz w:val="24"/>
          <w:szCs w:val="24"/>
        </w:rPr>
        <w:t xml:space="preserve">Harrison Jr., W.T., Horngren, C.T., Thomas, C.W., Tietz, W.M. &amp; </w:t>
      </w:r>
      <w:proofErr w:type="spellStart"/>
      <w:r w:rsidRPr="005E3BA5">
        <w:rPr>
          <w:rFonts w:ascii="Arial" w:hAnsi="Arial" w:cs="Arial"/>
          <w:sz w:val="24"/>
          <w:szCs w:val="24"/>
        </w:rPr>
        <w:t>Suwardy</w:t>
      </w:r>
      <w:proofErr w:type="spellEnd"/>
      <w:r w:rsidRPr="005E3BA5">
        <w:rPr>
          <w:rFonts w:ascii="Arial" w:hAnsi="Arial" w:cs="Arial"/>
          <w:sz w:val="24"/>
          <w:szCs w:val="24"/>
        </w:rPr>
        <w:t xml:space="preserve">, T., 2020. </w:t>
      </w:r>
      <w:r w:rsidRPr="005E3BA5">
        <w:rPr>
          <w:rFonts w:ascii="Arial" w:hAnsi="Arial" w:cs="Arial"/>
          <w:i/>
          <w:iCs/>
          <w:sz w:val="24"/>
          <w:szCs w:val="24"/>
        </w:rPr>
        <w:t>Financial Accounting</w:t>
      </w:r>
      <w:r w:rsidRPr="005E3BA5">
        <w:rPr>
          <w:rFonts w:ascii="Arial" w:hAnsi="Arial" w:cs="Arial"/>
          <w:sz w:val="24"/>
          <w:szCs w:val="24"/>
        </w:rPr>
        <w:t>. Pearson Education.</w:t>
      </w:r>
    </w:p>
    <w:p w14:paraId="4F58C41A" w14:textId="77777777" w:rsidR="00F9262C" w:rsidRDefault="00F9262C" w:rsidP="00F9262C">
      <w:pPr>
        <w:spacing w:line="360" w:lineRule="auto"/>
        <w:jc w:val="both"/>
        <w:rPr>
          <w:rFonts w:ascii="Arial" w:hAnsi="Arial" w:cs="Arial"/>
          <w:sz w:val="24"/>
          <w:szCs w:val="24"/>
        </w:rPr>
      </w:pPr>
      <w:proofErr w:type="spellStart"/>
      <w:r w:rsidRPr="005E3BA5">
        <w:rPr>
          <w:rFonts w:ascii="Arial" w:hAnsi="Arial" w:cs="Arial"/>
          <w:sz w:val="24"/>
          <w:szCs w:val="24"/>
        </w:rPr>
        <w:t>Kieso</w:t>
      </w:r>
      <w:proofErr w:type="spellEnd"/>
      <w:r w:rsidRPr="005E3BA5">
        <w:rPr>
          <w:rFonts w:ascii="Arial" w:hAnsi="Arial" w:cs="Arial"/>
          <w:sz w:val="24"/>
          <w:szCs w:val="24"/>
        </w:rPr>
        <w:t xml:space="preserve">, D.E., Weygandt, J.J. &amp; Warfield, T.D., 2019. </w:t>
      </w:r>
      <w:r w:rsidRPr="005E3BA5">
        <w:rPr>
          <w:rFonts w:ascii="Arial" w:hAnsi="Arial" w:cs="Arial"/>
          <w:i/>
          <w:iCs/>
          <w:sz w:val="24"/>
          <w:szCs w:val="24"/>
        </w:rPr>
        <w:t>Intermediate Accounting</w:t>
      </w:r>
      <w:r w:rsidRPr="005E3BA5">
        <w:rPr>
          <w:rFonts w:ascii="Arial" w:hAnsi="Arial" w:cs="Arial"/>
          <w:sz w:val="24"/>
          <w:szCs w:val="24"/>
        </w:rPr>
        <w:t>. John Wiley &amp; Sons.</w:t>
      </w:r>
    </w:p>
    <w:p w14:paraId="2A138C16" w14:textId="1E0B8B2F" w:rsidR="00543B6F" w:rsidRPr="005E3BA5" w:rsidRDefault="00543B6F" w:rsidP="00F9262C">
      <w:pPr>
        <w:spacing w:line="360" w:lineRule="auto"/>
        <w:jc w:val="both"/>
        <w:rPr>
          <w:rFonts w:ascii="Arial" w:hAnsi="Arial" w:cs="Arial"/>
          <w:sz w:val="24"/>
          <w:szCs w:val="24"/>
        </w:rPr>
      </w:pPr>
      <w:proofErr w:type="spellStart"/>
      <w:r w:rsidRPr="00543B6F">
        <w:rPr>
          <w:rFonts w:ascii="Arial" w:hAnsi="Arial" w:cs="Arial"/>
          <w:color w:val="000000"/>
          <w:sz w:val="24"/>
          <w:szCs w:val="24"/>
          <w:shd w:val="clear" w:color="auto" w:fill="FFFFFF"/>
        </w:rPr>
        <w:t>Kucic</w:t>
      </w:r>
      <w:proofErr w:type="spellEnd"/>
      <w:r w:rsidRPr="00543B6F">
        <w:rPr>
          <w:rFonts w:ascii="Arial" w:hAnsi="Arial" w:cs="Arial"/>
          <w:color w:val="000000"/>
          <w:sz w:val="24"/>
          <w:szCs w:val="24"/>
          <w:shd w:val="clear" w:color="auto" w:fill="FFFFFF"/>
        </w:rPr>
        <w:t>, A. R. and S. T. Battaglia. 1981. Matrix accounting for the statement of changes in financial position. </w:t>
      </w:r>
      <w:r w:rsidRPr="00543B6F">
        <w:rPr>
          <w:rFonts w:ascii="Arial" w:hAnsi="Arial" w:cs="Arial"/>
          <w:i/>
          <w:iCs/>
          <w:color w:val="000000"/>
          <w:sz w:val="24"/>
          <w:szCs w:val="24"/>
          <w:shd w:val="clear" w:color="auto" w:fill="FFFFFF"/>
        </w:rPr>
        <w:t>Management Accounting</w:t>
      </w:r>
      <w:r w:rsidRPr="00543B6F">
        <w:rPr>
          <w:rFonts w:ascii="Arial" w:hAnsi="Arial" w:cs="Arial"/>
          <w:color w:val="000000"/>
          <w:sz w:val="24"/>
          <w:szCs w:val="24"/>
          <w:shd w:val="clear" w:color="auto" w:fill="FFFFFF"/>
        </w:rPr>
        <w:t> (April): 27-32.</w:t>
      </w:r>
    </w:p>
    <w:p w14:paraId="1B67F217" w14:textId="77777777" w:rsidR="00F9262C" w:rsidRDefault="00F9262C" w:rsidP="00F9262C">
      <w:pPr>
        <w:spacing w:line="360" w:lineRule="auto"/>
        <w:jc w:val="both"/>
        <w:rPr>
          <w:rFonts w:ascii="Arial" w:hAnsi="Arial" w:cs="Arial"/>
          <w:sz w:val="24"/>
          <w:szCs w:val="24"/>
        </w:rPr>
      </w:pPr>
      <w:r w:rsidRPr="005E3BA5">
        <w:rPr>
          <w:rFonts w:ascii="Arial" w:hAnsi="Arial" w:cs="Arial"/>
          <w:sz w:val="24"/>
          <w:szCs w:val="24"/>
        </w:rPr>
        <w:t xml:space="preserve">Libby, R., Libby, P. &amp; Hodge, F., 2019. </w:t>
      </w:r>
      <w:r w:rsidRPr="005E3BA5">
        <w:rPr>
          <w:rFonts w:ascii="Arial" w:hAnsi="Arial" w:cs="Arial"/>
          <w:i/>
          <w:iCs/>
          <w:sz w:val="24"/>
          <w:szCs w:val="24"/>
        </w:rPr>
        <w:t>Financial Accounting</w:t>
      </w:r>
      <w:r w:rsidRPr="005E3BA5">
        <w:rPr>
          <w:rFonts w:ascii="Arial" w:hAnsi="Arial" w:cs="Arial"/>
          <w:sz w:val="24"/>
          <w:szCs w:val="24"/>
        </w:rPr>
        <w:t>. McGraw-Hill Education.</w:t>
      </w:r>
    </w:p>
    <w:p w14:paraId="7A813679" w14:textId="37E84FB7" w:rsidR="00B2500F" w:rsidRPr="005E3BA5" w:rsidRDefault="00B2500F" w:rsidP="00F9262C">
      <w:pPr>
        <w:spacing w:line="360" w:lineRule="auto"/>
        <w:jc w:val="both"/>
        <w:rPr>
          <w:rFonts w:ascii="Arial" w:hAnsi="Arial" w:cs="Arial"/>
          <w:sz w:val="24"/>
          <w:szCs w:val="24"/>
        </w:rPr>
      </w:pPr>
      <w:r w:rsidRPr="00B2500F">
        <w:rPr>
          <w:rFonts w:ascii="Arial" w:hAnsi="Arial" w:cs="Arial"/>
          <w:sz w:val="24"/>
          <w:szCs w:val="24"/>
        </w:rPr>
        <w:t>Napier, C.J. &amp; Stadler, C. 2020, "The real effects of a new accounting standard: the case of IFRS 15 Revenue from Contracts with Customers", Accounting and Business Research, vol. 50, no. 5, pp. 474-503.</w:t>
      </w:r>
    </w:p>
    <w:p w14:paraId="7DBF0B42" w14:textId="77777777" w:rsidR="00F9262C" w:rsidRPr="005E3BA5" w:rsidRDefault="00F9262C" w:rsidP="00F9262C">
      <w:pPr>
        <w:spacing w:line="360" w:lineRule="auto"/>
        <w:jc w:val="both"/>
        <w:rPr>
          <w:rFonts w:ascii="Arial" w:hAnsi="Arial" w:cs="Arial"/>
          <w:sz w:val="24"/>
          <w:szCs w:val="24"/>
        </w:rPr>
      </w:pPr>
      <w:r w:rsidRPr="005E3BA5">
        <w:rPr>
          <w:rFonts w:ascii="Arial" w:hAnsi="Arial" w:cs="Arial"/>
          <w:sz w:val="24"/>
          <w:szCs w:val="24"/>
        </w:rPr>
        <w:t xml:space="preserve">Tricker, B., 2019. </w:t>
      </w:r>
      <w:r w:rsidRPr="005E3BA5">
        <w:rPr>
          <w:rFonts w:ascii="Arial" w:hAnsi="Arial" w:cs="Arial"/>
          <w:i/>
          <w:iCs/>
          <w:sz w:val="24"/>
          <w:szCs w:val="24"/>
        </w:rPr>
        <w:t>Corporate Governance: Principles, Policies, and Practices</w:t>
      </w:r>
      <w:r w:rsidRPr="005E3BA5">
        <w:rPr>
          <w:rFonts w:ascii="Arial" w:hAnsi="Arial" w:cs="Arial"/>
          <w:sz w:val="24"/>
          <w:szCs w:val="24"/>
        </w:rPr>
        <w:t>. Oxford University Press.</w:t>
      </w:r>
    </w:p>
    <w:p w14:paraId="251FD7F1" w14:textId="77777777" w:rsidR="00F9262C" w:rsidRPr="009F3D8E" w:rsidRDefault="00F9262C" w:rsidP="00F9262C">
      <w:pPr>
        <w:spacing w:line="360" w:lineRule="auto"/>
        <w:jc w:val="both"/>
        <w:rPr>
          <w:rFonts w:ascii="Arial" w:hAnsi="Arial" w:cs="Arial"/>
          <w:sz w:val="24"/>
          <w:szCs w:val="24"/>
        </w:rPr>
      </w:pPr>
    </w:p>
    <w:p w14:paraId="613F6120" w14:textId="77777777" w:rsidR="00F9262C" w:rsidRPr="00F9262C" w:rsidRDefault="00F9262C" w:rsidP="00F9262C"/>
    <w:sectPr w:rsidR="00F9262C" w:rsidRPr="00F9262C" w:rsidSect="00C277C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62A59" w14:textId="77777777" w:rsidR="009A36C8" w:rsidRDefault="009A36C8" w:rsidP="00C277C8">
      <w:pPr>
        <w:spacing w:after="0" w:line="240" w:lineRule="auto"/>
      </w:pPr>
      <w:r>
        <w:separator/>
      </w:r>
    </w:p>
  </w:endnote>
  <w:endnote w:type="continuationSeparator" w:id="0">
    <w:p w14:paraId="7CAF46B8" w14:textId="77777777" w:rsidR="009A36C8" w:rsidRDefault="009A36C8" w:rsidP="00C27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145130"/>
      <w:docPartObj>
        <w:docPartGallery w:val="Page Numbers (Bottom of Page)"/>
        <w:docPartUnique/>
      </w:docPartObj>
    </w:sdtPr>
    <w:sdtEndPr>
      <w:rPr>
        <w:noProof/>
      </w:rPr>
    </w:sdtEndPr>
    <w:sdtContent>
      <w:p w14:paraId="1A44AC4F" w14:textId="7061B01F" w:rsidR="00C277C8" w:rsidRDefault="00C277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11FECE" w14:textId="77777777" w:rsidR="00C277C8" w:rsidRDefault="00C27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95C01" w14:textId="77777777" w:rsidR="009A36C8" w:rsidRDefault="009A36C8" w:rsidP="00C277C8">
      <w:pPr>
        <w:spacing w:after="0" w:line="240" w:lineRule="auto"/>
      </w:pPr>
      <w:r>
        <w:separator/>
      </w:r>
    </w:p>
  </w:footnote>
  <w:footnote w:type="continuationSeparator" w:id="0">
    <w:p w14:paraId="3412E2F7" w14:textId="77777777" w:rsidR="009A36C8" w:rsidRDefault="009A36C8" w:rsidP="00C27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D1E21"/>
    <w:multiLevelType w:val="hybridMultilevel"/>
    <w:tmpl w:val="D4C4D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2C31D7"/>
    <w:multiLevelType w:val="hybridMultilevel"/>
    <w:tmpl w:val="E40AF1D8"/>
    <w:lvl w:ilvl="0" w:tplc="0D7C95B6">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794F07"/>
    <w:multiLevelType w:val="hybridMultilevel"/>
    <w:tmpl w:val="DE42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4C0DA4"/>
    <w:multiLevelType w:val="hybridMultilevel"/>
    <w:tmpl w:val="90684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9864FB"/>
    <w:multiLevelType w:val="hybridMultilevel"/>
    <w:tmpl w:val="37C0354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104041"/>
    <w:multiLevelType w:val="hybridMultilevel"/>
    <w:tmpl w:val="3EA478E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1771BC"/>
    <w:multiLevelType w:val="hybridMultilevel"/>
    <w:tmpl w:val="429A6CA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8789710">
    <w:abstractNumId w:val="3"/>
  </w:num>
  <w:num w:numId="2" w16cid:durableId="2144108538">
    <w:abstractNumId w:val="5"/>
  </w:num>
  <w:num w:numId="3" w16cid:durableId="680667301">
    <w:abstractNumId w:val="4"/>
  </w:num>
  <w:num w:numId="4" w16cid:durableId="1842813601">
    <w:abstractNumId w:val="6"/>
  </w:num>
  <w:num w:numId="5" w16cid:durableId="280722449">
    <w:abstractNumId w:val="0"/>
  </w:num>
  <w:num w:numId="6" w16cid:durableId="1914270713">
    <w:abstractNumId w:val="2"/>
  </w:num>
  <w:num w:numId="7" w16cid:durableId="1299452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47C"/>
    <w:rsid w:val="0001271F"/>
    <w:rsid w:val="00040C96"/>
    <w:rsid w:val="0004637C"/>
    <w:rsid w:val="000817E0"/>
    <w:rsid w:val="00091C78"/>
    <w:rsid w:val="000A7CCB"/>
    <w:rsid w:val="000B6D3F"/>
    <w:rsid w:val="000D61A0"/>
    <w:rsid w:val="000E0941"/>
    <w:rsid w:val="00142FA4"/>
    <w:rsid w:val="001D0F8F"/>
    <w:rsid w:val="001D4DCC"/>
    <w:rsid w:val="001E4EFD"/>
    <w:rsid w:val="00203900"/>
    <w:rsid w:val="00206C75"/>
    <w:rsid w:val="0020722B"/>
    <w:rsid w:val="00250E37"/>
    <w:rsid w:val="00254788"/>
    <w:rsid w:val="00274B88"/>
    <w:rsid w:val="00297B49"/>
    <w:rsid w:val="002C5900"/>
    <w:rsid w:val="002C64CD"/>
    <w:rsid w:val="002E6675"/>
    <w:rsid w:val="0033247C"/>
    <w:rsid w:val="003701D2"/>
    <w:rsid w:val="0037514A"/>
    <w:rsid w:val="00376A10"/>
    <w:rsid w:val="00392033"/>
    <w:rsid w:val="003C4694"/>
    <w:rsid w:val="003E2588"/>
    <w:rsid w:val="003F52B2"/>
    <w:rsid w:val="00412AAC"/>
    <w:rsid w:val="004150BA"/>
    <w:rsid w:val="004455E0"/>
    <w:rsid w:val="004477F1"/>
    <w:rsid w:val="004645FD"/>
    <w:rsid w:val="00487FA5"/>
    <w:rsid w:val="00493B02"/>
    <w:rsid w:val="004B47C2"/>
    <w:rsid w:val="004F11ED"/>
    <w:rsid w:val="00503C7A"/>
    <w:rsid w:val="00543B6F"/>
    <w:rsid w:val="00544CF9"/>
    <w:rsid w:val="00557F02"/>
    <w:rsid w:val="0057632D"/>
    <w:rsid w:val="00595F61"/>
    <w:rsid w:val="005C0234"/>
    <w:rsid w:val="005C04DD"/>
    <w:rsid w:val="00620B49"/>
    <w:rsid w:val="00634F52"/>
    <w:rsid w:val="006411E3"/>
    <w:rsid w:val="00642D0D"/>
    <w:rsid w:val="00662EF9"/>
    <w:rsid w:val="006B437B"/>
    <w:rsid w:val="006D7655"/>
    <w:rsid w:val="006F4BBC"/>
    <w:rsid w:val="006F5072"/>
    <w:rsid w:val="007036F8"/>
    <w:rsid w:val="00726E7B"/>
    <w:rsid w:val="00757AD5"/>
    <w:rsid w:val="00766B7A"/>
    <w:rsid w:val="0079630C"/>
    <w:rsid w:val="00821B7E"/>
    <w:rsid w:val="008970FB"/>
    <w:rsid w:val="008D2748"/>
    <w:rsid w:val="00922D51"/>
    <w:rsid w:val="00930661"/>
    <w:rsid w:val="009528A1"/>
    <w:rsid w:val="009805B2"/>
    <w:rsid w:val="009A36C8"/>
    <w:rsid w:val="009B3E91"/>
    <w:rsid w:val="009B7820"/>
    <w:rsid w:val="009F25F2"/>
    <w:rsid w:val="00A0037D"/>
    <w:rsid w:val="00A10B1B"/>
    <w:rsid w:val="00A83DA2"/>
    <w:rsid w:val="00A94D34"/>
    <w:rsid w:val="00AD1BE2"/>
    <w:rsid w:val="00B2500F"/>
    <w:rsid w:val="00B2520B"/>
    <w:rsid w:val="00B263FD"/>
    <w:rsid w:val="00B60268"/>
    <w:rsid w:val="00B70210"/>
    <w:rsid w:val="00BB0C36"/>
    <w:rsid w:val="00C04E35"/>
    <w:rsid w:val="00C11A39"/>
    <w:rsid w:val="00C277C8"/>
    <w:rsid w:val="00C52D72"/>
    <w:rsid w:val="00C80922"/>
    <w:rsid w:val="00CB5018"/>
    <w:rsid w:val="00CC6276"/>
    <w:rsid w:val="00CD2AD4"/>
    <w:rsid w:val="00CF1E9C"/>
    <w:rsid w:val="00CF55EA"/>
    <w:rsid w:val="00CF6415"/>
    <w:rsid w:val="00D31A64"/>
    <w:rsid w:val="00D37953"/>
    <w:rsid w:val="00D45576"/>
    <w:rsid w:val="00D60348"/>
    <w:rsid w:val="00E2761F"/>
    <w:rsid w:val="00E34867"/>
    <w:rsid w:val="00E90F18"/>
    <w:rsid w:val="00EE5FC9"/>
    <w:rsid w:val="00EF05EA"/>
    <w:rsid w:val="00EF3244"/>
    <w:rsid w:val="00F02640"/>
    <w:rsid w:val="00F16CCD"/>
    <w:rsid w:val="00F43774"/>
    <w:rsid w:val="00F55184"/>
    <w:rsid w:val="00F61E45"/>
    <w:rsid w:val="00F9262C"/>
    <w:rsid w:val="00FD4904"/>
    <w:rsid w:val="00FD4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7E06E"/>
  <w15:chartTrackingRefBased/>
  <w15:docId w15:val="{C251C6FC-7AF4-4CA1-89A9-9CD25B239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2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184"/>
    <w:pPr>
      <w:ind w:left="720"/>
      <w:contextualSpacing/>
    </w:pPr>
  </w:style>
  <w:style w:type="table" w:styleId="TableGrid">
    <w:name w:val="Table Grid"/>
    <w:basedOn w:val="TableNormal"/>
    <w:uiPriority w:val="39"/>
    <w:rsid w:val="001E4E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C627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F64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6415"/>
    <w:rPr>
      <w:rFonts w:eastAsiaTheme="minorEastAsia"/>
      <w:lang w:val="en-US"/>
    </w:rPr>
  </w:style>
  <w:style w:type="character" w:styleId="Hyperlink">
    <w:name w:val="Hyperlink"/>
    <w:basedOn w:val="DefaultParagraphFont"/>
    <w:uiPriority w:val="99"/>
    <w:unhideWhenUsed/>
    <w:rsid w:val="00F9262C"/>
    <w:rPr>
      <w:color w:val="0563C1" w:themeColor="hyperlink"/>
      <w:u w:val="single"/>
    </w:rPr>
  </w:style>
  <w:style w:type="paragraph" w:styleId="TOCHeading">
    <w:name w:val="TOC Heading"/>
    <w:basedOn w:val="Heading1"/>
    <w:next w:val="Normal"/>
    <w:uiPriority w:val="39"/>
    <w:unhideWhenUsed/>
    <w:qFormat/>
    <w:rsid w:val="00E2761F"/>
    <w:pPr>
      <w:outlineLvl w:val="9"/>
    </w:pPr>
    <w:rPr>
      <w:lang w:val="en-US"/>
    </w:rPr>
  </w:style>
  <w:style w:type="paragraph" w:styleId="TOC1">
    <w:name w:val="toc 1"/>
    <w:basedOn w:val="Normal"/>
    <w:next w:val="Normal"/>
    <w:autoRedefine/>
    <w:uiPriority w:val="39"/>
    <w:unhideWhenUsed/>
    <w:rsid w:val="00E2761F"/>
    <w:pPr>
      <w:spacing w:after="100"/>
    </w:pPr>
  </w:style>
  <w:style w:type="paragraph" w:styleId="Header">
    <w:name w:val="header"/>
    <w:basedOn w:val="Normal"/>
    <w:link w:val="HeaderChar"/>
    <w:uiPriority w:val="99"/>
    <w:unhideWhenUsed/>
    <w:rsid w:val="00C27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7C8"/>
  </w:style>
  <w:style w:type="paragraph" w:styleId="Footer">
    <w:name w:val="footer"/>
    <w:basedOn w:val="Normal"/>
    <w:link w:val="FooterChar"/>
    <w:uiPriority w:val="99"/>
    <w:unhideWhenUsed/>
    <w:rsid w:val="00C27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550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5BCBE-2373-4252-A296-3504A76E0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1506</TotalTime>
  <Pages>13</Pages>
  <Words>2964</Words>
  <Characters>16896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107</cp:revision>
  <dcterms:created xsi:type="dcterms:W3CDTF">2023-11-11T09:21:00Z</dcterms:created>
  <dcterms:modified xsi:type="dcterms:W3CDTF">2023-12-22T12:11:00Z</dcterms:modified>
</cp:coreProperties>
</file>