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4CE76" w14:textId="77777777" w:rsidR="00272014" w:rsidRDefault="00272014" w:rsidP="00272014">
      <w:pPr>
        <w:jc w:val="center"/>
      </w:pPr>
      <w:r>
        <w:rPr>
          <w:noProof/>
        </w:rPr>
        <w:drawing>
          <wp:inline distT="0" distB="0" distL="0" distR="0" wp14:anchorId="75CC7B6A" wp14:editId="40A7947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4F3A6D6" w14:textId="77777777" w:rsidR="00272014" w:rsidRDefault="00272014" w:rsidP="00272014"/>
    <w:p w14:paraId="2046AC46" w14:textId="77777777" w:rsidR="00004685" w:rsidRDefault="00004685" w:rsidP="00272014"/>
    <w:p w14:paraId="3FBBA958" w14:textId="77777777" w:rsidR="00004685" w:rsidRDefault="00004685" w:rsidP="00272014"/>
    <w:p w14:paraId="3A40FC94" w14:textId="77777777" w:rsidR="00272014" w:rsidRDefault="00272014" w:rsidP="00272014"/>
    <w:p w14:paraId="66526376" w14:textId="77777777" w:rsidR="00272014" w:rsidRDefault="00272014" w:rsidP="00272014"/>
    <w:p w14:paraId="3E555E4F" w14:textId="7DD37F20" w:rsidR="00272014" w:rsidRPr="00646406" w:rsidRDefault="00272014" w:rsidP="00272014">
      <w:pPr>
        <w:jc w:val="center"/>
        <w:rPr>
          <w:rFonts w:ascii="Arial" w:hAnsi="Arial" w:cs="Arial"/>
          <w:b/>
          <w:bCs/>
        </w:rPr>
      </w:pPr>
      <w:r w:rsidRPr="00646406">
        <w:rPr>
          <w:rFonts w:ascii="Arial" w:hAnsi="Arial" w:cs="Arial"/>
          <w:b/>
          <w:bCs/>
        </w:rPr>
        <w:t>Student Name:</w:t>
      </w:r>
      <w:r w:rsidRPr="00A1094E">
        <w:rPr>
          <w:rFonts w:ascii="Arial" w:hAnsi="Arial" w:cs="Arial"/>
        </w:rPr>
        <w:t xml:space="preserve"> </w:t>
      </w:r>
      <w:r w:rsidR="001A2D1F" w:rsidRPr="001A2D1F">
        <w:rPr>
          <w:rFonts w:ascii="Arial" w:hAnsi="Arial" w:cs="Arial"/>
        </w:rPr>
        <w:t>Mahabubur Rahman Rahat</w:t>
      </w:r>
    </w:p>
    <w:p w14:paraId="6C0FD8EF" w14:textId="455E621A" w:rsidR="00272014" w:rsidRPr="00646406" w:rsidRDefault="00272014" w:rsidP="00272014">
      <w:pPr>
        <w:jc w:val="center"/>
        <w:rPr>
          <w:rFonts w:ascii="Arial" w:hAnsi="Arial" w:cs="Arial"/>
          <w:b/>
          <w:bCs/>
        </w:rPr>
      </w:pPr>
      <w:r w:rsidRPr="00646406">
        <w:rPr>
          <w:rFonts w:ascii="Arial" w:hAnsi="Arial" w:cs="Arial"/>
          <w:b/>
          <w:bCs/>
        </w:rPr>
        <w:t>Student ID:</w:t>
      </w:r>
      <w:r w:rsidRPr="00A1094E">
        <w:rPr>
          <w:rFonts w:ascii="Arial" w:hAnsi="Arial" w:cs="Arial"/>
        </w:rPr>
        <w:t xml:space="preserve"> </w:t>
      </w:r>
      <w:r w:rsidR="001A2D1F" w:rsidRPr="001A2D1F">
        <w:rPr>
          <w:rFonts w:ascii="Arial" w:hAnsi="Arial" w:cs="Arial"/>
        </w:rPr>
        <w:t>2436043</w:t>
      </w:r>
    </w:p>
    <w:p w14:paraId="6B6B1DE0" w14:textId="77777777" w:rsidR="00272014" w:rsidRPr="00646406" w:rsidRDefault="00272014" w:rsidP="00272014">
      <w:pPr>
        <w:rPr>
          <w:rFonts w:ascii="Arial" w:hAnsi="Arial" w:cs="Arial"/>
        </w:rPr>
      </w:pPr>
    </w:p>
    <w:p w14:paraId="6F7BBB19" w14:textId="23AC6771" w:rsidR="00272014" w:rsidRPr="00646406" w:rsidRDefault="00272014" w:rsidP="00272014">
      <w:pPr>
        <w:jc w:val="center"/>
        <w:rPr>
          <w:rFonts w:ascii="Arial" w:hAnsi="Arial" w:cs="Arial"/>
          <w:b/>
          <w:bCs/>
        </w:rPr>
      </w:pPr>
      <w:r w:rsidRPr="00646406">
        <w:rPr>
          <w:rFonts w:ascii="Arial" w:hAnsi="Arial" w:cs="Arial"/>
          <w:b/>
          <w:bCs/>
        </w:rPr>
        <w:t xml:space="preserve">Module Name: </w:t>
      </w:r>
      <w:r w:rsidR="00606D0D" w:rsidRPr="00606D0D">
        <w:rPr>
          <w:rFonts w:ascii="Arial" w:hAnsi="Arial" w:cs="Arial"/>
        </w:rPr>
        <w:t>International Business Concepts</w:t>
      </w:r>
    </w:p>
    <w:p w14:paraId="7115A76E" w14:textId="7E1D4A08" w:rsidR="00993E4E" w:rsidRDefault="00272014" w:rsidP="00272014">
      <w:pPr>
        <w:jc w:val="center"/>
        <w:rPr>
          <w:rFonts w:ascii="Arial" w:hAnsi="Arial" w:cs="Arial"/>
        </w:rPr>
      </w:pPr>
      <w:r w:rsidRPr="00646406">
        <w:rPr>
          <w:rFonts w:ascii="Arial" w:hAnsi="Arial" w:cs="Arial"/>
          <w:b/>
          <w:bCs/>
        </w:rPr>
        <w:t xml:space="preserve">Module Code: </w:t>
      </w:r>
      <w:r w:rsidR="00606D0D" w:rsidRPr="00606D0D">
        <w:rPr>
          <w:rFonts w:ascii="Arial" w:hAnsi="Arial" w:cs="Arial"/>
        </w:rPr>
        <w:t>LCMB7034</w:t>
      </w:r>
    </w:p>
    <w:p w14:paraId="6CB3BF85" w14:textId="77777777" w:rsidR="00606D0D" w:rsidRPr="00A1094E" w:rsidRDefault="00606D0D" w:rsidP="00272014">
      <w:pPr>
        <w:jc w:val="center"/>
        <w:rPr>
          <w:rFonts w:ascii="Arial" w:hAnsi="Arial" w:cs="Arial"/>
        </w:rPr>
      </w:pPr>
    </w:p>
    <w:p w14:paraId="5824F080" w14:textId="77777777" w:rsidR="00606D0D" w:rsidRDefault="00272014" w:rsidP="00272014">
      <w:pPr>
        <w:jc w:val="center"/>
        <w:rPr>
          <w:rFonts w:ascii="Arial" w:hAnsi="Arial" w:cs="Arial"/>
        </w:rPr>
      </w:pPr>
      <w:r w:rsidRPr="00E7301C">
        <w:rPr>
          <w:rFonts w:ascii="Arial" w:hAnsi="Arial" w:cs="Arial"/>
          <w:b/>
          <w:bCs/>
        </w:rPr>
        <w:t xml:space="preserve">Assignment Title: </w:t>
      </w:r>
      <w:r w:rsidR="00606D0D" w:rsidRPr="00606D0D">
        <w:rPr>
          <w:rFonts w:ascii="Arial" w:hAnsi="Arial" w:cs="Arial"/>
        </w:rPr>
        <w:t>Report</w:t>
      </w:r>
    </w:p>
    <w:p w14:paraId="39F64CE1" w14:textId="2236EEAD" w:rsidR="002F4864" w:rsidRDefault="00272014" w:rsidP="00272014">
      <w:pPr>
        <w:jc w:val="center"/>
        <w:rPr>
          <w:rFonts w:ascii="Arial" w:hAnsi="Arial" w:cs="Arial"/>
        </w:rPr>
      </w:pPr>
      <w:r w:rsidRPr="00646406">
        <w:rPr>
          <w:rFonts w:ascii="Arial" w:hAnsi="Arial" w:cs="Arial"/>
          <w:b/>
          <w:bCs/>
        </w:rPr>
        <w:t>Lecturer’s Name:</w:t>
      </w:r>
      <w:r w:rsidRPr="00A1094E">
        <w:rPr>
          <w:rFonts w:ascii="Arial" w:hAnsi="Arial" w:cs="Arial"/>
        </w:rPr>
        <w:t xml:space="preserve"> </w:t>
      </w:r>
      <w:r w:rsidR="00606D0D" w:rsidRPr="00606D0D">
        <w:rPr>
          <w:rFonts w:ascii="Arial" w:hAnsi="Arial" w:cs="Arial"/>
        </w:rPr>
        <w:t>Akshay Narayanan</w:t>
      </w:r>
    </w:p>
    <w:p w14:paraId="7DAC376B" w14:textId="77777777" w:rsidR="002F4864" w:rsidRPr="00646406" w:rsidRDefault="002F4864" w:rsidP="00272014">
      <w:pPr>
        <w:jc w:val="center"/>
        <w:rPr>
          <w:rFonts w:ascii="Arial" w:hAnsi="Arial" w:cs="Arial"/>
          <w:b/>
          <w:bCs/>
        </w:rPr>
      </w:pPr>
    </w:p>
    <w:p w14:paraId="3DBE0559" w14:textId="1E5690B4" w:rsidR="00272014" w:rsidRDefault="00272014" w:rsidP="00272014">
      <w:pPr>
        <w:jc w:val="center"/>
        <w:rPr>
          <w:rFonts w:ascii="Arial" w:hAnsi="Arial" w:cs="Arial"/>
        </w:rPr>
      </w:pPr>
      <w:r w:rsidRPr="00646406">
        <w:rPr>
          <w:rFonts w:ascii="Arial" w:hAnsi="Arial" w:cs="Arial"/>
          <w:b/>
          <w:bCs/>
        </w:rPr>
        <w:t>Work Count:</w:t>
      </w:r>
      <w:r w:rsidR="00E373AE">
        <w:rPr>
          <w:rFonts w:ascii="Arial" w:hAnsi="Arial" w:cs="Arial"/>
          <w:b/>
          <w:bCs/>
        </w:rPr>
        <w:t xml:space="preserve"> </w:t>
      </w:r>
      <w:r w:rsidR="00507FB9">
        <w:rPr>
          <w:rFonts w:ascii="Arial" w:hAnsi="Arial" w:cs="Arial"/>
        </w:rPr>
        <w:t>5286</w:t>
      </w:r>
    </w:p>
    <w:p w14:paraId="799D99B6" w14:textId="77777777" w:rsidR="00993E4E" w:rsidRPr="00272014" w:rsidRDefault="00993E4E" w:rsidP="00272014">
      <w:pPr>
        <w:jc w:val="center"/>
        <w:rPr>
          <w:rFonts w:ascii="Arial" w:hAnsi="Arial" w:cs="Arial"/>
        </w:rPr>
      </w:pPr>
    </w:p>
    <w:p w14:paraId="3DDFFC60" w14:textId="2B75C630" w:rsidR="00272014" w:rsidRDefault="00272014" w:rsidP="00272014">
      <w:pPr>
        <w:jc w:val="center"/>
        <w:rPr>
          <w:rFonts w:ascii="Arial" w:hAnsi="Arial" w:cs="Arial"/>
        </w:rPr>
      </w:pPr>
      <w:r>
        <w:rPr>
          <w:rFonts w:ascii="Arial" w:hAnsi="Arial" w:cs="Arial"/>
          <w:b/>
          <w:bCs/>
        </w:rPr>
        <w:t>S</w:t>
      </w:r>
      <w:r w:rsidRPr="00E1548E">
        <w:rPr>
          <w:rFonts w:ascii="Arial" w:hAnsi="Arial" w:cs="Arial"/>
          <w:b/>
          <w:bCs/>
        </w:rPr>
        <w:t>ubmission date</w:t>
      </w:r>
      <w:r>
        <w:rPr>
          <w:rFonts w:ascii="Arial" w:hAnsi="Arial" w:cs="Arial"/>
          <w:b/>
          <w:bCs/>
        </w:rPr>
        <w:t xml:space="preserve">: </w:t>
      </w:r>
      <w:r w:rsidR="00606D0D">
        <w:rPr>
          <w:rFonts w:ascii="Arial" w:hAnsi="Arial" w:cs="Arial"/>
        </w:rPr>
        <w:t>15</w:t>
      </w:r>
      <w:r w:rsidRPr="002C59E9">
        <w:rPr>
          <w:rFonts w:ascii="Arial" w:hAnsi="Arial" w:cs="Arial"/>
        </w:rPr>
        <w:t>/</w:t>
      </w:r>
      <w:r w:rsidR="00606D0D">
        <w:rPr>
          <w:rFonts w:ascii="Arial" w:hAnsi="Arial" w:cs="Arial"/>
        </w:rPr>
        <w:t>12</w:t>
      </w:r>
      <w:r w:rsidRPr="002C59E9">
        <w:rPr>
          <w:rFonts w:ascii="Arial" w:hAnsi="Arial" w:cs="Arial"/>
        </w:rPr>
        <w:t>/</w:t>
      </w:r>
      <w:r w:rsidR="00606D0D">
        <w:rPr>
          <w:rFonts w:ascii="Arial" w:hAnsi="Arial" w:cs="Arial"/>
        </w:rPr>
        <w:t>2025</w:t>
      </w:r>
    </w:p>
    <w:p w14:paraId="08E86B57" w14:textId="77777777" w:rsidR="00105CC8" w:rsidRDefault="00105CC8" w:rsidP="00272014">
      <w:pPr>
        <w:jc w:val="center"/>
        <w:rPr>
          <w:rFonts w:ascii="Arial" w:hAnsi="Arial" w:cs="Arial"/>
        </w:rPr>
      </w:pPr>
    </w:p>
    <w:p w14:paraId="59BA0584" w14:textId="77777777" w:rsidR="00105CC8" w:rsidRDefault="00105CC8" w:rsidP="00272014">
      <w:pPr>
        <w:jc w:val="center"/>
        <w:rPr>
          <w:rFonts w:ascii="Arial" w:hAnsi="Arial" w:cs="Arial"/>
        </w:rPr>
      </w:pPr>
    </w:p>
    <w:p w14:paraId="511AEDE2" w14:textId="77777777" w:rsidR="00105CC8" w:rsidRDefault="00105CC8" w:rsidP="00272014">
      <w:pPr>
        <w:jc w:val="center"/>
        <w:rPr>
          <w:rFonts w:ascii="Arial" w:hAnsi="Arial" w:cs="Arial"/>
        </w:rPr>
      </w:pPr>
    </w:p>
    <w:p w14:paraId="64374DC0" w14:textId="77777777" w:rsidR="00881384" w:rsidRDefault="00881384" w:rsidP="00881384">
      <w:pPr>
        <w:rPr>
          <w:rFonts w:ascii="Arial" w:hAnsi="Arial" w:cs="Arial"/>
          <w:color w:val="4472C4" w:themeColor="accent1"/>
        </w:rPr>
      </w:pPr>
    </w:p>
    <w:p w14:paraId="060CF2BF" w14:textId="77777777" w:rsidR="00676562" w:rsidRDefault="00676562" w:rsidP="00544841">
      <w:pPr>
        <w:spacing w:line="360" w:lineRule="auto"/>
        <w:rPr>
          <w:rFonts w:ascii="Arial" w:hAnsi="Arial" w:cs="Arial"/>
          <w:color w:val="4472C4" w:themeColor="accent1"/>
        </w:rPr>
      </w:pPr>
    </w:p>
    <w:p w14:paraId="79BD6A1B" w14:textId="77777777" w:rsidR="00676562" w:rsidRDefault="00676562" w:rsidP="00544841">
      <w:pPr>
        <w:spacing w:line="360" w:lineRule="auto"/>
        <w:rPr>
          <w:rFonts w:ascii="Arial" w:hAnsi="Arial" w:cs="Arial"/>
          <w:color w:val="4472C4" w:themeColor="accent1"/>
        </w:rPr>
      </w:pPr>
    </w:p>
    <w:p w14:paraId="73612762" w14:textId="316FAE79" w:rsidR="00676562" w:rsidRDefault="00544841" w:rsidP="00544841">
      <w:pPr>
        <w:spacing w:line="360" w:lineRule="auto"/>
        <w:jc w:val="center"/>
        <w:rPr>
          <w:rFonts w:ascii="Arial" w:hAnsi="Arial" w:cs="Arial"/>
          <w:color w:val="4472C4" w:themeColor="accent1"/>
        </w:rPr>
      </w:pPr>
      <w:r>
        <w:rPr>
          <w:rFonts w:ascii="Arial" w:hAnsi="Arial" w:cs="Arial"/>
          <w:noProof/>
          <w:color w:val="4472C4" w:themeColor="accent1"/>
        </w:rPr>
        <w:drawing>
          <wp:inline distT="0" distB="0" distL="0" distR="0" wp14:anchorId="248536AB" wp14:editId="19C7B511">
            <wp:extent cx="5943600" cy="3228340"/>
            <wp:effectExtent l="0" t="0" r="0" b="0"/>
            <wp:docPr id="1082956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5644" name="Picture 10829564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228340"/>
                    </a:xfrm>
                    <a:prstGeom prst="rect">
                      <a:avLst/>
                    </a:prstGeom>
                  </pic:spPr>
                </pic:pic>
              </a:graphicData>
            </a:graphic>
          </wp:inline>
        </w:drawing>
      </w:r>
    </w:p>
    <w:p w14:paraId="1FD2B37D" w14:textId="333A9CEA" w:rsidR="00676562" w:rsidRPr="00544841" w:rsidRDefault="00676562" w:rsidP="00C93992">
      <w:pPr>
        <w:spacing w:line="360" w:lineRule="auto"/>
        <w:jc w:val="center"/>
        <w:rPr>
          <w:rFonts w:ascii="Arial" w:hAnsi="Arial" w:cs="Arial"/>
          <w:color w:val="4472C4" w:themeColor="accent1"/>
        </w:rPr>
      </w:pPr>
      <w:r w:rsidRPr="00544841">
        <w:rPr>
          <w:rFonts w:ascii="Arial" w:hAnsi="Arial" w:cs="Arial"/>
          <w:color w:val="4472C4" w:themeColor="accent1"/>
        </w:rPr>
        <w:t>Volkswagen Group in Brazil: Evaluating International Operations, Entry Strategies, and Cultural Adaptation</w:t>
      </w:r>
    </w:p>
    <w:p w14:paraId="2A779508" w14:textId="77777777" w:rsidR="005B7F96" w:rsidRDefault="005B7F96" w:rsidP="00C93992">
      <w:pPr>
        <w:spacing w:line="360" w:lineRule="auto"/>
        <w:jc w:val="center"/>
        <w:rPr>
          <w:rFonts w:ascii="Arial" w:hAnsi="Arial" w:cs="Arial"/>
          <w:color w:val="4472C4" w:themeColor="accent1"/>
        </w:rPr>
      </w:pPr>
    </w:p>
    <w:p w14:paraId="02639D5A" w14:textId="1733CBD6" w:rsidR="00676562" w:rsidRPr="00676562" w:rsidRDefault="00676562" w:rsidP="00676562">
      <w:pPr>
        <w:spacing w:line="360" w:lineRule="auto"/>
        <w:jc w:val="both"/>
        <w:rPr>
          <w:rFonts w:ascii="Arial" w:hAnsi="Arial" w:cs="Arial"/>
          <w:b/>
          <w:bCs/>
          <w:color w:val="4472C4" w:themeColor="accent1"/>
        </w:rPr>
      </w:pPr>
      <w:r w:rsidRPr="00676562">
        <w:rPr>
          <w:rFonts w:ascii="Arial" w:hAnsi="Arial" w:cs="Arial"/>
          <w:b/>
          <w:bCs/>
          <w:color w:val="4472C4" w:themeColor="accent1"/>
        </w:rPr>
        <w:t xml:space="preserve">Executive Summary </w:t>
      </w:r>
    </w:p>
    <w:p w14:paraId="48675326" w14:textId="77777777" w:rsidR="007F5EB0" w:rsidRDefault="004C2F15" w:rsidP="00C9284C">
      <w:pPr>
        <w:spacing w:line="360" w:lineRule="auto"/>
        <w:jc w:val="both"/>
        <w:rPr>
          <w:rFonts w:ascii="Arial" w:hAnsi="Arial" w:cs="Arial"/>
          <w:color w:val="000000" w:themeColor="text1"/>
        </w:rPr>
      </w:pPr>
      <w:r w:rsidRPr="004C2F15">
        <w:rPr>
          <w:rFonts w:ascii="Arial" w:hAnsi="Arial" w:cs="Arial"/>
          <w:color w:val="000000" w:themeColor="text1"/>
        </w:rPr>
        <w:t xml:space="preserve">This report analyses the international operations of Volkswagen Group and its growth and performance in Brazil as one of the emerging markets. It forms an analysis of the global value chain of the company, entry modes, and competitive advantages based on the Ownership Location Internalisation (OLI) framework. The report points out the issue of culture and institutions in Brazil, such as differences in communication, hierarchy, labour practices, and regulatory environment. </w:t>
      </w:r>
    </w:p>
    <w:p w14:paraId="4CAAC26A" w14:textId="46265A69" w:rsidR="005B7F96" w:rsidRDefault="00BE4839" w:rsidP="00C9284C">
      <w:pPr>
        <w:spacing w:line="360" w:lineRule="auto"/>
        <w:jc w:val="both"/>
        <w:rPr>
          <w:rFonts w:ascii="Arial" w:hAnsi="Arial" w:cs="Arial"/>
          <w:color w:val="000000" w:themeColor="text1"/>
        </w:rPr>
      </w:pPr>
      <w:r>
        <w:rPr>
          <w:rFonts w:ascii="Arial" w:hAnsi="Arial" w:cs="Arial"/>
          <w:color w:val="000000" w:themeColor="text1"/>
        </w:rPr>
        <w:t>Five</w:t>
      </w:r>
      <w:r w:rsidR="004C2F15" w:rsidRPr="004C2F15">
        <w:rPr>
          <w:rFonts w:ascii="Arial" w:hAnsi="Arial" w:cs="Arial"/>
          <w:color w:val="000000" w:themeColor="text1"/>
        </w:rPr>
        <w:t xml:space="preserve"> key SOP changes are advised, based on these lessons, including localisation of HRM and leadership practices, redesigning of supply chain and compliance processes, and adjusting customer engagement and marketing strategies. </w:t>
      </w:r>
      <w:r w:rsidR="00C93992" w:rsidRPr="00C93992">
        <w:rPr>
          <w:rFonts w:ascii="Arial" w:hAnsi="Arial" w:cs="Arial"/>
          <w:color w:val="000000" w:themeColor="text1"/>
        </w:rPr>
        <w:t>These measures will help Volkswagen enhance its operational efficiency, integration and competitiveness in Brazil in the long term.</w:t>
      </w:r>
    </w:p>
    <w:sdt>
      <w:sdtPr>
        <w:rPr>
          <w:rFonts w:ascii="Arial" w:eastAsiaTheme="minorHAnsi" w:hAnsi="Arial" w:cs="Arial"/>
          <w:color w:val="auto"/>
          <w:kern w:val="2"/>
          <w:sz w:val="22"/>
          <w:szCs w:val="22"/>
          <w14:ligatures w14:val="standardContextual"/>
        </w:rPr>
        <w:id w:val="-762375029"/>
        <w:docPartObj>
          <w:docPartGallery w:val="Table of Contents"/>
          <w:docPartUnique/>
        </w:docPartObj>
      </w:sdtPr>
      <w:sdtEndPr>
        <w:rPr>
          <w:b/>
          <w:bCs/>
          <w:noProof/>
        </w:rPr>
      </w:sdtEndPr>
      <w:sdtContent>
        <w:p w14:paraId="06E7F669" w14:textId="11E8A8B7" w:rsidR="009A78D7" w:rsidRPr="000962AE" w:rsidRDefault="009A78D7" w:rsidP="000962AE">
          <w:pPr>
            <w:pStyle w:val="TOCHeading"/>
            <w:spacing w:line="240" w:lineRule="auto"/>
            <w:jc w:val="both"/>
            <w:rPr>
              <w:rFonts w:ascii="Arial" w:hAnsi="Arial" w:cs="Arial"/>
              <w:sz w:val="22"/>
              <w:szCs w:val="22"/>
            </w:rPr>
          </w:pPr>
          <w:r w:rsidRPr="000962AE">
            <w:rPr>
              <w:rFonts w:ascii="Arial" w:hAnsi="Arial" w:cs="Arial"/>
              <w:sz w:val="22"/>
              <w:szCs w:val="22"/>
            </w:rPr>
            <w:t>Table of Contents</w:t>
          </w:r>
        </w:p>
        <w:p w14:paraId="1E86D71A" w14:textId="242728C8" w:rsidR="000962AE" w:rsidRPr="000962AE" w:rsidRDefault="009A78D7" w:rsidP="000962AE">
          <w:pPr>
            <w:pStyle w:val="TOC1"/>
            <w:tabs>
              <w:tab w:val="right" w:leader="dot" w:pos="9350"/>
            </w:tabs>
            <w:spacing w:line="240" w:lineRule="auto"/>
            <w:rPr>
              <w:rFonts w:ascii="Arial" w:eastAsiaTheme="minorEastAsia" w:hAnsi="Arial" w:cs="Arial"/>
              <w:noProof/>
              <w:sz w:val="22"/>
              <w:szCs w:val="22"/>
            </w:rPr>
          </w:pPr>
          <w:r w:rsidRPr="000962AE">
            <w:rPr>
              <w:rFonts w:ascii="Arial" w:hAnsi="Arial" w:cs="Arial"/>
              <w:sz w:val="22"/>
              <w:szCs w:val="22"/>
            </w:rPr>
            <w:fldChar w:fldCharType="begin"/>
          </w:r>
          <w:r w:rsidRPr="000962AE">
            <w:rPr>
              <w:rFonts w:ascii="Arial" w:hAnsi="Arial" w:cs="Arial"/>
              <w:sz w:val="22"/>
              <w:szCs w:val="22"/>
            </w:rPr>
            <w:instrText xml:space="preserve"> TOC \o "1-3" \h \z \u </w:instrText>
          </w:r>
          <w:r w:rsidRPr="000962AE">
            <w:rPr>
              <w:rFonts w:ascii="Arial" w:hAnsi="Arial" w:cs="Arial"/>
              <w:sz w:val="22"/>
              <w:szCs w:val="22"/>
            </w:rPr>
            <w:fldChar w:fldCharType="separate"/>
          </w:r>
          <w:hyperlink w:anchor="_Toc216009388" w:history="1">
            <w:r w:rsidR="000962AE" w:rsidRPr="000962AE">
              <w:rPr>
                <w:rStyle w:val="Hyperlink"/>
                <w:rFonts w:ascii="Arial" w:hAnsi="Arial" w:cs="Arial"/>
                <w:noProof/>
                <w:sz w:val="22"/>
                <w:szCs w:val="22"/>
              </w:rPr>
              <w:t>1. Introduction</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_Toc216009388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4</w:t>
            </w:r>
            <w:r w:rsidR="000962AE" w:rsidRPr="000962AE">
              <w:rPr>
                <w:rFonts w:ascii="Arial" w:hAnsi="Arial" w:cs="Arial"/>
                <w:noProof/>
                <w:webHidden/>
                <w:sz w:val="22"/>
                <w:szCs w:val="22"/>
              </w:rPr>
              <w:fldChar w:fldCharType="end"/>
            </w:r>
          </w:hyperlink>
        </w:p>
        <w:p w14:paraId="35F6C41B" w14:textId="0A8035E0" w:rsidR="000962AE" w:rsidRPr="000962AE" w:rsidRDefault="000962AE" w:rsidP="000962AE">
          <w:pPr>
            <w:pStyle w:val="TOC1"/>
            <w:tabs>
              <w:tab w:val="right" w:leader="dot" w:pos="9350"/>
            </w:tabs>
            <w:spacing w:line="240" w:lineRule="auto"/>
            <w:rPr>
              <w:rFonts w:ascii="Arial" w:eastAsiaTheme="minorEastAsia" w:hAnsi="Arial" w:cs="Arial"/>
              <w:noProof/>
              <w:sz w:val="22"/>
              <w:szCs w:val="22"/>
            </w:rPr>
          </w:pPr>
          <w:hyperlink w:anchor="_Toc216009389" w:history="1">
            <w:r w:rsidRPr="000962AE">
              <w:rPr>
                <w:rStyle w:val="Hyperlink"/>
                <w:rFonts w:ascii="Arial" w:hAnsi="Arial" w:cs="Arial"/>
                <w:noProof/>
                <w:sz w:val="22"/>
                <w:szCs w:val="22"/>
              </w:rPr>
              <w:t>2. Benefits and Challenges of International Operations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_Toc216009389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5</w:t>
            </w:r>
            <w:r w:rsidRPr="000962AE">
              <w:rPr>
                <w:rFonts w:ascii="Arial" w:hAnsi="Arial" w:cs="Arial"/>
                <w:noProof/>
                <w:webHidden/>
                <w:sz w:val="22"/>
                <w:szCs w:val="22"/>
              </w:rPr>
              <w:fldChar w:fldCharType="end"/>
            </w:r>
          </w:hyperlink>
        </w:p>
        <w:p w14:paraId="56CE1A79" w14:textId="4C711040"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0" w:history="1">
            <w:r w:rsidRPr="000962AE">
              <w:rPr>
                <w:rStyle w:val="Hyperlink"/>
                <w:rFonts w:ascii="Arial" w:hAnsi="Arial" w:cs="Arial"/>
                <w:noProof/>
                <w:sz w:val="22"/>
                <w:szCs w:val="22"/>
              </w:rPr>
              <w:t>2.1 Why Volkswagen Can Be Designated an MNC/TNC</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_Toc216009390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5</w:t>
            </w:r>
            <w:r w:rsidRPr="000962AE">
              <w:rPr>
                <w:rFonts w:ascii="Arial" w:hAnsi="Arial" w:cs="Arial"/>
                <w:noProof/>
                <w:webHidden/>
                <w:sz w:val="22"/>
                <w:szCs w:val="22"/>
              </w:rPr>
              <w:fldChar w:fldCharType="end"/>
            </w:r>
          </w:hyperlink>
        </w:p>
        <w:p w14:paraId="3BDA658E" w14:textId="36D1C72A"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1" w:history="1">
            <w:r w:rsidRPr="000962AE">
              <w:rPr>
                <w:rStyle w:val="Hyperlink"/>
                <w:rFonts w:ascii="Arial" w:hAnsi="Arial" w:cs="Arial"/>
                <w:noProof/>
                <w:sz w:val="22"/>
                <w:szCs w:val="22"/>
              </w:rPr>
              <w:t>2.2 Global Operations Across Volkswagen’s Value Chain</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_Toc216009391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6</w:t>
            </w:r>
            <w:r w:rsidRPr="000962AE">
              <w:rPr>
                <w:rFonts w:ascii="Arial" w:hAnsi="Arial" w:cs="Arial"/>
                <w:noProof/>
                <w:webHidden/>
                <w:sz w:val="22"/>
                <w:szCs w:val="22"/>
              </w:rPr>
              <w:fldChar w:fldCharType="end"/>
            </w:r>
          </w:hyperlink>
        </w:p>
        <w:p w14:paraId="4476CB02" w14:textId="2949219B"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2" w:history="1">
            <w:r w:rsidRPr="000962AE">
              <w:rPr>
                <w:rStyle w:val="Hyperlink"/>
                <w:rFonts w:ascii="Arial" w:hAnsi="Arial" w:cs="Arial"/>
                <w:noProof/>
                <w:sz w:val="22"/>
                <w:szCs w:val="22"/>
              </w:rPr>
              <w:t>2.3 Entry Modes Used by Volkswagen in International Markets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_Toc216009392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8</w:t>
            </w:r>
            <w:r w:rsidRPr="000962AE">
              <w:rPr>
                <w:rFonts w:ascii="Arial" w:hAnsi="Arial" w:cs="Arial"/>
                <w:noProof/>
                <w:webHidden/>
                <w:sz w:val="22"/>
                <w:szCs w:val="22"/>
              </w:rPr>
              <w:fldChar w:fldCharType="end"/>
            </w:r>
          </w:hyperlink>
        </w:p>
        <w:p w14:paraId="1C56DE13" w14:textId="54C06096"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3" w:history="1">
            <w:r w:rsidRPr="000962AE">
              <w:rPr>
                <w:rStyle w:val="Hyperlink"/>
                <w:rFonts w:ascii="Arial" w:hAnsi="Arial" w:cs="Arial"/>
                <w:noProof/>
                <w:sz w:val="22"/>
                <w:szCs w:val="22"/>
              </w:rPr>
              <w:t>2.4 Key Benefits of Volkswagen’s International Operations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_Toc216009393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10</w:t>
            </w:r>
            <w:r w:rsidRPr="000962AE">
              <w:rPr>
                <w:rFonts w:ascii="Arial" w:hAnsi="Arial" w:cs="Arial"/>
                <w:noProof/>
                <w:webHidden/>
                <w:sz w:val="22"/>
                <w:szCs w:val="22"/>
              </w:rPr>
              <w:fldChar w:fldCharType="end"/>
            </w:r>
          </w:hyperlink>
        </w:p>
        <w:p w14:paraId="4B924A48" w14:textId="670D75A7" w:rsidR="000962AE" w:rsidRPr="000962AE" w:rsidRDefault="000962AE" w:rsidP="000962AE">
          <w:pPr>
            <w:pStyle w:val="TOC1"/>
            <w:tabs>
              <w:tab w:val="right" w:leader="dot" w:pos="9350"/>
            </w:tabs>
            <w:spacing w:line="240" w:lineRule="auto"/>
            <w:rPr>
              <w:rFonts w:ascii="Arial" w:eastAsiaTheme="minorEastAsia" w:hAnsi="Arial" w:cs="Arial"/>
              <w:noProof/>
              <w:sz w:val="22"/>
              <w:szCs w:val="22"/>
            </w:rPr>
          </w:pPr>
          <w:hyperlink w:anchor="_Toc216009394" w:history="1">
            <w:r w:rsidRPr="000962AE">
              <w:rPr>
                <w:rStyle w:val="Hyperlink"/>
                <w:rFonts w:ascii="Arial" w:hAnsi="Arial" w:cs="Arial"/>
                <w:noProof/>
                <w:sz w:val="22"/>
                <w:szCs w:val="22"/>
              </w:rPr>
              <w:t>3. OLI Framework Analysis: Volkswagen Group in Brazil</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_Toc216009394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12</w:t>
            </w:r>
            <w:r w:rsidRPr="000962AE">
              <w:rPr>
                <w:rFonts w:ascii="Arial" w:hAnsi="Arial" w:cs="Arial"/>
                <w:noProof/>
                <w:webHidden/>
                <w:sz w:val="22"/>
                <w:szCs w:val="22"/>
              </w:rPr>
              <w:fldChar w:fldCharType="end"/>
            </w:r>
          </w:hyperlink>
        </w:p>
        <w:p w14:paraId="46387BA8" w14:textId="3E5BE423"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5" w:history="1">
            <w:r w:rsidRPr="000962AE">
              <w:rPr>
                <w:rStyle w:val="Hyperlink"/>
                <w:rFonts w:ascii="Arial" w:hAnsi="Arial" w:cs="Arial"/>
                <w:noProof/>
                <w:sz w:val="22"/>
                <w:szCs w:val="22"/>
              </w:rPr>
              <w:t>3.1 Ownership Advantages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_Toc216009395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12</w:t>
            </w:r>
            <w:r w:rsidRPr="000962AE">
              <w:rPr>
                <w:rFonts w:ascii="Arial" w:hAnsi="Arial" w:cs="Arial"/>
                <w:noProof/>
                <w:webHidden/>
                <w:sz w:val="22"/>
                <w:szCs w:val="22"/>
              </w:rPr>
              <w:fldChar w:fldCharType="end"/>
            </w:r>
          </w:hyperlink>
        </w:p>
        <w:p w14:paraId="7FECAB27" w14:textId="07912E5A"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6" w:history="1">
            <w:r w:rsidRPr="000962AE">
              <w:rPr>
                <w:rStyle w:val="Hyperlink"/>
                <w:rFonts w:ascii="Arial" w:hAnsi="Arial" w:cs="Arial"/>
                <w:noProof/>
                <w:sz w:val="22"/>
                <w:szCs w:val="22"/>
              </w:rPr>
              <w:t>3.2 Location Advantages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_Toc216009396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13</w:t>
            </w:r>
            <w:r w:rsidRPr="000962AE">
              <w:rPr>
                <w:rFonts w:ascii="Arial" w:hAnsi="Arial" w:cs="Arial"/>
                <w:noProof/>
                <w:webHidden/>
                <w:sz w:val="22"/>
                <w:szCs w:val="22"/>
              </w:rPr>
              <w:fldChar w:fldCharType="end"/>
            </w:r>
          </w:hyperlink>
        </w:p>
        <w:p w14:paraId="356EF02E" w14:textId="47AD0309"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7" w:history="1">
            <w:r w:rsidRPr="000962AE">
              <w:rPr>
                <w:rStyle w:val="Hyperlink"/>
                <w:rFonts w:ascii="Arial" w:hAnsi="Arial" w:cs="Arial"/>
                <w:noProof/>
                <w:sz w:val="22"/>
                <w:szCs w:val="22"/>
              </w:rPr>
              <w:t>3.3 Internalisation Advantages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_Toc216009397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14</w:t>
            </w:r>
            <w:r w:rsidRPr="000962AE">
              <w:rPr>
                <w:rFonts w:ascii="Arial" w:hAnsi="Arial" w:cs="Arial"/>
                <w:noProof/>
                <w:webHidden/>
                <w:sz w:val="22"/>
                <w:szCs w:val="22"/>
              </w:rPr>
              <w:fldChar w:fldCharType="end"/>
            </w:r>
          </w:hyperlink>
        </w:p>
        <w:p w14:paraId="7C00D5AC" w14:textId="4C63889E"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8" w:history="1">
            <w:r w:rsidRPr="000962AE">
              <w:rPr>
                <w:rStyle w:val="Hyperlink"/>
                <w:rFonts w:ascii="Arial" w:hAnsi="Arial" w:cs="Arial"/>
                <w:noProof/>
                <w:sz w:val="22"/>
                <w:szCs w:val="22"/>
              </w:rPr>
              <w:t>3.4 Impact of OLI on Entry Mode Selection</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_Toc216009398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15</w:t>
            </w:r>
            <w:r w:rsidRPr="000962AE">
              <w:rPr>
                <w:rFonts w:ascii="Arial" w:hAnsi="Arial" w:cs="Arial"/>
                <w:noProof/>
                <w:webHidden/>
                <w:sz w:val="22"/>
                <w:szCs w:val="22"/>
              </w:rPr>
              <w:fldChar w:fldCharType="end"/>
            </w:r>
          </w:hyperlink>
        </w:p>
        <w:p w14:paraId="471213D5" w14:textId="4F495BF9"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399" w:history="1">
            <w:r w:rsidRPr="000962AE">
              <w:rPr>
                <w:rStyle w:val="Hyperlink"/>
                <w:rFonts w:ascii="Arial" w:hAnsi="Arial" w:cs="Arial"/>
                <w:noProof/>
                <w:sz w:val="22"/>
                <w:szCs w:val="22"/>
              </w:rPr>
              <w:t>3.5 Critical Insights and Implications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_Toc216009399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16</w:t>
            </w:r>
            <w:r w:rsidRPr="000962AE">
              <w:rPr>
                <w:rFonts w:ascii="Arial" w:hAnsi="Arial" w:cs="Arial"/>
                <w:noProof/>
                <w:webHidden/>
                <w:sz w:val="22"/>
                <w:szCs w:val="22"/>
              </w:rPr>
              <w:fldChar w:fldCharType="end"/>
            </w:r>
          </w:hyperlink>
        </w:p>
        <w:p w14:paraId="1B8F9F08" w14:textId="3BAE31C8" w:rsidR="000962AE" w:rsidRPr="000962AE" w:rsidRDefault="000962AE" w:rsidP="000962AE">
          <w:pPr>
            <w:pStyle w:val="TOC1"/>
            <w:tabs>
              <w:tab w:val="right" w:leader="dot" w:pos="9350"/>
            </w:tabs>
            <w:spacing w:line="240" w:lineRule="auto"/>
            <w:rPr>
              <w:rFonts w:ascii="Arial" w:eastAsiaTheme="minorEastAsia" w:hAnsi="Arial" w:cs="Arial"/>
              <w:noProof/>
              <w:sz w:val="22"/>
              <w:szCs w:val="22"/>
            </w:rPr>
          </w:pPr>
          <w:hyperlink w:anchor="_Toc216009400" w:history="1">
            <w:r w:rsidRPr="000962AE">
              <w:rPr>
                <w:rStyle w:val="Hyperlink"/>
                <w:rFonts w:ascii="Arial" w:hAnsi="Arial" w:cs="Arial"/>
                <w:noProof/>
                <w:sz w:val="22"/>
                <w:szCs w:val="22"/>
              </w:rPr>
              <w:t>4. Cultural Differences Between Germany and Brazil and Their Impact on Volkswagen’s Market Entry Strategy and Success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_Toc216009400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16</w:t>
            </w:r>
            <w:r w:rsidRPr="000962AE">
              <w:rPr>
                <w:rFonts w:ascii="Arial" w:hAnsi="Arial" w:cs="Arial"/>
                <w:noProof/>
                <w:webHidden/>
                <w:sz w:val="22"/>
                <w:szCs w:val="22"/>
              </w:rPr>
              <w:fldChar w:fldCharType="end"/>
            </w:r>
          </w:hyperlink>
        </w:p>
        <w:p w14:paraId="6FD4C8C6" w14:textId="5B0D8E53"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01" w:history="1">
            <w:r w:rsidRPr="000962AE">
              <w:rPr>
                <w:rStyle w:val="Hyperlink"/>
                <w:rFonts w:ascii="Arial" w:hAnsi="Arial" w:cs="Arial"/>
                <w:noProof/>
                <w:sz w:val="22"/>
                <w:szCs w:val="22"/>
              </w:rPr>
              <w:t>4.1 Cultural Distance: Germany vs Brazil</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_Toc216009401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17</w:t>
            </w:r>
            <w:r w:rsidRPr="000962AE">
              <w:rPr>
                <w:rFonts w:ascii="Arial" w:hAnsi="Arial" w:cs="Arial"/>
                <w:noProof/>
                <w:webHidden/>
                <w:sz w:val="22"/>
                <w:szCs w:val="22"/>
              </w:rPr>
              <w:fldChar w:fldCharType="end"/>
            </w:r>
          </w:hyperlink>
        </w:p>
        <w:p w14:paraId="51275016" w14:textId="2573A7CB"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02" w:history="1">
            <w:r w:rsidRPr="000962AE">
              <w:rPr>
                <w:rStyle w:val="Hyperlink"/>
                <w:rFonts w:ascii="Arial" w:hAnsi="Arial" w:cs="Arial"/>
                <w:noProof/>
                <w:sz w:val="22"/>
                <w:szCs w:val="22"/>
              </w:rPr>
              <w:t>4.2 Impact on Market Entry Strategy</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_Toc216009402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18</w:t>
            </w:r>
            <w:r w:rsidRPr="000962AE">
              <w:rPr>
                <w:rFonts w:ascii="Arial" w:hAnsi="Arial" w:cs="Arial"/>
                <w:noProof/>
                <w:webHidden/>
                <w:sz w:val="22"/>
                <w:szCs w:val="22"/>
              </w:rPr>
              <w:fldChar w:fldCharType="end"/>
            </w:r>
          </w:hyperlink>
        </w:p>
        <w:p w14:paraId="6C383514" w14:textId="4578271A"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03" w:history="1">
            <w:r w:rsidRPr="000962AE">
              <w:rPr>
                <w:rStyle w:val="Hyperlink"/>
                <w:rFonts w:ascii="Arial" w:hAnsi="Arial" w:cs="Arial"/>
                <w:noProof/>
                <w:sz w:val="22"/>
                <w:szCs w:val="22"/>
              </w:rPr>
              <w:t>4.3 Impact on Volkswagen’s Potential for Success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_Toc216009403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20</w:t>
            </w:r>
            <w:r w:rsidRPr="000962AE">
              <w:rPr>
                <w:rFonts w:ascii="Arial" w:hAnsi="Arial" w:cs="Arial"/>
                <w:noProof/>
                <w:webHidden/>
                <w:sz w:val="22"/>
                <w:szCs w:val="22"/>
              </w:rPr>
              <w:fldChar w:fldCharType="end"/>
            </w:r>
          </w:hyperlink>
        </w:p>
        <w:p w14:paraId="43593F58" w14:textId="43A91B36" w:rsidR="000962AE" w:rsidRPr="000962AE" w:rsidRDefault="000962AE" w:rsidP="000962AE">
          <w:pPr>
            <w:pStyle w:val="TOC1"/>
            <w:tabs>
              <w:tab w:val="right" w:leader="dot" w:pos="9350"/>
            </w:tabs>
            <w:spacing w:line="240" w:lineRule="auto"/>
            <w:rPr>
              <w:rFonts w:ascii="Arial" w:eastAsiaTheme="minorEastAsia" w:hAnsi="Arial" w:cs="Arial"/>
              <w:noProof/>
              <w:sz w:val="22"/>
              <w:szCs w:val="22"/>
            </w:rPr>
          </w:pPr>
          <w:hyperlink w:anchor="_Toc216009404" w:history="1">
            <w:r w:rsidRPr="000962AE">
              <w:rPr>
                <w:rStyle w:val="Hyperlink"/>
                <w:rFonts w:ascii="Arial" w:hAnsi="Arial" w:cs="Arial"/>
                <w:noProof/>
                <w:sz w:val="22"/>
                <w:szCs w:val="22"/>
              </w:rPr>
              <w:t>5. Critical Discussion and Recommended SOP Adjustments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_Toc216009404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22</w:t>
            </w:r>
            <w:r w:rsidRPr="000962AE">
              <w:rPr>
                <w:rFonts w:ascii="Arial" w:hAnsi="Arial" w:cs="Arial"/>
                <w:noProof/>
                <w:webHidden/>
                <w:sz w:val="22"/>
                <w:szCs w:val="22"/>
              </w:rPr>
              <w:fldChar w:fldCharType="end"/>
            </w:r>
          </w:hyperlink>
        </w:p>
        <w:p w14:paraId="51DFEF34" w14:textId="2BD612EF"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05" w:history="1">
            <w:r w:rsidRPr="000962AE">
              <w:rPr>
                <w:rStyle w:val="Hyperlink"/>
                <w:rFonts w:ascii="Arial" w:hAnsi="Arial" w:cs="Arial"/>
                <w:noProof/>
                <w:sz w:val="22"/>
                <w:szCs w:val="22"/>
              </w:rPr>
              <w:t>5.1 SOP Adjustment 1: Localisation of HRM and Employee Management Practices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_Toc216009405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22</w:t>
            </w:r>
            <w:r w:rsidRPr="000962AE">
              <w:rPr>
                <w:rFonts w:ascii="Arial" w:hAnsi="Arial" w:cs="Arial"/>
                <w:noProof/>
                <w:webHidden/>
                <w:sz w:val="22"/>
                <w:szCs w:val="22"/>
              </w:rPr>
              <w:fldChar w:fldCharType="end"/>
            </w:r>
          </w:hyperlink>
        </w:p>
        <w:p w14:paraId="16E88EBC" w14:textId="1945F13E"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06" w:history="1">
            <w:r w:rsidRPr="000962AE">
              <w:rPr>
                <w:rStyle w:val="Hyperlink"/>
                <w:rFonts w:ascii="Arial" w:hAnsi="Arial" w:cs="Arial"/>
                <w:noProof/>
                <w:sz w:val="22"/>
                <w:szCs w:val="22"/>
              </w:rPr>
              <w:t>5.2 SOP Adjustment 2: Restructuring of Supply Chain, Quality Assurance and Regulatory Compliance Procedures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_Toc216009406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24</w:t>
            </w:r>
            <w:r w:rsidRPr="000962AE">
              <w:rPr>
                <w:rFonts w:ascii="Arial" w:hAnsi="Arial" w:cs="Arial"/>
                <w:noProof/>
                <w:webHidden/>
                <w:sz w:val="22"/>
                <w:szCs w:val="22"/>
              </w:rPr>
              <w:fldChar w:fldCharType="end"/>
            </w:r>
          </w:hyperlink>
        </w:p>
        <w:p w14:paraId="72B88AE6" w14:textId="0269B016"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07" w:history="1">
            <w:r w:rsidRPr="000962AE">
              <w:rPr>
                <w:rStyle w:val="Hyperlink"/>
                <w:rFonts w:ascii="Arial" w:hAnsi="Arial" w:cs="Arial"/>
                <w:noProof/>
                <w:sz w:val="22"/>
                <w:szCs w:val="22"/>
              </w:rPr>
              <w:t>5.3 SOP Adjustment 3: Adaptation of Customer Engagement, Service Delivery and Marketing Protocols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_Toc216009407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25</w:t>
            </w:r>
            <w:r w:rsidRPr="000962AE">
              <w:rPr>
                <w:rFonts w:ascii="Arial" w:hAnsi="Arial" w:cs="Arial"/>
                <w:noProof/>
                <w:webHidden/>
                <w:sz w:val="22"/>
                <w:szCs w:val="22"/>
              </w:rPr>
              <w:fldChar w:fldCharType="end"/>
            </w:r>
          </w:hyperlink>
        </w:p>
        <w:p w14:paraId="2CB59A22" w14:textId="0B3AE5B4"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08" w:history="1">
            <w:r w:rsidRPr="000962AE">
              <w:rPr>
                <w:rStyle w:val="Hyperlink"/>
                <w:rFonts w:ascii="Arial" w:hAnsi="Arial" w:cs="Arial"/>
                <w:noProof/>
                <w:sz w:val="22"/>
                <w:szCs w:val="22"/>
              </w:rPr>
              <w:t>5.4 SOP Adjustment 4: Digital Transformation, Data Governance and Cybersecurity Procedures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_Toc216009408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27</w:t>
            </w:r>
            <w:r w:rsidRPr="000962AE">
              <w:rPr>
                <w:rFonts w:ascii="Arial" w:hAnsi="Arial" w:cs="Arial"/>
                <w:noProof/>
                <w:webHidden/>
                <w:sz w:val="22"/>
                <w:szCs w:val="22"/>
              </w:rPr>
              <w:fldChar w:fldCharType="end"/>
            </w:r>
          </w:hyperlink>
        </w:p>
        <w:p w14:paraId="4DE6D880" w14:textId="0400F8BB"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09" w:history="1">
            <w:r w:rsidRPr="000962AE">
              <w:rPr>
                <w:rStyle w:val="Hyperlink"/>
                <w:rFonts w:ascii="Arial" w:hAnsi="Arial" w:cs="Arial"/>
                <w:noProof/>
                <w:sz w:val="22"/>
                <w:szCs w:val="22"/>
              </w:rPr>
              <w:t>5.5 SOP Adjustment 5: Sustainability, Environmental Compliance and Corporate Social Responsibility Procedures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_Toc216009409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28</w:t>
            </w:r>
            <w:r w:rsidRPr="000962AE">
              <w:rPr>
                <w:rFonts w:ascii="Arial" w:hAnsi="Arial" w:cs="Arial"/>
                <w:noProof/>
                <w:webHidden/>
                <w:sz w:val="22"/>
                <w:szCs w:val="22"/>
              </w:rPr>
              <w:fldChar w:fldCharType="end"/>
            </w:r>
          </w:hyperlink>
        </w:p>
        <w:p w14:paraId="2C0C91A6" w14:textId="6569DB25" w:rsidR="000962AE" w:rsidRPr="000962AE" w:rsidRDefault="000962AE" w:rsidP="000962AE">
          <w:pPr>
            <w:pStyle w:val="TOC1"/>
            <w:tabs>
              <w:tab w:val="right" w:leader="dot" w:pos="9350"/>
            </w:tabs>
            <w:spacing w:line="240" w:lineRule="auto"/>
            <w:rPr>
              <w:rFonts w:ascii="Arial" w:eastAsiaTheme="minorEastAsia" w:hAnsi="Arial" w:cs="Arial"/>
              <w:noProof/>
              <w:sz w:val="22"/>
              <w:szCs w:val="22"/>
            </w:rPr>
          </w:pPr>
          <w:hyperlink w:anchor="_Toc216009410" w:history="1">
            <w:r w:rsidRPr="000962AE">
              <w:rPr>
                <w:rStyle w:val="Hyperlink"/>
                <w:rFonts w:ascii="Arial" w:hAnsi="Arial" w:cs="Arial"/>
                <w:noProof/>
                <w:sz w:val="22"/>
                <w:szCs w:val="22"/>
              </w:rPr>
              <w:t>6. Conclusion</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_Toc216009410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30</w:t>
            </w:r>
            <w:r w:rsidRPr="000962AE">
              <w:rPr>
                <w:rFonts w:ascii="Arial" w:hAnsi="Arial" w:cs="Arial"/>
                <w:noProof/>
                <w:webHidden/>
                <w:sz w:val="22"/>
                <w:szCs w:val="22"/>
              </w:rPr>
              <w:fldChar w:fldCharType="end"/>
            </w:r>
          </w:hyperlink>
        </w:p>
        <w:p w14:paraId="793C5D66" w14:textId="5C6A07F5" w:rsidR="000962AE" w:rsidRPr="000962AE" w:rsidRDefault="000962AE" w:rsidP="000962AE">
          <w:pPr>
            <w:pStyle w:val="TOC1"/>
            <w:tabs>
              <w:tab w:val="right" w:leader="dot" w:pos="9350"/>
            </w:tabs>
            <w:spacing w:line="240" w:lineRule="auto"/>
            <w:rPr>
              <w:rFonts w:ascii="Arial" w:eastAsiaTheme="minorEastAsia" w:hAnsi="Arial" w:cs="Arial"/>
              <w:noProof/>
              <w:sz w:val="22"/>
              <w:szCs w:val="22"/>
            </w:rPr>
          </w:pPr>
          <w:hyperlink w:anchor="_Toc216009411" w:history="1">
            <w:r w:rsidRPr="000962AE">
              <w:rPr>
                <w:rStyle w:val="Hyperlink"/>
                <w:rFonts w:ascii="Arial" w:hAnsi="Arial" w:cs="Arial"/>
                <w:noProof/>
                <w:sz w:val="22"/>
                <w:szCs w:val="22"/>
              </w:rPr>
              <w:t>References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_Toc216009411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31</w:t>
            </w:r>
            <w:r w:rsidRPr="000962AE">
              <w:rPr>
                <w:rFonts w:ascii="Arial" w:hAnsi="Arial" w:cs="Arial"/>
                <w:noProof/>
                <w:webHidden/>
                <w:sz w:val="22"/>
                <w:szCs w:val="22"/>
              </w:rPr>
              <w:fldChar w:fldCharType="end"/>
            </w:r>
          </w:hyperlink>
        </w:p>
        <w:p w14:paraId="1BD818EE" w14:textId="6A519899" w:rsidR="000962AE" w:rsidRPr="000962AE" w:rsidRDefault="000962AE" w:rsidP="000962AE">
          <w:pPr>
            <w:pStyle w:val="TOC1"/>
            <w:tabs>
              <w:tab w:val="right" w:leader="dot" w:pos="9350"/>
            </w:tabs>
            <w:spacing w:line="240" w:lineRule="auto"/>
            <w:rPr>
              <w:rFonts w:ascii="Arial" w:eastAsiaTheme="minorEastAsia" w:hAnsi="Arial" w:cs="Arial"/>
              <w:noProof/>
              <w:sz w:val="22"/>
              <w:szCs w:val="22"/>
            </w:rPr>
          </w:pPr>
          <w:hyperlink w:anchor="_Toc216009412" w:history="1">
            <w:r w:rsidRPr="000962AE">
              <w:rPr>
                <w:rStyle w:val="Hyperlink"/>
                <w:rFonts w:ascii="Arial" w:hAnsi="Arial" w:cs="Arial"/>
                <w:noProof/>
                <w:sz w:val="22"/>
                <w:szCs w:val="22"/>
              </w:rPr>
              <w:t>Appendices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_Toc216009412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33</w:t>
            </w:r>
            <w:r w:rsidRPr="000962AE">
              <w:rPr>
                <w:rFonts w:ascii="Arial" w:hAnsi="Arial" w:cs="Arial"/>
                <w:noProof/>
                <w:webHidden/>
                <w:sz w:val="22"/>
                <w:szCs w:val="22"/>
              </w:rPr>
              <w:fldChar w:fldCharType="end"/>
            </w:r>
          </w:hyperlink>
        </w:p>
        <w:p w14:paraId="4C411423" w14:textId="6B8BE33E"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13" w:history="1">
            <w:r w:rsidRPr="000962AE">
              <w:rPr>
                <w:rStyle w:val="Hyperlink"/>
                <w:rFonts w:ascii="Arial" w:hAnsi="Arial" w:cs="Arial"/>
                <w:noProof/>
                <w:sz w:val="22"/>
                <w:szCs w:val="22"/>
              </w:rPr>
              <w:t>Appendix A: Volkswagen Global Operations Value Chain</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_Toc216009413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33</w:t>
            </w:r>
            <w:r w:rsidRPr="000962AE">
              <w:rPr>
                <w:rFonts w:ascii="Arial" w:hAnsi="Arial" w:cs="Arial"/>
                <w:noProof/>
                <w:webHidden/>
                <w:sz w:val="22"/>
                <w:szCs w:val="22"/>
              </w:rPr>
              <w:fldChar w:fldCharType="end"/>
            </w:r>
          </w:hyperlink>
        </w:p>
        <w:p w14:paraId="77AE6CF6" w14:textId="51823E2B"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14" w:history="1">
            <w:r w:rsidRPr="000962AE">
              <w:rPr>
                <w:rStyle w:val="Hyperlink"/>
                <w:rFonts w:ascii="Arial" w:hAnsi="Arial" w:cs="Arial"/>
                <w:noProof/>
                <w:sz w:val="22"/>
                <w:szCs w:val="22"/>
              </w:rPr>
              <w:t>Appendix B: OLI Analysis Table: Volkswagen in Brazil</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_Toc216009414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33</w:t>
            </w:r>
            <w:r w:rsidRPr="000962AE">
              <w:rPr>
                <w:rFonts w:ascii="Arial" w:hAnsi="Arial" w:cs="Arial"/>
                <w:noProof/>
                <w:webHidden/>
                <w:sz w:val="22"/>
                <w:szCs w:val="22"/>
              </w:rPr>
              <w:fldChar w:fldCharType="end"/>
            </w:r>
          </w:hyperlink>
        </w:p>
        <w:p w14:paraId="799708EF" w14:textId="36D2B2F9"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15" w:history="1">
            <w:r w:rsidRPr="000962AE">
              <w:rPr>
                <w:rStyle w:val="Hyperlink"/>
                <w:rFonts w:ascii="Arial" w:hAnsi="Arial" w:cs="Arial"/>
                <w:noProof/>
                <w:sz w:val="22"/>
                <w:szCs w:val="22"/>
              </w:rPr>
              <w:t>Appendix C: Hofstede Cultural Comparison: Germany vs Brazil</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_Toc216009415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34</w:t>
            </w:r>
            <w:r w:rsidRPr="000962AE">
              <w:rPr>
                <w:rFonts w:ascii="Arial" w:hAnsi="Arial" w:cs="Arial"/>
                <w:noProof/>
                <w:webHidden/>
                <w:sz w:val="22"/>
                <w:szCs w:val="22"/>
              </w:rPr>
              <w:fldChar w:fldCharType="end"/>
            </w:r>
          </w:hyperlink>
        </w:p>
        <w:p w14:paraId="323EA47F" w14:textId="52855A63"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16" w:history="1">
            <w:r w:rsidRPr="000962AE">
              <w:rPr>
                <w:rStyle w:val="Hyperlink"/>
                <w:rFonts w:ascii="Arial" w:hAnsi="Arial" w:cs="Arial"/>
                <w:noProof/>
                <w:sz w:val="22"/>
                <w:szCs w:val="22"/>
              </w:rPr>
              <w:t>Appendix D: International Market Entry Modes</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_Toc216009416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34</w:t>
            </w:r>
            <w:r w:rsidRPr="000962AE">
              <w:rPr>
                <w:rFonts w:ascii="Arial" w:hAnsi="Arial" w:cs="Arial"/>
                <w:noProof/>
                <w:webHidden/>
                <w:sz w:val="22"/>
                <w:szCs w:val="22"/>
              </w:rPr>
              <w:fldChar w:fldCharType="end"/>
            </w:r>
          </w:hyperlink>
        </w:p>
        <w:p w14:paraId="283976BA" w14:textId="77288D2C" w:rsidR="000962AE" w:rsidRPr="000962AE" w:rsidRDefault="000962AE" w:rsidP="000962AE">
          <w:pPr>
            <w:pStyle w:val="TOC2"/>
            <w:tabs>
              <w:tab w:val="right" w:leader="dot" w:pos="9350"/>
            </w:tabs>
            <w:spacing w:line="240" w:lineRule="auto"/>
            <w:rPr>
              <w:rFonts w:ascii="Arial" w:eastAsiaTheme="minorEastAsia" w:hAnsi="Arial" w:cs="Arial"/>
              <w:noProof/>
              <w:sz w:val="22"/>
              <w:szCs w:val="22"/>
            </w:rPr>
          </w:pPr>
          <w:hyperlink w:anchor="_Toc216009417" w:history="1">
            <w:r w:rsidRPr="000962AE">
              <w:rPr>
                <w:rStyle w:val="Hyperlink"/>
                <w:rFonts w:ascii="Arial" w:hAnsi="Arial" w:cs="Arial"/>
                <w:noProof/>
                <w:sz w:val="22"/>
                <w:szCs w:val="22"/>
              </w:rPr>
              <w:t>Appendix E: SOP Adjustment Framework for Brazil</w:t>
            </w:r>
            <w:r w:rsidRPr="000962AE">
              <w:rPr>
                <w:rFonts w:ascii="Arial" w:hAnsi="Arial" w:cs="Arial"/>
                <w:noProof/>
                <w:webHidden/>
                <w:sz w:val="22"/>
                <w:szCs w:val="22"/>
              </w:rPr>
              <w:tab/>
            </w:r>
            <w:r w:rsidRPr="000962AE">
              <w:rPr>
                <w:rFonts w:ascii="Arial" w:hAnsi="Arial" w:cs="Arial"/>
                <w:noProof/>
                <w:webHidden/>
                <w:sz w:val="22"/>
                <w:szCs w:val="22"/>
              </w:rPr>
              <w:fldChar w:fldCharType="begin"/>
            </w:r>
            <w:r w:rsidRPr="000962AE">
              <w:rPr>
                <w:rFonts w:ascii="Arial" w:hAnsi="Arial" w:cs="Arial"/>
                <w:noProof/>
                <w:webHidden/>
                <w:sz w:val="22"/>
                <w:szCs w:val="22"/>
              </w:rPr>
              <w:instrText xml:space="preserve"> PAGEREF _Toc216009417 \h </w:instrText>
            </w:r>
            <w:r w:rsidRPr="000962AE">
              <w:rPr>
                <w:rFonts w:ascii="Arial" w:hAnsi="Arial" w:cs="Arial"/>
                <w:noProof/>
                <w:webHidden/>
                <w:sz w:val="22"/>
                <w:szCs w:val="22"/>
              </w:rPr>
            </w:r>
            <w:r w:rsidRPr="000962AE">
              <w:rPr>
                <w:rFonts w:ascii="Arial" w:hAnsi="Arial" w:cs="Arial"/>
                <w:noProof/>
                <w:webHidden/>
                <w:sz w:val="22"/>
                <w:szCs w:val="22"/>
              </w:rPr>
              <w:fldChar w:fldCharType="separate"/>
            </w:r>
            <w:r w:rsidR="00AC6A2A">
              <w:rPr>
                <w:rFonts w:ascii="Arial" w:hAnsi="Arial" w:cs="Arial"/>
                <w:noProof/>
                <w:webHidden/>
                <w:sz w:val="22"/>
                <w:szCs w:val="22"/>
              </w:rPr>
              <w:t>35</w:t>
            </w:r>
            <w:r w:rsidRPr="000962AE">
              <w:rPr>
                <w:rFonts w:ascii="Arial" w:hAnsi="Arial" w:cs="Arial"/>
                <w:noProof/>
                <w:webHidden/>
                <w:sz w:val="22"/>
                <w:szCs w:val="22"/>
              </w:rPr>
              <w:fldChar w:fldCharType="end"/>
            </w:r>
          </w:hyperlink>
        </w:p>
        <w:p w14:paraId="0BE4D5DE" w14:textId="3F8C8833" w:rsidR="009A78D7" w:rsidRDefault="009A78D7" w:rsidP="000962AE">
          <w:pPr>
            <w:spacing w:line="240" w:lineRule="auto"/>
            <w:jc w:val="both"/>
          </w:pPr>
          <w:r w:rsidRPr="000962AE">
            <w:rPr>
              <w:rFonts w:ascii="Arial" w:hAnsi="Arial" w:cs="Arial"/>
              <w:b/>
              <w:bCs/>
              <w:noProof/>
              <w:sz w:val="22"/>
              <w:szCs w:val="22"/>
            </w:rPr>
            <w:fldChar w:fldCharType="end"/>
          </w:r>
        </w:p>
      </w:sdtContent>
    </w:sdt>
    <w:p w14:paraId="5936BE67" w14:textId="293EE01F" w:rsidR="009A78D7" w:rsidRPr="00C9284C" w:rsidRDefault="009A78D7" w:rsidP="00C9284C">
      <w:pPr>
        <w:spacing w:line="360" w:lineRule="auto"/>
        <w:jc w:val="both"/>
        <w:rPr>
          <w:rFonts w:ascii="Arial" w:hAnsi="Arial" w:cs="Arial"/>
          <w:color w:val="000000" w:themeColor="text1"/>
        </w:rPr>
      </w:pPr>
    </w:p>
    <w:p w14:paraId="4C20273C" w14:textId="3FE6AE5D" w:rsidR="00673A64" w:rsidRPr="00673A64" w:rsidRDefault="00673A64" w:rsidP="00673A64">
      <w:pPr>
        <w:pStyle w:val="Heading1"/>
      </w:pPr>
      <w:bookmarkStart w:id="0" w:name="_Toc215538915"/>
      <w:bookmarkStart w:id="1" w:name="_Toc216009388"/>
      <w:r w:rsidRPr="00673A64">
        <w:lastRenderedPageBreak/>
        <w:t>1. Introduction</w:t>
      </w:r>
      <w:bookmarkEnd w:id="0"/>
      <w:bookmarkEnd w:id="1"/>
      <w:r w:rsidRPr="00673A64">
        <w:t xml:space="preserve"> </w:t>
      </w:r>
    </w:p>
    <w:p w14:paraId="7CFF02A5" w14:textId="77777777" w:rsidR="004D34F3" w:rsidRDefault="0038604B" w:rsidP="00F6719B">
      <w:pPr>
        <w:spacing w:line="360" w:lineRule="auto"/>
        <w:jc w:val="both"/>
        <w:rPr>
          <w:rFonts w:ascii="Arial" w:hAnsi="Arial" w:cs="Arial"/>
        </w:rPr>
      </w:pPr>
      <w:r w:rsidRPr="0038604B">
        <w:rPr>
          <w:rFonts w:ascii="Arial" w:hAnsi="Arial" w:cs="Arial"/>
        </w:rPr>
        <w:t xml:space="preserve">Volkswagen Group (VW) is one of the largest automotive producers in the world, with over 100 manufacturing plants in more than 150 markets. VW, as a Multinational Corporation (MNC), is spread across Europe, Asia, Africa, and the Americas, with a substantial presence in the emerging markets in Brazil, India, and China. </w:t>
      </w:r>
      <w:r w:rsidR="00F6719B" w:rsidRPr="00F6719B">
        <w:rPr>
          <w:rFonts w:ascii="Arial" w:hAnsi="Arial" w:cs="Arial"/>
        </w:rPr>
        <w:t>This consultancy report looks at Volkswagen's worldwide performance and how it enters new markets, its organisational benefits and the culturally demanding situations within the Brazilian market.</w:t>
      </w:r>
    </w:p>
    <w:p w14:paraId="7204139C" w14:textId="2FE3C31E" w:rsidR="00DC59AE" w:rsidRPr="00DC59AE" w:rsidRDefault="00DC59AE" w:rsidP="00AE09C5">
      <w:pPr>
        <w:spacing w:line="360" w:lineRule="auto"/>
        <w:jc w:val="both"/>
        <w:rPr>
          <w:rFonts w:asciiTheme="majorHAnsi" w:hAnsiTheme="majorHAnsi" w:cstheme="majorHAnsi"/>
          <w:i/>
          <w:iCs/>
          <w:color w:val="4472C4" w:themeColor="accent1"/>
          <w:sz w:val="22"/>
          <w:szCs w:val="22"/>
        </w:rPr>
      </w:pPr>
      <w:r w:rsidRPr="00DC59AE">
        <w:rPr>
          <w:rFonts w:asciiTheme="majorHAnsi" w:hAnsiTheme="majorHAnsi" w:cstheme="majorHAnsi"/>
          <w:i/>
          <w:iCs/>
          <w:color w:val="4472C4" w:themeColor="accent1"/>
          <w:sz w:val="22"/>
          <w:szCs w:val="22"/>
        </w:rPr>
        <w:t>Figure 1: Volkswagen do Brazil – Ancheta Plant (São Bernardo do Campo, Brazil)</w:t>
      </w:r>
    </w:p>
    <w:p w14:paraId="48CF9C42" w14:textId="2842A1BF" w:rsidR="00DC59AE" w:rsidRDefault="00DC59AE" w:rsidP="00DC59AE">
      <w:pPr>
        <w:spacing w:line="360" w:lineRule="auto"/>
        <w:jc w:val="center"/>
        <w:rPr>
          <w:rFonts w:ascii="Arial" w:hAnsi="Arial" w:cs="Arial"/>
        </w:rPr>
      </w:pPr>
      <w:r>
        <w:rPr>
          <w:rFonts w:ascii="Arial" w:hAnsi="Arial" w:cs="Arial"/>
          <w:noProof/>
        </w:rPr>
        <w:drawing>
          <wp:inline distT="0" distB="0" distL="0" distR="0" wp14:anchorId="1F43DB2E" wp14:editId="2C004106">
            <wp:extent cx="4420925" cy="3315694"/>
            <wp:effectExtent l="0" t="0" r="0" b="0"/>
            <wp:docPr id="497611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611551" name="Picture 497611551"/>
                    <pic:cNvPicPr/>
                  </pic:nvPicPr>
                  <pic:blipFill>
                    <a:blip r:embed="rId10">
                      <a:extLst>
                        <a:ext uri="{28A0092B-C50C-407E-A947-70E740481C1C}">
                          <a14:useLocalDpi xmlns:a14="http://schemas.microsoft.com/office/drawing/2010/main" val="0"/>
                        </a:ext>
                      </a:extLst>
                    </a:blip>
                    <a:stretch>
                      <a:fillRect/>
                    </a:stretch>
                  </pic:blipFill>
                  <pic:spPr>
                    <a:xfrm>
                      <a:off x="0" y="0"/>
                      <a:ext cx="4477834" cy="3358376"/>
                    </a:xfrm>
                    <a:prstGeom prst="rect">
                      <a:avLst/>
                    </a:prstGeom>
                  </pic:spPr>
                </pic:pic>
              </a:graphicData>
            </a:graphic>
          </wp:inline>
        </w:drawing>
      </w:r>
    </w:p>
    <w:p w14:paraId="77A7222D" w14:textId="24D7F26E" w:rsidR="00DC59AE" w:rsidRPr="00DC59AE" w:rsidRDefault="00DC59AE" w:rsidP="00DC59AE">
      <w:pPr>
        <w:spacing w:line="360" w:lineRule="auto"/>
        <w:jc w:val="center"/>
        <w:rPr>
          <w:rFonts w:asciiTheme="majorHAnsi" w:hAnsiTheme="majorHAnsi" w:cstheme="majorHAnsi"/>
          <w:i/>
          <w:iCs/>
          <w:color w:val="000000" w:themeColor="text1"/>
          <w:sz w:val="22"/>
          <w:szCs w:val="22"/>
        </w:rPr>
      </w:pPr>
      <w:r w:rsidRPr="00DC59AE">
        <w:rPr>
          <w:rFonts w:asciiTheme="majorHAnsi" w:hAnsiTheme="majorHAnsi" w:cstheme="majorHAnsi"/>
          <w:i/>
          <w:iCs/>
          <w:color w:val="000000" w:themeColor="text1"/>
          <w:sz w:val="22"/>
          <w:szCs w:val="22"/>
        </w:rPr>
        <w:t>Source: Volkswagen Newsroom.</w:t>
      </w:r>
    </w:p>
    <w:p w14:paraId="2C968AE4" w14:textId="5419CDF5" w:rsidR="0038604B" w:rsidRDefault="00F6719B" w:rsidP="00F6719B">
      <w:pPr>
        <w:spacing w:line="360" w:lineRule="auto"/>
        <w:jc w:val="both"/>
        <w:rPr>
          <w:rFonts w:ascii="Arial" w:hAnsi="Arial" w:cs="Arial"/>
        </w:rPr>
      </w:pPr>
      <w:r w:rsidRPr="00F6719B">
        <w:rPr>
          <w:rFonts w:ascii="Arial" w:hAnsi="Arial" w:cs="Arial"/>
        </w:rPr>
        <w:t>The file uses worldwide commercial enterprise theories, inclusive of the Ownership Location Internalisation (OLI) framework, to reveal how VW leverages its strengths whilst entering foreign markets. Furthermore, it examines how cultural differences between Germany (</w:t>
      </w:r>
      <w:r w:rsidR="004D34F3">
        <w:rPr>
          <w:rFonts w:ascii="Arial" w:hAnsi="Arial" w:cs="Arial"/>
        </w:rPr>
        <w:t>Where VW is based</w:t>
      </w:r>
      <w:r w:rsidRPr="00F6719B">
        <w:rPr>
          <w:rFonts w:ascii="Arial" w:hAnsi="Arial" w:cs="Arial"/>
        </w:rPr>
        <w:t>) and Brazil affect their marketplace access techniques and performance.</w:t>
      </w:r>
      <w:r w:rsidR="004D34F3">
        <w:rPr>
          <w:rFonts w:ascii="Arial" w:hAnsi="Arial" w:cs="Arial"/>
        </w:rPr>
        <w:t xml:space="preserve"> </w:t>
      </w:r>
      <w:r w:rsidR="00BE4839">
        <w:rPr>
          <w:rFonts w:ascii="Arial" w:hAnsi="Arial" w:cs="Arial"/>
        </w:rPr>
        <w:t>Five</w:t>
      </w:r>
      <w:r w:rsidR="0038604B" w:rsidRPr="0038604B">
        <w:rPr>
          <w:rFonts w:ascii="Arial" w:hAnsi="Arial" w:cs="Arial"/>
        </w:rPr>
        <w:t xml:space="preserve"> main changes to the Standard Operating Procedures (SOPs) of VW are suggested in light of the results to improve the performance and strategic fit in the Brazilian business context.</w:t>
      </w:r>
    </w:p>
    <w:p w14:paraId="3E2E14B7" w14:textId="07DB9345" w:rsidR="00CB55AA" w:rsidRPr="00CB55AA" w:rsidRDefault="00CB55AA" w:rsidP="00504FA7">
      <w:pPr>
        <w:pStyle w:val="Heading1"/>
      </w:pPr>
      <w:bookmarkStart w:id="2" w:name="_Toc215538916"/>
      <w:bookmarkStart w:id="3" w:name="_Toc216009389"/>
      <w:r w:rsidRPr="00CB55AA">
        <w:lastRenderedPageBreak/>
        <w:t>2. Benefits and Challenges of International Operations</w:t>
      </w:r>
      <w:bookmarkEnd w:id="2"/>
      <w:bookmarkEnd w:id="3"/>
      <w:r w:rsidRPr="00CB55AA">
        <w:t xml:space="preserve"> </w:t>
      </w:r>
    </w:p>
    <w:p w14:paraId="08DD7532" w14:textId="4A047885" w:rsidR="00CB55AA" w:rsidRPr="00CB55AA" w:rsidRDefault="00EB5545" w:rsidP="00504FA7">
      <w:pPr>
        <w:pStyle w:val="Heading2"/>
      </w:pPr>
      <w:bookmarkStart w:id="4" w:name="_Toc215538917"/>
      <w:bookmarkStart w:id="5" w:name="_Toc216009390"/>
      <w:r>
        <w:t>2</w:t>
      </w:r>
      <w:r w:rsidR="00CB55AA" w:rsidRPr="00CB55AA">
        <w:t>.</w:t>
      </w:r>
      <w:r>
        <w:t>1</w:t>
      </w:r>
      <w:r w:rsidR="00CB55AA" w:rsidRPr="00CB55AA">
        <w:t xml:space="preserve"> Why Volkswagen Can Be Designated an MNC/TNC</w:t>
      </w:r>
      <w:bookmarkEnd w:id="4"/>
      <w:bookmarkEnd w:id="5"/>
    </w:p>
    <w:p w14:paraId="48342FCD" w14:textId="77777777" w:rsidR="003F520D" w:rsidRDefault="003F520D" w:rsidP="003F520D">
      <w:pPr>
        <w:spacing w:line="360" w:lineRule="auto"/>
        <w:jc w:val="both"/>
        <w:rPr>
          <w:rFonts w:ascii="Arial" w:hAnsi="Arial" w:cs="Arial"/>
        </w:rPr>
      </w:pPr>
      <w:r w:rsidRPr="003F520D">
        <w:rPr>
          <w:rFonts w:ascii="Arial" w:hAnsi="Arial" w:cs="Arial"/>
        </w:rPr>
        <w:t>A Multinational Corporation (MNC) is defined as ownership, control, or coordination of productive resources in more than one nation, whereas a Transnational Corporation (TNC) proceeds further to have an integrated global strategy that connects subsidiaries globally (Dunning and Lundan, 2008). Volkswagen Group (VW) fits both definitions rather well. It has a presence in more than 150 countries, more than 100 production plants and employs about 670,000 workers all over the world (Volkswagen AG, 2024). It has several globally known brands, including Volkswagen Passenger Cars, Audi, Skoda, SEAT, Porsche, Bentley, and Lamborghini, with operations outside their native markets.</w:t>
      </w:r>
    </w:p>
    <w:p w14:paraId="44EDF0A3" w14:textId="6E5557C4" w:rsidR="00A05EA9" w:rsidRPr="00A05EA9" w:rsidRDefault="00A05EA9" w:rsidP="00AE09C5">
      <w:pPr>
        <w:spacing w:line="360" w:lineRule="auto"/>
        <w:jc w:val="both"/>
        <w:rPr>
          <w:rFonts w:asciiTheme="majorHAnsi" w:hAnsiTheme="majorHAnsi" w:cstheme="majorHAnsi"/>
          <w:i/>
          <w:iCs/>
          <w:color w:val="4472C4" w:themeColor="accent1"/>
          <w:sz w:val="22"/>
          <w:szCs w:val="22"/>
        </w:rPr>
      </w:pPr>
      <w:r w:rsidRPr="00A05EA9">
        <w:rPr>
          <w:rFonts w:asciiTheme="majorHAnsi" w:hAnsiTheme="majorHAnsi" w:cstheme="majorHAnsi"/>
          <w:i/>
          <w:iCs/>
          <w:color w:val="4472C4" w:themeColor="accent1"/>
          <w:sz w:val="22"/>
          <w:szCs w:val="22"/>
        </w:rPr>
        <w:t>Figure 2: Volkswagen as a multinational transnational corporation</w:t>
      </w:r>
    </w:p>
    <w:p w14:paraId="5AA3748E" w14:textId="6E6E09B6" w:rsidR="00A05EA9" w:rsidRDefault="00A05EA9" w:rsidP="00A05EA9">
      <w:pPr>
        <w:spacing w:line="360" w:lineRule="auto"/>
        <w:jc w:val="center"/>
        <w:rPr>
          <w:rFonts w:ascii="Arial" w:hAnsi="Arial" w:cs="Arial"/>
        </w:rPr>
      </w:pPr>
      <w:r>
        <w:rPr>
          <w:rFonts w:ascii="Arial" w:hAnsi="Arial" w:cs="Arial"/>
          <w:noProof/>
        </w:rPr>
        <w:drawing>
          <wp:inline distT="0" distB="0" distL="0" distR="0" wp14:anchorId="0E777119" wp14:editId="28261610">
            <wp:extent cx="4485158" cy="2425148"/>
            <wp:effectExtent l="0" t="0" r="0" b="0"/>
            <wp:docPr id="703828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28301" name="Picture 703828301"/>
                    <pic:cNvPicPr/>
                  </pic:nvPicPr>
                  <pic:blipFill>
                    <a:blip r:embed="rId11">
                      <a:extLst>
                        <a:ext uri="{28A0092B-C50C-407E-A947-70E740481C1C}">
                          <a14:useLocalDpi xmlns:a14="http://schemas.microsoft.com/office/drawing/2010/main" val="0"/>
                        </a:ext>
                      </a:extLst>
                    </a:blip>
                    <a:stretch>
                      <a:fillRect/>
                    </a:stretch>
                  </pic:blipFill>
                  <pic:spPr>
                    <a:xfrm>
                      <a:off x="0" y="0"/>
                      <a:ext cx="4534797" cy="2451988"/>
                    </a:xfrm>
                    <a:prstGeom prst="rect">
                      <a:avLst/>
                    </a:prstGeom>
                  </pic:spPr>
                </pic:pic>
              </a:graphicData>
            </a:graphic>
          </wp:inline>
        </w:drawing>
      </w:r>
    </w:p>
    <w:p w14:paraId="30EB2155" w14:textId="45AEA6F6" w:rsidR="000B2CBF" w:rsidRPr="000B2CBF" w:rsidRDefault="000B2CBF" w:rsidP="00A05EA9">
      <w:pPr>
        <w:spacing w:line="360" w:lineRule="auto"/>
        <w:jc w:val="center"/>
        <w:rPr>
          <w:rFonts w:asciiTheme="majorHAnsi" w:hAnsiTheme="majorHAnsi" w:cstheme="majorHAnsi"/>
          <w:i/>
          <w:iCs/>
          <w:sz w:val="22"/>
          <w:szCs w:val="22"/>
        </w:rPr>
      </w:pPr>
      <w:r w:rsidRPr="000B2CBF">
        <w:rPr>
          <w:rFonts w:asciiTheme="majorHAnsi" w:hAnsiTheme="majorHAnsi" w:cstheme="majorHAnsi"/>
          <w:i/>
          <w:iCs/>
          <w:sz w:val="22"/>
          <w:szCs w:val="22"/>
        </w:rPr>
        <w:t>Source: Volkswagen AG, 2024; Dunning &amp; Lundan, 2008; Bartlett &amp; Ghoshal, 1989.</w:t>
      </w:r>
    </w:p>
    <w:p w14:paraId="618D6638" w14:textId="57F08158" w:rsidR="003F520D" w:rsidRDefault="003F520D" w:rsidP="00CB55AA">
      <w:pPr>
        <w:spacing w:line="360" w:lineRule="auto"/>
        <w:jc w:val="both"/>
        <w:rPr>
          <w:rFonts w:ascii="Arial" w:hAnsi="Arial" w:cs="Arial"/>
        </w:rPr>
      </w:pPr>
      <w:r w:rsidRPr="003F520D">
        <w:rPr>
          <w:rFonts w:ascii="Arial" w:hAnsi="Arial" w:cs="Arial"/>
        </w:rPr>
        <w:t>Additionally, its strategic orientation reflects the main dimensions of transnationality: global efficiency, international learning and local responsiveness (Bartlett and Ghoshal, 1989). VW organizes technologies, platforms, and components on the global level yet customizes models, marketing approaches, and workflow to the needs of local markets. Its capacity to design in Germany, manufacture in Brazil, source in Mexico, and sell in Africa displays the networked nature of a TNC. Therefore, Volkswagen is correctly considered to be both an MNC and a TNC because it has a worldwide presence, has foreign subsidiaries, and its operations are transnational.</w:t>
      </w:r>
    </w:p>
    <w:p w14:paraId="55EBFB96" w14:textId="4E9F240B" w:rsidR="00CB55AA" w:rsidRPr="00CB55AA" w:rsidRDefault="004E6F80" w:rsidP="004E6F80">
      <w:pPr>
        <w:pStyle w:val="Heading2"/>
      </w:pPr>
      <w:bookmarkStart w:id="6" w:name="_Toc215538918"/>
      <w:bookmarkStart w:id="7" w:name="_Toc216009391"/>
      <w:r>
        <w:lastRenderedPageBreak/>
        <w:t>2</w:t>
      </w:r>
      <w:r w:rsidR="00CB55AA" w:rsidRPr="00CB55AA">
        <w:t>.</w:t>
      </w:r>
      <w:r>
        <w:t>2</w:t>
      </w:r>
      <w:r w:rsidR="00CB55AA" w:rsidRPr="00CB55AA">
        <w:t xml:space="preserve"> Global Operations Across Volkswagen’s Value Chain</w:t>
      </w:r>
      <w:bookmarkEnd w:id="6"/>
      <w:bookmarkEnd w:id="7"/>
    </w:p>
    <w:p w14:paraId="46FEDA17" w14:textId="77777777" w:rsidR="00934796" w:rsidRDefault="00934796" w:rsidP="00934796">
      <w:pPr>
        <w:spacing w:line="360" w:lineRule="auto"/>
        <w:jc w:val="both"/>
        <w:rPr>
          <w:rFonts w:ascii="Arial" w:hAnsi="Arial" w:cs="Arial"/>
        </w:rPr>
      </w:pPr>
      <w:r w:rsidRPr="00934796">
        <w:rPr>
          <w:rFonts w:ascii="Arial" w:hAnsi="Arial" w:cs="Arial"/>
        </w:rPr>
        <w:t>The organisation and assimilation of Volkswagen's international value chain is very strong in influencing its international competitiveness. Research and development, sourcing, production, sales, and financing are the key areas.</w:t>
      </w:r>
    </w:p>
    <w:p w14:paraId="3793C84F" w14:textId="319F9676" w:rsidR="00054E2B" w:rsidRPr="00054E2B" w:rsidRDefault="00054E2B" w:rsidP="00AE09C5">
      <w:pPr>
        <w:spacing w:line="360" w:lineRule="auto"/>
        <w:jc w:val="both"/>
        <w:rPr>
          <w:rFonts w:asciiTheme="majorHAnsi" w:hAnsiTheme="majorHAnsi" w:cstheme="majorHAnsi"/>
          <w:i/>
          <w:iCs/>
          <w:color w:val="4472C4" w:themeColor="accent1"/>
          <w:sz w:val="22"/>
          <w:szCs w:val="22"/>
        </w:rPr>
      </w:pPr>
      <w:r w:rsidRPr="00054E2B">
        <w:rPr>
          <w:rFonts w:asciiTheme="majorHAnsi" w:hAnsiTheme="majorHAnsi" w:cstheme="majorHAnsi"/>
          <w:i/>
          <w:iCs/>
          <w:color w:val="4472C4" w:themeColor="accent1"/>
          <w:sz w:val="22"/>
          <w:szCs w:val="22"/>
        </w:rPr>
        <w:t>Figure 3: Volkswagen Global Value Chain: Operations and International Competitiveness</w:t>
      </w:r>
    </w:p>
    <w:p w14:paraId="1C10D63A" w14:textId="3F31AF53" w:rsidR="00054E2B" w:rsidRDefault="00054E2B" w:rsidP="00054E2B">
      <w:pPr>
        <w:spacing w:line="360" w:lineRule="auto"/>
        <w:jc w:val="center"/>
        <w:rPr>
          <w:rFonts w:ascii="Arial" w:hAnsi="Arial" w:cs="Arial"/>
        </w:rPr>
      </w:pPr>
      <w:r>
        <w:rPr>
          <w:rFonts w:ascii="Arial" w:hAnsi="Arial" w:cs="Arial"/>
          <w:noProof/>
        </w:rPr>
        <w:drawing>
          <wp:inline distT="0" distB="0" distL="0" distR="0" wp14:anchorId="701FE83A" wp14:editId="22042A87">
            <wp:extent cx="4301911" cy="3045349"/>
            <wp:effectExtent l="0" t="0" r="3810" b="3175"/>
            <wp:docPr id="19799985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98596" name="Picture 1979998596"/>
                    <pic:cNvPicPr/>
                  </pic:nvPicPr>
                  <pic:blipFill>
                    <a:blip r:embed="rId12">
                      <a:extLst>
                        <a:ext uri="{28A0092B-C50C-407E-A947-70E740481C1C}">
                          <a14:useLocalDpi xmlns:a14="http://schemas.microsoft.com/office/drawing/2010/main" val="0"/>
                        </a:ext>
                      </a:extLst>
                    </a:blip>
                    <a:stretch>
                      <a:fillRect/>
                    </a:stretch>
                  </pic:blipFill>
                  <pic:spPr>
                    <a:xfrm>
                      <a:off x="0" y="0"/>
                      <a:ext cx="4341666" cy="3073492"/>
                    </a:xfrm>
                    <a:prstGeom prst="rect">
                      <a:avLst/>
                    </a:prstGeom>
                  </pic:spPr>
                </pic:pic>
              </a:graphicData>
            </a:graphic>
          </wp:inline>
        </w:drawing>
      </w:r>
    </w:p>
    <w:p w14:paraId="68ED7D20" w14:textId="16639FD8" w:rsidR="00054E2B" w:rsidRPr="00054E2B" w:rsidRDefault="00054E2B" w:rsidP="00054E2B">
      <w:pPr>
        <w:spacing w:line="360" w:lineRule="auto"/>
        <w:jc w:val="center"/>
        <w:rPr>
          <w:rFonts w:asciiTheme="majorHAnsi" w:hAnsiTheme="majorHAnsi" w:cstheme="majorHAnsi"/>
          <w:i/>
          <w:iCs/>
          <w:sz w:val="22"/>
          <w:szCs w:val="22"/>
        </w:rPr>
      </w:pPr>
      <w:r w:rsidRPr="00054E2B">
        <w:rPr>
          <w:rFonts w:asciiTheme="majorHAnsi" w:hAnsiTheme="majorHAnsi" w:cstheme="majorHAnsi"/>
          <w:i/>
          <w:iCs/>
          <w:sz w:val="22"/>
          <w:szCs w:val="22"/>
        </w:rPr>
        <w:t>Source: Volkswagen AG (2024), Sturgeon et al. (2021), Kotler et al. (2022), and VWFS (2024).</w:t>
      </w:r>
    </w:p>
    <w:p w14:paraId="0D8757D2"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Research and Development (R&amp;D)</w:t>
      </w:r>
    </w:p>
    <w:p w14:paraId="2A09A380" w14:textId="1CC41491" w:rsidR="00934796" w:rsidRPr="00934796" w:rsidRDefault="00934796" w:rsidP="00934796">
      <w:pPr>
        <w:spacing w:line="360" w:lineRule="auto"/>
        <w:jc w:val="both"/>
        <w:rPr>
          <w:rFonts w:ascii="Arial" w:hAnsi="Arial" w:cs="Arial"/>
        </w:rPr>
      </w:pPr>
      <w:r w:rsidRPr="00934796">
        <w:rPr>
          <w:rFonts w:ascii="Arial" w:hAnsi="Arial" w:cs="Arial"/>
        </w:rPr>
        <w:t>VW is among the biggest car R&amp;D investors in the world, spending billions of euros every year to invest in electric vehicle (EV) technology, self-driving, battery research, digital mobility, and sustainable manufacturing (Volkswagen AG, 2024). The company has large R&amp;D bases in Germany and also has regional innovation centres in China, the USA and Brazil.</w:t>
      </w:r>
      <w:r w:rsidRPr="00934796">
        <w:rPr>
          <w:rFonts w:ascii="Arial" w:hAnsi="Arial" w:cs="Arial"/>
        </w:rPr>
        <w:br/>
        <w:t>R&amp;D is spread globally, facilitating knowledge spillovers and cross-border cooperation. Brazil, for example, is an engine flex-fuel technology Centre that has affected the models sold in other emerging markets (Sturgeon et al., 2021). The product differentiation and technological leadership at Volkswagen are enhanced by the global R&amp;D strategy.</w:t>
      </w:r>
    </w:p>
    <w:p w14:paraId="6D10B3CE"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Global Sourcing</w:t>
      </w:r>
    </w:p>
    <w:p w14:paraId="72CCC009" w14:textId="77777777" w:rsidR="00934796" w:rsidRDefault="00934796" w:rsidP="00934796">
      <w:pPr>
        <w:spacing w:line="360" w:lineRule="auto"/>
        <w:jc w:val="both"/>
        <w:rPr>
          <w:rFonts w:ascii="Arial" w:hAnsi="Arial" w:cs="Arial"/>
        </w:rPr>
      </w:pPr>
      <w:r w:rsidRPr="00934796">
        <w:rPr>
          <w:rFonts w:ascii="Arial" w:hAnsi="Arial" w:cs="Arial"/>
        </w:rPr>
        <w:lastRenderedPageBreak/>
        <w:t>The sourcing model employed by Volkswagen is global, regional and local. The firm has a global network of suppliers who supply engines, electronics, batteries, steel, plastics and exterior parts. It collaborates with major suppliers, including Bosch, LG Chem, and CATL, and also creates local supply networks within the markets.</w:t>
      </w:r>
    </w:p>
    <w:p w14:paraId="21262A1C" w14:textId="0A8AF3D9" w:rsidR="00CA1789" w:rsidRPr="00CA1789" w:rsidRDefault="00934796" w:rsidP="00CA1789">
      <w:pPr>
        <w:spacing w:line="360" w:lineRule="auto"/>
        <w:jc w:val="both"/>
        <w:rPr>
          <w:rFonts w:ascii="Arial" w:hAnsi="Arial" w:cs="Arial"/>
        </w:rPr>
      </w:pPr>
      <w:r w:rsidRPr="00934796">
        <w:rPr>
          <w:rFonts w:ascii="Arial" w:hAnsi="Arial" w:cs="Arial"/>
        </w:rPr>
        <w:t xml:space="preserve">Global sourcing reduces the cost of production and allows economies of scale. </w:t>
      </w:r>
      <w:r w:rsidR="00CA1789" w:rsidRPr="00CA1789">
        <w:rPr>
          <w:rFonts w:ascii="Arial" w:hAnsi="Arial" w:cs="Arial"/>
        </w:rPr>
        <w:t>Meanwhile, the corporation can rely upon neighborhood resources</w:t>
      </w:r>
      <w:r w:rsidR="00CA1789">
        <w:rPr>
          <w:rFonts w:ascii="Arial" w:hAnsi="Arial" w:cs="Arial"/>
        </w:rPr>
        <w:t xml:space="preserve">, </w:t>
      </w:r>
      <w:r w:rsidR="00CA1789" w:rsidRPr="00CA1789">
        <w:rPr>
          <w:rFonts w:ascii="Arial" w:hAnsi="Arial" w:cs="Arial"/>
        </w:rPr>
        <w:t>such as VW's dealer network in Brazil</w:t>
      </w:r>
      <w:r w:rsidR="00CA1789">
        <w:rPr>
          <w:rFonts w:ascii="Arial" w:hAnsi="Arial" w:cs="Arial"/>
        </w:rPr>
        <w:t>,</w:t>
      </w:r>
      <w:r w:rsidR="00CA1789" w:rsidRPr="00CA1789">
        <w:rPr>
          <w:rFonts w:ascii="Arial" w:hAnsi="Arial" w:cs="Arial"/>
        </w:rPr>
        <w:t xml:space="preserve"> to conform with countrywide content material rules, reduce import taxes and shorten delivery chains (Sturgeon et al., 2021). This combined approach helps with each fee efficiency and market responsiveness.</w:t>
      </w:r>
    </w:p>
    <w:p w14:paraId="1280F054" w14:textId="502A2673" w:rsidR="00CB55AA" w:rsidRPr="00CB55AA" w:rsidRDefault="00CB55AA" w:rsidP="00CB55AA">
      <w:pPr>
        <w:spacing w:line="360" w:lineRule="auto"/>
        <w:jc w:val="both"/>
        <w:rPr>
          <w:rFonts w:ascii="Arial" w:hAnsi="Arial" w:cs="Arial"/>
          <w:b/>
          <w:bCs/>
        </w:rPr>
      </w:pPr>
      <w:r w:rsidRPr="00CB55AA">
        <w:rPr>
          <w:rFonts w:ascii="Arial" w:hAnsi="Arial" w:cs="Arial"/>
          <w:b/>
          <w:bCs/>
        </w:rPr>
        <w:t>Production and Manufacturing</w:t>
      </w:r>
    </w:p>
    <w:p w14:paraId="2BFD3D4D" w14:textId="77777777" w:rsidR="00934796" w:rsidRDefault="00934796" w:rsidP="00934796">
      <w:pPr>
        <w:spacing w:line="360" w:lineRule="auto"/>
        <w:jc w:val="both"/>
        <w:rPr>
          <w:rFonts w:ascii="Arial" w:hAnsi="Arial" w:cs="Arial"/>
        </w:rPr>
      </w:pPr>
      <w:r w:rsidRPr="00934796">
        <w:rPr>
          <w:rFonts w:ascii="Arial" w:hAnsi="Arial" w:cs="Arial"/>
        </w:rPr>
        <w:t>The global production chain of Volkswagen is one of the biggest in the automotive sector. VW manufactures millions of vehicles in a year with manufacturing facilities in Europe, Asia, Latin America, and Africa. This network supports:</w:t>
      </w:r>
    </w:p>
    <w:tbl>
      <w:tblPr>
        <w:tblStyle w:val="GridTable1Light"/>
        <w:tblW w:w="0" w:type="auto"/>
        <w:tblLook w:val="04A0" w:firstRow="1" w:lastRow="0" w:firstColumn="1" w:lastColumn="0" w:noHBand="0" w:noVBand="1"/>
      </w:tblPr>
      <w:tblGrid>
        <w:gridCol w:w="2029"/>
        <w:gridCol w:w="7321"/>
      </w:tblGrid>
      <w:tr w:rsidR="00E276EF" w:rsidRPr="00E276EF" w14:paraId="5CC46B6C" w14:textId="77777777" w:rsidTr="00E276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3069E49" w14:textId="77777777" w:rsidR="00E276EF" w:rsidRPr="00E276EF" w:rsidRDefault="00E276EF" w:rsidP="00E276EF">
            <w:pPr>
              <w:spacing w:line="360" w:lineRule="auto"/>
              <w:jc w:val="center"/>
              <w:rPr>
                <w:rFonts w:ascii="Arial" w:hAnsi="Arial" w:cs="Arial"/>
                <w:sz w:val="22"/>
                <w:szCs w:val="22"/>
              </w:rPr>
            </w:pPr>
            <w:r w:rsidRPr="00E276EF">
              <w:rPr>
                <w:rFonts w:ascii="Arial" w:hAnsi="Arial" w:cs="Arial"/>
                <w:sz w:val="22"/>
                <w:szCs w:val="22"/>
              </w:rPr>
              <w:t>Strategy</w:t>
            </w:r>
          </w:p>
        </w:tc>
        <w:tc>
          <w:tcPr>
            <w:tcW w:w="0" w:type="auto"/>
            <w:vAlign w:val="center"/>
            <w:hideMark/>
          </w:tcPr>
          <w:p w14:paraId="6FF31DA0" w14:textId="77777777" w:rsidR="00E276EF" w:rsidRPr="00E276EF" w:rsidRDefault="00E276EF" w:rsidP="00E276E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276EF">
              <w:rPr>
                <w:rFonts w:ascii="Arial" w:hAnsi="Arial" w:cs="Arial"/>
                <w:sz w:val="22"/>
                <w:szCs w:val="22"/>
              </w:rPr>
              <w:t>What It Means</w:t>
            </w:r>
          </w:p>
        </w:tc>
      </w:tr>
      <w:tr w:rsidR="00E276EF" w:rsidRPr="00E276EF" w14:paraId="3EC17BB5" w14:textId="77777777" w:rsidTr="00E276E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65A0870" w14:textId="77777777" w:rsidR="00E276EF" w:rsidRPr="00E276EF" w:rsidRDefault="00E276EF" w:rsidP="00E276EF">
            <w:pPr>
              <w:spacing w:line="360" w:lineRule="auto"/>
              <w:rPr>
                <w:rFonts w:ascii="Arial" w:hAnsi="Arial" w:cs="Arial"/>
                <w:sz w:val="22"/>
                <w:szCs w:val="22"/>
              </w:rPr>
            </w:pPr>
            <w:r w:rsidRPr="00E276EF">
              <w:rPr>
                <w:rFonts w:ascii="Arial" w:hAnsi="Arial" w:cs="Arial"/>
                <w:sz w:val="22"/>
                <w:szCs w:val="22"/>
              </w:rPr>
              <w:t>Global Platform (MQB)</w:t>
            </w:r>
          </w:p>
        </w:tc>
        <w:tc>
          <w:tcPr>
            <w:tcW w:w="0" w:type="auto"/>
            <w:vAlign w:val="center"/>
            <w:hideMark/>
          </w:tcPr>
          <w:p w14:paraId="7702BAB4" w14:textId="6467E689" w:rsidR="00E276EF" w:rsidRPr="00E276EF" w:rsidRDefault="00E276EF" w:rsidP="00E276E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F5EB0">
              <w:rPr>
                <w:rFonts w:ascii="Arial" w:hAnsi="Arial" w:cs="Arial"/>
                <w:sz w:val="22"/>
                <w:szCs w:val="22"/>
              </w:rPr>
              <w:t>Strategy of a global platform, like the Modular Transverse Matrix (MQB) that allows standardisation of parts in many different models.</w:t>
            </w:r>
          </w:p>
        </w:tc>
      </w:tr>
      <w:tr w:rsidR="00E276EF" w:rsidRPr="00E276EF" w14:paraId="265FB47A" w14:textId="77777777" w:rsidTr="00E276E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B3B363" w14:textId="77777777" w:rsidR="00E276EF" w:rsidRPr="00E276EF" w:rsidRDefault="00E276EF" w:rsidP="00E276EF">
            <w:pPr>
              <w:spacing w:line="360" w:lineRule="auto"/>
              <w:rPr>
                <w:rFonts w:ascii="Arial" w:hAnsi="Arial" w:cs="Arial"/>
                <w:sz w:val="22"/>
                <w:szCs w:val="22"/>
              </w:rPr>
            </w:pPr>
            <w:r w:rsidRPr="00E276EF">
              <w:rPr>
                <w:rFonts w:ascii="Arial" w:hAnsi="Arial" w:cs="Arial"/>
                <w:sz w:val="22"/>
                <w:szCs w:val="22"/>
              </w:rPr>
              <w:t>Localisation</w:t>
            </w:r>
          </w:p>
        </w:tc>
        <w:tc>
          <w:tcPr>
            <w:tcW w:w="0" w:type="auto"/>
            <w:vAlign w:val="center"/>
            <w:hideMark/>
          </w:tcPr>
          <w:p w14:paraId="4BF58E44" w14:textId="1AB541CC" w:rsidR="00E276EF" w:rsidRPr="00E276EF" w:rsidRDefault="00E276EF" w:rsidP="00E276E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F5EB0">
              <w:rPr>
                <w:rFonts w:ascii="Arial" w:hAnsi="Arial" w:cs="Arial"/>
                <w:sz w:val="22"/>
                <w:szCs w:val="22"/>
              </w:rPr>
              <w:t>Localisation, including small cars made to suit Latin America or long wheelbase models made to suit China.</w:t>
            </w:r>
          </w:p>
        </w:tc>
      </w:tr>
      <w:tr w:rsidR="00E276EF" w:rsidRPr="00E276EF" w14:paraId="0F544C41" w14:textId="77777777" w:rsidTr="00E276E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9B63C4" w14:textId="77777777" w:rsidR="00E276EF" w:rsidRPr="00E276EF" w:rsidRDefault="00E276EF" w:rsidP="00E276EF">
            <w:pPr>
              <w:spacing w:line="360" w:lineRule="auto"/>
              <w:rPr>
                <w:rFonts w:ascii="Arial" w:hAnsi="Arial" w:cs="Arial"/>
                <w:sz w:val="22"/>
                <w:szCs w:val="22"/>
              </w:rPr>
            </w:pPr>
            <w:r w:rsidRPr="00E276EF">
              <w:rPr>
                <w:rFonts w:ascii="Arial" w:hAnsi="Arial" w:cs="Arial"/>
                <w:sz w:val="22"/>
                <w:szCs w:val="22"/>
              </w:rPr>
              <w:t>Scalability</w:t>
            </w:r>
          </w:p>
        </w:tc>
        <w:tc>
          <w:tcPr>
            <w:tcW w:w="0" w:type="auto"/>
            <w:vAlign w:val="center"/>
            <w:hideMark/>
          </w:tcPr>
          <w:p w14:paraId="244F3FEE" w14:textId="3EC90157" w:rsidR="00E276EF" w:rsidRPr="00E276EF" w:rsidRDefault="00E276EF" w:rsidP="00E276E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F5EB0">
              <w:rPr>
                <w:rFonts w:ascii="Arial" w:hAnsi="Arial" w:cs="Arial"/>
                <w:sz w:val="22"/>
                <w:szCs w:val="22"/>
              </w:rPr>
              <w:t>Scalability, which assists VW with the changing demand in the markets.</w:t>
            </w:r>
          </w:p>
        </w:tc>
      </w:tr>
    </w:tbl>
    <w:p w14:paraId="2E8710CA" w14:textId="37476D1C" w:rsidR="00934796" w:rsidRPr="00934796" w:rsidRDefault="00934796" w:rsidP="007F5EB0">
      <w:pPr>
        <w:spacing w:before="240" w:line="360" w:lineRule="auto"/>
        <w:jc w:val="both"/>
        <w:rPr>
          <w:rFonts w:ascii="Arial" w:hAnsi="Arial" w:cs="Arial"/>
        </w:rPr>
      </w:pPr>
      <w:r w:rsidRPr="00934796">
        <w:rPr>
          <w:rFonts w:ascii="Arial" w:hAnsi="Arial" w:cs="Arial"/>
        </w:rPr>
        <w:t>Germany, China, Mexico and Brazil are some of the key centres. An example is Brazil, which has several VW plants that make vehicles such as the Polo, Virtus, and T-Cross, tailored to the demands of the local market and road conditions (Volkswagen AG, 2024).</w:t>
      </w:r>
    </w:p>
    <w:p w14:paraId="5979D36A"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Sales and Marketing</w:t>
      </w:r>
    </w:p>
    <w:p w14:paraId="6E80DD9D" w14:textId="77777777" w:rsidR="005C5EB2" w:rsidRDefault="00386047" w:rsidP="00CB55AA">
      <w:pPr>
        <w:spacing w:line="360" w:lineRule="auto"/>
        <w:jc w:val="both"/>
        <w:rPr>
          <w:rFonts w:ascii="Arial" w:hAnsi="Arial" w:cs="Arial"/>
        </w:rPr>
      </w:pPr>
      <w:r w:rsidRPr="00386047">
        <w:rPr>
          <w:rFonts w:ascii="Arial" w:hAnsi="Arial" w:cs="Arial"/>
        </w:rPr>
        <w:t>Volkswagen operates a global distribution network of authorized dealerships, digital sales platforms, and regional subsidiaries. Marketing strategies are adapted to local cultures, income levels, and consumer behaviour (Kotler et al., 2022). In developed markets, branding focuses on engineering quality and innovation, whereas in emerging markets such as Brazil and India, affordability, reliability, and financing options are emphasized.</w:t>
      </w:r>
    </w:p>
    <w:p w14:paraId="1FB0B6DA" w14:textId="77777777" w:rsidR="005C5EB2" w:rsidRDefault="00CB55AA" w:rsidP="005C5EB2">
      <w:pPr>
        <w:spacing w:line="360" w:lineRule="auto"/>
        <w:jc w:val="both"/>
        <w:rPr>
          <w:rFonts w:ascii="Arial" w:hAnsi="Arial" w:cs="Arial"/>
        </w:rPr>
      </w:pPr>
      <w:r w:rsidRPr="00CB55AA">
        <w:rPr>
          <w:rFonts w:ascii="Arial" w:hAnsi="Arial" w:cs="Arial"/>
          <w:b/>
          <w:bCs/>
        </w:rPr>
        <w:lastRenderedPageBreak/>
        <w:t>Financing (Volkswagen Financial Services – VWFS)</w:t>
      </w:r>
    </w:p>
    <w:p w14:paraId="323BACFF" w14:textId="77777777" w:rsidR="005C5EB2" w:rsidRDefault="005C5EB2" w:rsidP="005C5EB2">
      <w:pPr>
        <w:spacing w:line="360" w:lineRule="auto"/>
        <w:jc w:val="both"/>
        <w:rPr>
          <w:rFonts w:ascii="Arial" w:hAnsi="Arial" w:cs="Arial"/>
        </w:rPr>
      </w:pPr>
      <w:r w:rsidRPr="005C5EB2">
        <w:rPr>
          <w:rFonts w:ascii="Arial" w:hAnsi="Arial" w:cs="Arial"/>
        </w:rPr>
        <w:t>Wolfs Financial Services is an important part of the international marketing of Volkswagen</w:t>
      </w:r>
    </w:p>
    <w:p w14:paraId="4521BAEF" w14:textId="77777777" w:rsidR="005C5EB2" w:rsidRDefault="005C5EB2" w:rsidP="005C5EB2">
      <w:pPr>
        <w:spacing w:line="360" w:lineRule="auto"/>
        <w:jc w:val="both"/>
        <w:rPr>
          <w:rFonts w:ascii="Arial" w:hAnsi="Arial" w:cs="Arial"/>
        </w:rPr>
      </w:pPr>
      <w:r w:rsidRPr="005C5EB2">
        <w:rPr>
          <w:rFonts w:ascii="Arial" w:hAnsi="Arial" w:cs="Arial"/>
        </w:rPr>
        <w:t>because it provides:</w:t>
      </w:r>
    </w:p>
    <w:p w14:paraId="23C8DCA0" w14:textId="77777777" w:rsidR="005C5EB2" w:rsidRDefault="005C5EB2" w:rsidP="005C5EB2">
      <w:pPr>
        <w:spacing w:line="360" w:lineRule="auto"/>
        <w:jc w:val="both"/>
        <w:rPr>
          <w:rFonts w:ascii="Arial" w:hAnsi="Arial" w:cs="Arial"/>
        </w:rPr>
      </w:pPr>
      <w:r w:rsidRPr="005C5EB2">
        <w:rPr>
          <w:rFonts w:ascii="Arial" w:hAnsi="Arial" w:cs="Arial"/>
        </w:rPr>
        <w:t>• Vehicle loans</w:t>
      </w:r>
    </w:p>
    <w:p w14:paraId="7107F13B" w14:textId="77777777" w:rsidR="005C5EB2" w:rsidRDefault="005C5EB2" w:rsidP="005C5EB2">
      <w:pPr>
        <w:spacing w:line="360" w:lineRule="auto"/>
        <w:jc w:val="both"/>
        <w:rPr>
          <w:rFonts w:ascii="Arial" w:hAnsi="Arial" w:cs="Arial"/>
        </w:rPr>
      </w:pPr>
      <w:r w:rsidRPr="005C5EB2">
        <w:rPr>
          <w:rFonts w:ascii="Arial" w:hAnsi="Arial" w:cs="Arial"/>
        </w:rPr>
        <w:t>• Leasing services</w:t>
      </w:r>
    </w:p>
    <w:p w14:paraId="19ADAE30" w14:textId="77777777" w:rsidR="005C5EB2" w:rsidRDefault="005C5EB2" w:rsidP="005C5EB2">
      <w:pPr>
        <w:spacing w:line="360" w:lineRule="auto"/>
        <w:jc w:val="both"/>
        <w:rPr>
          <w:rFonts w:ascii="Arial" w:hAnsi="Arial" w:cs="Arial"/>
        </w:rPr>
      </w:pPr>
      <w:r w:rsidRPr="005C5EB2">
        <w:rPr>
          <w:rFonts w:ascii="Arial" w:hAnsi="Arial" w:cs="Arial"/>
        </w:rPr>
        <w:t>• Fleet management</w:t>
      </w:r>
    </w:p>
    <w:p w14:paraId="37466BEB" w14:textId="77777777" w:rsidR="005C5EB2" w:rsidRDefault="005C5EB2" w:rsidP="005C5EB2">
      <w:pPr>
        <w:spacing w:line="360" w:lineRule="auto"/>
        <w:jc w:val="both"/>
        <w:rPr>
          <w:rFonts w:ascii="Arial" w:hAnsi="Arial" w:cs="Arial"/>
        </w:rPr>
      </w:pPr>
      <w:r w:rsidRPr="005C5EB2">
        <w:rPr>
          <w:rFonts w:ascii="Arial" w:hAnsi="Arial" w:cs="Arial"/>
        </w:rPr>
        <w:t>• Insurance products</w:t>
      </w:r>
    </w:p>
    <w:p w14:paraId="20AF91BF" w14:textId="799A2847" w:rsidR="005C5EB2" w:rsidRPr="00CB55AA" w:rsidRDefault="005C5EB2" w:rsidP="00CB55AA">
      <w:pPr>
        <w:spacing w:line="360" w:lineRule="auto"/>
        <w:jc w:val="both"/>
        <w:rPr>
          <w:rFonts w:ascii="Arial" w:hAnsi="Arial" w:cs="Arial"/>
        </w:rPr>
      </w:pPr>
      <w:r w:rsidRPr="005C5EB2">
        <w:rPr>
          <w:rFonts w:ascii="Arial" w:hAnsi="Arial" w:cs="Arial"/>
        </w:rPr>
        <w:t>VWFS has operations in more than 40 countries and is most effective in the emerging markets where credit access is scarce. VWFS has a flexible loan payback system and low-entry loans in Brazil, which allow middle-income consumers to buy it (VWFS, 2024). This adds up to the sales performance and penetration of the market.</w:t>
      </w:r>
    </w:p>
    <w:p w14:paraId="6007D8A0" w14:textId="25768B3B" w:rsidR="00CB55AA" w:rsidRPr="00CB55AA" w:rsidRDefault="009F604D" w:rsidP="009F604D">
      <w:pPr>
        <w:pStyle w:val="Heading2"/>
      </w:pPr>
      <w:bookmarkStart w:id="8" w:name="_Toc215538919"/>
      <w:bookmarkStart w:id="9" w:name="_Toc216009392"/>
      <w:r>
        <w:t>2</w:t>
      </w:r>
      <w:r w:rsidR="00CB55AA" w:rsidRPr="00CB55AA">
        <w:t>.</w:t>
      </w:r>
      <w:r>
        <w:t>3</w:t>
      </w:r>
      <w:r w:rsidR="00CB55AA" w:rsidRPr="00CB55AA">
        <w:t xml:space="preserve"> Entry Modes Used by Volkswagen in International Markets</w:t>
      </w:r>
      <w:bookmarkEnd w:id="8"/>
      <w:bookmarkEnd w:id="9"/>
    </w:p>
    <w:p w14:paraId="12AD76F9" w14:textId="77777777" w:rsidR="005C5EB2" w:rsidRDefault="005C5EB2" w:rsidP="005C5EB2">
      <w:pPr>
        <w:spacing w:line="360" w:lineRule="auto"/>
        <w:jc w:val="both"/>
        <w:rPr>
          <w:rFonts w:ascii="Arial" w:hAnsi="Arial" w:cs="Arial"/>
        </w:rPr>
      </w:pPr>
      <w:r w:rsidRPr="005C5EB2">
        <w:rPr>
          <w:rFonts w:ascii="Arial" w:hAnsi="Arial" w:cs="Arial"/>
        </w:rPr>
        <w:t>VW applies a combination of entry modes based on host country regulations, market potential, resource needs and strategic relevance of the location.</w:t>
      </w:r>
    </w:p>
    <w:p w14:paraId="61956DC7" w14:textId="32ED81AA" w:rsidR="00873598" w:rsidRPr="00873598" w:rsidRDefault="00873598" w:rsidP="00AE09C5">
      <w:pPr>
        <w:spacing w:line="360" w:lineRule="auto"/>
        <w:jc w:val="both"/>
        <w:rPr>
          <w:rFonts w:asciiTheme="majorHAnsi" w:hAnsiTheme="majorHAnsi" w:cstheme="majorHAnsi"/>
          <w:i/>
          <w:iCs/>
          <w:color w:val="4472C4" w:themeColor="accent1"/>
          <w:sz w:val="22"/>
          <w:szCs w:val="22"/>
        </w:rPr>
      </w:pPr>
      <w:r w:rsidRPr="00873598">
        <w:rPr>
          <w:rFonts w:asciiTheme="majorHAnsi" w:hAnsiTheme="majorHAnsi" w:cstheme="majorHAnsi"/>
          <w:i/>
          <w:iCs/>
          <w:color w:val="4472C4" w:themeColor="accent1"/>
          <w:sz w:val="22"/>
          <w:szCs w:val="22"/>
        </w:rPr>
        <w:t>Figure 4: Volkswagen's Global Entry Modes</w:t>
      </w:r>
    </w:p>
    <w:p w14:paraId="4037A0B7" w14:textId="52272FB9" w:rsidR="00873598" w:rsidRDefault="00873598" w:rsidP="00873598">
      <w:pPr>
        <w:spacing w:line="360" w:lineRule="auto"/>
        <w:jc w:val="center"/>
        <w:rPr>
          <w:rFonts w:ascii="Arial" w:hAnsi="Arial" w:cs="Arial"/>
        </w:rPr>
      </w:pPr>
      <w:r>
        <w:rPr>
          <w:rFonts w:ascii="Arial" w:hAnsi="Arial" w:cs="Arial"/>
          <w:noProof/>
        </w:rPr>
        <w:drawing>
          <wp:inline distT="0" distB="0" distL="0" distR="0" wp14:anchorId="445EBD80" wp14:editId="3E92CED2">
            <wp:extent cx="4145057" cy="2822713"/>
            <wp:effectExtent l="0" t="0" r="8255" b="0"/>
            <wp:docPr id="1893334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34877" name="Picture 1893334877"/>
                    <pic:cNvPicPr/>
                  </pic:nvPicPr>
                  <pic:blipFill>
                    <a:blip r:embed="rId13">
                      <a:extLst>
                        <a:ext uri="{28A0092B-C50C-407E-A947-70E740481C1C}">
                          <a14:useLocalDpi xmlns:a14="http://schemas.microsoft.com/office/drawing/2010/main" val="0"/>
                        </a:ext>
                      </a:extLst>
                    </a:blip>
                    <a:stretch>
                      <a:fillRect/>
                    </a:stretch>
                  </pic:blipFill>
                  <pic:spPr>
                    <a:xfrm>
                      <a:off x="0" y="0"/>
                      <a:ext cx="4239083" cy="2886743"/>
                    </a:xfrm>
                    <a:prstGeom prst="rect">
                      <a:avLst/>
                    </a:prstGeom>
                  </pic:spPr>
                </pic:pic>
              </a:graphicData>
            </a:graphic>
          </wp:inline>
        </w:drawing>
      </w:r>
    </w:p>
    <w:p w14:paraId="1860A324" w14:textId="55B72E89" w:rsidR="00873598" w:rsidRPr="00873598" w:rsidRDefault="00873598" w:rsidP="00873598">
      <w:pPr>
        <w:spacing w:line="360" w:lineRule="auto"/>
        <w:jc w:val="center"/>
        <w:rPr>
          <w:rFonts w:asciiTheme="majorHAnsi" w:hAnsiTheme="majorHAnsi" w:cstheme="majorHAnsi"/>
          <w:i/>
          <w:iCs/>
          <w:sz w:val="22"/>
          <w:szCs w:val="22"/>
        </w:rPr>
      </w:pPr>
      <w:r w:rsidRPr="00873598">
        <w:rPr>
          <w:rFonts w:asciiTheme="majorHAnsi" w:hAnsiTheme="majorHAnsi" w:cstheme="majorHAnsi"/>
          <w:i/>
          <w:iCs/>
          <w:sz w:val="22"/>
          <w:szCs w:val="22"/>
        </w:rPr>
        <w:t>Source: Adapted from Hill (2021) and Dyer et al. (2020)</w:t>
      </w:r>
    </w:p>
    <w:p w14:paraId="56F01861"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lastRenderedPageBreak/>
        <w:t>Wholly-Owned Subsidiaries (FDI)</w:t>
      </w:r>
    </w:p>
    <w:p w14:paraId="78A74646" w14:textId="77777777" w:rsidR="00072BA0" w:rsidRDefault="00072BA0" w:rsidP="00072BA0">
      <w:pPr>
        <w:spacing w:line="360" w:lineRule="auto"/>
        <w:jc w:val="both"/>
        <w:rPr>
          <w:rFonts w:ascii="Arial" w:hAnsi="Arial" w:cs="Arial"/>
        </w:rPr>
      </w:pPr>
      <w:r w:rsidRPr="00072BA0">
        <w:rPr>
          <w:rFonts w:ascii="Arial" w:hAnsi="Arial" w:cs="Arial"/>
        </w:rPr>
        <w:t>This has been the leading entry mode of Volkswagen, especially in markets where full ownership is allowed. VW has manufacturing plants and sales subsidiaries in such countries as:</w:t>
      </w:r>
    </w:p>
    <w:p w14:paraId="011C71AA" w14:textId="77777777" w:rsidR="00072BA0" w:rsidRDefault="00072BA0" w:rsidP="00072BA0">
      <w:pPr>
        <w:spacing w:line="360" w:lineRule="auto"/>
        <w:jc w:val="both"/>
        <w:rPr>
          <w:rFonts w:ascii="Arial" w:hAnsi="Arial" w:cs="Arial"/>
        </w:rPr>
      </w:pPr>
      <w:r w:rsidRPr="00072BA0">
        <w:rPr>
          <w:rFonts w:ascii="Arial" w:hAnsi="Arial" w:cs="Arial"/>
        </w:rPr>
        <w:t>• Germany</w:t>
      </w:r>
    </w:p>
    <w:p w14:paraId="4A4CCC02" w14:textId="77777777" w:rsidR="00072BA0" w:rsidRDefault="00072BA0" w:rsidP="00072BA0">
      <w:pPr>
        <w:spacing w:line="360" w:lineRule="auto"/>
        <w:jc w:val="both"/>
        <w:rPr>
          <w:rFonts w:ascii="Arial" w:hAnsi="Arial" w:cs="Arial"/>
        </w:rPr>
      </w:pPr>
      <w:r w:rsidRPr="00072BA0">
        <w:rPr>
          <w:rFonts w:ascii="Arial" w:hAnsi="Arial" w:cs="Arial"/>
        </w:rPr>
        <w:t>• USA</w:t>
      </w:r>
    </w:p>
    <w:p w14:paraId="70EF2F30" w14:textId="77777777" w:rsidR="00072BA0" w:rsidRDefault="00072BA0" w:rsidP="00072BA0">
      <w:pPr>
        <w:spacing w:line="360" w:lineRule="auto"/>
        <w:jc w:val="both"/>
        <w:rPr>
          <w:rFonts w:ascii="Arial" w:hAnsi="Arial" w:cs="Arial"/>
        </w:rPr>
      </w:pPr>
      <w:r w:rsidRPr="00072BA0">
        <w:rPr>
          <w:rFonts w:ascii="Arial" w:hAnsi="Arial" w:cs="Arial"/>
        </w:rPr>
        <w:t>• Brazil</w:t>
      </w:r>
    </w:p>
    <w:p w14:paraId="17B5BFAA" w14:textId="77777777" w:rsidR="00072BA0" w:rsidRDefault="00072BA0" w:rsidP="00072BA0">
      <w:pPr>
        <w:spacing w:line="360" w:lineRule="auto"/>
        <w:jc w:val="both"/>
        <w:rPr>
          <w:rFonts w:ascii="Arial" w:hAnsi="Arial" w:cs="Arial"/>
        </w:rPr>
      </w:pPr>
      <w:r w:rsidRPr="00072BA0">
        <w:rPr>
          <w:rFonts w:ascii="Arial" w:hAnsi="Arial" w:cs="Arial"/>
        </w:rPr>
        <w:t>• Mexico</w:t>
      </w:r>
    </w:p>
    <w:p w14:paraId="70FFC676" w14:textId="77777777" w:rsidR="00072BA0" w:rsidRDefault="00072BA0" w:rsidP="00072BA0">
      <w:pPr>
        <w:spacing w:line="360" w:lineRule="auto"/>
        <w:jc w:val="both"/>
        <w:rPr>
          <w:rFonts w:ascii="Arial" w:hAnsi="Arial" w:cs="Arial"/>
        </w:rPr>
      </w:pPr>
      <w:r w:rsidRPr="00072BA0">
        <w:rPr>
          <w:rFonts w:ascii="Arial" w:hAnsi="Arial" w:cs="Arial"/>
        </w:rPr>
        <w:t>• Slovakia</w:t>
      </w:r>
    </w:p>
    <w:p w14:paraId="13C45384" w14:textId="72603C8C" w:rsidR="00072BA0" w:rsidRPr="00072BA0" w:rsidRDefault="00072BA0" w:rsidP="00072BA0">
      <w:pPr>
        <w:spacing w:line="360" w:lineRule="auto"/>
        <w:jc w:val="both"/>
        <w:rPr>
          <w:rFonts w:ascii="Arial" w:hAnsi="Arial" w:cs="Arial"/>
        </w:rPr>
      </w:pPr>
      <w:r w:rsidRPr="00072BA0">
        <w:rPr>
          <w:rFonts w:ascii="Arial" w:hAnsi="Arial" w:cs="Arial"/>
        </w:rPr>
        <w:t>The fully owned subsidiaries also enable VW to have complete ownership of technology, production quality, and decision-making by managers that are important in an industry that relies on complex engineering (Hill, 2021).</w:t>
      </w:r>
    </w:p>
    <w:p w14:paraId="189A6FC3"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Joint Ventures (JVs)</w:t>
      </w:r>
    </w:p>
    <w:p w14:paraId="6626E5FC" w14:textId="77777777" w:rsidR="00072BA0" w:rsidRPr="00072BA0" w:rsidRDefault="00072BA0" w:rsidP="00072BA0">
      <w:pPr>
        <w:spacing w:line="360" w:lineRule="auto"/>
        <w:jc w:val="both"/>
        <w:rPr>
          <w:rFonts w:ascii="Arial" w:hAnsi="Arial" w:cs="Arial"/>
        </w:rPr>
      </w:pPr>
      <w:r w:rsidRPr="00072BA0">
        <w:rPr>
          <w:rFonts w:ascii="Arial" w:hAnsi="Arial" w:cs="Arial"/>
        </w:rPr>
        <w:t>In other nations like China, where foreign automakers used to be limited to complete ownership, Volkswagen joined through joint ventures with SAIC and FAW. These alliances help VW to comply with regulatory demands and local market insights (Dyer et al., 2020). JVs are also less risky in terms of finance and are politically more legitimate.</w:t>
      </w:r>
    </w:p>
    <w:p w14:paraId="2348F4B0"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Greenfield Investments</w:t>
      </w:r>
    </w:p>
    <w:p w14:paraId="1DA573E2" w14:textId="77777777" w:rsidR="00072BA0" w:rsidRPr="00072BA0" w:rsidRDefault="00072BA0" w:rsidP="00072BA0">
      <w:pPr>
        <w:spacing w:line="360" w:lineRule="auto"/>
        <w:jc w:val="both"/>
        <w:rPr>
          <w:rFonts w:ascii="Arial" w:hAnsi="Arial" w:cs="Arial"/>
        </w:rPr>
      </w:pPr>
      <w:r w:rsidRPr="00072BA0">
        <w:rPr>
          <w:rFonts w:ascii="Arial" w:hAnsi="Arial" w:cs="Arial"/>
        </w:rPr>
        <w:t>Greenfield FDI has also been widely employed by Volkswagen, as the company has been able to create new manufacturing plants altogether, which include Slovakia and Brazil. This mode provides a high level of control and possibility to design the operations based on the global standards.</w:t>
      </w:r>
    </w:p>
    <w:p w14:paraId="15729A8A" w14:textId="77777777" w:rsidR="00072BA0" w:rsidRDefault="00CB55AA" w:rsidP="00072BA0">
      <w:pPr>
        <w:spacing w:line="360" w:lineRule="auto"/>
        <w:jc w:val="both"/>
        <w:rPr>
          <w:rFonts w:ascii="Arial" w:hAnsi="Arial" w:cs="Arial"/>
          <w:b/>
          <w:bCs/>
        </w:rPr>
      </w:pPr>
      <w:r w:rsidRPr="00CB55AA">
        <w:rPr>
          <w:rFonts w:ascii="Arial" w:hAnsi="Arial" w:cs="Arial"/>
          <w:b/>
          <w:bCs/>
        </w:rPr>
        <w:t>Acquisitions</w:t>
      </w:r>
    </w:p>
    <w:p w14:paraId="130A471C" w14:textId="77777777" w:rsidR="00072BA0" w:rsidRDefault="00072BA0" w:rsidP="00072BA0">
      <w:pPr>
        <w:spacing w:line="360" w:lineRule="auto"/>
        <w:jc w:val="both"/>
        <w:rPr>
          <w:rFonts w:ascii="Arial" w:hAnsi="Arial" w:cs="Arial"/>
        </w:rPr>
      </w:pPr>
      <w:r w:rsidRPr="00072BA0">
        <w:rPr>
          <w:rFonts w:ascii="Arial" w:hAnsi="Arial" w:cs="Arial"/>
        </w:rPr>
        <w:t>Acquisitions have been used to make a significant contribution to the global expansion. Some notable acquisitions have involved the acquisition of:</w:t>
      </w:r>
    </w:p>
    <w:p w14:paraId="0A5603EA" w14:textId="77777777" w:rsidR="00072BA0" w:rsidRDefault="00072BA0" w:rsidP="00072BA0">
      <w:pPr>
        <w:spacing w:line="360" w:lineRule="auto"/>
        <w:jc w:val="both"/>
        <w:rPr>
          <w:rFonts w:ascii="Arial" w:hAnsi="Arial" w:cs="Arial"/>
        </w:rPr>
      </w:pPr>
      <w:r w:rsidRPr="00072BA0">
        <w:rPr>
          <w:rFonts w:ascii="Arial" w:hAnsi="Arial" w:cs="Arial"/>
        </w:rPr>
        <w:t>• Audi (1965)</w:t>
      </w:r>
    </w:p>
    <w:p w14:paraId="5D8AFD7D" w14:textId="77777777" w:rsidR="00072BA0" w:rsidRDefault="00072BA0" w:rsidP="00072BA0">
      <w:pPr>
        <w:spacing w:line="360" w:lineRule="auto"/>
        <w:jc w:val="both"/>
        <w:rPr>
          <w:rFonts w:ascii="Arial" w:hAnsi="Arial" w:cs="Arial"/>
        </w:rPr>
      </w:pPr>
      <w:r w:rsidRPr="00072BA0">
        <w:rPr>
          <w:rFonts w:ascii="Arial" w:hAnsi="Arial" w:cs="Arial"/>
        </w:rPr>
        <w:lastRenderedPageBreak/>
        <w:t>• SEAT (1986)</w:t>
      </w:r>
    </w:p>
    <w:p w14:paraId="40CA4338" w14:textId="77777777" w:rsidR="00072BA0" w:rsidRDefault="00072BA0" w:rsidP="00072BA0">
      <w:pPr>
        <w:spacing w:line="360" w:lineRule="auto"/>
        <w:jc w:val="both"/>
        <w:rPr>
          <w:rFonts w:ascii="Arial" w:hAnsi="Arial" w:cs="Arial"/>
        </w:rPr>
      </w:pPr>
      <w:r w:rsidRPr="00072BA0">
        <w:rPr>
          <w:rFonts w:ascii="Arial" w:hAnsi="Arial" w:cs="Arial"/>
        </w:rPr>
        <w:t>• Skoda (1991)</w:t>
      </w:r>
    </w:p>
    <w:p w14:paraId="11AF5D19" w14:textId="77777777" w:rsidR="00072BA0" w:rsidRDefault="00072BA0" w:rsidP="00072BA0">
      <w:pPr>
        <w:spacing w:line="360" w:lineRule="auto"/>
        <w:jc w:val="both"/>
        <w:rPr>
          <w:rFonts w:ascii="Arial" w:hAnsi="Arial" w:cs="Arial"/>
        </w:rPr>
      </w:pPr>
      <w:r w:rsidRPr="00072BA0">
        <w:rPr>
          <w:rFonts w:ascii="Arial" w:hAnsi="Arial" w:cs="Arial"/>
        </w:rPr>
        <w:t>• Porsche (2012)</w:t>
      </w:r>
    </w:p>
    <w:p w14:paraId="7C369147" w14:textId="49926EBE" w:rsidR="00072BA0" w:rsidRPr="00072BA0" w:rsidRDefault="00072BA0" w:rsidP="00072BA0">
      <w:pPr>
        <w:spacing w:line="360" w:lineRule="auto"/>
        <w:jc w:val="both"/>
        <w:rPr>
          <w:rFonts w:ascii="Arial" w:hAnsi="Arial" w:cs="Arial"/>
          <w:b/>
          <w:bCs/>
        </w:rPr>
      </w:pPr>
      <w:r w:rsidRPr="00072BA0">
        <w:rPr>
          <w:rFonts w:ascii="Arial" w:hAnsi="Arial" w:cs="Arial"/>
        </w:rPr>
        <w:t>Acquisitions enable quick expansion to new markets and the availability of already existing brands, dealer networks, and technology.</w:t>
      </w:r>
    </w:p>
    <w:p w14:paraId="3E07E980"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Licensing and Strategic Alliances</w:t>
      </w:r>
    </w:p>
    <w:p w14:paraId="1BE9C3C1" w14:textId="77777777" w:rsidR="00072BA0" w:rsidRPr="00072BA0" w:rsidRDefault="00072BA0" w:rsidP="00072BA0">
      <w:pPr>
        <w:spacing w:line="360" w:lineRule="auto"/>
        <w:jc w:val="both"/>
        <w:rPr>
          <w:rFonts w:ascii="Arial" w:hAnsi="Arial" w:cs="Arial"/>
        </w:rPr>
      </w:pPr>
      <w:r w:rsidRPr="00072BA0">
        <w:rPr>
          <w:rFonts w:ascii="Arial" w:hAnsi="Arial" w:cs="Arial"/>
        </w:rPr>
        <w:t>Volkswagen has battery technologies, EV platforms and digital service partnerships. Nevertheless, it seldom relies on licensing when producing core vehicles because it poses a threat of intellectual property leakage.</w:t>
      </w:r>
    </w:p>
    <w:p w14:paraId="644E7052"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Dominant Entry Mode</w:t>
      </w:r>
    </w:p>
    <w:p w14:paraId="1C3D1FD0" w14:textId="3EC8F62E" w:rsidR="005C5EB2" w:rsidRPr="00CB55AA" w:rsidRDefault="00072BA0" w:rsidP="00CB55AA">
      <w:pPr>
        <w:spacing w:line="360" w:lineRule="auto"/>
        <w:jc w:val="both"/>
        <w:rPr>
          <w:rFonts w:ascii="Arial" w:hAnsi="Arial" w:cs="Arial"/>
        </w:rPr>
      </w:pPr>
      <w:r w:rsidRPr="00072BA0">
        <w:rPr>
          <w:rFonts w:ascii="Arial" w:hAnsi="Arial" w:cs="Arial"/>
        </w:rPr>
        <w:t>The dominant entry mode in Volkswagen is wholly-owned subsidiaries, supported by the need to safeguard proprietary technologies and preserve production quality and global integration activities.</w:t>
      </w:r>
    </w:p>
    <w:p w14:paraId="009509F3" w14:textId="0D8821D0" w:rsidR="00CB55AA" w:rsidRPr="00CB55AA" w:rsidRDefault="009F604D" w:rsidP="009F604D">
      <w:pPr>
        <w:pStyle w:val="Heading2"/>
      </w:pPr>
      <w:bookmarkStart w:id="10" w:name="_Toc215538920"/>
      <w:bookmarkStart w:id="11" w:name="_Toc216009393"/>
      <w:r>
        <w:t>2.4</w:t>
      </w:r>
      <w:r w:rsidR="00CB55AA" w:rsidRPr="00CB55AA">
        <w:t xml:space="preserve"> Key Benefits of Volkswagen’s International Operations</w:t>
      </w:r>
      <w:bookmarkEnd w:id="10"/>
      <w:bookmarkEnd w:id="11"/>
    </w:p>
    <w:p w14:paraId="67D8E854" w14:textId="77777777" w:rsidR="00DD1F70" w:rsidRDefault="00DD1F70" w:rsidP="00DD1F70">
      <w:pPr>
        <w:spacing w:line="360" w:lineRule="auto"/>
        <w:jc w:val="both"/>
        <w:rPr>
          <w:rFonts w:ascii="Arial" w:hAnsi="Arial" w:cs="Arial"/>
        </w:rPr>
      </w:pPr>
      <w:r w:rsidRPr="00DD1F70">
        <w:rPr>
          <w:rFonts w:ascii="Arial" w:hAnsi="Arial" w:cs="Arial"/>
        </w:rPr>
        <w:t>The internationalisation process of Volkswagen has created a significant strategic as well as operational benefit.</w:t>
      </w:r>
    </w:p>
    <w:p w14:paraId="7D26FD16" w14:textId="5B438275" w:rsidR="00AE09C5" w:rsidRPr="00AE09C5" w:rsidRDefault="00AE09C5" w:rsidP="00AE09C5">
      <w:pPr>
        <w:spacing w:line="360" w:lineRule="auto"/>
        <w:jc w:val="both"/>
        <w:rPr>
          <w:rFonts w:asciiTheme="majorHAnsi" w:hAnsiTheme="majorHAnsi" w:cstheme="majorHAnsi"/>
          <w:i/>
          <w:iCs/>
          <w:color w:val="4472C4" w:themeColor="accent1"/>
          <w:sz w:val="22"/>
          <w:szCs w:val="22"/>
        </w:rPr>
      </w:pPr>
      <w:r w:rsidRPr="00AE09C5">
        <w:rPr>
          <w:rFonts w:asciiTheme="majorHAnsi" w:hAnsiTheme="majorHAnsi" w:cstheme="majorHAnsi"/>
          <w:i/>
          <w:iCs/>
          <w:color w:val="4472C4" w:themeColor="accent1"/>
          <w:sz w:val="22"/>
          <w:szCs w:val="22"/>
        </w:rPr>
        <w:t>Figure 5: Volkswagen's International Operations</w:t>
      </w:r>
    </w:p>
    <w:p w14:paraId="619E6997" w14:textId="2BE6B782" w:rsidR="00AE09C5" w:rsidRDefault="00AE09C5" w:rsidP="00AE09C5">
      <w:pPr>
        <w:spacing w:line="360" w:lineRule="auto"/>
        <w:jc w:val="center"/>
        <w:rPr>
          <w:rFonts w:ascii="Arial" w:hAnsi="Arial" w:cs="Arial"/>
        </w:rPr>
      </w:pPr>
      <w:r>
        <w:rPr>
          <w:rFonts w:ascii="Arial" w:hAnsi="Arial" w:cs="Arial"/>
          <w:noProof/>
        </w:rPr>
        <w:drawing>
          <wp:inline distT="0" distB="0" distL="0" distR="0" wp14:anchorId="4D1AC952" wp14:editId="64B1F317">
            <wp:extent cx="3429000" cy="2690081"/>
            <wp:effectExtent l="0" t="0" r="0" b="0"/>
            <wp:docPr id="14901609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160970" name="Picture 149016097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63033" cy="2716780"/>
                    </a:xfrm>
                    <a:prstGeom prst="rect">
                      <a:avLst/>
                    </a:prstGeom>
                  </pic:spPr>
                </pic:pic>
              </a:graphicData>
            </a:graphic>
          </wp:inline>
        </w:drawing>
      </w:r>
    </w:p>
    <w:p w14:paraId="422F8A5C" w14:textId="21012287" w:rsidR="00AE09C5" w:rsidRPr="00AE09C5" w:rsidRDefault="00AE09C5" w:rsidP="00AE09C5">
      <w:pPr>
        <w:spacing w:line="360" w:lineRule="auto"/>
        <w:jc w:val="center"/>
        <w:rPr>
          <w:rFonts w:asciiTheme="majorHAnsi" w:hAnsiTheme="majorHAnsi" w:cstheme="majorHAnsi"/>
          <w:i/>
          <w:iCs/>
          <w:sz w:val="22"/>
          <w:szCs w:val="22"/>
        </w:rPr>
      </w:pPr>
      <w:r w:rsidRPr="00AE09C5">
        <w:rPr>
          <w:rFonts w:asciiTheme="majorHAnsi" w:hAnsiTheme="majorHAnsi" w:cstheme="majorHAnsi"/>
          <w:i/>
          <w:iCs/>
          <w:sz w:val="22"/>
          <w:szCs w:val="22"/>
        </w:rPr>
        <w:lastRenderedPageBreak/>
        <w:t>Source: Peng (2022), Dunning and Lundan (2008), Sturgeon et al. (2011)</w:t>
      </w:r>
    </w:p>
    <w:p w14:paraId="67A731F5" w14:textId="77777777" w:rsidR="00BC505A" w:rsidRDefault="00CB55AA" w:rsidP="00DD1F70">
      <w:pPr>
        <w:spacing w:line="360" w:lineRule="auto"/>
        <w:jc w:val="both"/>
        <w:rPr>
          <w:rFonts w:ascii="Arial" w:hAnsi="Arial" w:cs="Arial"/>
        </w:rPr>
      </w:pPr>
      <w:r w:rsidRPr="00CB55AA">
        <w:rPr>
          <w:rFonts w:ascii="Arial" w:hAnsi="Arial" w:cs="Arial"/>
          <w:b/>
          <w:bCs/>
        </w:rPr>
        <w:t>Economies of Scale and Scope</w:t>
      </w:r>
    </w:p>
    <w:p w14:paraId="37B96958" w14:textId="16878287" w:rsidR="00DD1F70" w:rsidRPr="00DD1F70" w:rsidRDefault="00DD1F70" w:rsidP="00DD1F70">
      <w:pPr>
        <w:spacing w:line="360" w:lineRule="auto"/>
        <w:jc w:val="both"/>
        <w:rPr>
          <w:rFonts w:ascii="Arial" w:hAnsi="Arial" w:cs="Arial"/>
        </w:rPr>
      </w:pPr>
      <w:r w:rsidRPr="00DD1F70">
        <w:rPr>
          <w:rFonts w:ascii="Arial" w:hAnsi="Arial" w:cs="Arial"/>
        </w:rPr>
        <w:t>The global operations enable VW to distribute its fixed R&amp;D, production, and marketing expenditures among millions of units. Shared automobile systems save on engineering, buying, and assembling. Economies of scope occur when the model manufactures a variety of models with similar components (Peng, 2022).</w:t>
      </w:r>
    </w:p>
    <w:p w14:paraId="77703154"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Market Diversification and Risk Reduction</w:t>
      </w:r>
    </w:p>
    <w:p w14:paraId="4632F319" w14:textId="77777777" w:rsidR="00DD1F70" w:rsidRPr="00DD1F70" w:rsidRDefault="00DD1F70" w:rsidP="00DD1F70">
      <w:pPr>
        <w:spacing w:line="360" w:lineRule="auto"/>
        <w:jc w:val="both"/>
        <w:rPr>
          <w:rFonts w:ascii="Arial" w:hAnsi="Arial" w:cs="Arial"/>
        </w:rPr>
      </w:pPr>
      <w:r w:rsidRPr="00DD1F70">
        <w:rPr>
          <w:rFonts w:ascii="Arial" w:hAnsi="Arial" w:cs="Arial"/>
        </w:rPr>
        <w:t>Global presence lowers reliance on a particular market. As European markets shrink, Volkswagen will be able to count on the emerging markets like Brazil, China, or India. This geographical diversification balances the revenues and cushions against economic shocks (Dunning and Lundan, 2008).</w:t>
      </w:r>
    </w:p>
    <w:p w14:paraId="7A87282C"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Access to High-Growth Emerging Markets</w:t>
      </w:r>
    </w:p>
    <w:p w14:paraId="2E2F9778" w14:textId="0FC54589" w:rsidR="00DD1F70" w:rsidRPr="00DD1F70" w:rsidRDefault="00DD1F70" w:rsidP="00DD1F70">
      <w:pPr>
        <w:spacing w:line="360" w:lineRule="auto"/>
        <w:jc w:val="both"/>
        <w:rPr>
          <w:rFonts w:ascii="Arial" w:hAnsi="Arial" w:cs="Arial"/>
        </w:rPr>
      </w:pPr>
      <w:r w:rsidRPr="00DD1F70">
        <w:rPr>
          <w:rFonts w:ascii="Arial" w:hAnsi="Arial" w:cs="Arial"/>
        </w:rPr>
        <w:t>Emerging markets signify the emerging middle classes, growing auto ownership, and potential of the long term. As an example, Brazil and China represent a large proportion of VW sales in the entire world. Operating locally enables VW to provide customized models at reasonable prices.</w:t>
      </w:r>
    </w:p>
    <w:p w14:paraId="5846684C"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Supply Chain Flexibility and Cost Reduction</w:t>
      </w:r>
    </w:p>
    <w:p w14:paraId="58AA128C" w14:textId="77777777" w:rsidR="00DD1F70" w:rsidRPr="00DD1F70" w:rsidRDefault="00DD1F70" w:rsidP="00DD1F70">
      <w:pPr>
        <w:spacing w:line="360" w:lineRule="auto"/>
        <w:jc w:val="both"/>
        <w:rPr>
          <w:rFonts w:ascii="Arial" w:hAnsi="Arial" w:cs="Arial"/>
        </w:rPr>
      </w:pPr>
      <w:r w:rsidRPr="00DD1F70">
        <w:rPr>
          <w:rFonts w:ascii="Arial" w:hAnsi="Arial" w:cs="Arial"/>
        </w:rPr>
        <w:t>In general, the multiple regions allow Volkswagen to lower transportation and import tariffs, as well as logistics expenses, by placing plants in many separate areas. As a case in point, Brazilian plants export cars and parts into other Latin American nations under Mercosur trade agreements.</w:t>
      </w:r>
    </w:p>
    <w:p w14:paraId="79529385"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Innovation and Knowledge Transfer</w:t>
      </w:r>
    </w:p>
    <w:p w14:paraId="31EE94CB" w14:textId="77777777" w:rsidR="00DD1F70" w:rsidRPr="00DD1F70" w:rsidRDefault="00DD1F70" w:rsidP="00DD1F70">
      <w:pPr>
        <w:spacing w:line="360" w:lineRule="auto"/>
        <w:jc w:val="both"/>
        <w:rPr>
          <w:rFonts w:ascii="Arial" w:hAnsi="Arial" w:cs="Arial"/>
        </w:rPr>
      </w:pPr>
      <w:r w:rsidRPr="00DD1F70">
        <w:rPr>
          <w:rFonts w:ascii="Arial" w:hAnsi="Arial" w:cs="Arial"/>
        </w:rPr>
        <w:t>Global operations enable learning in different markets. The innovation in flex-fuel engines in Brazil or EVs in China is a part of the global portfolio of Volkswagen. These knowledge flows increase the ability to innovate and be relevant in products (Sturgeon et al., 2021).</w:t>
      </w:r>
    </w:p>
    <w:p w14:paraId="32F9F1CE"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Strengthening Global Brand Equity</w:t>
      </w:r>
    </w:p>
    <w:p w14:paraId="5CADA8DE" w14:textId="77777777" w:rsidR="00DD1F70" w:rsidRPr="00DD1F70" w:rsidRDefault="00DD1F70" w:rsidP="00DD1F70">
      <w:pPr>
        <w:spacing w:line="360" w:lineRule="auto"/>
        <w:jc w:val="both"/>
        <w:rPr>
          <w:rFonts w:ascii="Arial" w:hAnsi="Arial" w:cs="Arial"/>
        </w:rPr>
      </w:pPr>
      <w:r w:rsidRPr="00DD1F70">
        <w:rPr>
          <w:rFonts w:ascii="Arial" w:hAnsi="Arial" w:cs="Arial"/>
        </w:rPr>
        <w:lastRenderedPageBreak/>
        <w:t>Global presence strengthens the perception of Volkswagen as a global motor vehicle company. The consistency of the brand, quality assurance, and international marketing campaigns enhance consumer confidence and competitive benefit.</w:t>
      </w:r>
    </w:p>
    <w:p w14:paraId="4FA97349" w14:textId="77777777" w:rsidR="00DD1F70" w:rsidRDefault="00CB55AA" w:rsidP="00DD1F70">
      <w:pPr>
        <w:spacing w:line="360" w:lineRule="auto"/>
        <w:jc w:val="both"/>
        <w:rPr>
          <w:rFonts w:ascii="Arial" w:hAnsi="Arial" w:cs="Arial"/>
          <w:b/>
          <w:bCs/>
        </w:rPr>
      </w:pPr>
      <w:r w:rsidRPr="00CB55AA">
        <w:rPr>
          <w:rFonts w:ascii="Arial" w:hAnsi="Arial" w:cs="Arial"/>
          <w:b/>
          <w:bCs/>
        </w:rPr>
        <w:t>Challenges</w:t>
      </w:r>
    </w:p>
    <w:p w14:paraId="516B01B6" w14:textId="77777777" w:rsidR="00DD1F70" w:rsidRDefault="00DD1F70" w:rsidP="00DD1F70">
      <w:pPr>
        <w:spacing w:line="360" w:lineRule="auto"/>
        <w:jc w:val="both"/>
        <w:rPr>
          <w:rFonts w:ascii="Arial" w:hAnsi="Arial" w:cs="Arial"/>
        </w:rPr>
      </w:pPr>
      <w:r w:rsidRPr="00DD1F70">
        <w:rPr>
          <w:rFonts w:ascii="Arial" w:hAnsi="Arial" w:cs="Arial"/>
        </w:rPr>
        <w:t>Although advantageous, international operations also entail a lot of difficulties:</w:t>
      </w:r>
    </w:p>
    <w:tbl>
      <w:tblPr>
        <w:tblStyle w:val="GridTable1Light"/>
        <w:tblW w:w="9282" w:type="dxa"/>
        <w:tblLook w:val="04A0" w:firstRow="1" w:lastRow="0" w:firstColumn="1" w:lastColumn="0" w:noHBand="0" w:noVBand="1"/>
      </w:tblPr>
      <w:tblGrid>
        <w:gridCol w:w="2548"/>
        <w:gridCol w:w="6734"/>
      </w:tblGrid>
      <w:tr w:rsidR="00E14AAF" w:rsidRPr="00E14AAF" w14:paraId="1AC7485B" w14:textId="77777777" w:rsidTr="00E14AAF">
        <w:trPr>
          <w:cnfStyle w:val="100000000000" w:firstRow="1" w:lastRow="0" w:firstColumn="0" w:lastColumn="0" w:oddVBand="0" w:evenVBand="0" w:oddHBand="0"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AAC5CC" w14:textId="77777777" w:rsidR="00E14AAF" w:rsidRPr="00E14AAF" w:rsidRDefault="00E14AAF" w:rsidP="00E14AAF">
            <w:pPr>
              <w:spacing w:line="360" w:lineRule="auto"/>
              <w:jc w:val="center"/>
              <w:rPr>
                <w:rFonts w:ascii="Arial" w:hAnsi="Arial" w:cs="Arial"/>
                <w:sz w:val="22"/>
                <w:szCs w:val="22"/>
              </w:rPr>
            </w:pPr>
            <w:r w:rsidRPr="00E14AAF">
              <w:rPr>
                <w:rFonts w:ascii="Arial" w:hAnsi="Arial" w:cs="Arial"/>
                <w:sz w:val="22"/>
                <w:szCs w:val="22"/>
              </w:rPr>
              <w:t>Challenges</w:t>
            </w:r>
          </w:p>
        </w:tc>
        <w:tc>
          <w:tcPr>
            <w:tcW w:w="0" w:type="auto"/>
            <w:vAlign w:val="center"/>
            <w:hideMark/>
          </w:tcPr>
          <w:p w14:paraId="5272D7A2" w14:textId="5BBB04FE" w:rsidR="00E14AAF" w:rsidRPr="00E14AAF" w:rsidRDefault="00E14AAF" w:rsidP="00E14AA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Details / Examples</w:t>
            </w:r>
          </w:p>
        </w:tc>
      </w:tr>
      <w:tr w:rsidR="00E14AAF" w:rsidRPr="00E14AAF" w14:paraId="2EF7A053" w14:textId="77777777" w:rsidTr="00E14AAF">
        <w:trPr>
          <w:trHeight w:val="50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A2F911D"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Currency changes</w:t>
            </w:r>
          </w:p>
        </w:tc>
        <w:tc>
          <w:tcPr>
            <w:tcW w:w="0" w:type="auto"/>
            <w:vAlign w:val="center"/>
            <w:hideMark/>
          </w:tcPr>
          <w:p w14:paraId="3DDEFF5E"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Money value can go up and down (e.g., Brazilian real)</w:t>
            </w:r>
          </w:p>
        </w:tc>
      </w:tr>
      <w:tr w:rsidR="00E14AAF" w:rsidRPr="00E14AAF" w14:paraId="796F86B5" w14:textId="77777777" w:rsidTr="00E14AAF">
        <w:trPr>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CCE6E8F"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Political risk</w:t>
            </w:r>
          </w:p>
        </w:tc>
        <w:tc>
          <w:tcPr>
            <w:tcW w:w="0" w:type="auto"/>
            <w:vAlign w:val="center"/>
            <w:hideMark/>
          </w:tcPr>
          <w:p w14:paraId="46745F0E"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Problems from government or politics in some countries</w:t>
            </w:r>
          </w:p>
        </w:tc>
      </w:tr>
      <w:tr w:rsidR="00E14AAF" w:rsidRPr="00E14AAF" w14:paraId="7A9E9E63" w14:textId="77777777" w:rsidTr="00E14AAF">
        <w:trPr>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8FB9CD"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Supply problems</w:t>
            </w:r>
          </w:p>
        </w:tc>
        <w:tc>
          <w:tcPr>
            <w:tcW w:w="0" w:type="auto"/>
            <w:vAlign w:val="center"/>
            <w:hideMark/>
          </w:tcPr>
          <w:p w14:paraId="12D7C49E"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Shortages of things we need (e.g., computer chips)</w:t>
            </w:r>
          </w:p>
        </w:tc>
      </w:tr>
      <w:tr w:rsidR="00E14AAF" w:rsidRPr="00E14AAF" w14:paraId="7713CD98" w14:textId="77777777" w:rsidTr="00E14AAF">
        <w:trPr>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22F36A0"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Opposition</w:t>
            </w:r>
          </w:p>
        </w:tc>
        <w:tc>
          <w:tcPr>
            <w:tcW w:w="0" w:type="auto"/>
            <w:vAlign w:val="center"/>
            <w:hideMark/>
          </w:tcPr>
          <w:p w14:paraId="584F58F0"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People or groups disagreeing or causing problems</w:t>
            </w:r>
          </w:p>
        </w:tc>
      </w:tr>
      <w:tr w:rsidR="00E14AAF" w:rsidRPr="00E14AAF" w14:paraId="6C949CF9" w14:textId="77777777" w:rsidTr="00E14AAF">
        <w:trPr>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C33B53"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Rules and laws</w:t>
            </w:r>
          </w:p>
        </w:tc>
        <w:tc>
          <w:tcPr>
            <w:tcW w:w="0" w:type="auto"/>
            <w:vAlign w:val="center"/>
            <w:hideMark/>
          </w:tcPr>
          <w:p w14:paraId="55C7C9C6"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Many strict rules, especially about pollution</w:t>
            </w:r>
          </w:p>
        </w:tc>
      </w:tr>
    </w:tbl>
    <w:p w14:paraId="18741E56" w14:textId="77777777" w:rsidR="004C0BAF" w:rsidRPr="004E0504" w:rsidRDefault="004C0BAF" w:rsidP="004E0504">
      <w:pPr>
        <w:pStyle w:val="Heading1"/>
      </w:pPr>
      <w:bookmarkStart w:id="12" w:name="_Toc215538921"/>
      <w:bookmarkStart w:id="13" w:name="_Toc216009394"/>
      <w:r w:rsidRPr="004E0504">
        <w:t>3. OLI Framework Analysis: Volkswagen Group in Brazil</w:t>
      </w:r>
      <w:bookmarkEnd w:id="12"/>
      <w:bookmarkEnd w:id="13"/>
    </w:p>
    <w:p w14:paraId="7F54DE26" w14:textId="55F63593" w:rsidR="00FF7EAB" w:rsidRPr="004C0BAF" w:rsidRDefault="00DD1F70" w:rsidP="004C0BAF">
      <w:pPr>
        <w:spacing w:line="360" w:lineRule="auto"/>
        <w:jc w:val="both"/>
        <w:rPr>
          <w:rFonts w:ascii="Arial" w:hAnsi="Arial" w:cs="Arial"/>
        </w:rPr>
      </w:pPr>
      <w:r w:rsidRPr="00DD1F70">
        <w:rPr>
          <w:rFonts w:ascii="Arial" w:hAnsi="Arial" w:cs="Arial"/>
        </w:rPr>
        <w:t>Dunning (2000) introduced the Eclectic Paradigm, or OLI paradigm, which can be used to explain the reasons why multinational corporations (MNCs) select certain market entry modes. It takes into account Ownership (O), Location (L), and Internalisation (I) benefits that determine decision-making about making a foreign investment, partnership, and market strategy. Using this model in the case of Volkswagen Group (VW) in Brazil can enable a critical appreciation of what causes the mode of entry, the structure of operation, and the ultimate strategic success in this newly established market.</w:t>
      </w:r>
    </w:p>
    <w:p w14:paraId="40FB8DD8" w14:textId="77777777" w:rsidR="004C0BAF" w:rsidRPr="004C0BAF" w:rsidRDefault="004C0BAF" w:rsidP="004E0504">
      <w:pPr>
        <w:pStyle w:val="Heading2"/>
      </w:pPr>
      <w:bookmarkStart w:id="14" w:name="_Toc215538922"/>
      <w:bookmarkStart w:id="15" w:name="_Toc216009395"/>
      <w:r w:rsidRPr="004C0BAF">
        <w:t>3.1 Ownership Advantages</w:t>
      </w:r>
      <w:bookmarkEnd w:id="14"/>
      <w:bookmarkEnd w:id="15"/>
    </w:p>
    <w:p w14:paraId="695582AC" w14:textId="77777777" w:rsidR="00C378AF" w:rsidRDefault="00054AA2" w:rsidP="00054AA2">
      <w:pPr>
        <w:spacing w:line="360" w:lineRule="auto"/>
        <w:jc w:val="both"/>
        <w:rPr>
          <w:rFonts w:ascii="Arial" w:hAnsi="Arial" w:cs="Arial"/>
        </w:rPr>
      </w:pPr>
      <w:r w:rsidRPr="00054AA2">
        <w:rPr>
          <w:rFonts w:ascii="Arial" w:hAnsi="Arial" w:cs="Arial"/>
        </w:rPr>
        <w:t>Ownership advantages are reasons specific to the firm or ability that provide MNC with an advantage over the local firms in a foreign market (Dunning and Lundan, 2008). VW has several ownership strengths, which include:</w:t>
      </w:r>
    </w:p>
    <w:tbl>
      <w:tblPr>
        <w:tblStyle w:val="GridTable1Light"/>
        <w:tblW w:w="0" w:type="auto"/>
        <w:tblLook w:val="04A0" w:firstRow="1" w:lastRow="0" w:firstColumn="1" w:lastColumn="0" w:noHBand="0" w:noVBand="1"/>
      </w:tblPr>
      <w:tblGrid>
        <w:gridCol w:w="2605"/>
        <w:gridCol w:w="6745"/>
      </w:tblGrid>
      <w:tr w:rsidR="005D32F5" w:rsidRPr="008D73F7" w14:paraId="10F42899" w14:textId="77777777" w:rsidTr="004F1519">
        <w:trPr>
          <w:cnfStyle w:val="100000000000" w:firstRow="1" w:lastRow="0" w:firstColumn="0" w:lastColumn="0" w:oddVBand="0" w:evenVBand="0" w:oddHBand="0"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2605" w:type="dxa"/>
            <w:vAlign w:val="center"/>
          </w:tcPr>
          <w:p w14:paraId="6BF663FD" w14:textId="133FE0B3"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t>Ownership Advantage</w:t>
            </w:r>
          </w:p>
        </w:tc>
        <w:tc>
          <w:tcPr>
            <w:tcW w:w="6745" w:type="dxa"/>
            <w:vAlign w:val="center"/>
          </w:tcPr>
          <w:p w14:paraId="6666CDDB" w14:textId="685ECDCD" w:rsidR="005D32F5" w:rsidRPr="008D73F7" w:rsidRDefault="005D32F5" w:rsidP="008D73F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D73F7">
              <w:rPr>
                <w:rFonts w:ascii="Arial" w:hAnsi="Arial" w:cs="Arial"/>
                <w:sz w:val="22"/>
                <w:szCs w:val="22"/>
              </w:rPr>
              <w:t>Explanation / Details</w:t>
            </w:r>
          </w:p>
        </w:tc>
      </w:tr>
      <w:tr w:rsidR="005D32F5" w:rsidRPr="008D73F7" w14:paraId="68252CF3" w14:textId="77777777" w:rsidTr="004F1519">
        <w:tc>
          <w:tcPr>
            <w:cnfStyle w:val="001000000000" w:firstRow="0" w:lastRow="0" w:firstColumn="1" w:lastColumn="0" w:oddVBand="0" w:evenVBand="0" w:oddHBand="0" w:evenHBand="0" w:firstRowFirstColumn="0" w:firstRowLastColumn="0" w:lastRowFirstColumn="0" w:lastRowLastColumn="0"/>
            <w:tcW w:w="2605" w:type="dxa"/>
            <w:vAlign w:val="center"/>
          </w:tcPr>
          <w:p w14:paraId="01C6277D" w14:textId="6155D514"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lastRenderedPageBreak/>
              <w:t>Technological Expertise and R&amp;D Capabilities</w:t>
            </w:r>
          </w:p>
        </w:tc>
        <w:tc>
          <w:tcPr>
            <w:tcW w:w="6745" w:type="dxa"/>
            <w:vAlign w:val="center"/>
          </w:tcPr>
          <w:p w14:paraId="29E598D7" w14:textId="7F3F7A9B" w:rsidR="005D32F5" w:rsidRPr="008D73F7" w:rsidRDefault="005D32F5" w:rsidP="008D73F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D73F7">
              <w:rPr>
                <w:rFonts w:ascii="Arial" w:hAnsi="Arial" w:cs="Arial"/>
                <w:sz w:val="22"/>
                <w:szCs w:val="22"/>
              </w:rPr>
              <w:t>VW has high engineering capability and proprietary automotive technology that offers it distinct products and operation modes that the local Brazilian firms can hardly imitate. The presence of international research and development centres of the company allows it to develop vehicles specific to local and international markets (Volkswagen Group, 2023).</w:t>
            </w:r>
          </w:p>
        </w:tc>
      </w:tr>
      <w:tr w:rsidR="005D32F5" w:rsidRPr="008D73F7" w14:paraId="0D367B5E" w14:textId="77777777" w:rsidTr="004F1519">
        <w:tc>
          <w:tcPr>
            <w:cnfStyle w:val="001000000000" w:firstRow="0" w:lastRow="0" w:firstColumn="1" w:lastColumn="0" w:oddVBand="0" w:evenVBand="0" w:oddHBand="0" w:evenHBand="0" w:firstRowFirstColumn="0" w:firstRowLastColumn="0" w:lastRowFirstColumn="0" w:lastRowLastColumn="0"/>
            <w:tcW w:w="2605" w:type="dxa"/>
            <w:vAlign w:val="center"/>
          </w:tcPr>
          <w:p w14:paraId="753A43A3" w14:textId="1041FAF4"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t>Brand Equity</w:t>
            </w:r>
          </w:p>
        </w:tc>
        <w:tc>
          <w:tcPr>
            <w:tcW w:w="6745" w:type="dxa"/>
            <w:vAlign w:val="center"/>
          </w:tcPr>
          <w:p w14:paraId="5741AA7E" w14:textId="414F876B" w:rsidR="005D32F5" w:rsidRPr="008D73F7" w:rsidRDefault="005D32F5" w:rsidP="008D73F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D32F5">
              <w:rPr>
                <w:rFonts w:ascii="Arial" w:hAnsi="Arial" w:cs="Arial"/>
                <w:sz w:val="22"/>
                <w:szCs w:val="22"/>
              </w:rPr>
              <w:t>VW being a globally recognised vehicle brand, has patron agreement and logo loyalty, which gives the corporation a market advantage while entering Brazil, which is an emerging economic system with increasing demand for reliable and gas-green motors.</w:t>
            </w:r>
          </w:p>
        </w:tc>
      </w:tr>
      <w:tr w:rsidR="005D32F5" w:rsidRPr="008D73F7" w14:paraId="2BD5F1A9" w14:textId="77777777" w:rsidTr="004F1519">
        <w:tc>
          <w:tcPr>
            <w:cnfStyle w:val="001000000000" w:firstRow="0" w:lastRow="0" w:firstColumn="1" w:lastColumn="0" w:oddVBand="0" w:evenVBand="0" w:oddHBand="0" w:evenHBand="0" w:firstRowFirstColumn="0" w:firstRowLastColumn="0" w:lastRowFirstColumn="0" w:lastRowLastColumn="0"/>
            <w:tcW w:w="2605" w:type="dxa"/>
            <w:vAlign w:val="center"/>
          </w:tcPr>
          <w:p w14:paraId="7E278595" w14:textId="3315A0EF"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t>Financial Strength</w:t>
            </w:r>
          </w:p>
        </w:tc>
        <w:tc>
          <w:tcPr>
            <w:tcW w:w="6745" w:type="dxa"/>
            <w:vAlign w:val="center"/>
          </w:tcPr>
          <w:p w14:paraId="4D3CAD6C" w14:textId="230AD822" w:rsidR="005D32F5" w:rsidRPr="008D73F7" w:rsidRDefault="005D32F5" w:rsidP="008D73F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D73F7">
              <w:rPr>
                <w:rFonts w:ascii="Arial" w:hAnsi="Arial" w:cs="Arial"/>
                <w:sz w:val="22"/>
                <w:szCs w:val="22"/>
              </w:rPr>
              <w:t>VW has internal financial resources that enable it to invest in wholly owned subsidiaries and local production plants and offer competitive financing to Brazilian consumers (Dunning, 2000).</w:t>
            </w:r>
          </w:p>
        </w:tc>
      </w:tr>
      <w:tr w:rsidR="005D32F5" w:rsidRPr="008D73F7" w14:paraId="31A3A826" w14:textId="77777777" w:rsidTr="004F1519">
        <w:tc>
          <w:tcPr>
            <w:cnfStyle w:val="001000000000" w:firstRow="0" w:lastRow="0" w:firstColumn="1" w:lastColumn="0" w:oddVBand="0" w:evenVBand="0" w:oddHBand="0" w:evenHBand="0" w:firstRowFirstColumn="0" w:firstRowLastColumn="0" w:lastRowFirstColumn="0" w:lastRowLastColumn="0"/>
            <w:tcW w:w="2605" w:type="dxa"/>
            <w:vAlign w:val="center"/>
          </w:tcPr>
          <w:p w14:paraId="49A4A9AD" w14:textId="2A8F2328"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t>Strategic Implication</w:t>
            </w:r>
          </w:p>
        </w:tc>
        <w:tc>
          <w:tcPr>
            <w:tcW w:w="6745" w:type="dxa"/>
            <w:vAlign w:val="center"/>
          </w:tcPr>
          <w:p w14:paraId="4D0E1E0D" w14:textId="72125608" w:rsidR="005D32F5" w:rsidRPr="008D73F7" w:rsidRDefault="005D32F5" w:rsidP="008D73F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D73F7">
              <w:rPr>
                <w:rFonts w:ascii="Arial" w:hAnsi="Arial" w:cs="Arial"/>
                <w:sz w:val="22"/>
                <w:szCs w:val="22"/>
              </w:rPr>
              <w:t>These ownership benefits explain why VW shall favor high-commitment entry modes, including wholly owned subsidiaries and direct investments, which would allow the firm to control the production, quality and marketing.</w:t>
            </w:r>
          </w:p>
        </w:tc>
      </w:tr>
    </w:tbl>
    <w:p w14:paraId="0AEF6FB2" w14:textId="77777777" w:rsidR="005D32F5" w:rsidRDefault="005D32F5" w:rsidP="00054AA2">
      <w:pPr>
        <w:spacing w:line="360" w:lineRule="auto"/>
        <w:jc w:val="both"/>
        <w:rPr>
          <w:rFonts w:ascii="Arial" w:hAnsi="Arial" w:cs="Arial"/>
        </w:rPr>
      </w:pPr>
    </w:p>
    <w:p w14:paraId="229609CF" w14:textId="77777777" w:rsidR="004C0BAF" w:rsidRPr="004C0BAF" w:rsidRDefault="004C0BAF" w:rsidP="004E0504">
      <w:pPr>
        <w:pStyle w:val="Heading2"/>
      </w:pPr>
      <w:bookmarkStart w:id="16" w:name="_Toc215538923"/>
      <w:bookmarkStart w:id="17" w:name="_Toc216009396"/>
      <w:r w:rsidRPr="004C0BAF">
        <w:t>3.2 Location Advantages</w:t>
      </w:r>
      <w:bookmarkEnd w:id="16"/>
      <w:bookmarkEnd w:id="17"/>
    </w:p>
    <w:p w14:paraId="2ABCBA02" w14:textId="77777777" w:rsidR="00120CCD" w:rsidRDefault="00120CCD" w:rsidP="00120CCD">
      <w:pPr>
        <w:spacing w:line="360" w:lineRule="auto"/>
        <w:jc w:val="both"/>
        <w:rPr>
          <w:rFonts w:ascii="Arial" w:hAnsi="Arial" w:cs="Arial"/>
        </w:rPr>
      </w:pPr>
      <w:r w:rsidRPr="00120CCD">
        <w:rPr>
          <w:rFonts w:ascii="Arial" w:hAnsi="Arial" w:cs="Arial"/>
        </w:rPr>
        <w:t>Location advantages have to do with the particular characteristics of the host nation that are attractive in terms of investment. Brazil offers some strategic location advantages to Volkswagen:</w:t>
      </w:r>
    </w:p>
    <w:p w14:paraId="56362340" w14:textId="77777777" w:rsidR="00120CCD" w:rsidRPr="00120CCD" w:rsidRDefault="00120CCD" w:rsidP="00120CCD">
      <w:pPr>
        <w:spacing w:line="360" w:lineRule="auto"/>
        <w:jc w:val="both"/>
        <w:rPr>
          <w:rFonts w:ascii="Arial" w:hAnsi="Arial" w:cs="Arial"/>
          <w:b/>
          <w:bCs/>
        </w:rPr>
      </w:pPr>
      <w:r w:rsidRPr="00120CCD">
        <w:rPr>
          <w:rFonts w:ascii="Arial" w:hAnsi="Arial" w:cs="Arial"/>
          <w:b/>
          <w:bCs/>
        </w:rPr>
        <w:t>Huge and Expanding Automotive Market.</w:t>
      </w:r>
    </w:p>
    <w:p w14:paraId="2102EAC7" w14:textId="77777777" w:rsidR="00120CCD" w:rsidRDefault="00120CCD" w:rsidP="00120CCD">
      <w:pPr>
        <w:spacing w:line="360" w:lineRule="auto"/>
        <w:jc w:val="both"/>
        <w:rPr>
          <w:rFonts w:ascii="Arial" w:hAnsi="Arial" w:cs="Arial"/>
        </w:rPr>
      </w:pPr>
      <w:r w:rsidRPr="00120CCD">
        <w:rPr>
          <w:rFonts w:ascii="Arial" w:hAnsi="Arial" w:cs="Arial"/>
        </w:rPr>
        <w:t>Brazil is the biggest automotive market in Latin America, and it has an expanding middle class and growing demand for passenger automobiles (PwC, 2023). This is a large market size that gives VW a host of revenue prospects.</w:t>
      </w:r>
    </w:p>
    <w:p w14:paraId="56102D9B" w14:textId="77777777" w:rsidR="00120CCD" w:rsidRPr="00120CCD" w:rsidRDefault="00120CCD" w:rsidP="00120CCD">
      <w:pPr>
        <w:spacing w:line="360" w:lineRule="auto"/>
        <w:jc w:val="both"/>
        <w:rPr>
          <w:rFonts w:ascii="Arial" w:hAnsi="Arial" w:cs="Arial"/>
          <w:b/>
          <w:bCs/>
        </w:rPr>
      </w:pPr>
      <w:r w:rsidRPr="00120CCD">
        <w:rPr>
          <w:rFonts w:ascii="Arial" w:hAnsi="Arial" w:cs="Arial"/>
          <w:b/>
          <w:bCs/>
        </w:rPr>
        <w:t>Government Policies and Industrial Relations.</w:t>
      </w:r>
    </w:p>
    <w:p w14:paraId="47C08EE5" w14:textId="77777777" w:rsidR="00120CCD" w:rsidRDefault="00120CCD" w:rsidP="00120CCD">
      <w:pPr>
        <w:spacing w:line="360" w:lineRule="auto"/>
        <w:jc w:val="both"/>
        <w:rPr>
          <w:rFonts w:ascii="Arial" w:hAnsi="Arial" w:cs="Arial"/>
        </w:rPr>
      </w:pPr>
      <w:r w:rsidRPr="00120CCD">
        <w:rPr>
          <w:rFonts w:ascii="Arial" w:hAnsi="Arial" w:cs="Arial"/>
        </w:rPr>
        <w:t>The Brazilian policies provide tax incentives, importation tax cuts and local production and R&amp;D incentives. These policies foster foreign direct investment and long-term local operations (Da Rocha &amp; da Silva, 2009).</w:t>
      </w:r>
    </w:p>
    <w:p w14:paraId="7FF8F50A" w14:textId="77777777" w:rsidR="00120CCD" w:rsidRPr="00120CCD" w:rsidRDefault="00120CCD" w:rsidP="00120CCD">
      <w:pPr>
        <w:spacing w:line="360" w:lineRule="auto"/>
        <w:jc w:val="both"/>
        <w:rPr>
          <w:rFonts w:ascii="Arial" w:hAnsi="Arial" w:cs="Arial"/>
          <w:b/>
          <w:bCs/>
        </w:rPr>
      </w:pPr>
      <w:r w:rsidRPr="00120CCD">
        <w:rPr>
          <w:rFonts w:ascii="Arial" w:hAnsi="Arial" w:cs="Arial"/>
          <w:b/>
          <w:bCs/>
        </w:rPr>
        <w:lastRenderedPageBreak/>
        <w:t>Talented Workforce and Supplier Relations.</w:t>
      </w:r>
    </w:p>
    <w:p w14:paraId="39A3C5F5" w14:textId="327B8A27" w:rsidR="00120CCD" w:rsidRDefault="00120CCD" w:rsidP="00120CCD">
      <w:pPr>
        <w:spacing w:line="360" w:lineRule="auto"/>
        <w:jc w:val="both"/>
        <w:rPr>
          <w:rFonts w:ascii="Arial" w:hAnsi="Arial" w:cs="Arial"/>
        </w:rPr>
      </w:pPr>
      <w:r w:rsidRPr="00120CCD">
        <w:rPr>
          <w:rFonts w:ascii="Arial" w:hAnsi="Arial" w:cs="Arial"/>
        </w:rPr>
        <w:t>Brazil has a semi-skilled and more professionalized workforce and expanding domestic suppliers that can serve the production demands of VW (Gereffi and Fernandez-Stark, 2016).</w:t>
      </w:r>
    </w:p>
    <w:p w14:paraId="50B1BA60" w14:textId="05C05B6B" w:rsidR="00120CCD" w:rsidRPr="00120CCD" w:rsidRDefault="00120CCD" w:rsidP="00120CCD">
      <w:pPr>
        <w:spacing w:line="360" w:lineRule="auto"/>
        <w:jc w:val="both"/>
        <w:rPr>
          <w:rFonts w:ascii="Arial" w:hAnsi="Arial" w:cs="Arial"/>
          <w:b/>
          <w:bCs/>
        </w:rPr>
      </w:pPr>
      <w:r w:rsidRPr="00120CCD">
        <w:rPr>
          <w:rFonts w:ascii="Arial" w:hAnsi="Arial" w:cs="Arial"/>
          <w:b/>
          <w:bCs/>
        </w:rPr>
        <w:t>Favorable Geographic Positioning.</w:t>
      </w:r>
    </w:p>
    <w:p w14:paraId="07C0F0EF" w14:textId="25BCDA97" w:rsidR="00120CCD" w:rsidRDefault="00120CCD" w:rsidP="00120CCD">
      <w:pPr>
        <w:spacing w:line="360" w:lineRule="auto"/>
        <w:jc w:val="both"/>
        <w:rPr>
          <w:rFonts w:ascii="Arial" w:hAnsi="Arial" w:cs="Arial"/>
        </w:rPr>
      </w:pPr>
      <w:r w:rsidRPr="00120CCD">
        <w:rPr>
          <w:rFonts w:ascii="Arial" w:hAnsi="Arial" w:cs="Arial"/>
        </w:rPr>
        <w:t>The geographical positioning enables VW to reach the extensive Latin American market effectively as a regional vehicle export Centre.</w:t>
      </w:r>
    </w:p>
    <w:p w14:paraId="1585B8E1" w14:textId="76184196" w:rsidR="00120CCD" w:rsidRDefault="00120CCD" w:rsidP="004C0BAF">
      <w:pPr>
        <w:spacing w:line="360" w:lineRule="auto"/>
        <w:jc w:val="both"/>
        <w:rPr>
          <w:rFonts w:ascii="Arial" w:hAnsi="Arial" w:cs="Arial"/>
        </w:rPr>
      </w:pPr>
      <w:r w:rsidRPr="00120CCD">
        <w:rPr>
          <w:rFonts w:ascii="Arial" w:hAnsi="Arial" w:cs="Arial"/>
        </w:rPr>
        <w:t>VW relies on location advantages in its decision to build manufacturing plants and R&amp;D centres in Brazil, and the country becomes part of its global value chain and uses the regional opportunities.</w:t>
      </w:r>
    </w:p>
    <w:p w14:paraId="64EEA72D" w14:textId="3BE2DD4E" w:rsidR="000D25F8" w:rsidRPr="000D25F8" w:rsidRDefault="000D25F8" w:rsidP="004C0BAF">
      <w:pPr>
        <w:spacing w:line="360" w:lineRule="auto"/>
        <w:jc w:val="both"/>
        <w:rPr>
          <w:rFonts w:asciiTheme="majorHAnsi" w:hAnsiTheme="majorHAnsi" w:cstheme="majorHAnsi"/>
          <w:i/>
          <w:iCs/>
          <w:color w:val="4472C4" w:themeColor="accent1"/>
          <w:sz w:val="22"/>
          <w:szCs w:val="22"/>
        </w:rPr>
      </w:pPr>
      <w:r w:rsidRPr="000D25F8">
        <w:rPr>
          <w:rFonts w:asciiTheme="majorHAnsi" w:hAnsiTheme="majorHAnsi" w:cstheme="majorHAnsi"/>
          <w:i/>
          <w:iCs/>
          <w:color w:val="4472C4" w:themeColor="accent1"/>
          <w:sz w:val="22"/>
          <w:szCs w:val="22"/>
        </w:rPr>
        <w:t>Figure 6: The Eclectic Paradigm (OLI Framework) Analysis of Volkswagen Group in Brazil</w:t>
      </w:r>
    </w:p>
    <w:p w14:paraId="508F2DF3" w14:textId="54F72AF5" w:rsidR="000D25F8" w:rsidRDefault="000D25F8" w:rsidP="00F03DEC">
      <w:pPr>
        <w:spacing w:line="360" w:lineRule="auto"/>
        <w:jc w:val="center"/>
        <w:rPr>
          <w:rFonts w:ascii="Arial" w:hAnsi="Arial" w:cs="Arial"/>
        </w:rPr>
      </w:pPr>
      <w:r>
        <w:rPr>
          <w:rFonts w:ascii="Arial" w:hAnsi="Arial" w:cs="Arial"/>
          <w:noProof/>
        </w:rPr>
        <w:drawing>
          <wp:inline distT="0" distB="0" distL="0" distR="0" wp14:anchorId="2937CD13" wp14:editId="01F665F4">
            <wp:extent cx="5315447" cy="2898509"/>
            <wp:effectExtent l="0" t="0" r="0" b="0"/>
            <wp:docPr id="880920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92071" name="Picture 8809207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50366" cy="2917550"/>
                    </a:xfrm>
                    <a:prstGeom prst="rect">
                      <a:avLst/>
                    </a:prstGeom>
                  </pic:spPr>
                </pic:pic>
              </a:graphicData>
            </a:graphic>
          </wp:inline>
        </w:drawing>
      </w:r>
    </w:p>
    <w:p w14:paraId="3A17FF55" w14:textId="3304B6FE" w:rsidR="000D25F8" w:rsidRPr="000D25F8" w:rsidRDefault="000D25F8" w:rsidP="000D25F8">
      <w:pPr>
        <w:spacing w:line="360" w:lineRule="auto"/>
        <w:jc w:val="center"/>
        <w:rPr>
          <w:rFonts w:asciiTheme="majorHAnsi" w:hAnsiTheme="majorHAnsi" w:cstheme="majorHAnsi"/>
          <w:i/>
          <w:iCs/>
          <w:color w:val="000000" w:themeColor="text1"/>
          <w:sz w:val="22"/>
          <w:szCs w:val="22"/>
        </w:rPr>
      </w:pPr>
      <w:r w:rsidRPr="000D25F8">
        <w:rPr>
          <w:rFonts w:asciiTheme="majorHAnsi" w:hAnsiTheme="majorHAnsi" w:cstheme="majorHAnsi"/>
          <w:i/>
          <w:iCs/>
          <w:color w:val="000000" w:themeColor="text1"/>
          <w:sz w:val="22"/>
          <w:szCs w:val="22"/>
        </w:rPr>
        <w:t>Source: Author's original creation based on the conceptual framework of Dunning and Lundan (2008), Narula (2014).</w:t>
      </w:r>
    </w:p>
    <w:p w14:paraId="3F4747E2" w14:textId="77777777" w:rsidR="004C0BAF" w:rsidRPr="004C0BAF" w:rsidRDefault="004C0BAF" w:rsidP="00120CCD">
      <w:pPr>
        <w:pStyle w:val="Heading2"/>
      </w:pPr>
      <w:bookmarkStart w:id="18" w:name="_Toc216009397"/>
      <w:r w:rsidRPr="004C0BAF">
        <w:t>3.3 Internalisation Advantages</w:t>
      </w:r>
      <w:bookmarkEnd w:id="18"/>
    </w:p>
    <w:p w14:paraId="45043F89" w14:textId="0F6A7FFF" w:rsidR="00120CCD" w:rsidRDefault="00120CCD" w:rsidP="00120CCD">
      <w:pPr>
        <w:spacing w:line="360" w:lineRule="auto"/>
        <w:jc w:val="both"/>
        <w:rPr>
          <w:rFonts w:ascii="Arial" w:hAnsi="Arial" w:cs="Arial"/>
        </w:rPr>
      </w:pPr>
      <w:r w:rsidRPr="00120CCD">
        <w:rPr>
          <w:rFonts w:ascii="Arial" w:hAnsi="Arial" w:cs="Arial"/>
        </w:rPr>
        <w:t>Internalisation benefits describe why companies would rather operate foreign operations in-house than by alliances or licensing deals. VW internalizes significant processes in Brazil due to a number of reasons:</w:t>
      </w:r>
    </w:p>
    <w:p w14:paraId="30DFC961" w14:textId="77777777" w:rsidR="00120CCD" w:rsidRPr="00120CCD" w:rsidRDefault="00120CCD" w:rsidP="00120CCD">
      <w:pPr>
        <w:spacing w:line="360" w:lineRule="auto"/>
        <w:jc w:val="both"/>
        <w:rPr>
          <w:rFonts w:ascii="Arial" w:hAnsi="Arial" w:cs="Arial"/>
          <w:b/>
          <w:bCs/>
        </w:rPr>
      </w:pPr>
      <w:r w:rsidRPr="00120CCD">
        <w:rPr>
          <w:rFonts w:ascii="Arial" w:hAnsi="Arial" w:cs="Arial"/>
          <w:b/>
          <w:bCs/>
        </w:rPr>
        <w:lastRenderedPageBreak/>
        <w:t>Management of Quality and Technology.</w:t>
      </w:r>
    </w:p>
    <w:p w14:paraId="248B022B" w14:textId="77777777" w:rsidR="00D2727E" w:rsidRDefault="00120CCD" w:rsidP="00F13A01">
      <w:pPr>
        <w:spacing w:line="360" w:lineRule="auto"/>
        <w:jc w:val="both"/>
        <w:rPr>
          <w:rFonts w:ascii="Arial" w:hAnsi="Arial" w:cs="Arial"/>
        </w:rPr>
      </w:pPr>
      <w:r w:rsidRPr="00120CCD">
        <w:rPr>
          <w:rFonts w:ascii="Arial" w:hAnsi="Arial" w:cs="Arial"/>
        </w:rPr>
        <w:t>The quality control of the automotive production is high. Internalized production and R&amp;D allow VW to preserve quality standards worldwide and secure proprietary technology (Narula, 2014).</w:t>
      </w:r>
    </w:p>
    <w:p w14:paraId="608A669C" w14:textId="1FB958A9" w:rsidR="00DD778B" w:rsidRPr="00D2727E" w:rsidRDefault="004C0BAF" w:rsidP="00F13A01">
      <w:pPr>
        <w:spacing w:line="360" w:lineRule="auto"/>
        <w:jc w:val="both"/>
        <w:rPr>
          <w:rFonts w:ascii="Arial" w:hAnsi="Arial" w:cs="Arial"/>
        </w:rPr>
      </w:pPr>
      <w:r w:rsidRPr="004C0BAF">
        <w:rPr>
          <w:rFonts w:ascii="Arial" w:hAnsi="Arial" w:cs="Arial"/>
          <w:b/>
          <w:bCs/>
        </w:rPr>
        <w:t>Efficient Coordination</w:t>
      </w:r>
    </w:p>
    <w:p w14:paraId="5804AE45" w14:textId="77777777" w:rsidR="00D2727E" w:rsidRPr="00D2727E" w:rsidRDefault="00D2727E" w:rsidP="00D2727E">
      <w:pPr>
        <w:spacing w:line="360" w:lineRule="auto"/>
        <w:jc w:val="both"/>
        <w:rPr>
          <w:rFonts w:ascii="Arial" w:hAnsi="Arial" w:cs="Arial"/>
        </w:rPr>
      </w:pPr>
      <w:r w:rsidRPr="00D2727E">
        <w:rPr>
          <w:rFonts w:ascii="Arial" w:hAnsi="Arial" w:cs="Arial"/>
        </w:rPr>
        <w:t>Internalisation helps in smooth coordination of Brazilian production facilities, international R&amp;D centres, and the supply chain networks at minimum transaction cost incurred in outsourcing or joint ventures (Buckley and Casson, 1998).</w:t>
      </w:r>
    </w:p>
    <w:p w14:paraId="0197142F" w14:textId="77777777" w:rsidR="00D2727E" w:rsidRDefault="004C0BAF" w:rsidP="00D2727E">
      <w:pPr>
        <w:spacing w:line="360" w:lineRule="auto"/>
        <w:jc w:val="both"/>
        <w:rPr>
          <w:rFonts w:ascii="Arial" w:hAnsi="Arial" w:cs="Arial"/>
          <w:b/>
          <w:bCs/>
        </w:rPr>
      </w:pPr>
      <w:r w:rsidRPr="004C0BAF">
        <w:rPr>
          <w:rFonts w:ascii="Arial" w:hAnsi="Arial" w:cs="Arial"/>
          <w:b/>
          <w:bCs/>
        </w:rPr>
        <w:t>Financial Integration</w:t>
      </w:r>
    </w:p>
    <w:p w14:paraId="3525F0DF" w14:textId="77777777" w:rsidR="00D2727E" w:rsidRDefault="00D2727E" w:rsidP="00D2727E">
      <w:pPr>
        <w:spacing w:line="360" w:lineRule="auto"/>
        <w:jc w:val="both"/>
        <w:rPr>
          <w:rFonts w:ascii="Arial" w:hAnsi="Arial" w:cs="Arial"/>
        </w:rPr>
      </w:pPr>
      <w:r w:rsidRPr="00D2727E">
        <w:rPr>
          <w:rFonts w:ascii="Arial" w:hAnsi="Arial" w:cs="Arial"/>
        </w:rPr>
        <w:t>The company maintains its position in the market and provides consistency in the mode of financing to customers by internally financing and leasing services through VW Bank Brazil.</w:t>
      </w:r>
    </w:p>
    <w:p w14:paraId="1C9C8028" w14:textId="0B9673D8" w:rsidR="00D2727E" w:rsidRPr="00D2727E" w:rsidRDefault="00D2727E" w:rsidP="004C0BAF">
      <w:pPr>
        <w:spacing w:line="360" w:lineRule="auto"/>
        <w:jc w:val="both"/>
        <w:rPr>
          <w:rFonts w:ascii="Arial" w:hAnsi="Arial" w:cs="Arial"/>
          <w:b/>
          <w:bCs/>
        </w:rPr>
      </w:pPr>
      <w:r w:rsidRPr="00D2727E">
        <w:rPr>
          <w:rFonts w:ascii="Arial" w:hAnsi="Arial" w:cs="Arial"/>
        </w:rPr>
        <w:t>Internalisation thereby enables the VW to take advantage of its ownership benefits and reduce its risks of local-partner dependency, regulatory uncertainty, and knowledge leakage.</w:t>
      </w:r>
    </w:p>
    <w:p w14:paraId="1E1A8D8B" w14:textId="77777777" w:rsidR="004C0BAF" w:rsidRPr="00DD778B" w:rsidRDefault="004C0BAF" w:rsidP="00DD778B">
      <w:pPr>
        <w:pStyle w:val="Heading2"/>
      </w:pPr>
      <w:bookmarkStart w:id="19" w:name="_Toc215538924"/>
      <w:bookmarkStart w:id="20" w:name="_Toc216009398"/>
      <w:r w:rsidRPr="00DD778B">
        <w:t>3.4 Impact of OLI on Entry Mode Selection</w:t>
      </w:r>
      <w:bookmarkEnd w:id="19"/>
      <w:bookmarkEnd w:id="20"/>
    </w:p>
    <w:p w14:paraId="1F7F809D" w14:textId="77777777" w:rsidR="0017613D" w:rsidRDefault="00C87311" w:rsidP="004C0BAF">
      <w:pPr>
        <w:spacing w:line="360" w:lineRule="auto"/>
        <w:jc w:val="both"/>
        <w:rPr>
          <w:rFonts w:ascii="Arial" w:hAnsi="Arial" w:cs="Arial"/>
        </w:rPr>
      </w:pPr>
      <w:r w:rsidRPr="00C87311">
        <w:rPr>
          <w:rFonts w:ascii="Arial" w:hAnsi="Arial" w:cs="Arial"/>
        </w:rPr>
        <w:t>Interactions of the ownership, location, and internalisation benefits have a direct effect on the entry mode that VW can select in Brazil.</w:t>
      </w:r>
    </w:p>
    <w:p w14:paraId="186A61EC" w14:textId="77777777" w:rsidR="0017613D" w:rsidRDefault="00C87311">
      <w:pPr>
        <w:pStyle w:val="ListParagraph"/>
        <w:numPr>
          <w:ilvl w:val="0"/>
          <w:numId w:val="2"/>
        </w:numPr>
        <w:spacing w:line="360" w:lineRule="auto"/>
        <w:jc w:val="both"/>
        <w:rPr>
          <w:rFonts w:ascii="Arial" w:hAnsi="Arial" w:cs="Arial"/>
        </w:rPr>
      </w:pPr>
      <w:r w:rsidRPr="0017613D">
        <w:rPr>
          <w:rFonts w:ascii="Arial" w:hAnsi="Arial" w:cs="Arial"/>
        </w:rPr>
        <w:t>Ownership advantages make VW take control over technology, branding, and production. This is in line with the application of wholly owned subsidiaries and direct investments as opposed to joint ventures and licensing.</w:t>
      </w:r>
    </w:p>
    <w:p w14:paraId="64D368C7" w14:textId="77777777" w:rsidR="0017613D" w:rsidRDefault="00C87311">
      <w:pPr>
        <w:pStyle w:val="ListParagraph"/>
        <w:numPr>
          <w:ilvl w:val="0"/>
          <w:numId w:val="2"/>
        </w:numPr>
        <w:spacing w:line="360" w:lineRule="auto"/>
        <w:jc w:val="both"/>
        <w:rPr>
          <w:rFonts w:ascii="Arial" w:hAnsi="Arial" w:cs="Arial"/>
        </w:rPr>
      </w:pPr>
      <w:r w:rsidRPr="0017613D">
        <w:rPr>
          <w:rFonts w:ascii="Arial" w:hAnsi="Arial" w:cs="Arial"/>
        </w:rPr>
        <w:t>Location It has advantages like market potential, government subsidies, and regional supply chains to justify high levels of investment in local manufacturing plants and distribution channels.</w:t>
      </w:r>
    </w:p>
    <w:p w14:paraId="0B780EBE" w14:textId="034763FC" w:rsidR="0017613D" w:rsidRPr="0017613D" w:rsidRDefault="00C87311">
      <w:pPr>
        <w:pStyle w:val="ListParagraph"/>
        <w:numPr>
          <w:ilvl w:val="0"/>
          <w:numId w:val="2"/>
        </w:numPr>
        <w:spacing w:line="360" w:lineRule="auto"/>
        <w:jc w:val="both"/>
        <w:rPr>
          <w:rFonts w:ascii="Arial" w:hAnsi="Arial" w:cs="Arial"/>
        </w:rPr>
      </w:pPr>
      <w:r w:rsidRPr="0017613D">
        <w:rPr>
          <w:rFonts w:ascii="Arial" w:hAnsi="Arial" w:cs="Arial"/>
        </w:rPr>
        <w:t>Internalisation advantages ensure that proprietary knowledge, quality standards, and supply chain processes are kept in-house, and a high-commitment mode is justified as opposed to collaborative arrangements with local firms.</w:t>
      </w:r>
    </w:p>
    <w:p w14:paraId="0DD5DA15" w14:textId="6FC4EDAC" w:rsidR="00C87311" w:rsidRPr="004C0BAF" w:rsidRDefault="00C87311" w:rsidP="004C0BAF">
      <w:pPr>
        <w:spacing w:line="360" w:lineRule="auto"/>
        <w:jc w:val="both"/>
        <w:rPr>
          <w:rFonts w:ascii="Arial" w:hAnsi="Arial" w:cs="Arial"/>
        </w:rPr>
      </w:pPr>
      <w:r w:rsidRPr="00C87311">
        <w:rPr>
          <w:rFonts w:ascii="Arial" w:hAnsi="Arial" w:cs="Arial"/>
        </w:rPr>
        <w:lastRenderedPageBreak/>
        <w:t>Empirical research indicates that the Brazilian operations of Volkswagen have been designed in terms of entirely owned facilities and direct marketing, as part of the OLI predictions (Narula, 2014). This operational fit of OLI factors to entry mode choice allows VW to attain operational efficiency, protect competitive advantages, and address Brazilian institutional and market idiosyncrasies.</w:t>
      </w:r>
    </w:p>
    <w:p w14:paraId="57E5882E" w14:textId="77777777" w:rsidR="004C0BAF" w:rsidRPr="004C0BAF" w:rsidRDefault="004C0BAF" w:rsidP="005723B4">
      <w:pPr>
        <w:pStyle w:val="Heading2"/>
      </w:pPr>
      <w:bookmarkStart w:id="21" w:name="_Toc215538925"/>
      <w:bookmarkStart w:id="22" w:name="_Toc216009399"/>
      <w:r w:rsidRPr="004C0BAF">
        <w:t>3.5 Critical Insights and Implications</w:t>
      </w:r>
      <w:bookmarkEnd w:id="21"/>
      <w:bookmarkEnd w:id="22"/>
    </w:p>
    <w:p w14:paraId="1ED9DA1E" w14:textId="000D486D" w:rsidR="00BE2223" w:rsidRDefault="00F23251" w:rsidP="009A3DA8">
      <w:pPr>
        <w:spacing w:line="360" w:lineRule="auto"/>
        <w:jc w:val="both"/>
        <w:rPr>
          <w:rFonts w:ascii="Arial" w:hAnsi="Arial" w:cs="Arial"/>
        </w:rPr>
      </w:pPr>
      <w:r w:rsidRPr="00F23251">
        <w:rPr>
          <w:rFonts w:ascii="Arial" w:hAnsi="Arial" w:cs="Arial"/>
        </w:rPr>
        <w:t xml:space="preserve">Although the OLI framework can be applied in </w:t>
      </w:r>
      <w:r w:rsidR="00BE2223" w:rsidRPr="00F23251">
        <w:rPr>
          <w:rFonts w:ascii="Arial" w:hAnsi="Arial" w:cs="Arial"/>
        </w:rPr>
        <w:t>favor</w:t>
      </w:r>
      <w:r w:rsidRPr="00F23251">
        <w:rPr>
          <w:rFonts w:ascii="Arial" w:hAnsi="Arial" w:cs="Arial"/>
        </w:rPr>
        <w:t xml:space="preserve"> of the high-control entry strategy of Volkswagen, it also reveals possible pitfalls:</w:t>
      </w:r>
    </w:p>
    <w:tbl>
      <w:tblPr>
        <w:tblStyle w:val="GridTable1Light"/>
        <w:tblW w:w="0" w:type="auto"/>
        <w:tblLook w:val="04A0" w:firstRow="1" w:lastRow="0" w:firstColumn="1" w:lastColumn="0" w:noHBand="0" w:noVBand="1"/>
      </w:tblPr>
      <w:tblGrid>
        <w:gridCol w:w="2785"/>
        <w:gridCol w:w="6565"/>
      </w:tblGrid>
      <w:tr w:rsidR="008C0AAC" w:rsidRPr="00C47E82" w14:paraId="6E6A9852" w14:textId="77777777" w:rsidTr="00DB4B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5" w:type="dxa"/>
            <w:vAlign w:val="center"/>
          </w:tcPr>
          <w:p w14:paraId="416F335C" w14:textId="43228337" w:rsidR="008C0AAC" w:rsidRPr="00C47E82" w:rsidRDefault="006F0E23" w:rsidP="00DB4BBA">
            <w:pPr>
              <w:spacing w:line="360" w:lineRule="auto"/>
              <w:jc w:val="center"/>
              <w:rPr>
                <w:rFonts w:ascii="Arial" w:hAnsi="Arial" w:cs="Arial"/>
                <w:sz w:val="22"/>
                <w:szCs w:val="22"/>
              </w:rPr>
            </w:pPr>
            <w:r w:rsidRPr="00C47E82">
              <w:rPr>
                <w:rFonts w:ascii="Arial" w:hAnsi="Arial" w:cs="Arial"/>
                <w:sz w:val="22"/>
                <w:szCs w:val="22"/>
              </w:rPr>
              <w:t>Critical Insight</w:t>
            </w:r>
          </w:p>
        </w:tc>
        <w:tc>
          <w:tcPr>
            <w:tcW w:w="6565" w:type="dxa"/>
            <w:vAlign w:val="center"/>
          </w:tcPr>
          <w:p w14:paraId="62122D8E" w14:textId="5DD0F58F" w:rsidR="008C0AAC" w:rsidRPr="00C47E82" w:rsidRDefault="006F0E23" w:rsidP="00DB4BB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47E82">
              <w:rPr>
                <w:rFonts w:ascii="Arial" w:hAnsi="Arial" w:cs="Arial"/>
                <w:sz w:val="22"/>
                <w:szCs w:val="22"/>
              </w:rPr>
              <w:t>Implications</w:t>
            </w:r>
          </w:p>
        </w:tc>
      </w:tr>
      <w:tr w:rsidR="008C0AAC" w:rsidRPr="00C47E82" w14:paraId="55B1A881" w14:textId="77777777" w:rsidTr="00C47E82">
        <w:tc>
          <w:tcPr>
            <w:cnfStyle w:val="001000000000" w:firstRow="0" w:lastRow="0" w:firstColumn="1" w:lastColumn="0" w:oddVBand="0" w:evenVBand="0" w:oddHBand="0" w:evenHBand="0" w:firstRowFirstColumn="0" w:firstRowLastColumn="0" w:lastRowFirstColumn="0" w:lastRowLastColumn="0"/>
            <w:tcW w:w="2785" w:type="dxa"/>
            <w:vAlign w:val="center"/>
          </w:tcPr>
          <w:p w14:paraId="0A6265AC" w14:textId="09A5B9ED" w:rsidR="008C0AAC" w:rsidRPr="00C47E82" w:rsidRDefault="008C0AAC" w:rsidP="00C47E82">
            <w:pPr>
              <w:spacing w:line="360" w:lineRule="auto"/>
              <w:rPr>
                <w:rFonts w:ascii="Arial" w:hAnsi="Arial" w:cs="Arial"/>
                <w:sz w:val="22"/>
                <w:szCs w:val="22"/>
              </w:rPr>
            </w:pPr>
            <w:r w:rsidRPr="00C47E82">
              <w:rPr>
                <w:rFonts w:ascii="Arial" w:hAnsi="Arial" w:cs="Arial"/>
                <w:sz w:val="22"/>
                <w:szCs w:val="22"/>
              </w:rPr>
              <w:t>High Investment Risk</w:t>
            </w:r>
          </w:p>
        </w:tc>
        <w:tc>
          <w:tcPr>
            <w:tcW w:w="6565" w:type="dxa"/>
            <w:vAlign w:val="center"/>
          </w:tcPr>
          <w:p w14:paraId="7BE32FE7" w14:textId="6FB911B9" w:rsidR="008C0AAC" w:rsidRPr="00C47E82" w:rsidRDefault="008C0AAC" w:rsidP="00C47E8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7E82">
              <w:rPr>
                <w:rFonts w:ascii="Arial" w:hAnsi="Arial" w:cs="Arial"/>
                <w:sz w:val="22"/>
                <w:szCs w:val="22"/>
              </w:rPr>
              <w:t>Wholly owned subsidiaries are costly in terms of capital and subject VW to economic uncertainties, currency, and political risks in Brazil (Meyer and Peng, 2016).</w:t>
            </w:r>
          </w:p>
        </w:tc>
      </w:tr>
      <w:tr w:rsidR="008C0AAC" w:rsidRPr="00C47E82" w14:paraId="4A4AE1E3" w14:textId="77777777" w:rsidTr="00C47E82">
        <w:tc>
          <w:tcPr>
            <w:cnfStyle w:val="001000000000" w:firstRow="0" w:lastRow="0" w:firstColumn="1" w:lastColumn="0" w:oddVBand="0" w:evenVBand="0" w:oddHBand="0" w:evenHBand="0" w:firstRowFirstColumn="0" w:firstRowLastColumn="0" w:lastRowFirstColumn="0" w:lastRowLastColumn="0"/>
            <w:tcW w:w="2785" w:type="dxa"/>
            <w:vAlign w:val="center"/>
          </w:tcPr>
          <w:p w14:paraId="1B9A32CF" w14:textId="35DA8154" w:rsidR="008C0AAC" w:rsidRPr="00C47E82" w:rsidRDefault="008C0AAC" w:rsidP="00C47E82">
            <w:pPr>
              <w:spacing w:line="360" w:lineRule="auto"/>
              <w:rPr>
                <w:rFonts w:ascii="Arial" w:hAnsi="Arial" w:cs="Arial"/>
                <w:sz w:val="22"/>
                <w:szCs w:val="22"/>
              </w:rPr>
            </w:pPr>
            <w:r w:rsidRPr="00C47E82">
              <w:rPr>
                <w:rFonts w:ascii="Arial" w:hAnsi="Arial" w:cs="Arial"/>
                <w:sz w:val="22"/>
                <w:szCs w:val="22"/>
              </w:rPr>
              <w:t>Culture and management adaptation</w:t>
            </w:r>
          </w:p>
        </w:tc>
        <w:tc>
          <w:tcPr>
            <w:tcW w:w="6565" w:type="dxa"/>
            <w:vAlign w:val="center"/>
          </w:tcPr>
          <w:p w14:paraId="059BEFCB" w14:textId="60AF8F41" w:rsidR="008C0AAC" w:rsidRPr="00C47E82" w:rsidRDefault="008C0AAC" w:rsidP="00C47E8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7E82">
              <w:rPr>
                <w:rFonts w:ascii="Arial" w:hAnsi="Arial" w:cs="Arial"/>
                <w:sz w:val="22"/>
                <w:szCs w:val="22"/>
              </w:rPr>
              <w:t>Expanding globally limits the freedom of local managers, so VW must adapt its standard processes and HR practices to meet Brazilian culture and workforce needs (De Mooij, 2019).</w:t>
            </w:r>
          </w:p>
        </w:tc>
      </w:tr>
      <w:tr w:rsidR="008C0AAC" w:rsidRPr="00C47E82" w14:paraId="58DF3282" w14:textId="77777777" w:rsidTr="00C47E82">
        <w:tc>
          <w:tcPr>
            <w:cnfStyle w:val="001000000000" w:firstRow="0" w:lastRow="0" w:firstColumn="1" w:lastColumn="0" w:oddVBand="0" w:evenVBand="0" w:oddHBand="0" w:evenHBand="0" w:firstRowFirstColumn="0" w:firstRowLastColumn="0" w:lastRowFirstColumn="0" w:lastRowLastColumn="0"/>
            <w:tcW w:w="2785" w:type="dxa"/>
            <w:vAlign w:val="center"/>
          </w:tcPr>
          <w:p w14:paraId="35C8A293" w14:textId="6A4124CF" w:rsidR="008C0AAC" w:rsidRPr="00C47E82" w:rsidRDefault="008C0AAC" w:rsidP="00C47E82">
            <w:pPr>
              <w:spacing w:line="360" w:lineRule="auto"/>
              <w:rPr>
                <w:rFonts w:ascii="Arial" w:hAnsi="Arial" w:cs="Arial"/>
                <w:sz w:val="22"/>
                <w:szCs w:val="22"/>
              </w:rPr>
            </w:pPr>
            <w:r w:rsidRPr="00C47E82">
              <w:rPr>
                <w:rFonts w:ascii="Arial" w:hAnsi="Arial" w:cs="Arial"/>
                <w:sz w:val="22"/>
                <w:szCs w:val="22"/>
              </w:rPr>
              <w:t>Complexity of the Supply Chain</w:t>
            </w:r>
          </w:p>
        </w:tc>
        <w:tc>
          <w:tcPr>
            <w:tcW w:w="6565" w:type="dxa"/>
            <w:vAlign w:val="center"/>
          </w:tcPr>
          <w:p w14:paraId="6D11A476" w14:textId="428F9EC4" w:rsidR="008C0AAC" w:rsidRPr="00C47E82" w:rsidRDefault="008C0AAC" w:rsidP="00C47E8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7E82">
              <w:rPr>
                <w:rFonts w:ascii="Arial" w:hAnsi="Arial" w:cs="Arial"/>
                <w:sz w:val="22"/>
                <w:szCs w:val="22"/>
              </w:rPr>
              <w:t>There is internal control over the sourcing and manufacturing processes, which demand strong supply chain management SOPs to overcome the logistical problems in the region (Gereffi and Fernandez-Stark, 2016).</w:t>
            </w:r>
          </w:p>
        </w:tc>
      </w:tr>
    </w:tbl>
    <w:p w14:paraId="0C1430E5" w14:textId="504E732E" w:rsidR="00F23251" w:rsidRDefault="00F23251" w:rsidP="002F21CD">
      <w:pPr>
        <w:spacing w:before="240" w:line="360" w:lineRule="auto"/>
        <w:jc w:val="both"/>
        <w:rPr>
          <w:rFonts w:ascii="Arial" w:hAnsi="Arial" w:cs="Arial"/>
        </w:rPr>
      </w:pPr>
      <w:r w:rsidRPr="00F23251">
        <w:rPr>
          <w:rFonts w:ascii="Arial" w:hAnsi="Arial" w:cs="Arial"/>
        </w:rPr>
        <w:t>In general, the OLI model shows that the move of Volkswagen to Brazil is a good step, and the company has used its strengths in ownership, location advantages, and internalisation advantages. Nevertheless, the implementation has to be successful, and that means that operational and managerial practices have to be adapted carefully to the new market environment.</w:t>
      </w:r>
    </w:p>
    <w:p w14:paraId="38DA2F8C" w14:textId="4D127BAC" w:rsidR="009A3DA8" w:rsidRPr="009A3DA8" w:rsidRDefault="009A3DA8" w:rsidP="009A3DA8">
      <w:pPr>
        <w:pStyle w:val="Heading1"/>
      </w:pPr>
      <w:bookmarkStart w:id="23" w:name="_Toc215538926"/>
      <w:bookmarkStart w:id="24" w:name="_Toc216009400"/>
      <w:r w:rsidRPr="009A3DA8">
        <w:t>4. Cultural Differences Between Germany and Brazil and Their Impact on Volkswagen’s Market Entry Strategy and Success</w:t>
      </w:r>
      <w:bookmarkEnd w:id="23"/>
      <w:bookmarkEnd w:id="24"/>
      <w:r w:rsidRPr="009A3DA8">
        <w:t xml:space="preserve"> </w:t>
      </w:r>
    </w:p>
    <w:p w14:paraId="20723D94" w14:textId="75C8A2E3" w:rsidR="003B248C" w:rsidRDefault="003B248C" w:rsidP="009A3DA8">
      <w:pPr>
        <w:spacing w:line="360" w:lineRule="auto"/>
        <w:jc w:val="both"/>
        <w:rPr>
          <w:rFonts w:ascii="Arial" w:hAnsi="Arial" w:cs="Arial"/>
        </w:rPr>
      </w:pPr>
      <w:r w:rsidRPr="003B248C">
        <w:rPr>
          <w:rFonts w:ascii="Arial" w:hAnsi="Arial" w:cs="Arial"/>
        </w:rPr>
        <w:t xml:space="preserve">The cultural differences play a major role in determining the approaches used by multinational enterprises to venture and operate in the overseas market. In the case of a firm like the Volkswagen Group (VW), which is a German-based firm, when venturing into </w:t>
      </w:r>
      <w:r w:rsidRPr="003B248C">
        <w:rPr>
          <w:rFonts w:ascii="Arial" w:hAnsi="Arial" w:cs="Arial"/>
        </w:rPr>
        <w:lastRenderedPageBreak/>
        <w:t>a growing economy like Brazil, they must tread through significant cross-cultural differences, which affect organisational behaviour, marketing, leadership and internal functions. The cultural differences between Germany and Brazil are critically assessed in this section in regard to their potential impact on the market entry strategy of Volkswagen and its future success based on Hofstede's cultural dimensions, Hall's high/low context and the international business literature.</w:t>
      </w:r>
    </w:p>
    <w:p w14:paraId="7514EFC4" w14:textId="5D06A2D7" w:rsidR="00D6569C" w:rsidRPr="00D6569C" w:rsidRDefault="00D6569C" w:rsidP="009A3DA8">
      <w:pPr>
        <w:spacing w:line="360" w:lineRule="auto"/>
        <w:jc w:val="both"/>
        <w:rPr>
          <w:rFonts w:asciiTheme="majorHAnsi" w:hAnsiTheme="majorHAnsi" w:cstheme="majorHAnsi"/>
          <w:i/>
          <w:iCs/>
          <w:sz w:val="22"/>
          <w:szCs w:val="22"/>
        </w:rPr>
      </w:pPr>
      <w:r w:rsidRPr="00D6569C">
        <w:rPr>
          <w:rFonts w:asciiTheme="majorHAnsi" w:hAnsiTheme="majorHAnsi" w:cstheme="majorHAnsi"/>
          <w:i/>
          <w:iCs/>
          <w:color w:val="4472C4" w:themeColor="accent1"/>
          <w:sz w:val="22"/>
          <w:szCs w:val="22"/>
        </w:rPr>
        <w:t>Figure 7: Volkswagen's Brazilian Journey: Navigating Cultural Differences for Success (Germany vs. Brazil)</w:t>
      </w:r>
    </w:p>
    <w:p w14:paraId="797E8C4C" w14:textId="54CB7ED4" w:rsidR="00D6569C" w:rsidRDefault="00D6569C" w:rsidP="008A7CE1">
      <w:pPr>
        <w:spacing w:line="360" w:lineRule="auto"/>
        <w:jc w:val="center"/>
        <w:rPr>
          <w:rFonts w:ascii="Arial" w:hAnsi="Arial" w:cs="Arial"/>
        </w:rPr>
      </w:pPr>
      <w:r>
        <w:rPr>
          <w:rFonts w:ascii="Arial" w:hAnsi="Arial" w:cs="Arial"/>
          <w:noProof/>
        </w:rPr>
        <w:drawing>
          <wp:inline distT="0" distB="0" distL="0" distR="0" wp14:anchorId="1DCD78DD" wp14:editId="43AC9330">
            <wp:extent cx="4810967" cy="2623930"/>
            <wp:effectExtent l="0" t="0" r="8890" b="5080"/>
            <wp:docPr id="6693442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44211" name="Picture 6693442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16281" cy="2626828"/>
                    </a:xfrm>
                    <a:prstGeom prst="rect">
                      <a:avLst/>
                    </a:prstGeom>
                  </pic:spPr>
                </pic:pic>
              </a:graphicData>
            </a:graphic>
          </wp:inline>
        </w:drawing>
      </w:r>
    </w:p>
    <w:p w14:paraId="2B73921A" w14:textId="3B439E76" w:rsidR="004E6EE8" w:rsidRPr="004E6EE8" w:rsidRDefault="004E6EE8" w:rsidP="004E6EE8">
      <w:pPr>
        <w:spacing w:line="360" w:lineRule="auto"/>
        <w:jc w:val="center"/>
        <w:rPr>
          <w:rFonts w:asciiTheme="majorHAnsi" w:hAnsiTheme="majorHAnsi" w:cstheme="majorHAnsi"/>
          <w:i/>
          <w:iCs/>
          <w:sz w:val="22"/>
          <w:szCs w:val="22"/>
        </w:rPr>
      </w:pPr>
      <w:r w:rsidRPr="004E6EE8">
        <w:rPr>
          <w:rFonts w:asciiTheme="majorHAnsi" w:hAnsiTheme="majorHAnsi" w:cstheme="majorHAnsi"/>
          <w:i/>
          <w:iCs/>
          <w:sz w:val="22"/>
          <w:szCs w:val="22"/>
        </w:rPr>
        <w:t>Source: Analysis based on Hofstede's Cultural Dimensions, Hofstede (2011).</w:t>
      </w:r>
    </w:p>
    <w:p w14:paraId="11D69991" w14:textId="77777777" w:rsidR="009A3DA8" w:rsidRPr="009A3DA8" w:rsidRDefault="009A3DA8" w:rsidP="009A3DA8">
      <w:pPr>
        <w:pStyle w:val="Heading2"/>
      </w:pPr>
      <w:bookmarkStart w:id="25" w:name="_Toc215538927"/>
      <w:bookmarkStart w:id="26" w:name="_Toc216009401"/>
      <w:r w:rsidRPr="009A3DA8">
        <w:t>4.1 Cultural Distance: Germany vs Brazil</w:t>
      </w:r>
      <w:bookmarkEnd w:id="25"/>
      <w:bookmarkEnd w:id="26"/>
    </w:p>
    <w:p w14:paraId="0C156E81" w14:textId="5AB59D2A" w:rsidR="008364F5" w:rsidRDefault="008364F5" w:rsidP="008364F5">
      <w:pPr>
        <w:spacing w:line="360" w:lineRule="auto"/>
        <w:jc w:val="both"/>
        <w:rPr>
          <w:rFonts w:ascii="Arial" w:hAnsi="Arial" w:cs="Arial"/>
        </w:rPr>
      </w:pPr>
      <w:r w:rsidRPr="008364F5">
        <w:rPr>
          <w:rFonts w:ascii="Arial" w:hAnsi="Arial" w:cs="Arial"/>
        </w:rPr>
        <w:t>The cultural dimensions depicted by Hofstede (2011) show that German and Brazilian national cultures differ much. Germany is a high uncertainty-avoidance, individualism, and masculinity country with a preference to plan, be precise, and have meritocracy and an ordered work environment (Hofstede Insights, 2023). Brazil, in its turn, is characterized by high power distance and higher collectivism. Brazil is a high-context nation, and people use communication which is based on indirect meanings, social connections and emotionality (Hall, 1976).</w:t>
      </w:r>
    </w:p>
    <w:p w14:paraId="789B7E20" w14:textId="1D0B7B77" w:rsidR="008364F5" w:rsidRPr="009A3DA8" w:rsidRDefault="008364F5" w:rsidP="009A3DA8">
      <w:pPr>
        <w:spacing w:line="360" w:lineRule="auto"/>
        <w:jc w:val="both"/>
        <w:rPr>
          <w:rFonts w:ascii="Arial" w:hAnsi="Arial" w:cs="Arial"/>
        </w:rPr>
      </w:pPr>
      <w:r w:rsidRPr="008364F5">
        <w:rPr>
          <w:rFonts w:ascii="Arial" w:hAnsi="Arial" w:cs="Arial"/>
        </w:rPr>
        <w:t>The difference between the two cultures has direct effects on the entry strategies of Volkswagen and its capacity to adjust management practices, communication methods and marketing strategies to the Brazilian cultural expectations.</w:t>
      </w:r>
    </w:p>
    <w:p w14:paraId="2918EF20" w14:textId="77777777" w:rsidR="009A3DA8" w:rsidRPr="009A3DA8" w:rsidRDefault="009A3DA8" w:rsidP="009A3DA8">
      <w:pPr>
        <w:pStyle w:val="Heading2"/>
      </w:pPr>
      <w:bookmarkStart w:id="27" w:name="_Toc215538928"/>
      <w:bookmarkStart w:id="28" w:name="_Toc216009402"/>
      <w:r w:rsidRPr="009A3DA8">
        <w:lastRenderedPageBreak/>
        <w:t>4.2 Impact on Market Entry Strategy</w:t>
      </w:r>
      <w:bookmarkEnd w:id="27"/>
      <w:bookmarkEnd w:id="28"/>
    </w:p>
    <w:p w14:paraId="3C9A5DF1" w14:textId="027C8391" w:rsidR="009A3DA8" w:rsidRPr="009A3DA8" w:rsidRDefault="009A3DA8" w:rsidP="009A3DA8">
      <w:pPr>
        <w:spacing w:line="360" w:lineRule="auto"/>
        <w:jc w:val="both"/>
        <w:rPr>
          <w:rFonts w:ascii="Arial" w:hAnsi="Arial" w:cs="Arial"/>
          <w:b/>
          <w:bCs/>
        </w:rPr>
      </w:pPr>
      <w:r w:rsidRPr="009A3DA8">
        <w:rPr>
          <w:rFonts w:ascii="Arial" w:hAnsi="Arial" w:cs="Arial"/>
          <w:b/>
          <w:bCs/>
        </w:rPr>
        <w:t>Relationship-building vs. Process-driven Approaches</w:t>
      </w:r>
    </w:p>
    <w:p w14:paraId="680D2A11" w14:textId="77777777" w:rsidR="00DA13D7" w:rsidRDefault="006E155C" w:rsidP="006E155C">
      <w:pPr>
        <w:spacing w:line="360" w:lineRule="auto"/>
        <w:jc w:val="both"/>
        <w:rPr>
          <w:rFonts w:ascii="Arial" w:hAnsi="Arial" w:cs="Arial"/>
        </w:rPr>
      </w:pPr>
      <w:r w:rsidRPr="006E155C">
        <w:rPr>
          <w:rFonts w:ascii="Arial" w:hAnsi="Arial" w:cs="Arial"/>
        </w:rPr>
        <w:t>The German business culture is often focused on efficiency, straight forwardness and following procedures (Hampden-Turner, 2012). Brazilian culture, on the contrary, lays more stress on personal relations and interactions based on trust (Barbosa, 2015). This cultural misfit influences the market entry strategy of the German firms.</w:t>
      </w:r>
    </w:p>
    <w:p w14:paraId="6D4E6517" w14:textId="31ECE4AA" w:rsidR="006E155C" w:rsidRDefault="006E155C" w:rsidP="006E155C">
      <w:pPr>
        <w:spacing w:line="360" w:lineRule="auto"/>
        <w:jc w:val="both"/>
        <w:rPr>
          <w:rFonts w:ascii="Arial" w:hAnsi="Arial" w:cs="Arial"/>
        </w:rPr>
      </w:pPr>
      <w:r w:rsidRPr="006E155C">
        <w:rPr>
          <w:rFonts w:ascii="Arial" w:hAnsi="Arial" w:cs="Arial"/>
        </w:rPr>
        <w:t>In the case of Volkswagen, it would be in its interests, as both ownership and internalisation benefits, to set up wholly owned operations in Brazil instead of a joint venture. Nevertheless, Brazilian culture suggests relationship-based business with local partners, government officers and suppliers being able to provide easier entry into the market (Amado &amp; Brazil, 2018). Lack of prioritization on these relationship networks may result in delayed regulatory approvals or less social approval.</w:t>
      </w:r>
    </w:p>
    <w:p w14:paraId="4000AF85" w14:textId="386E55E2" w:rsidR="00EB3A2F" w:rsidRPr="00EB3A2F" w:rsidRDefault="00EB3A2F" w:rsidP="006E155C">
      <w:pPr>
        <w:spacing w:line="360" w:lineRule="auto"/>
        <w:jc w:val="both"/>
        <w:rPr>
          <w:rFonts w:asciiTheme="majorHAnsi" w:hAnsiTheme="majorHAnsi" w:cstheme="majorHAnsi"/>
          <w:i/>
          <w:iCs/>
          <w:color w:val="4472C4" w:themeColor="accent1"/>
          <w:sz w:val="22"/>
          <w:szCs w:val="22"/>
        </w:rPr>
      </w:pPr>
      <w:r w:rsidRPr="00EB3A2F">
        <w:rPr>
          <w:rFonts w:asciiTheme="majorHAnsi" w:hAnsiTheme="majorHAnsi" w:cstheme="majorHAnsi"/>
          <w:i/>
          <w:iCs/>
          <w:color w:val="4472C4" w:themeColor="accent1"/>
          <w:sz w:val="22"/>
          <w:szCs w:val="22"/>
        </w:rPr>
        <w:t>Figure 8: Cultural Contrasts in Market Entry: Germany (Process-Driven) vs. Brazil (Relationship-Based)</w:t>
      </w:r>
    </w:p>
    <w:p w14:paraId="0F819563" w14:textId="0CED15E5" w:rsidR="00EB3A2F" w:rsidRDefault="00EB3A2F" w:rsidP="00EB3A2F">
      <w:pPr>
        <w:spacing w:line="360" w:lineRule="auto"/>
        <w:jc w:val="center"/>
        <w:rPr>
          <w:rFonts w:ascii="Arial" w:hAnsi="Arial" w:cs="Arial"/>
        </w:rPr>
      </w:pPr>
      <w:r>
        <w:rPr>
          <w:rFonts w:ascii="Arial" w:hAnsi="Arial" w:cs="Arial"/>
          <w:noProof/>
        </w:rPr>
        <w:drawing>
          <wp:inline distT="0" distB="0" distL="0" distR="0" wp14:anchorId="7E6DAA4F" wp14:editId="36BDBF7F">
            <wp:extent cx="4719238" cy="3705308"/>
            <wp:effectExtent l="0" t="0" r="5715" b="0"/>
            <wp:docPr id="14138740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74015" name="Picture 1413874015"/>
                    <pic:cNvPicPr/>
                  </pic:nvPicPr>
                  <pic:blipFill>
                    <a:blip r:embed="rId17">
                      <a:extLst>
                        <a:ext uri="{28A0092B-C50C-407E-A947-70E740481C1C}">
                          <a14:useLocalDpi xmlns:a14="http://schemas.microsoft.com/office/drawing/2010/main" val="0"/>
                        </a:ext>
                      </a:extLst>
                    </a:blip>
                    <a:stretch>
                      <a:fillRect/>
                    </a:stretch>
                  </pic:blipFill>
                  <pic:spPr>
                    <a:xfrm>
                      <a:off x="0" y="0"/>
                      <a:ext cx="4747181" cy="3727248"/>
                    </a:xfrm>
                    <a:prstGeom prst="rect">
                      <a:avLst/>
                    </a:prstGeom>
                  </pic:spPr>
                </pic:pic>
              </a:graphicData>
            </a:graphic>
          </wp:inline>
        </w:drawing>
      </w:r>
    </w:p>
    <w:p w14:paraId="0899A7B3" w14:textId="724572B4" w:rsidR="006E155C" w:rsidRPr="006E155C" w:rsidRDefault="006E155C" w:rsidP="006E155C">
      <w:pPr>
        <w:spacing w:line="360" w:lineRule="auto"/>
        <w:jc w:val="both"/>
        <w:rPr>
          <w:rFonts w:ascii="Arial" w:hAnsi="Arial" w:cs="Arial"/>
        </w:rPr>
      </w:pPr>
      <w:r w:rsidRPr="006E155C">
        <w:rPr>
          <w:rFonts w:ascii="Arial" w:hAnsi="Arial" w:cs="Arial"/>
        </w:rPr>
        <w:t xml:space="preserve">Although in the end the Volkswagen succeeded in Brazil, the company needed to tailor its strategy by ensuring high levels of local stakeholder participation, fostering </w:t>
      </w:r>
      <w:r w:rsidRPr="006E155C">
        <w:rPr>
          <w:rFonts w:ascii="Arial" w:hAnsi="Arial" w:cs="Arial"/>
        </w:rPr>
        <w:lastRenderedPageBreak/>
        <w:t>relationships with labour unions, and engaging in local community programmes to strengthen trust and legitimacy.</w:t>
      </w:r>
    </w:p>
    <w:p w14:paraId="634E5A4B" w14:textId="1A8E98E4" w:rsidR="009A3DA8" w:rsidRPr="009A3DA8" w:rsidRDefault="009A3DA8" w:rsidP="009A3DA8">
      <w:pPr>
        <w:spacing w:line="360" w:lineRule="auto"/>
        <w:jc w:val="both"/>
        <w:rPr>
          <w:rFonts w:ascii="Arial" w:hAnsi="Arial" w:cs="Arial"/>
          <w:b/>
          <w:bCs/>
        </w:rPr>
      </w:pPr>
      <w:r w:rsidRPr="009A3DA8">
        <w:rPr>
          <w:rFonts w:ascii="Arial" w:hAnsi="Arial" w:cs="Arial"/>
          <w:b/>
          <w:bCs/>
        </w:rPr>
        <w:t>Hierarchical Expectations and Leadership Styles</w:t>
      </w:r>
    </w:p>
    <w:p w14:paraId="672CA5BE" w14:textId="72D29AA8" w:rsidR="001602D1" w:rsidRDefault="001602D1" w:rsidP="006E155C">
      <w:pPr>
        <w:spacing w:line="360" w:lineRule="auto"/>
        <w:jc w:val="both"/>
        <w:rPr>
          <w:rFonts w:ascii="Arial" w:hAnsi="Arial" w:cs="Arial"/>
        </w:rPr>
      </w:pPr>
      <w:r w:rsidRPr="001602D1">
        <w:rPr>
          <w:rFonts w:ascii="Arial" w:hAnsi="Arial" w:cs="Arial"/>
        </w:rPr>
        <w:t>Germany has low electricity distance, which inspires participative decision-making and flat companies, at the same time as Brazil has high power distance, which favors hierarchical management and centralized strength (Hofstede Insights, 2023). German managers in Brazil may additionally battle with employees' preference for direct management, clean roles and dating management.</w:t>
      </w:r>
    </w:p>
    <w:p w14:paraId="756FEB5E" w14:textId="1C00D65E" w:rsidR="006E155C" w:rsidRPr="006E155C" w:rsidRDefault="006E155C" w:rsidP="006E155C">
      <w:pPr>
        <w:spacing w:line="360" w:lineRule="auto"/>
        <w:jc w:val="both"/>
        <w:rPr>
          <w:rFonts w:ascii="Arial" w:hAnsi="Arial" w:cs="Arial"/>
        </w:rPr>
      </w:pPr>
      <w:r w:rsidRPr="006E155C">
        <w:rPr>
          <w:rFonts w:ascii="Arial" w:hAnsi="Arial" w:cs="Arial"/>
        </w:rPr>
        <w:t>This cultural difference affects the entry strategy in that it dictates the nature of management systems that have to either be transferred or localized. Had Volkswagen tried to enforce a strictly Germanic type of egalitarian management, the conflicts, misunderstandings and decreased productivity would have probably been experienced (Meyer &amp; Peng, 2016). The experience of Volkswagen in Brazil proves that changing management strategies to include local expectations of local management and bringing Brazilians to top management positions over time are important.</w:t>
      </w:r>
    </w:p>
    <w:p w14:paraId="673E4B00" w14:textId="75D569D1" w:rsidR="009A3DA8" w:rsidRPr="009A3DA8" w:rsidRDefault="009A3DA8" w:rsidP="009A3DA8">
      <w:pPr>
        <w:spacing w:line="360" w:lineRule="auto"/>
        <w:jc w:val="both"/>
        <w:rPr>
          <w:rFonts w:ascii="Arial" w:hAnsi="Arial" w:cs="Arial"/>
          <w:b/>
          <w:bCs/>
        </w:rPr>
      </w:pPr>
      <w:r w:rsidRPr="009A3DA8">
        <w:rPr>
          <w:rFonts w:ascii="Arial" w:hAnsi="Arial" w:cs="Arial"/>
          <w:b/>
          <w:bCs/>
        </w:rPr>
        <w:t>Uncertainty Avoidance and Regulatory Navigation</w:t>
      </w:r>
    </w:p>
    <w:p w14:paraId="730FE018" w14:textId="09A7C06C" w:rsidR="006E155C" w:rsidRDefault="006E155C" w:rsidP="006E155C">
      <w:pPr>
        <w:spacing w:line="360" w:lineRule="auto"/>
        <w:jc w:val="both"/>
        <w:rPr>
          <w:rFonts w:ascii="Arial" w:hAnsi="Arial" w:cs="Arial"/>
        </w:rPr>
      </w:pPr>
      <w:r w:rsidRPr="006E155C">
        <w:rPr>
          <w:rFonts w:ascii="Arial" w:hAnsi="Arial" w:cs="Arial"/>
        </w:rPr>
        <w:t>Structured planning and following rules are compatible with the high uncertainty avoidance in Germany. Brazil, which is also characterized by the high uncertainty avoidance, tends to be more flexible in rules because of bureaucratic inefficiency and informal practices in institutions (DaMatta, 1991). Distinctions in the handling of uncertainty affect firms in regard to compliance, licensing and regulatory procedures in entering the market.</w:t>
      </w:r>
    </w:p>
    <w:p w14:paraId="7DA4095F" w14:textId="0BC569EA" w:rsidR="000835ED" w:rsidRPr="009A3DA8" w:rsidRDefault="006E155C" w:rsidP="009A3DA8">
      <w:pPr>
        <w:spacing w:line="360" w:lineRule="auto"/>
        <w:jc w:val="both"/>
        <w:rPr>
          <w:rFonts w:ascii="Arial" w:hAnsi="Arial" w:cs="Arial"/>
        </w:rPr>
      </w:pPr>
      <w:r w:rsidRPr="006E155C">
        <w:rPr>
          <w:rFonts w:ascii="Arial" w:hAnsi="Arial" w:cs="Arial"/>
        </w:rPr>
        <w:t>The highly formalized processes at Volkswagen were forced to be balanced with slower and less clear Brazilian regulations. As an example, environmental approvals, land acquisition and tax negotiations may need a repetitive form of negotiation as opposed to procedural ones. Firms that lack a feeling of this cultural aspect might be stalled or lose reputation.</w:t>
      </w:r>
    </w:p>
    <w:p w14:paraId="2294FCD6" w14:textId="77777777" w:rsidR="009A3DA8" w:rsidRPr="009A3DA8" w:rsidRDefault="009A3DA8" w:rsidP="003C6070">
      <w:pPr>
        <w:pStyle w:val="Heading2"/>
      </w:pPr>
      <w:bookmarkStart w:id="29" w:name="_Toc215538929"/>
      <w:bookmarkStart w:id="30" w:name="_Toc216009403"/>
      <w:r w:rsidRPr="009A3DA8">
        <w:lastRenderedPageBreak/>
        <w:t>4.3 Impact on Volkswagen’s Potential for Success</w:t>
      </w:r>
      <w:bookmarkEnd w:id="29"/>
      <w:bookmarkEnd w:id="30"/>
    </w:p>
    <w:p w14:paraId="48B4515E" w14:textId="4FC758FD" w:rsidR="009A3DA8" w:rsidRPr="009A3DA8" w:rsidRDefault="009A3DA8" w:rsidP="009A3DA8">
      <w:pPr>
        <w:spacing w:line="360" w:lineRule="auto"/>
        <w:jc w:val="both"/>
        <w:rPr>
          <w:rFonts w:ascii="Arial" w:hAnsi="Arial" w:cs="Arial"/>
          <w:b/>
          <w:bCs/>
        </w:rPr>
      </w:pPr>
      <w:r w:rsidRPr="009A3DA8">
        <w:rPr>
          <w:rFonts w:ascii="Arial" w:hAnsi="Arial" w:cs="Arial"/>
          <w:b/>
          <w:bCs/>
        </w:rPr>
        <w:t>Marketing and Consumer Behaviour</w:t>
      </w:r>
    </w:p>
    <w:p w14:paraId="5F7DFB32" w14:textId="77777777" w:rsidR="00C62739" w:rsidRDefault="00C62739" w:rsidP="00C62739">
      <w:pPr>
        <w:spacing w:line="360" w:lineRule="auto"/>
        <w:jc w:val="both"/>
        <w:rPr>
          <w:rFonts w:ascii="Arial" w:hAnsi="Arial" w:cs="Arial"/>
        </w:rPr>
      </w:pPr>
      <w:r w:rsidRPr="00C62739">
        <w:rPr>
          <w:rFonts w:ascii="Arial" w:hAnsi="Arial" w:cs="Arial"/>
        </w:rPr>
        <w:t>Consumer expectations, purchasing behaviours and brand attitudes are influenced by cultural differences. German consumers enjoy engineering excellence, efficiency and performance, which fits the global brand of Volkswagen. Nevertheless, Brazilian customers focus more on emotional appeal, social status and vivid brand storytelling (Kotabe and Helsen, 2020).</w:t>
      </w:r>
    </w:p>
    <w:p w14:paraId="06997DC0" w14:textId="44BF1314" w:rsidR="00E05D0E" w:rsidRPr="00E05D0E" w:rsidRDefault="00E05D0E" w:rsidP="00C62739">
      <w:pPr>
        <w:spacing w:line="360" w:lineRule="auto"/>
        <w:jc w:val="both"/>
        <w:rPr>
          <w:rFonts w:asciiTheme="majorHAnsi" w:hAnsiTheme="majorHAnsi" w:cstheme="majorHAnsi"/>
          <w:i/>
          <w:iCs/>
          <w:color w:val="4472C4" w:themeColor="accent1"/>
          <w:sz w:val="22"/>
          <w:szCs w:val="22"/>
        </w:rPr>
      </w:pPr>
      <w:r w:rsidRPr="00E05D0E">
        <w:rPr>
          <w:rFonts w:asciiTheme="majorHAnsi" w:hAnsiTheme="majorHAnsi" w:cstheme="majorHAnsi"/>
          <w:i/>
          <w:iCs/>
          <w:color w:val="4472C4" w:themeColor="accent1"/>
          <w:sz w:val="22"/>
          <w:szCs w:val="22"/>
        </w:rPr>
        <w:t>Figure 9: Cultural Adaptation: Germany vs. Brazil</w:t>
      </w:r>
    </w:p>
    <w:p w14:paraId="7B566F9F" w14:textId="67BD1794" w:rsidR="00E05D0E" w:rsidRDefault="00E05D0E" w:rsidP="00E05D0E">
      <w:pPr>
        <w:spacing w:line="360" w:lineRule="auto"/>
        <w:jc w:val="center"/>
        <w:rPr>
          <w:rFonts w:ascii="Arial" w:hAnsi="Arial" w:cs="Arial"/>
        </w:rPr>
      </w:pPr>
      <w:r>
        <w:rPr>
          <w:rFonts w:ascii="Arial" w:hAnsi="Arial" w:cs="Arial"/>
          <w:noProof/>
        </w:rPr>
        <w:drawing>
          <wp:inline distT="0" distB="0" distL="0" distR="0" wp14:anchorId="5C3E6D9E" wp14:editId="17826F59">
            <wp:extent cx="3866072" cy="3299791"/>
            <wp:effectExtent l="0" t="0" r="1270" b="0"/>
            <wp:docPr id="9433133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313347" name="Picture 94331334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93070" cy="3322834"/>
                    </a:xfrm>
                    <a:prstGeom prst="rect">
                      <a:avLst/>
                    </a:prstGeom>
                  </pic:spPr>
                </pic:pic>
              </a:graphicData>
            </a:graphic>
          </wp:inline>
        </w:drawing>
      </w:r>
    </w:p>
    <w:p w14:paraId="440BF05C" w14:textId="77777777" w:rsidR="00012B21" w:rsidRPr="00012B21" w:rsidRDefault="00C62739" w:rsidP="00012B21">
      <w:pPr>
        <w:spacing w:line="360" w:lineRule="auto"/>
        <w:jc w:val="both"/>
        <w:rPr>
          <w:rFonts w:ascii="Arial" w:hAnsi="Arial" w:cs="Arial"/>
        </w:rPr>
      </w:pPr>
      <w:r w:rsidRPr="00C62739">
        <w:rPr>
          <w:rFonts w:ascii="Arial" w:hAnsi="Arial" w:cs="Arial"/>
        </w:rPr>
        <w:t xml:space="preserve">In Brazil, Volkswagen modified the marketing of its models by marketing the Gol and Fox as cheap, aspirational and localized vehicles. Brazilian cultural images, humor and music were used as a part of the advertising campaigns to appeal to the local values. </w:t>
      </w:r>
      <w:r w:rsidR="00012B21" w:rsidRPr="00012B21">
        <w:rPr>
          <w:rFonts w:ascii="Arial" w:hAnsi="Arial" w:cs="Arial"/>
        </w:rPr>
        <w:t>Without this localisation, Volkswagen could have risked searching for something foreign, something human beings could not connect to and apprehend.</w:t>
      </w:r>
    </w:p>
    <w:p w14:paraId="6F9DB9BE" w14:textId="1910C9BF" w:rsidR="003C6070" w:rsidRDefault="009A3DA8" w:rsidP="009A3DA8">
      <w:pPr>
        <w:spacing w:line="360" w:lineRule="auto"/>
        <w:jc w:val="both"/>
        <w:rPr>
          <w:rFonts w:ascii="Arial" w:hAnsi="Arial" w:cs="Arial"/>
        </w:rPr>
      </w:pPr>
      <w:r w:rsidRPr="009A3DA8">
        <w:rPr>
          <w:rFonts w:ascii="Arial" w:hAnsi="Arial" w:cs="Arial"/>
          <w:b/>
          <w:bCs/>
        </w:rPr>
        <w:t>Labour Relations and Organisational Culture</w:t>
      </w:r>
    </w:p>
    <w:p w14:paraId="2B4EDAF7" w14:textId="6C8FD91D" w:rsidR="00C62739" w:rsidRPr="00C62739" w:rsidRDefault="00C62739" w:rsidP="00C62739">
      <w:pPr>
        <w:spacing w:line="360" w:lineRule="auto"/>
        <w:jc w:val="both"/>
        <w:rPr>
          <w:rFonts w:ascii="Arial" w:hAnsi="Arial" w:cs="Arial"/>
        </w:rPr>
      </w:pPr>
      <w:r w:rsidRPr="00C62739">
        <w:rPr>
          <w:rFonts w:ascii="Arial" w:hAnsi="Arial" w:cs="Arial"/>
        </w:rPr>
        <w:t xml:space="preserve">The collectivism culture in Brazil encourages well-organised labour unions and collective bargaining mechanisms, whilst Germany has formalized but collaborative social </w:t>
      </w:r>
      <w:r w:rsidRPr="00C62739">
        <w:rPr>
          <w:rFonts w:ascii="Arial" w:hAnsi="Arial" w:cs="Arial"/>
        </w:rPr>
        <w:lastRenderedPageBreak/>
        <w:t>partnership institutions (Frege &amp; Kelly, 2013). The success of Volkswagen necessitated a change in its labour management mode to suit the Brazilian cultural and institutional expectations.</w:t>
      </w:r>
      <w:r w:rsidRPr="00C62739">
        <w:rPr>
          <w:rFonts w:ascii="Arial" w:hAnsi="Arial" w:cs="Arial"/>
        </w:rPr>
        <w:br/>
        <w:t>Moreover, the conflict resolution styles vary: Germany is more direct and problem-orientated, and Brazil is more conflict-avoidant and relation-orientated (Meyer, 2014). Their inability to recognize such cultural distinctions may negate workforce harmony, productivity and organisational commitment.</w:t>
      </w:r>
    </w:p>
    <w:p w14:paraId="012AE43E" w14:textId="6C0084BF" w:rsidR="009A3DA8" w:rsidRPr="009A3DA8" w:rsidRDefault="009A3DA8" w:rsidP="009A3DA8">
      <w:pPr>
        <w:spacing w:line="360" w:lineRule="auto"/>
        <w:jc w:val="both"/>
        <w:rPr>
          <w:rFonts w:ascii="Arial" w:hAnsi="Arial" w:cs="Arial"/>
          <w:b/>
          <w:bCs/>
        </w:rPr>
      </w:pPr>
      <w:r w:rsidRPr="009A3DA8">
        <w:rPr>
          <w:rFonts w:ascii="Arial" w:hAnsi="Arial" w:cs="Arial"/>
          <w:b/>
          <w:bCs/>
        </w:rPr>
        <w:t>Corporate Social Responsibility and Community Integration</w:t>
      </w:r>
    </w:p>
    <w:p w14:paraId="30942FFC" w14:textId="77777777" w:rsidR="00C62739" w:rsidRPr="00C62739" w:rsidRDefault="00C62739" w:rsidP="00C62739">
      <w:pPr>
        <w:spacing w:line="360" w:lineRule="auto"/>
        <w:jc w:val="both"/>
        <w:rPr>
          <w:rFonts w:ascii="Arial" w:hAnsi="Arial" w:cs="Arial"/>
        </w:rPr>
      </w:pPr>
      <w:r w:rsidRPr="00C62739">
        <w:rPr>
          <w:rFonts w:ascii="Arial" w:hAnsi="Arial" w:cs="Arial"/>
        </w:rPr>
        <w:t>Brazilian communities demand companies, particularly MNCs, give back to society in a visible manner. Community project demands are influenced by high collectivism and social inequality (Wood and Brewster, 2020). By investing in the local schools, environmental programmes and workforce development programmes, Volkswagen enhanced its legitimacy and long-term success. These activities earn trust, create brand loyalty and alleviate social tensions.</w:t>
      </w:r>
    </w:p>
    <w:p w14:paraId="2129668C" w14:textId="1662ABBF" w:rsidR="009A3DA8" w:rsidRPr="009A3DA8" w:rsidRDefault="009A3DA8" w:rsidP="009A3DA8">
      <w:pPr>
        <w:spacing w:line="360" w:lineRule="auto"/>
        <w:jc w:val="both"/>
        <w:rPr>
          <w:rFonts w:ascii="Arial" w:hAnsi="Arial" w:cs="Arial"/>
          <w:b/>
          <w:bCs/>
        </w:rPr>
      </w:pPr>
      <w:r w:rsidRPr="009A3DA8">
        <w:rPr>
          <w:rFonts w:ascii="Arial" w:hAnsi="Arial" w:cs="Arial"/>
          <w:b/>
          <w:bCs/>
        </w:rPr>
        <w:t>Communication and Expatriate Integration</w:t>
      </w:r>
    </w:p>
    <w:p w14:paraId="62A01478" w14:textId="77777777" w:rsidR="00C62739" w:rsidRPr="00C62739" w:rsidRDefault="00C62739" w:rsidP="00C62739">
      <w:pPr>
        <w:spacing w:line="360" w:lineRule="auto"/>
        <w:jc w:val="both"/>
        <w:rPr>
          <w:rFonts w:ascii="Arial" w:hAnsi="Arial" w:cs="Arial"/>
        </w:rPr>
      </w:pPr>
      <w:r w:rsidRPr="00C62739">
        <w:rPr>
          <w:rFonts w:ascii="Arial" w:hAnsi="Arial" w:cs="Arial"/>
        </w:rPr>
        <w:t>Communication in Brazil is high context, and it must be sensitive to tone, body language, and interpersonal dynamics. Direct communication by the German expatriates will need a change to prevent misunderstandings. The lack of alignment in communication style may influence work in a team and the effectiveness of management. VW was able to resolve these threats by cross-cultural training and recruiting Brazilian talents in leadership positions.</w:t>
      </w:r>
    </w:p>
    <w:p w14:paraId="4D882900" w14:textId="71260122" w:rsidR="00BC2C1C" w:rsidRDefault="003C6070" w:rsidP="009A3DA8">
      <w:pPr>
        <w:spacing w:line="360" w:lineRule="auto"/>
        <w:jc w:val="both"/>
        <w:rPr>
          <w:rFonts w:ascii="Arial" w:hAnsi="Arial" w:cs="Arial"/>
        </w:rPr>
      </w:pPr>
      <w:r>
        <w:rPr>
          <w:rFonts w:ascii="Arial" w:hAnsi="Arial" w:cs="Arial"/>
          <w:b/>
          <w:bCs/>
        </w:rPr>
        <w:t>Overall,</w:t>
      </w:r>
      <w:r w:rsidR="00C62739" w:rsidRPr="00C62739">
        <w:rPr>
          <w:rFonts w:ascii="Arial" w:hAnsi="Arial" w:cs="Arial"/>
        </w:rPr>
        <w:t xml:space="preserve"> </w:t>
      </w:r>
      <w:r w:rsidR="00BC2C1C" w:rsidRPr="00BC2C1C">
        <w:rPr>
          <w:rFonts w:ascii="Arial" w:hAnsi="Arial" w:cs="Arial"/>
        </w:rPr>
        <w:t>Cultural differences between Germany and Brazil significantly have an effect on Volkswagen's advertising and marketing approach in Brazil. Differences in communication, management, purchaser behaviour and expectancies require adjustment, not simply copying German strategies. Volkswagen's fulfilment in Brazil depends on management adoption, localisation techniques, building robust stakeholder relationships and integration into Brazilian society. Cultural differences continue to be an important factor in ultimate competitiveness and greenness in new markets.</w:t>
      </w:r>
    </w:p>
    <w:p w14:paraId="4A4443A5" w14:textId="554A200C" w:rsidR="00615EB2" w:rsidRPr="00615EB2" w:rsidRDefault="00615EB2" w:rsidP="00AD616F">
      <w:pPr>
        <w:pStyle w:val="Heading1"/>
      </w:pPr>
      <w:bookmarkStart w:id="31" w:name="_Toc215538930"/>
      <w:bookmarkStart w:id="32" w:name="_Toc216009404"/>
      <w:r w:rsidRPr="00615EB2">
        <w:lastRenderedPageBreak/>
        <w:t>5. Critical Discussion and Recommended SOP Adjustments</w:t>
      </w:r>
      <w:bookmarkEnd w:id="31"/>
      <w:bookmarkEnd w:id="32"/>
      <w:r w:rsidRPr="00615EB2">
        <w:t xml:space="preserve"> </w:t>
      </w:r>
    </w:p>
    <w:p w14:paraId="5AFA7AB0" w14:textId="63D38574" w:rsidR="00B6798F" w:rsidRDefault="00221A2B" w:rsidP="00221A2B">
      <w:pPr>
        <w:spacing w:line="360" w:lineRule="auto"/>
        <w:jc w:val="both"/>
        <w:rPr>
          <w:rFonts w:ascii="Arial" w:hAnsi="Arial" w:cs="Arial"/>
        </w:rPr>
      </w:pPr>
      <w:r w:rsidRPr="00221A2B">
        <w:rPr>
          <w:rFonts w:ascii="Arial" w:hAnsi="Arial" w:cs="Arial"/>
        </w:rPr>
        <w:t xml:space="preserve">The section critically analyses the operational changes that the selected company needs to make in order to succeed in the selected emerging market. Based on the Ownership Location Internalisation (OLI) model and the previous cross-cultural analysis, it is suggested to make </w:t>
      </w:r>
      <w:r w:rsidR="00F864B2">
        <w:rPr>
          <w:rFonts w:ascii="Arial" w:hAnsi="Arial" w:cs="Arial"/>
        </w:rPr>
        <w:t>Five</w:t>
      </w:r>
      <w:r w:rsidRPr="00221A2B">
        <w:rPr>
          <w:rFonts w:ascii="Arial" w:hAnsi="Arial" w:cs="Arial"/>
        </w:rPr>
        <w:t xml:space="preserve"> significant changes to the Standard Operating Procedures (SOPs) of the company:</w:t>
      </w:r>
    </w:p>
    <w:tbl>
      <w:tblPr>
        <w:tblStyle w:val="GridTable1Light"/>
        <w:tblW w:w="0" w:type="auto"/>
        <w:tblLook w:val="04A0" w:firstRow="1" w:lastRow="0" w:firstColumn="1" w:lastColumn="0" w:noHBand="0" w:noVBand="1"/>
      </w:tblPr>
      <w:tblGrid>
        <w:gridCol w:w="805"/>
        <w:gridCol w:w="8545"/>
      </w:tblGrid>
      <w:tr w:rsidR="001602D1" w:rsidRPr="001602D1" w14:paraId="50DA7262" w14:textId="77777777" w:rsidTr="001602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5" w:type="dxa"/>
            <w:vAlign w:val="center"/>
          </w:tcPr>
          <w:p w14:paraId="5BAD3546" w14:textId="1D027900"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w:t>
            </w:r>
          </w:p>
        </w:tc>
        <w:tc>
          <w:tcPr>
            <w:tcW w:w="8545" w:type="dxa"/>
            <w:vAlign w:val="center"/>
          </w:tcPr>
          <w:p w14:paraId="1EE1A097" w14:textId="1276E5C2" w:rsidR="001602D1" w:rsidRPr="001602D1" w:rsidRDefault="001602D1" w:rsidP="001602D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Area of Change</w:t>
            </w:r>
          </w:p>
        </w:tc>
      </w:tr>
      <w:tr w:rsidR="001602D1" w:rsidRPr="001602D1" w14:paraId="1DA2C3FE"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6762F5E9" w14:textId="02E8AF39"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1</w:t>
            </w:r>
          </w:p>
        </w:tc>
        <w:tc>
          <w:tcPr>
            <w:tcW w:w="8545" w:type="dxa"/>
            <w:vAlign w:val="center"/>
          </w:tcPr>
          <w:p w14:paraId="5A80E374" w14:textId="56125989"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Localisation of the employee management and HRM processes</w:t>
            </w:r>
          </w:p>
        </w:tc>
      </w:tr>
      <w:tr w:rsidR="001602D1" w:rsidRPr="001602D1" w14:paraId="3BBAF088"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08459B81" w14:textId="3396D65B"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2</w:t>
            </w:r>
          </w:p>
        </w:tc>
        <w:tc>
          <w:tcPr>
            <w:tcW w:w="8545" w:type="dxa"/>
            <w:vAlign w:val="center"/>
          </w:tcPr>
          <w:p w14:paraId="716B4820" w14:textId="15D77416"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Supply chain reorganization, quality control and compliance processes</w:t>
            </w:r>
          </w:p>
        </w:tc>
      </w:tr>
      <w:tr w:rsidR="001602D1" w:rsidRPr="001602D1" w14:paraId="54363FB5"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0DAA6375" w14:textId="3CAA20D3"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3</w:t>
            </w:r>
          </w:p>
        </w:tc>
        <w:tc>
          <w:tcPr>
            <w:tcW w:w="8545" w:type="dxa"/>
            <w:vAlign w:val="center"/>
          </w:tcPr>
          <w:p w14:paraId="5CB62F02" w14:textId="1D78488A"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Modification of customer interaction, communication and service provision guidelines</w:t>
            </w:r>
          </w:p>
        </w:tc>
      </w:tr>
      <w:tr w:rsidR="001602D1" w:rsidRPr="001602D1" w14:paraId="252A5410"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4036F6BE" w14:textId="65BA1F3C"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4</w:t>
            </w:r>
          </w:p>
        </w:tc>
        <w:tc>
          <w:tcPr>
            <w:tcW w:w="8545" w:type="dxa"/>
            <w:vAlign w:val="center"/>
          </w:tcPr>
          <w:p w14:paraId="17A4B7C2" w14:textId="5000022D"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Digital Transformation, Data Governance and Cybersecurity Procedures</w:t>
            </w:r>
          </w:p>
        </w:tc>
      </w:tr>
      <w:tr w:rsidR="001602D1" w:rsidRPr="001602D1" w14:paraId="54DF0412"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63E7A155" w14:textId="304D1FCF"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5</w:t>
            </w:r>
          </w:p>
        </w:tc>
        <w:tc>
          <w:tcPr>
            <w:tcW w:w="8545" w:type="dxa"/>
            <w:vAlign w:val="center"/>
          </w:tcPr>
          <w:p w14:paraId="48252A92" w14:textId="2B60478C"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Sustainability, Environmental Compliance and Corporate Social Responsibility Procedures</w:t>
            </w:r>
          </w:p>
        </w:tc>
      </w:tr>
    </w:tbl>
    <w:p w14:paraId="1B51A490" w14:textId="3081937C" w:rsidR="005B359D" w:rsidRPr="00615EB2" w:rsidRDefault="00221A2B" w:rsidP="001602D1">
      <w:pPr>
        <w:spacing w:before="240" w:line="360" w:lineRule="auto"/>
        <w:jc w:val="both"/>
        <w:rPr>
          <w:rFonts w:ascii="Arial" w:hAnsi="Arial" w:cs="Arial"/>
        </w:rPr>
      </w:pPr>
      <w:r w:rsidRPr="00221A2B">
        <w:rPr>
          <w:rFonts w:ascii="Arial" w:hAnsi="Arial" w:cs="Arial"/>
        </w:rPr>
        <w:t>All the adaptations are essential to bring the global capabilities of the company to be in line with the host-country institutional and cultural realities.</w:t>
      </w:r>
    </w:p>
    <w:p w14:paraId="6293A7E2" w14:textId="77777777" w:rsidR="00615EB2" w:rsidRPr="00615EB2" w:rsidRDefault="00615EB2" w:rsidP="00AD616F">
      <w:pPr>
        <w:pStyle w:val="Heading2"/>
      </w:pPr>
      <w:bookmarkStart w:id="33" w:name="_Toc215538931"/>
      <w:bookmarkStart w:id="34" w:name="_Toc216009405"/>
      <w:r w:rsidRPr="00615EB2">
        <w:t>5.1 SOP Adjustment 1: Localisation of HRM and Employee Management Practices</w:t>
      </w:r>
      <w:bookmarkEnd w:id="33"/>
      <w:bookmarkEnd w:id="34"/>
    </w:p>
    <w:p w14:paraId="7CFC13ED" w14:textId="77777777" w:rsidR="004B0B18" w:rsidRDefault="002F5204" w:rsidP="002F5204">
      <w:pPr>
        <w:spacing w:line="360" w:lineRule="auto"/>
        <w:jc w:val="both"/>
        <w:rPr>
          <w:rFonts w:ascii="Arial" w:hAnsi="Arial" w:cs="Arial"/>
        </w:rPr>
      </w:pPr>
      <w:r w:rsidRPr="002F5204">
        <w:rPr>
          <w:rFonts w:ascii="Arial" w:hAnsi="Arial" w:cs="Arial"/>
        </w:rPr>
        <w:t>One of the most culture-sensitive aspects of international business strategy is Human Resource Management (HRM). Based on Hofstede's (2011) dimensions of culture, most emerging markets have higher collectivism, power distance and uncertainty avoidance when compared to the home-country situations of the West. According to Meyer (2014),</w:t>
      </w:r>
    </w:p>
    <w:p w14:paraId="7A55F5D1" w14:textId="2733A1D8" w:rsidR="004B0B18" w:rsidRPr="004B0B18" w:rsidRDefault="004B0B18" w:rsidP="002F5204">
      <w:pPr>
        <w:spacing w:line="360" w:lineRule="auto"/>
        <w:jc w:val="both"/>
        <w:rPr>
          <w:rFonts w:asciiTheme="majorHAnsi" w:hAnsiTheme="majorHAnsi" w:cstheme="majorHAnsi"/>
          <w:i/>
          <w:iCs/>
          <w:color w:val="4472C4" w:themeColor="accent1"/>
          <w:sz w:val="22"/>
          <w:szCs w:val="22"/>
        </w:rPr>
      </w:pPr>
      <w:r w:rsidRPr="004B0B18">
        <w:rPr>
          <w:rFonts w:asciiTheme="majorHAnsi" w:hAnsiTheme="majorHAnsi" w:cstheme="majorHAnsi"/>
          <w:i/>
          <w:iCs/>
          <w:color w:val="4472C4" w:themeColor="accent1"/>
          <w:sz w:val="22"/>
          <w:szCs w:val="22"/>
        </w:rPr>
        <w:t xml:space="preserve">Figure 10: Global HRM Localisation: Cultural Alignment </w:t>
      </w:r>
    </w:p>
    <w:p w14:paraId="14AA641B" w14:textId="1C54F87E" w:rsidR="004B0B18" w:rsidRDefault="004B0B18" w:rsidP="004B0B18">
      <w:pPr>
        <w:spacing w:line="360" w:lineRule="auto"/>
        <w:jc w:val="center"/>
        <w:rPr>
          <w:rFonts w:ascii="Arial" w:hAnsi="Arial" w:cs="Arial"/>
        </w:rPr>
      </w:pPr>
      <w:r>
        <w:rPr>
          <w:rFonts w:ascii="Arial" w:hAnsi="Arial" w:cs="Arial"/>
          <w:noProof/>
        </w:rPr>
        <w:drawing>
          <wp:inline distT="0" distB="0" distL="0" distR="0" wp14:anchorId="02CDADB4" wp14:editId="12D1D91A">
            <wp:extent cx="3164619" cy="2110760"/>
            <wp:effectExtent l="0" t="0" r="0" b="3810"/>
            <wp:docPr id="1635301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01036" name="Picture 163530103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95023" cy="2131039"/>
                    </a:xfrm>
                    <a:prstGeom prst="rect">
                      <a:avLst/>
                    </a:prstGeom>
                  </pic:spPr>
                </pic:pic>
              </a:graphicData>
            </a:graphic>
          </wp:inline>
        </w:drawing>
      </w:r>
    </w:p>
    <w:p w14:paraId="114884FC" w14:textId="3B49FC86" w:rsidR="004B0B18" w:rsidRPr="004B0B18" w:rsidRDefault="004B0B18" w:rsidP="004B0B18">
      <w:pPr>
        <w:spacing w:line="360" w:lineRule="auto"/>
        <w:jc w:val="center"/>
        <w:rPr>
          <w:rFonts w:asciiTheme="majorHAnsi" w:hAnsiTheme="majorHAnsi" w:cstheme="majorHAnsi"/>
          <w:i/>
          <w:iCs/>
          <w:sz w:val="22"/>
          <w:szCs w:val="22"/>
        </w:rPr>
      </w:pPr>
      <w:r w:rsidRPr="004B0B18">
        <w:rPr>
          <w:rFonts w:asciiTheme="majorHAnsi" w:hAnsiTheme="majorHAnsi" w:cstheme="majorHAnsi"/>
          <w:i/>
          <w:iCs/>
          <w:sz w:val="22"/>
          <w:szCs w:val="22"/>
        </w:rPr>
        <w:lastRenderedPageBreak/>
        <w:t>Source: Dunning (2000), Hofstede (2011), Meyer (2014), and Zhang and Morris (2014).</w:t>
      </w:r>
    </w:p>
    <w:p w14:paraId="22EB201F" w14:textId="67CF2843" w:rsidR="002F5204" w:rsidRPr="002F5204" w:rsidRDefault="002F5204" w:rsidP="002F5204">
      <w:pPr>
        <w:spacing w:line="360" w:lineRule="auto"/>
        <w:jc w:val="both"/>
        <w:rPr>
          <w:rFonts w:ascii="Arial" w:hAnsi="Arial" w:cs="Arial"/>
        </w:rPr>
      </w:pPr>
      <w:r w:rsidRPr="002F5204">
        <w:rPr>
          <w:rFonts w:ascii="Arial" w:hAnsi="Arial" w:cs="Arial"/>
        </w:rPr>
        <w:t>the inappropriate transfer of a home country management style can cause employee resistance, ineffective communication, and unmet expectations. Thus, the initial significant SOP change is the localisation of HRM practices that have to be culturally aligned with management.</w:t>
      </w:r>
    </w:p>
    <w:p w14:paraId="6BB7A748" w14:textId="23054B56" w:rsidR="00615EB2" w:rsidRPr="00615EB2" w:rsidRDefault="00615EB2" w:rsidP="00615EB2">
      <w:pPr>
        <w:spacing w:line="360" w:lineRule="auto"/>
        <w:jc w:val="both"/>
        <w:rPr>
          <w:rFonts w:ascii="Arial" w:hAnsi="Arial" w:cs="Arial"/>
        </w:rPr>
      </w:pPr>
      <w:r w:rsidRPr="00615EB2">
        <w:rPr>
          <w:rFonts w:ascii="Arial" w:hAnsi="Arial" w:cs="Arial"/>
          <w:b/>
          <w:bCs/>
        </w:rPr>
        <w:t>Recruitment, Performance Management and Workplace Communication</w:t>
      </w:r>
    </w:p>
    <w:p w14:paraId="741F77AA" w14:textId="77777777" w:rsidR="00CD7871" w:rsidRPr="00CD7871" w:rsidRDefault="00CD7871" w:rsidP="00CD7871">
      <w:pPr>
        <w:spacing w:line="360" w:lineRule="auto"/>
        <w:jc w:val="both"/>
        <w:rPr>
          <w:rFonts w:ascii="Arial" w:hAnsi="Arial" w:cs="Arial"/>
        </w:rPr>
      </w:pPr>
      <w:r w:rsidRPr="00CD7871">
        <w:rPr>
          <w:rFonts w:ascii="Arial" w:hAnsi="Arial" w:cs="Arial"/>
        </w:rPr>
        <w:t>SOPs that control recruitment, the evaluation and day-to-day communication should be modified to suit collectivism and hierarchical setups. As an illustration, western systems of performance that value individual performance may not work well in cultures that value teamwork and group harmony. The internalisation needs can be balanced with the local employee behaviour by introducing team-based performance indicators, indirect feedback and clearer reporting hierarchies (Dunning, 2000).</w:t>
      </w:r>
    </w:p>
    <w:p w14:paraId="39A32559" w14:textId="063271D6" w:rsidR="00615EB2" w:rsidRPr="00615EB2" w:rsidRDefault="00615EB2" w:rsidP="00615EB2">
      <w:pPr>
        <w:spacing w:line="360" w:lineRule="auto"/>
        <w:jc w:val="both"/>
        <w:rPr>
          <w:rFonts w:ascii="Arial" w:hAnsi="Arial" w:cs="Arial"/>
        </w:rPr>
      </w:pPr>
      <w:r w:rsidRPr="00615EB2">
        <w:rPr>
          <w:rFonts w:ascii="Arial" w:hAnsi="Arial" w:cs="Arial"/>
          <w:b/>
          <w:bCs/>
        </w:rPr>
        <w:t>Training, Development and Cultural Competence</w:t>
      </w:r>
    </w:p>
    <w:p w14:paraId="7DFC3C3A" w14:textId="77777777" w:rsidR="00CD7871" w:rsidRPr="00CD7871" w:rsidRDefault="00CD7871" w:rsidP="00CD7871">
      <w:pPr>
        <w:spacing w:line="360" w:lineRule="auto"/>
        <w:jc w:val="both"/>
        <w:rPr>
          <w:rFonts w:ascii="Arial" w:hAnsi="Arial" w:cs="Arial"/>
        </w:rPr>
      </w:pPr>
      <w:r w:rsidRPr="00CD7871">
        <w:rPr>
          <w:rFonts w:ascii="Arial" w:hAnsi="Arial" w:cs="Arial"/>
        </w:rPr>
        <w:t>Current SOPs on training need to be substituted with contextual programmes that include cultural intelligence (CQ), local labour expectations, and legal requirements. Creating local employee onboarding processes and cross-cultural training of expatriates contributes to organisational cohesion. Research suggests that HRM practices that are culturally aligned enhance retention and job satisfaction and operational efficiency in new markets (Zhang and Morris, 2014).</w:t>
      </w:r>
    </w:p>
    <w:p w14:paraId="269B5596" w14:textId="4C19B660" w:rsidR="00615EB2" w:rsidRPr="00615EB2" w:rsidRDefault="00615EB2" w:rsidP="00615EB2">
      <w:pPr>
        <w:spacing w:line="360" w:lineRule="auto"/>
        <w:jc w:val="both"/>
        <w:rPr>
          <w:rFonts w:ascii="Arial" w:hAnsi="Arial" w:cs="Arial"/>
        </w:rPr>
      </w:pPr>
      <w:r w:rsidRPr="00615EB2">
        <w:rPr>
          <w:rFonts w:ascii="Arial" w:hAnsi="Arial" w:cs="Arial"/>
          <w:b/>
          <w:bCs/>
        </w:rPr>
        <w:t>Employee Relations, Motivation and Conflict Management</w:t>
      </w:r>
    </w:p>
    <w:p w14:paraId="1FB71C8F" w14:textId="59F9B18C" w:rsidR="00CD7871" w:rsidRPr="00615EB2" w:rsidRDefault="00CD7871" w:rsidP="00615EB2">
      <w:pPr>
        <w:spacing w:line="360" w:lineRule="auto"/>
        <w:jc w:val="both"/>
        <w:rPr>
          <w:rFonts w:ascii="Arial" w:hAnsi="Arial" w:cs="Arial"/>
        </w:rPr>
      </w:pPr>
      <w:r w:rsidRPr="00CD7871">
        <w:rPr>
          <w:rFonts w:ascii="Arial" w:hAnsi="Arial" w:cs="Arial"/>
        </w:rPr>
        <w:t>There is also the need to adapt the practices of employee motivation. Employees in most emerging economies cherish personalized rewards, employee security and group appreciation. Thus, incentive SOPs, conflict management and communication with staff must be reformulated to focus on relational trust and group inclusion. Such SOP adjustments do not only work around these cultural differences but also preserve internalisation benefits because the company still has control over HR processes, operating effectively in the host environment.</w:t>
      </w:r>
    </w:p>
    <w:p w14:paraId="41BBA454" w14:textId="77777777" w:rsidR="00615EB2" w:rsidRPr="00615EB2" w:rsidRDefault="00615EB2" w:rsidP="00AD616F">
      <w:pPr>
        <w:pStyle w:val="Heading2"/>
      </w:pPr>
      <w:bookmarkStart w:id="35" w:name="_Toc215538932"/>
      <w:bookmarkStart w:id="36" w:name="_Toc216009406"/>
      <w:r w:rsidRPr="00615EB2">
        <w:lastRenderedPageBreak/>
        <w:t>5.2 SOP Adjustment 2: Restructuring of Supply Chain, Quality Assurance and Regulatory Compliance Procedures</w:t>
      </w:r>
      <w:bookmarkEnd w:id="35"/>
      <w:bookmarkEnd w:id="36"/>
    </w:p>
    <w:p w14:paraId="02F51BE6" w14:textId="7D838388" w:rsidR="00653C5C" w:rsidRDefault="00653C5C" w:rsidP="00653C5C">
      <w:pPr>
        <w:spacing w:line="360" w:lineRule="auto"/>
        <w:jc w:val="both"/>
        <w:rPr>
          <w:rFonts w:ascii="Arial" w:hAnsi="Arial" w:cs="Arial"/>
        </w:rPr>
      </w:pPr>
      <w:r w:rsidRPr="00653C5C">
        <w:rPr>
          <w:rFonts w:ascii="Arial" w:hAnsi="Arial" w:cs="Arial"/>
        </w:rPr>
        <w:t>The other significant change entails the company's operations and supply chain as well as compliance SOPs. New markets may be characterized by issues like ineffective infrastructure, less standardised supplier chains and sophisticated regulatory systems. It is necessary to align operational SOPs with such conditions to reduce locational disadvantages presented in the OLI analysis.</w:t>
      </w:r>
    </w:p>
    <w:p w14:paraId="1A56D64F" w14:textId="721DE07E" w:rsidR="003A51E7" w:rsidRPr="003A51E7" w:rsidRDefault="003A51E7" w:rsidP="00653C5C">
      <w:pPr>
        <w:spacing w:line="360" w:lineRule="auto"/>
        <w:jc w:val="both"/>
        <w:rPr>
          <w:rFonts w:asciiTheme="majorHAnsi" w:hAnsiTheme="majorHAnsi" w:cstheme="majorHAnsi"/>
          <w:i/>
          <w:iCs/>
          <w:color w:val="4472C4" w:themeColor="accent1"/>
          <w:sz w:val="22"/>
          <w:szCs w:val="22"/>
        </w:rPr>
      </w:pPr>
      <w:r w:rsidRPr="003A51E7">
        <w:rPr>
          <w:rFonts w:asciiTheme="majorHAnsi" w:hAnsiTheme="majorHAnsi" w:cstheme="majorHAnsi"/>
          <w:i/>
          <w:iCs/>
          <w:color w:val="4472C4" w:themeColor="accent1"/>
          <w:sz w:val="22"/>
          <w:szCs w:val="22"/>
        </w:rPr>
        <w:t>Figure 11: Global Operations and Compliance in Emerging Markets</w:t>
      </w:r>
    </w:p>
    <w:p w14:paraId="08374F20" w14:textId="3256DA4C" w:rsidR="003A51E7" w:rsidRDefault="003A51E7" w:rsidP="003A51E7">
      <w:pPr>
        <w:spacing w:line="360" w:lineRule="auto"/>
        <w:jc w:val="center"/>
        <w:rPr>
          <w:rFonts w:ascii="Arial" w:hAnsi="Arial" w:cs="Arial"/>
        </w:rPr>
      </w:pPr>
      <w:r>
        <w:rPr>
          <w:rFonts w:ascii="Arial" w:hAnsi="Arial" w:cs="Arial"/>
          <w:noProof/>
        </w:rPr>
        <w:drawing>
          <wp:inline distT="0" distB="0" distL="0" distR="0" wp14:anchorId="49017405" wp14:editId="1BC064B9">
            <wp:extent cx="4032223" cy="3077155"/>
            <wp:effectExtent l="0" t="0" r="6985" b="9525"/>
            <wp:docPr id="13364873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487384" name="Picture 133648738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53328" cy="3093261"/>
                    </a:xfrm>
                    <a:prstGeom prst="rect">
                      <a:avLst/>
                    </a:prstGeom>
                  </pic:spPr>
                </pic:pic>
              </a:graphicData>
            </a:graphic>
          </wp:inline>
        </w:drawing>
      </w:r>
    </w:p>
    <w:p w14:paraId="6173EA6B" w14:textId="748434A3" w:rsidR="003A51E7" w:rsidRPr="003A51E7" w:rsidRDefault="003A51E7" w:rsidP="003A51E7">
      <w:pPr>
        <w:spacing w:line="360" w:lineRule="auto"/>
        <w:jc w:val="center"/>
        <w:rPr>
          <w:rFonts w:asciiTheme="majorHAnsi" w:hAnsiTheme="majorHAnsi" w:cstheme="majorHAnsi"/>
          <w:i/>
          <w:iCs/>
          <w:sz w:val="22"/>
          <w:szCs w:val="22"/>
        </w:rPr>
      </w:pPr>
      <w:r w:rsidRPr="003A51E7">
        <w:rPr>
          <w:rFonts w:asciiTheme="majorHAnsi" w:hAnsiTheme="majorHAnsi" w:cstheme="majorHAnsi"/>
          <w:i/>
          <w:iCs/>
          <w:sz w:val="22"/>
          <w:szCs w:val="22"/>
        </w:rPr>
        <w:t>Source: Gereffi and Fernandez-Stark (2016), Narula (2014).</w:t>
      </w:r>
    </w:p>
    <w:p w14:paraId="38E199EE" w14:textId="379DF701" w:rsidR="00615EB2" w:rsidRPr="00615EB2" w:rsidRDefault="00615EB2" w:rsidP="00615EB2">
      <w:pPr>
        <w:spacing w:line="360" w:lineRule="auto"/>
        <w:jc w:val="both"/>
        <w:rPr>
          <w:rFonts w:ascii="Arial" w:hAnsi="Arial" w:cs="Arial"/>
        </w:rPr>
      </w:pPr>
      <w:r w:rsidRPr="00615EB2">
        <w:rPr>
          <w:rFonts w:ascii="Arial" w:hAnsi="Arial" w:cs="Arial"/>
          <w:b/>
          <w:bCs/>
        </w:rPr>
        <w:t>Supply Chain Verification, Local Sourcing and Operational Risk Management</w:t>
      </w:r>
    </w:p>
    <w:p w14:paraId="4E1122EB" w14:textId="77777777" w:rsidR="00653C5C" w:rsidRPr="00653C5C" w:rsidRDefault="00653C5C" w:rsidP="00653C5C">
      <w:pPr>
        <w:spacing w:line="360" w:lineRule="auto"/>
        <w:jc w:val="both"/>
        <w:rPr>
          <w:rFonts w:ascii="Arial" w:hAnsi="Arial" w:cs="Arial"/>
        </w:rPr>
      </w:pPr>
      <w:r w:rsidRPr="00653C5C">
        <w:rPr>
          <w:rFonts w:ascii="Arial" w:hAnsi="Arial" w:cs="Arial"/>
        </w:rPr>
        <w:t>The SOPs of the supply chain should be changed to include multi-level supplier checks, risk evaluation and diversified sourcing. According to Gereffi and Fernandez-Stark (2016), global value chains in emerging economies are extremely susceptible to logistical failures and supplier performance inconsistency. Stricter auditing solutions, mobile tracking systems and contingencies related to logistics within specific regions will assist in enhancing supply chain reliability.</w:t>
      </w:r>
    </w:p>
    <w:p w14:paraId="0EFBBE6A" w14:textId="51D5E208" w:rsidR="00615EB2" w:rsidRPr="00615EB2" w:rsidRDefault="00615EB2" w:rsidP="00615EB2">
      <w:pPr>
        <w:spacing w:line="360" w:lineRule="auto"/>
        <w:jc w:val="both"/>
        <w:rPr>
          <w:rFonts w:ascii="Arial" w:hAnsi="Arial" w:cs="Arial"/>
        </w:rPr>
      </w:pPr>
      <w:r w:rsidRPr="00615EB2">
        <w:rPr>
          <w:rFonts w:ascii="Arial" w:hAnsi="Arial" w:cs="Arial"/>
          <w:b/>
          <w:bCs/>
        </w:rPr>
        <w:t>Quality Assurance and Product/Service Consistency</w:t>
      </w:r>
    </w:p>
    <w:p w14:paraId="0796AE93" w14:textId="00382E3C" w:rsidR="00653C5C" w:rsidRPr="00653C5C" w:rsidRDefault="00653C5C" w:rsidP="00653C5C">
      <w:pPr>
        <w:spacing w:line="360" w:lineRule="auto"/>
        <w:jc w:val="both"/>
        <w:rPr>
          <w:rFonts w:ascii="Arial" w:hAnsi="Arial" w:cs="Arial"/>
        </w:rPr>
      </w:pPr>
      <w:r w:rsidRPr="00653C5C">
        <w:rPr>
          <w:rFonts w:ascii="Arial" w:hAnsi="Arial" w:cs="Arial"/>
        </w:rPr>
        <w:lastRenderedPageBreak/>
        <w:t>SOPs in quality assurance (QA) should include local industry regulations, raw material variations and safety standards. Most emerging economies might not have harmonized product quality measurements, which require the creation of country-specific QA processes. Narula (2014) observes that to continue enjoying MNE ownership benefits in a foreign destination, high-quality outputs are crucial.</w:t>
      </w:r>
    </w:p>
    <w:p w14:paraId="12B80EB2" w14:textId="5E2A1894" w:rsidR="00615EB2" w:rsidRPr="00615EB2" w:rsidRDefault="00615EB2" w:rsidP="00615EB2">
      <w:pPr>
        <w:spacing w:line="360" w:lineRule="auto"/>
        <w:jc w:val="both"/>
        <w:rPr>
          <w:rFonts w:ascii="Arial" w:hAnsi="Arial" w:cs="Arial"/>
        </w:rPr>
      </w:pPr>
      <w:r w:rsidRPr="00615EB2">
        <w:rPr>
          <w:rFonts w:ascii="Arial" w:hAnsi="Arial" w:cs="Arial"/>
          <w:b/>
          <w:bCs/>
        </w:rPr>
        <w:t>Regulatory, Environmental and Ethical Compliance</w:t>
      </w:r>
    </w:p>
    <w:p w14:paraId="6C0343BB" w14:textId="516592C0" w:rsidR="00801B07" w:rsidRPr="00615EB2" w:rsidRDefault="00801B07" w:rsidP="00615EB2">
      <w:pPr>
        <w:spacing w:line="360" w:lineRule="auto"/>
        <w:jc w:val="both"/>
        <w:rPr>
          <w:rFonts w:ascii="Arial" w:hAnsi="Arial" w:cs="Arial"/>
        </w:rPr>
      </w:pPr>
      <w:r w:rsidRPr="00801B07">
        <w:rPr>
          <w:rFonts w:ascii="Arial" w:hAnsi="Arial" w:cs="Arial"/>
        </w:rPr>
        <w:t>The regulatory SOPs need to be adjusted to the legal environment in the host country, which might be associated with bureaucratic delays, constant changes in policies and inconsistent enforcement. Bulking up documentation requirements, developing locally applicable compliance checklists, and implementing improved due-diligence processes should be adopted by the company. In the nations with the high levels of corruption risks, the SOPs, anti-bribery and ethical procurement practices should be incorporated into the operational guidelines that are to be reinforced by the provision of compulsory ethics training.</w:t>
      </w:r>
      <w:r w:rsidRPr="00801B07">
        <w:rPr>
          <w:rFonts w:ascii="Arial" w:hAnsi="Arial" w:cs="Arial"/>
        </w:rPr>
        <w:br/>
        <w:t>Combined, these changes provide a stronger operational governance and minimize the susceptibility of the location-specific risks.</w:t>
      </w:r>
    </w:p>
    <w:p w14:paraId="34269215" w14:textId="77777777" w:rsidR="00615EB2" w:rsidRPr="00615EB2" w:rsidRDefault="00615EB2" w:rsidP="00AD616F">
      <w:pPr>
        <w:pStyle w:val="Heading2"/>
      </w:pPr>
      <w:bookmarkStart w:id="37" w:name="_Toc215538933"/>
      <w:bookmarkStart w:id="38" w:name="_Toc216009407"/>
      <w:r w:rsidRPr="00615EB2">
        <w:t>5.3 SOP Adjustment 3: Adaptation of Customer Engagement, Service Delivery and Marketing Protocols</w:t>
      </w:r>
      <w:bookmarkEnd w:id="37"/>
      <w:bookmarkEnd w:id="38"/>
    </w:p>
    <w:p w14:paraId="0262FC59" w14:textId="77777777" w:rsidR="00801B07" w:rsidRDefault="00801B07" w:rsidP="00801B07">
      <w:pPr>
        <w:spacing w:line="360" w:lineRule="auto"/>
        <w:jc w:val="both"/>
        <w:rPr>
          <w:rFonts w:ascii="Arial" w:hAnsi="Arial" w:cs="Arial"/>
        </w:rPr>
      </w:pPr>
      <w:r w:rsidRPr="00801B07">
        <w:rPr>
          <w:rFonts w:ascii="Arial" w:hAnsi="Arial" w:cs="Arial"/>
        </w:rPr>
        <w:t>The last significant change is about customer-facing SOPs. Consumer preferences, expectations of communication and brand perception are greatly affected by cultural differences. According to De Mooij (2019), the universal marketing and customer service strategies are ineffective when relocated to culturally different markets. Hence, the culture and behavioural standards of the new economy should be adjusted to the customer</w:t>
      </w:r>
      <w:r>
        <w:rPr>
          <w:rFonts w:ascii="Arial" w:hAnsi="Arial" w:cs="Arial"/>
        </w:rPr>
        <w:t xml:space="preserve"> </w:t>
      </w:r>
      <w:r w:rsidRPr="00801B07">
        <w:rPr>
          <w:rFonts w:ascii="Arial" w:hAnsi="Arial" w:cs="Arial"/>
        </w:rPr>
        <w:t>engagement SOPs.</w:t>
      </w:r>
    </w:p>
    <w:p w14:paraId="7CD1BB9F" w14:textId="77777777" w:rsidR="00801B07" w:rsidRPr="00801B07" w:rsidRDefault="00801B07" w:rsidP="00801B07">
      <w:pPr>
        <w:spacing w:line="360" w:lineRule="auto"/>
        <w:jc w:val="both"/>
        <w:rPr>
          <w:rFonts w:ascii="Arial" w:hAnsi="Arial" w:cs="Arial"/>
          <w:b/>
          <w:bCs/>
        </w:rPr>
      </w:pPr>
      <w:r w:rsidRPr="00801B07">
        <w:rPr>
          <w:rFonts w:ascii="Arial" w:hAnsi="Arial" w:cs="Arial"/>
          <w:b/>
          <w:bCs/>
        </w:rPr>
        <w:t>Customer Communication, Behavioural Expectation and Service Culture.</w:t>
      </w:r>
    </w:p>
    <w:p w14:paraId="5F12EBF6" w14:textId="4443EFFD" w:rsidR="00801B07" w:rsidRDefault="00801B07" w:rsidP="00801B07">
      <w:pPr>
        <w:spacing w:line="360" w:lineRule="auto"/>
        <w:jc w:val="both"/>
        <w:rPr>
          <w:rFonts w:ascii="Arial" w:hAnsi="Arial" w:cs="Arial"/>
        </w:rPr>
      </w:pPr>
      <w:r w:rsidRPr="00801B07">
        <w:rPr>
          <w:rFonts w:ascii="Arial" w:hAnsi="Arial" w:cs="Arial"/>
        </w:rPr>
        <w:t xml:space="preserve">SOPs are to be updated to outline culturally relevant communication styles, greetings, service etiquette and the complaint handling procedures. The high-context cultures demand relational and personalized communication, whereas the home-country SOPs </w:t>
      </w:r>
      <w:r w:rsidRPr="00801B07">
        <w:rPr>
          <w:rFonts w:ascii="Arial" w:hAnsi="Arial" w:cs="Arial"/>
        </w:rPr>
        <w:lastRenderedPageBreak/>
        <w:t>can focus on efficiency and lack of niceties. Modifying these procedures leads to increased customer retention and reputation.</w:t>
      </w:r>
    </w:p>
    <w:p w14:paraId="02A76C01" w14:textId="142A66E0" w:rsidR="004D7749" w:rsidRPr="004D7749" w:rsidRDefault="004D7749" w:rsidP="00801B07">
      <w:pPr>
        <w:spacing w:line="360" w:lineRule="auto"/>
        <w:jc w:val="both"/>
        <w:rPr>
          <w:rFonts w:asciiTheme="majorHAnsi" w:hAnsiTheme="majorHAnsi" w:cstheme="majorHAnsi"/>
          <w:i/>
          <w:iCs/>
          <w:color w:val="4472C4" w:themeColor="accent1"/>
          <w:sz w:val="22"/>
          <w:szCs w:val="22"/>
        </w:rPr>
      </w:pPr>
      <w:r w:rsidRPr="004D7749">
        <w:rPr>
          <w:rFonts w:asciiTheme="majorHAnsi" w:hAnsiTheme="majorHAnsi" w:cstheme="majorHAnsi"/>
          <w:i/>
          <w:iCs/>
          <w:color w:val="4472C4" w:themeColor="accent1"/>
          <w:sz w:val="22"/>
          <w:szCs w:val="22"/>
        </w:rPr>
        <w:t>Figure 1</w:t>
      </w:r>
      <w:r w:rsidR="000962AE">
        <w:rPr>
          <w:rFonts w:asciiTheme="majorHAnsi" w:hAnsiTheme="majorHAnsi" w:cstheme="majorHAnsi"/>
          <w:i/>
          <w:iCs/>
          <w:color w:val="4472C4" w:themeColor="accent1"/>
          <w:sz w:val="22"/>
          <w:szCs w:val="22"/>
        </w:rPr>
        <w:t>2</w:t>
      </w:r>
      <w:r w:rsidRPr="004D7749">
        <w:rPr>
          <w:rFonts w:asciiTheme="majorHAnsi" w:hAnsiTheme="majorHAnsi" w:cstheme="majorHAnsi"/>
          <w:i/>
          <w:iCs/>
          <w:color w:val="4472C4" w:themeColor="accent1"/>
          <w:sz w:val="22"/>
          <w:szCs w:val="22"/>
        </w:rPr>
        <w:t>: Customer-Facing Protocols for Cultural Success</w:t>
      </w:r>
    </w:p>
    <w:p w14:paraId="62BE69EC" w14:textId="1A0954B5" w:rsidR="004D7749" w:rsidRDefault="004D7749" w:rsidP="004D7749">
      <w:pPr>
        <w:spacing w:line="360" w:lineRule="auto"/>
        <w:jc w:val="center"/>
        <w:rPr>
          <w:rFonts w:ascii="Arial" w:hAnsi="Arial" w:cs="Arial"/>
        </w:rPr>
      </w:pPr>
      <w:r>
        <w:rPr>
          <w:rFonts w:ascii="Arial" w:hAnsi="Arial" w:cs="Arial"/>
          <w:noProof/>
        </w:rPr>
        <w:drawing>
          <wp:inline distT="0" distB="0" distL="0" distR="0" wp14:anchorId="73037666" wp14:editId="65199B3D">
            <wp:extent cx="4202985" cy="2663687"/>
            <wp:effectExtent l="0" t="0" r="7620" b="3810"/>
            <wp:docPr id="1186947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94762" name="Picture 118694762"/>
                    <pic:cNvPicPr/>
                  </pic:nvPicPr>
                  <pic:blipFill>
                    <a:blip r:embed="rId21">
                      <a:extLst>
                        <a:ext uri="{28A0092B-C50C-407E-A947-70E740481C1C}">
                          <a14:useLocalDpi xmlns:a14="http://schemas.microsoft.com/office/drawing/2010/main" val="0"/>
                        </a:ext>
                      </a:extLst>
                    </a:blip>
                    <a:stretch>
                      <a:fillRect/>
                    </a:stretch>
                  </pic:blipFill>
                  <pic:spPr>
                    <a:xfrm>
                      <a:off x="0" y="0"/>
                      <a:ext cx="4216317" cy="2672137"/>
                    </a:xfrm>
                    <a:prstGeom prst="rect">
                      <a:avLst/>
                    </a:prstGeom>
                  </pic:spPr>
                </pic:pic>
              </a:graphicData>
            </a:graphic>
          </wp:inline>
        </w:drawing>
      </w:r>
    </w:p>
    <w:p w14:paraId="36A09203" w14:textId="77777777" w:rsidR="00801B07" w:rsidRPr="00801B07" w:rsidRDefault="00801B07" w:rsidP="00801B07">
      <w:pPr>
        <w:spacing w:line="360" w:lineRule="auto"/>
        <w:jc w:val="both"/>
        <w:rPr>
          <w:rFonts w:ascii="Arial" w:hAnsi="Arial" w:cs="Arial"/>
          <w:b/>
          <w:bCs/>
        </w:rPr>
      </w:pPr>
      <w:r w:rsidRPr="00801B07">
        <w:rPr>
          <w:rFonts w:ascii="Arial" w:hAnsi="Arial" w:cs="Arial"/>
          <w:b/>
          <w:bCs/>
        </w:rPr>
        <w:t>SOPs of Marketing, Branding and Digital Engagement.</w:t>
      </w:r>
    </w:p>
    <w:p w14:paraId="74147546" w14:textId="77777777" w:rsidR="00801B07" w:rsidRDefault="00801B07" w:rsidP="00801B07">
      <w:pPr>
        <w:spacing w:line="360" w:lineRule="auto"/>
        <w:jc w:val="both"/>
        <w:rPr>
          <w:rFonts w:ascii="Arial" w:hAnsi="Arial" w:cs="Arial"/>
        </w:rPr>
      </w:pPr>
      <w:r w:rsidRPr="00801B07">
        <w:rPr>
          <w:rFonts w:ascii="Arial" w:hAnsi="Arial" w:cs="Arial"/>
        </w:rPr>
        <w:t>The marketing SOPs should insist on culturally sensitive translation of messages, pictures and promotional tactics. According to Xu and Cavusgil (2015), brand legitimacy depends on localisation in the various international settings. SOPs must be required to do local consumer testing of campaigns, accuracy in translation and creation of culturally resonant content. Digital marketing processes are supposed to consider local platform preferences, internet use behaviour and trust in online transactions.</w:t>
      </w:r>
    </w:p>
    <w:p w14:paraId="66C25D72" w14:textId="77777777" w:rsidR="00801B07" w:rsidRPr="00801B07" w:rsidRDefault="00801B07" w:rsidP="00801B07">
      <w:pPr>
        <w:spacing w:line="360" w:lineRule="auto"/>
        <w:jc w:val="both"/>
        <w:rPr>
          <w:rFonts w:ascii="Arial" w:hAnsi="Arial" w:cs="Arial"/>
          <w:b/>
          <w:bCs/>
        </w:rPr>
      </w:pPr>
      <w:r w:rsidRPr="00801B07">
        <w:rPr>
          <w:rFonts w:ascii="Arial" w:hAnsi="Arial" w:cs="Arial"/>
          <w:b/>
          <w:bCs/>
        </w:rPr>
        <w:t>Market Intelligence Collection and Customer Feedback Systems.</w:t>
      </w:r>
    </w:p>
    <w:p w14:paraId="28717A9E" w14:textId="2CA95F76" w:rsidR="00801B07" w:rsidRDefault="00801B07" w:rsidP="00801B07">
      <w:pPr>
        <w:spacing w:line="360" w:lineRule="auto"/>
        <w:jc w:val="both"/>
        <w:rPr>
          <w:rFonts w:ascii="Arial" w:hAnsi="Arial" w:cs="Arial"/>
        </w:rPr>
      </w:pPr>
      <w:r w:rsidRPr="00801B07">
        <w:rPr>
          <w:rFonts w:ascii="Arial" w:hAnsi="Arial" w:cs="Arial"/>
        </w:rPr>
        <w:t>Customer feedback SOPs, data management and community engagement SOPs should consider the collective consumer behaviour. Social groups, local influencers and community networks influence purchase decisions in most emerging markets. This feedback loops included in SOPs will enable the company to internalize knowledge of the customers and still comply with the cultural norms.</w:t>
      </w:r>
    </w:p>
    <w:p w14:paraId="4EAC067D" w14:textId="6E67C527" w:rsidR="00B7407B" w:rsidRDefault="00801B07" w:rsidP="00801B07">
      <w:pPr>
        <w:spacing w:line="360" w:lineRule="auto"/>
        <w:jc w:val="both"/>
        <w:rPr>
          <w:rFonts w:ascii="Arial" w:hAnsi="Arial" w:cs="Arial"/>
        </w:rPr>
      </w:pPr>
      <w:r w:rsidRPr="00801B07">
        <w:rPr>
          <w:rFonts w:ascii="Arial" w:hAnsi="Arial" w:cs="Arial"/>
        </w:rPr>
        <w:t>These are the customer-focused SOP modifications that will enhance acceptance in the market, brand loyalty and competitiveness by the firm in the long run.</w:t>
      </w:r>
    </w:p>
    <w:p w14:paraId="23913DD9" w14:textId="77777777" w:rsidR="00B7407B" w:rsidRPr="00B7407B" w:rsidRDefault="00B7407B" w:rsidP="00437801">
      <w:pPr>
        <w:pStyle w:val="Heading2"/>
      </w:pPr>
      <w:bookmarkStart w:id="39" w:name="_Toc216009408"/>
      <w:r w:rsidRPr="00B7407B">
        <w:lastRenderedPageBreak/>
        <w:t>5.4 SOP Adjustment 4: Digital Transformation, Data Governance and Cybersecurity Procedures</w:t>
      </w:r>
      <w:bookmarkEnd w:id="39"/>
    </w:p>
    <w:p w14:paraId="23565BCA" w14:textId="77777777" w:rsidR="00437801" w:rsidRDefault="00B7407B" w:rsidP="00B7407B">
      <w:pPr>
        <w:spacing w:line="360" w:lineRule="auto"/>
        <w:jc w:val="both"/>
        <w:rPr>
          <w:rFonts w:ascii="Arial" w:hAnsi="Arial" w:cs="Arial"/>
        </w:rPr>
      </w:pPr>
      <w:r w:rsidRPr="00B7407B">
        <w:rPr>
          <w:rFonts w:ascii="Arial" w:hAnsi="Arial" w:cs="Arial"/>
        </w:rPr>
        <w:t>The fourth significant SOP modification is concerned with digital operations and data governance and cybersecurity, which is becoming a significant issue among multinational businesses in the new market. The strengths of Volkswagen are the sophistication of manufacturing systems, connected cars, and platforms based on data (Volkswagen Group, 2023). Nonetheless, the evolving digital infrastructure, evolving policies, and cybersecurity threats in Brazil necessitate major changes in SOPs.</w:t>
      </w:r>
    </w:p>
    <w:p w14:paraId="594D4224" w14:textId="15E5C449" w:rsidR="00EF622D" w:rsidRPr="00EF622D" w:rsidRDefault="00EF622D" w:rsidP="00B7407B">
      <w:pPr>
        <w:spacing w:line="360" w:lineRule="auto"/>
        <w:jc w:val="both"/>
        <w:rPr>
          <w:rFonts w:cstheme="minorHAnsi"/>
          <w:i/>
          <w:iCs/>
          <w:color w:val="4472C4" w:themeColor="accent1"/>
          <w:sz w:val="22"/>
          <w:szCs w:val="22"/>
        </w:rPr>
      </w:pPr>
      <w:r w:rsidRPr="00EF622D">
        <w:rPr>
          <w:rFonts w:cstheme="minorHAnsi"/>
          <w:i/>
          <w:iCs/>
          <w:color w:val="4472C4" w:themeColor="accent1"/>
          <w:sz w:val="22"/>
          <w:szCs w:val="22"/>
        </w:rPr>
        <w:t>Figure 1</w:t>
      </w:r>
      <w:r w:rsidR="000962AE">
        <w:rPr>
          <w:rFonts w:cstheme="minorHAnsi"/>
          <w:i/>
          <w:iCs/>
          <w:color w:val="4472C4" w:themeColor="accent1"/>
          <w:sz w:val="22"/>
          <w:szCs w:val="22"/>
        </w:rPr>
        <w:t>3</w:t>
      </w:r>
      <w:r w:rsidRPr="00EF622D">
        <w:rPr>
          <w:rFonts w:cstheme="minorHAnsi"/>
          <w:i/>
          <w:iCs/>
          <w:color w:val="4472C4" w:themeColor="accent1"/>
          <w:sz w:val="22"/>
          <w:szCs w:val="22"/>
        </w:rPr>
        <w:t>: Localisation of Digital Manufacturing and Industry 4.0 Protocols</w:t>
      </w:r>
    </w:p>
    <w:p w14:paraId="180523C7" w14:textId="108A1D17" w:rsidR="00EF622D" w:rsidRDefault="00EF622D" w:rsidP="002F1339">
      <w:pPr>
        <w:spacing w:line="360" w:lineRule="auto"/>
        <w:jc w:val="center"/>
        <w:rPr>
          <w:rFonts w:ascii="Arial" w:hAnsi="Arial" w:cs="Arial"/>
        </w:rPr>
      </w:pPr>
      <w:r>
        <w:rPr>
          <w:rFonts w:ascii="Arial" w:hAnsi="Arial" w:cs="Arial"/>
          <w:noProof/>
        </w:rPr>
        <w:drawing>
          <wp:inline distT="0" distB="0" distL="0" distR="0" wp14:anchorId="1D8ABA4C" wp14:editId="34A5824C">
            <wp:extent cx="4735002" cy="2014905"/>
            <wp:effectExtent l="0" t="0" r="8890" b="4445"/>
            <wp:docPr id="20842019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201927" name="Picture 208420192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35002" cy="2014905"/>
                    </a:xfrm>
                    <a:prstGeom prst="rect">
                      <a:avLst/>
                    </a:prstGeom>
                  </pic:spPr>
                </pic:pic>
              </a:graphicData>
            </a:graphic>
          </wp:inline>
        </w:drawing>
      </w:r>
    </w:p>
    <w:p w14:paraId="5F461310" w14:textId="7871083F" w:rsidR="00B7407B" w:rsidRPr="00B7407B" w:rsidRDefault="00B7407B" w:rsidP="00B7407B">
      <w:pPr>
        <w:spacing w:line="360" w:lineRule="auto"/>
        <w:jc w:val="both"/>
        <w:rPr>
          <w:rFonts w:ascii="Arial" w:hAnsi="Arial" w:cs="Arial"/>
        </w:rPr>
      </w:pPr>
      <w:r w:rsidRPr="00B7407B">
        <w:rPr>
          <w:rFonts w:ascii="Arial" w:hAnsi="Arial" w:cs="Arial"/>
          <w:b/>
          <w:bCs/>
        </w:rPr>
        <w:t>Localisation of Digital Manufacturing and Industry 4.0 Protocols</w:t>
      </w:r>
    </w:p>
    <w:p w14:paraId="1F0233C4" w14:textId="77777777" w:rsidR="00437801" w:rsidRDefault="00B7407B" w:rsidP="00B7407B">
      <w:pPr>
        <w:spacing w:line="360" w:lineRule="auto"/>
        <w:jc w:val="both"/>
        <w:rPr>
          <w:rFonts w:ascii="Arial" w:hAnsi="Arial" w:cs="Arial"/>
        </w:rPr>
      </w:pPr>
      <w:r w:rsidRPr="00B7407B">
        <w:rPr>
          <w:rFonts w:ascii="Arial" w:hAnsi="Arial" w:cs="Arial"/>
        </w:rPr>
        <w:t>Industry 4.0 technologies such as automation, AI to control quality, and predictive maintenance are part of the global manufacturing strategy used by Volkswagen. Meanwhile, digital readiness is different across the industrial landscape in Brazil (PwC, 2023). To curb this, Volkswagen must change SOPs by holding digital audits of suppliers in Brazil, providing flexible production systems integrating manual and automated processes, and local training programmes for production employees. Such measures will assist Volkswagen to retain control over its digital capabilities and adapt to the local requirements.</w:t>
      </w:r>
    </w:p>
    <w:p w14:paraId="6B3DB904" w14:textId="6AE99B93" w:rsidR="00B7407B" w:rsidRPr="00B7407B" w:rsidRDefault="00B7407B" w:rsidP="00B7407B">
      <w:pPr>
        <w:spacing w:line="360" w:lineRule="auto"/>
        <w:jc w:val="both"/>
        <w:rPr>
          <w:rFonts w:ascii="Arial" w:hAnsi="Arial" w:cs="Arial"/>
        </w:rPr>
      </w:pPr>
      <w:r w:rsidRPr="00B7407B">
        <w:rPr>
          <w:rFonts w:ascii="Arial" w:hAnsi="Arial" w:cs="Arial"/>
          <w:b/>
          <w:bCs/>
        </w:rPr>
        <w:t>Data Protection, Consumer Privacy and Regulatory Compliance SOPs</w:t>
      </w:r>
    </w:p>
    <w:p w14:paraId="0766CE11" w14:textId="6D0730CB" w:rsidR="00437801" w:rsidRDefault="00B7407B" w:rsidP="00B7407B">
      <w:pPr>
        <w:spacing w:line="360" w:lineRule="auto"/>
        <w:jc w:val="both"/>
        <w:rPr>
          <w:rFonts w:ascii="Arial" w:hAnsi="Arial" w:cs="Arial"/>
        </w:rPr>
      </w:pPr>
      <w:r w:rsidRPr="00B7407B">
        <w:rPr>
          <w:rFonts w:ascii="Arial" w:hAnsi="Arial" w:cs="Arial"/>
        </w:rPr>
        <w:t xml:space="preserve">The General Data Protection Law (LGDP) of Brazil resembles the European GDPR yet presents other rules of enforcement and compliance. Volkswagen needs to change its </w:t>
      </w:r>
      <w:r w:rsidRPr="00B7407B">
        <w:rPr>
          <w:rFonts w:ascii="Arial" w:hAnsi="Arial" w:cs="Arial"/>
        </w:rPr>
        <w:lastRenderedPageBreak/>
        <w:t>SOPs of data management of customer data, telematics, vehicle trackers, and financial services. Such modifications must cover Brazil-specific data storage needs, compliance with local servers, and legal checks of the digital platforms that are mandatory. Compensation might be subjected to legal punishment and reputation loss of Volkswagen (UNCTAD, 2023). The correspondence of the SOPs to the regulations of Brazil will minimize the risks and reinforce the internal control over Volkswagen.</w:t>
      </w:r>
    </w:p>
    <w:p w14:paraId="3F67B9BF" w14:textId="4A45EF69" w:rsidR="00B7407B" w:rsidRPr="00B7407B" w:rsidRDefault="00B7407B" w:rsidP="00B7407B">
      <w:pPr>
        <w:spacing w:line="360" w:lineRule="auto"/>
        <w:jc w:val="both"/>
        <w:rPr>
          <w:rFonts w:ascii="Arial" w:hAnsi="Arial" w:cs="Arial"/>
        </w:rPr>
      </w:pPr>
      <w:r w:rsidRPr="00B7407B">
        <w:rPr>
          <w:rFonts w:ascii="Arial" w:hAnsi="Arial" w:cs="Arial"/>
          <w:b/>
          <w:bCs/>
        </w:rPr>
        <w:t>Cybersecurity and Operational Continuity SOPs</w:t>
      </w:r>
    </w:p>
    <w:p w14:paraId="644EE9E1" w14:textId="650E5C9B" w:rsidR="00B7407B" w:rsidRDefault="00B7407B" w:rsidP="00B7407B">
      <w:pPr>
        <w:spacing w:line="360" w:lineRule="auto"/>
        <w:jc w:val="both"/>
        <w:rPr>
          <w:rFonts w:ascii="Arial" w:hAnsi="Arial" w:cs="Arial"/>
        </w:rPr>
      </w:pPr>
      <w:r w:rsidRPr="00B7407B">
        <w:rPr>
          <w:rFonts w:ascii="Arial" w:hAnsi="Arial" w:cs="Arial"/>
        </w:rPr>
        <w:t>Brazil is a country with a stronger risk of cybercrime and online fraud compared to most of the emerging markets. This is especially exposed to automotive manufacturers such as Volkswagen, which has linked production platforms and customer platforms. VW ought to revise its SOPs to encompass Brazil-specific cybersecurity tests, periodic penetration tests and firewall assessments and develop crisis response guidelines to cyberattacks. The measures will aid in securing operations and technological assets and enhance the potential of Volkswagen to recover against digital threats.</w:t>
      </w:r>
    </w:p>
    <w:p w14:paraId="393DB1E6" w14:textId="256A380C" w:rsidR="00B7407B" w:rsidRPr="00B7407B" w:rsidRDefault="00B7407B" w:rsidP="00437801">
      <w:pPr>
        <w:pStyle w:val="Heading2"/>
      </w:pPr>
      <w:bookmarkStart w:id="40" w:name="_Toc216009409"/>
      <w:r w:rsidRPr="00B7407B">
        <w:t>5.5 SOP Adjustment 5: Sustainability, Environmental Compliance and Corporate Social Responsibility Procedures</w:t>
      </w:r>
      <w:bookmarkEnd w:id="40"/>
    </w:p>
    <w:p w14:paraId="4B811572" w14:textId="7EF2672A" w:rsidR="00437801" w:rsidRDefault="00B7407B" w:rsidP="00B7407B">
      <w:pPr>
        <w:spacing w:line="360" w:lineRule="auto"/>
        <w:jc w:val="both"/>
        <w:rPr>
          <w:rFonts w:ascii="Arial" w:hAnsi="Arial" w:cs="Arial"/>
        </w:rPr>
      </w:pPr>
      <w:r w:rsidRPr="00B7407B">
        <w:rPr>
          <w:rFonts w:ascii="Arial" w:hAnsi="Arial" w:cs="Arial"/>
        </w:rPr>
        <w:t>The fifth modification is about sustainability, environmental laws and corporate social responsibility (CSR). Though Volkswagen has stringent environmental regulations in the European market, the Brazilian regulations vary. Volkswagen should modify its SOPs to suit the environmental and social requirements of Brazil.</w:t>
      </w:r>
    </w:p>
    <w:p w14:paraId="50F06DD8" w14:textId="032A6DEB" w:rsidR="002F1339" w:rsidRPr="002F1339" w:rsidRDefault="002F1339" w:rsidP="00B7407B">
      <w:pPr>
        <w:spacing w:line="360" w:lineRule="auto"/>
        <w:jc w:val="both"/>
        <w:rPr>
          <w:rFonts w:asciiTheme="majorHAnsi" w:hAnsiTheme="majorHAnsi" w:cstheme="majorHAnsi"/>
          <w:i/>
          <w:iCs/>
          <w:color w:val="4472C4" w:themeColor="accent1"/>
          <w:sz w:val="22"/>
          <w:szCs w:val="22"/>
        </w:rPr>
      </w:pPr>
      <w:r>
        <w:rPr>
          <w:rFonts w:ascii="Arial" w:hAnsi="Arial" w:cs="Arial"/>
          <w:noProof/>
        </w:rPr>
        <w:drawing>
          <wp:anchor distT="0" distB="0" distL="114300" distR="114300" simplePos="0" relativeHeight="251658240" behindDoc="0" locked="0" layoutInCell="1" allowOverlap="1" wp14:anchorId="241D1AEA" wp14:editId="03DEBBA8">
            <wp:simplePos x="0" y="0"/>
            <wp:positionH relativeFrom="margin">
              <wp:align>center</wp:align>
            </wp:positionH>
            <wp:positionV relativeFrom="page">
              <wp:posOffset>6869817</wp:posOffset>
            </wp:positionV>
            <wp:extent cx="3609340" cy="2742565"/>
            <wp:effectExtent l="0" t="0" r="0" b="635"/>
            <wp:wrapTopAndBottom/>
            <wp:docPr id="6652649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64931" name="Picture 66526493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09340" cy="2742565"/>
                    </a:xfrm>
                    <a:prstGeom prst="rect">
                      <a:avLst/>
                    </a:prstGeom>
                  </pic:spPr>
                </pic:pic>
              </a:graphicData>
            </a:graphic>
            <wp14:sizeRelH relativeFrom="margin">
              <wp14:pctWidth>0</wp14:pctWidth>
            </wp14:sizeRelH>
            <wp14:sizeRelV relativeFrom="margin">
              <wp14:pctHeight>0</wp14:pctHeight>
            </wp14:sizeRelV>
          </wp:anchor>
        </w:drawing>
      </w:r>
      <w:r w:rsidRPr="002F1339">
        <w:rPr>
          <w:rFonts w:asciiTheme="majorHAnsi" w:hAnsiTheme="majorHAnsi" w:cstheme="majorHAnsi"/>
          <w:i/>
          <w:iCs/>
          <w:color w:val="4472C4" w:themeColor="accent1"/>
          <w:sz w:val="22"/>
          <w:szCs w:val="22"/>
        </w:rPr>
        <w:t>Figure 1</w:t>
      </w:r>
      <w:r w:rsidR="000962AE">
        <w:rPr>
          <w:rFonts w:asciiTheme="majorHAnsi" w:hAnsiTheme="majorHAnsi" w:cstheme="majorHAnsi"/>
          <w:i/>
          <w:iCs/>
          <w:color w:val="4472C4" w:themeColor="accent1"/>
          <w:sz w:val="22"/>
          <w:szCs w:val="22"/>
        </w:rPr>
        <w:t>4</w:t>
      </w:r>
      <w:r w:rsidRPr="002F1339">
        <w:rPr>
          <w:rFonts w:asciiTheme="majorHAnsi" w:hAnsiTheme="majorHAnsi" w:cstheme="majorHAnsi"/>
          <w:i/>
          <w:iCs/>
          <w:color w:val="4472C4" w:themeColor="accent1"/>
          <w:sz w:val="22"/>
          <w:szCs w:val="22"/>
        </w:rPr>
        <w:t>: Strategic SOP Adjustments for Volkswagen's Sustainability and CSR in Brazil</w:t>
      </w:r>
      <w:r w:rsidR="00140A37">
        <w:rPr>
          <w:rFonts w:asciiTheme="majorHAnsi" w:hAnsiTheme="majorHAnsi" w:cstheme="majorHAnsi"/>
          <w:i/>
          <w:iCs/>
          <w:color w:val="4472C4" w:themeColor="accent1"/>
          <w:sz w:val="22"/>
          <w:szCs w:val="22"/>
        </w:rPr>
        <w:t>.</w:t>
      </w:r>
    </w:p>
    <w:p w14:paraId="0EFC0885" w14:textId="0DDC86B4" w:rsidR="00B7407B" w:rsidRPr="00B7407B" w:rsidRDefault="00B7407B" w:rsidP="00B7407B">
      <w:pPr>
        <w:spacing w:line="360" w:lineRule="auto"/>
        <w:jc w:val="both"/>
        <w:rPr>
          <w:rFonts w:ascii="Arial" w:hAnsi="Arial" w:cs="Arial"/>
        </w:rPr>
      </w:pPr>
      <w:r w:rsidRPr="00B7407B">
        <w:rPr>
          <w:rFonts w:ascii="Arial" w:hAnsi="Arial" w:cs="Arial"/>
          <w:b/>
          <w:bCs/>
        </w:rPr>
        <w:lastRenderedPageBreak/>
        <w:t>Environmental Compliance and Emissions Management SOPs</w:t>
      </w:r>
    </w:p>
    <w:p w14:paraId="6113C544" w14:textId="55F5712C" w:rsidR="00437801" w:rsidRDefault="00B7407B" w:rsidP="0044395D">
      <w:pPr>
        <w:spacing w:line="360" w:lineRule="auto"/>
        <w:jc w:val="both"/>
        <w:rPr>
          <w:rFonts w:ascii="Arial" w:hAnsi="Arial" w:cs="Arial"/>
        </w:rPr>
      </w:pPr>
      <w:r w:rsidRPr="00B7407B">
        <w:rPr>
          <w:rFonts w:ascii="Arial" w:hAnsi="Arial" w:cs="Arial"/>
        </w:rPr>
        <w:t>Brazil has its emission regulations (PROCONVE), which are not similar to the Euro 6 regulations in Europe. The SOPs used by Volkswagen are supposed to have two checklists in order to be compliant with both European and Brazilian rules. Also, specific emissions testing and environmental audits of the Brazilian facilities by Volkswagen should be made country-specific. The inability to adjust may lead to the delay in production or court fines (UNCTAD, 2023).</w:t>
      </w:r>
    </w:p>
    <w:p w14:paraId="6EFCD907" w14:textId="68A93B96" w:rsidR="0044395D" w:rsidRPr="0044395D" w:rsidRDefault="0044395D" w:rsidP="0044395D">
      <w:pPr>
        <w:spacing w:line="360" w:lineRule="auto"/>
        <w:jc w:val="both"/>
        <w:rPr>
          <w:rFonts w:ascii="Arial" w:hAnsi="Arial" w:cs="Arial"/>
        </w:rPr>
      </w:pPr>
      <w:r w:rsidRPr="0044395D">
        <w:rPr>
          <w:rFonts w:ascii="Arial" w:hAnsi="Arial" w:cs="Arial"/>
          <w:b/>
          <w:bCs/>
        </w:rPr>
        <w:t>Sustainable Supply Chain and Ethical Sourcing SOPs</w:t>
      </w:r>
    </w:p>
    <w:p w14:paraId="674B902C" w14:textId="7D813C7B" w:rsidR="00437801" w:rsidRDefault="0044395D" w:rsidP="0044395D">
      <w:pPr>
        <w:spacing w:line="360" w:lineRule="auto"/>
        <w:jc w:val="both"/>
        <w:rPr>
          <w:rFonts w:ascii="Arial" w:hAnsi="Arial" w:cs="Arial"/>
        </w:rPr>
      </w:pPr>
      <w:r w:rsidRPr="0044395D">
        <w:rPr>
          <w:rFonts w:ascii="Arial" w:hAnsi="Arial" w:cs="Arial"/>
        </w:rPr>
        <w:t>The risks of exploitation and environmental harm in supply chains are also more frequent in emerging markets (Gereffi &amp; Fernandez-Stark, 2016). Volkswagen needs to revise its SOPs to mandate Brazilian suppliers to have their environmental, social, and governance (ESG) audited, should establish a zero-tolerance policy against environmental damage through its suppliers, and establish traceability measures of raw materials and logistics. These will enhance the management of the risks and safeguard the reputation of Volkswagen.</w:t>
      </w:r>
    </w:p>
    <w:p w14:paraId="39B67184" w14:textId="6C897C1C" w:rsidR="0044395D" w:rsidRPr="0044395D" w:rsidRDefault="0044395D" w:rsidP="0044395D">
      <w:pPr>
        <w:spacing w:line="360" w:lineRule="auto"/>
        <w:jc w:val="both"/>
        <w:rPr>
          <w:rFonts w:ascii="Arial" w:hAnsi="Arial" w:cs="Arial"/>
        </w:rPr>
      </w:pPr>
      <w:r w:rsidRPr="0044395D">
        <w:rPr>
          <w:rFonts w:ascii="Arial" w:hAnsi="Arial" w:cs="Arial"/>
          <w:b/>
          <w:bCs/>
        </w:rPr>
        <w:t>Community Engagement and CSR Integration SOPs</w:t>
      </w:r>
    </w:p>
    <w:p w14:paraId="179BA5C3" w14:textId="57E5CD64" w:rsidR="000E6090" w:rsidRDefault="000E6090" w:rsidP="000E6090">
      <w:pPr>
        <w:spacing w:line="360" w:lineRule="auto"/>
        <w:jc w:val="both"/>
        <w:rPr>
          <w:rFonts w:ascii="Arial" w:hAnsi="Arial" w:cs="Arial"/>
        </w:rPr>
      </w:pPr>
      <w:r w:rsidRPr="000E6090">
        <w:rPr>
          <w:rFonts w:ascii="Arial" w:hAnsi="Arial" w:cs="Arial"/>
        </w:rPr>
        <w:t>The Brazilian society has great emphasis on community development and environmental protection. VW needs to institutionalize its CSR programmes, such as community investment and education programmes, as well as green transport project guidelines. CRS will promote consumer trust and brand legitimacy in Volkswagen in the context of its alignment with the local values (De Mooij, 2019).</w:t>
      </w:r>
    </w:p>
    <w:p w14:paraId="5C9BBC22" w14:textId="63B15A0D" w:rsidR="00901924" w:rsidRDefault="000E6090" w:rsidP="00615EB2">
      <w:pPr>
        <w:spacing w:line="360" w:lineRule="auto"/>
        <w:jc w:val="both"/>
        <w:rPr>
          <w:rFonts w:ascii="Arial" w:hAnsi="Arial" w:cs="Arial"/>
        </w:rPr>
      </w:pPr>
      <w:r w:rsidRPr="000E6090">
        <w:rPr>
          <w:rFonts w:ascii="Arial" w:hAnsi="Arial" w:cs="Arial"/>
          <w:b/>
          <w:bCs/>
        </w:rPr>
        <w:t>Overall,</w:t>
      </w:r>
      <w:r w:rsidRPr="000E6090">
        <w:rPr>
          <w:rFonts w:ascii="Arial" w:hAnsi="Arial" w:cs="Arial"/>
        </w:rPr>
        <w:t xml:space="preserve"> </w:t>
      </w:r>
      <w:r w:rsidR="00901924" w:rsidRPr="00901924">
        <w:rPr>
          <w:rFonts w:ascii="Arial" w:hAnsi="Arial" w:cs="Arial"/>
        </w:rPr>
        <w:t>Five proposed SOP changes improve Volkswagen's compatibility with the Brazilian institutional, cultural and regulatory surroundings. The first focuses on localisation of HRM and leadership for higher integration of the staff. The second strengthens supply chain management and change management. The third adapts purchaser touch and marketing to Brazilian subculture. The fourth emphasises digital operations, facts governance and cyber security for technology ownership advantages. Fifth, toughen sustainability, environmental compliance and CSR to conform with policies and ensure long-term consideration from stakeholders in Brazil.</w:t>
      </w:r>
    </w:p>
    <w:p w14:paraId="5619532A" w14:textId="7851184F" w:rsidR="000869F9" w:rsidRPr="000869F9" w:rsidRDefault="00877149" w:rsidP="000869F9">
      <w:pPr>
        <w:pStyle w:val="Heading1"/>
      </w:pPr>
      <w:bookmarkStart w:id="41" w:name="_Toc215538934"/>
      <w:bookmarkStart w:id="42" w:name="_Toc216009410"/>
      <w:r>
        <w:lastRenderedPageBreak/>
        <w:t xml:space="preserve">6. </w:t>
      </w:r>
      <w:r w:rsidR="000869F9" w:rsidRPr="000869F9">
        <w:t>Conclusion</w:t>
      </w:r>
      <w:bookmarkEnd w:id="41"/>
      <w:bookmarkEnd w:id="42"/>
    </w:p>
    <w:p w14:paraId="6517AE02" w14:textId="393E61F2" w:rsidR="002140F5" w:rsidRPr="002140F5" w:rsidRDefault="002140F5" w:rsidP="002140F5">
      <w:pPr>
        <w:spacing w:line="360" w:lineRule="auto"/>
        <w:jc w:val="both"/>
        <w:rPr>
          <w:rFonts w:ascii="Arial" w:hAnsi="Arial" w:cs="Arial"/>
        </w:rPr>
      </w:pPr>
      <w:r w:rsidRPr="002140F5">
        <w:rPr>
          <w:rFonts w:ascii="Arial" w:hAnsi="Arial" w:cs="Arial"/>
        </w:rPr>
        <w:t>This report has discussed the global business of Volkswagen Group (VW) and assessed its business strategy in the Brazilian emerging market. Being a major multinational company with a large global value chain operation, VW has been in a position of enjoying economies of scale, technological leadership and internalized production systems which help them to be highly competitive in the world arena. Nevertheless, as analysed, going into emerging markets like Brazil will have its opportunities and challenges, which are influenced by institutional, cultural and locational factors.</w:t>
      </w:r>
    </w:p>
    <w:p w14:paraId="587B7FB5" w14:textId="21BBD442" w:rsidR="002140F5" w:rsidRPr="002140F5" w:rsidRDefault="002140F5" w:rsidP="002140F5">
      <w:pPr>
        <w:spacing w:line="360" w:lineRule="auto"/>
        <w:jc w:val="both"/>
        <w:rPr>
          <w:rFonts w:ascii="Arial" w:hAnsi="Arial" w:cs="Arial"/>
        </w:rPr>
      </w:pPr>
      <w:r w:rsidRPr="002140F5">
        <w:rPr>
          <w:rFonts w:ascii="Arial" w:hAnsi="Arial" w:cs="Arial"/>
        </w:rPr>
        <w:t>The utilization of the OLI paradigm showed that the ownership benefits of VW, such as brand equity, R&amp;D capabilities and proprietary technologies, help to support high-commitment entry modes, whereas the Brazilian advantages of location, which include market size and existing automotive clusters, warrant long-term investments. However, internalisation is critical towards quality control and stability of the supply chain. Cultural assessment also revealed major disparities between Germany and Brazil in terms of communication, hierarchy, uncertainty avoidance and relationship norms that have implications on the management practices, market engagement and business success of VW.</w:t>
      </w:r>
    </w:p>
    <w:p w14:paraId="197128F2" w14:textId="14DF1BB2" w:rsidR="00E179F3" w:rsidRDefault="002140F5" w:rsidP="002140F5">
      <w:pPr>
        <w:spacing w:line="360" w:lineRule="auto"/>
        <w:jc w:val="both"/>
        <w:rPr>
          <w:rFonts w:ascii="Arial" w:hAnsi="Arial" w:cs="Arial"/>
        </w:rPr>
      </w:pPr>
      <w:r w:rsidRPr="002140F5">
        <w:rPr>
          <w:rFonts w:ascii="Arial" w:hAnsi="Arial" w:cs="Arial"/>
        </w:rPr>
        <w:t>On the basis of these revelations, the report made three significant SOP changes that comprised HRM localisation, restructuring the supply chain and adapting to customer engagement. These changes will allow VW to be more within the global capabilities in accordance with Brazilian cultural, institutional and market conditions and will result in increased competitiveness and sustainability in the long term for VW in the new economy.</w:t>
      </w:r>
    </w:p>
    <w:p w14:paraId="1E1803AF" w14:textId="77777777" w:rsidR="00E179F3" w:rsidRDefault="00E179F3" w:rsidP="000869F9">
      <w:pPr>
        <w:spacing w:line="360" w:lineRule="auto"/>
        <w:jc w:val="both"/>
        <w:rPr>
          <w:rFonts w:ascii="Arial" w:hAnsi="Arial" w:cs="Arial"/>
        </w:rPr>
      </w:pPr>
    </w:p>
    <w:p w14:paraId="476DA5BC" w14:textId="77777777" w:rsidR="00BE4839" w:rsidRDefault="00BE4839" w:rsidP="000869F9">
      <w:pPr>
        <w:spacing w:line="360" w:lineRule="auto"/>
        <w:jc w:val="both"/>
        <w:rPr>
          <w:rFonts w:ascii="Arial" w:hAnsi="Arial" w:cs="Arial"/>
        </w:rPr>
      </w:pPr>
    </w:p>
    <w:p w14:paraId="31159EC9" w14:textId="77777777" w:rsidR="00BE4839" w:rsidRDefault="00BE4839" w:rsidP="000869F9">
      <w:pPr>
        <w:spacing w:line="360" w:lineRule="auto"/>
        <w:jc w:val="both"/>
        <w:rPr>
          <w:rFonts w:ascii="Arial" w:hAnsi="Arial" w:cs="Arial"/>
        </w:rPr>
      </w:pPr>
    </w:p>
    <w:p w14:paraId="7E072D9E" w14:textId="77777777" w:rsidR="00E179F3" w:rsidRDefault="00E179F3" w:rsidP="000869F9">
      <w:pPr>
        <w:spacing w:line="360" w:lineRule="auto"/>
        <w:jc w:val="both"/>
        <w:rPr>
          <w:rFonts w:ascii="Arial" w:hAnsi="Arial" w:cs="Arial"/>
        </w:rPr>
      </w:pPr>
    </w:p>
    <w:p w14:paraId="188CC380" w14:textId="60CA6C2F" w:rsidR="00E179F3" w:rsidRPr="00E93EBE" w:rsidRDefault="00E179F3" w:rsidP="00E93EBE">
      <w:pPr>
        <w:pStyle w:val="Heading1"/>
      </w:pPr>
      <w:bookmarkStart w:id="43" w:name="_Toc215538935"/>
      <w:bookmarkStart w:id="44" w:name="_Toc216009411"/>
      <w:r w:rsidRPr="00E93EBE">
        <w:lastRenderedPageBreak/>
        <w:t>References</w:t>
      </w:r>
      <w:bookmarkEnd w:id="43"/>
      <w:bookmarkEnd w:id="44"/>
      <w:r w:rsidRPr="00E93EBE">
        <w:t xml:space="preserve"> </w:t>
      </w:r>
    </w:p>
    <w:p w14:paraId="2C794242"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Ahlstrom, D. and Bruton, G. (2010) </w:t>
      </w:r>
      <w:r w:rsidRPr="00E179F3">
        <w:rPr>
          <w:rFonts w:ascii="Arial" w:hAnsi="Arial" w:cs="Arial"/>
          <w:i/>
          <w:iCs/>
        </w:rPr>
        <w:t>International Management: Strategy and Culture in the Emerging World</w:t>
      </w:r>
      <w:r w:rsidRPr="00E179F3">
        <w:rPr>
          <w:rFonts w:ascii="Arial" w:hAnsi="Arial" w:cs="Arial"/>
        </w:rPr>
        <w:t>. 2nd edn. Mason: Cengage Learning.</w:t>
      </w:r>
    </w:p>
    <w:p w14:paraId="65097D11" w14:textId="4D98D1B4"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Barkema, H. and Vermeulen, F. (1998) ‘International expansion through start-up or acquisition: </w:t>
      </w:r>
      <w:r w:rsidRPr="00E179F3">
        <w:rPr>
          <w:rFonts w:ascii="Arial" w:hAnsi="Arial" w:cs="Arial"/>
          <w:i/>
          <w:iCs/>
        </w:rPr>
        <w:t>Academy of Management Journal</w:t>
      </w:r>
      <w:r w:rsidRPr="00E179F3">
        <w:rPr>
          <w:rFonts w:ascii="Arial" w:hAnsi="Arial" w:cs="Arial"/>
        </w:rPr>
        <w:t>, 41(1), pp. 7–26.</w:t>
      </w:r>
    </w:p>
    <w:p w14:paraId="02A65A5A"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Buckley, P.J. and Casson, M. (1998) ‘Analyzing foreign market entry strategies: Extending the internalization approach’, </w:t>
      </w:r>
      <w:r w:rsidRPr="00E179F3">
        <w:rPr>
          <w:rFonts w:ascii="Arial" w:hAnsi="Arial" w:cs="Arial"/>
          <w:i/>
          <w:iCs/>
        </w:rPr>
        <w:t>Journal of International Business Studies</w:t>
      </w:r>
      <w:r w:rsidRPr="00E179F3">
        <w:rPr>
          <w:rFonts w:ascii="Arial" w:hAnsi="Arial" w:cs="Arial"/>
        </w:rPr>
        <w:t>, 29(3), pp. 539–561.</w:t>
      </w:r>
    </w:p>
    <w:p w14:paraId="5971C3A3"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Cavusgil, S.T., Knight, G. and Riesenberger, J. (2017) </w:t>
      </w:r>
      <w:r w:rsidRPr="00E179F3">
        <w:rPr>
          <w:rFonts w:ascii="Arial" w:hAnsi="Arial" w:cs="Arial"/>
          <w:i/>
          <w:iCs/>
        </w:rPr>
        <w:t>International Business</w:t>
      </w:r>
      <w:r w:rsidRPr="00E179F3">
        <w:rPr>
          <w:rFonts w:ascii="Arial" w:hAnsi="Arial" w:cs="Arial"/>
        </w:rPr>
        <w:t>. 4th edn. Harlow: Pearson.</w:t>
      </w:r>
    </w:p>
    <w:p w14:paraId="78150D82" w14:textId="11EBB4CE"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Cuervo-</w:t>
      </w:r>
      <w:r w:rsidR="00E93EBE" w:rsidRPr="00E179F3">
        <w:rPr>
          <w:rFonts w:ascii="Arial" w:hAnsi="Arial" w:cs="Arial"/>
        </w:rPr>
        <w:t>Cazorla</w:t>
      </w:r>
      <w:r w:rsidRPr="00E179F3">
        <w:rPr>
          <w:rFonts w:ascii="Arial" w:hAnsi="Arial" w:cs="Arial"/>
        </w:rPr>
        <w:t xml:space="preserve">, A. (2012) ‘Extending theory by analyzing developing country multinational companies: Solving the Goldilocks debate’, </w:t>
      </w:r>
      <w:r w:rsidRPr="00E179F3">
        <w:rPr>
          <w:rFonts w:ascii="Arial" w:hAnsi="Arial" w:cs="Arial"/>
          <w:i/>
          <w:iCs/>
        </w:rPr>
        <w:t>Global Strategy Journal</w:t>
      </w:r>
      <w:r w:rsidRPr="00E179F3">
        <w:rPr>
          <w:rFonts w:ascii="Arial" w:hAnsi="Arial" w:cs="Arial"/>
        </w:rPr>
        <w:t>, 2(3), pp. 153–167.</w:t>
      </w:r>
    </w:p>
    <w:p w14:paraId="66A07366" w14:textId="54452475"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Da Rocha, A. and da Silva, J. (2009) ‘Entry modes and performance of Brazilian firms in Latin America’, </w:t>
      </w:r>
      <w:r w:rsidRPr="00E179F3">
        <w:rPr>
          <w:rFonts w:ascii="Arial" w:hAnsi="Arial" w:cs="Arial"/>
          <w:i/>
          <w:iCs/>
        </w:rPr>
        <w:t xml:space="preserve">Academia </w:t>
      </w:r>
      <w:r w:rsidR="00E93EBE" w:rsidRPr="00E179F3">
        <w:rPr>
          <w:rFonts w:ascii="Arial" w:hAnsi="Arial" w:cs="Arial"/>
          <w:i/>
          <w:iCs/>
        </w:rPr>
        <w:t>Revita</w:t>
      </w:r>
      <w:r w:rsidRPr="00E179F3">
        <w:rPr>
          <w:rFonts w:ascii="Arial" w:hAnsi="Arial" w:cs="Arial"/>
          <w:i/>
          <w:iCs/>
        </w:rPr>
        <w:t xml:space="preserve"> Latinoamericana de Administración</w:t>
      </w:r>
      <w:r w:rsidRPr="00E179F3">
        <w:rPr>
          <w:rFonts w:ascii="Arial" w:hAnsi="Arial" w:cs="Arial"/>
        </w:rPr>
        <w:t>, 42(1), pp. 55–75.</w:t>
      </w:r>
    </w:p>
    <w:p w14:paraId="3C5377CC"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De Mooij, M. (2019) </w:t>
      </w:r>
      <w:r w:rsidRPr="00E179F3">
        <w:rPr>
          <w:rFonts w:ascii="Arial" w:hAnsi="Arial" w:cs="Arial"/>
          <w:i/>
          <w:iCs/>
        </w:rPr>
        <w:t>Global Marketing and Advertising: Understanding Cultural Paradoxes</w:t>
      </w:r>
      <w:r w:rsidRPr="00E179F3">
        <w:rPr>
          <w:rFonts w:ascii="Arial" w:hAnsi="Arial" w:cs="Arial"/>
        </w:rPr>
        <w:t>. 5th edn. Thousand Oaks: Sage.</w:t>
      </w:r>
    </w:p>
    <w:p w14:paraId="47ABF4D4"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Dunning, J.H. (2000) ‘The eclectic paradigm as an envelope for economic and business theories of MNE activity’, </w:t>
      </w:r>
      <w:r w:rsidRPr="00E179F3">
        <w:rPr>
          <w:rFonts w:ascii="Arial" w:hAnsi="Arial" w:cs="Arial"/>
          <w:i/>
          <w:iCs/>
        </w:rPr>
        <w:t>International Business Review</w:t>
      </w:r>
      <w:r w:rsidRPr="00E179F3">
        <w:rPr>
          <w:rFonts w:ascii="Arial" w:hAnsi="Arial" w:cs="Arial"/>
        </w:rPr>
        <w:t>, 9(2), pp. 163–190.</w:t>
      </w:r>
    </w:p>
    <w:p w14:paraId="34396DC6"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Dunning, J.H. and Lundan, S.M. (2008) </w:t>
      </w:r>
      <w:r w:rsidRPr="00E179F3">
        <w:rPr>
          <w:rFonts w:ascii="Arial" w:hAnsi="Arial" w:cs="Arial"/>
          <w:i/>
          <w:iCs/>
        </w:rPr>
        <w:t>Multinational Enterprises and the Global Economy</w:t>
      </w:r>
      <w:r w:rsidRPr="00E179F3">
        <w:rPr>
          <w:rFonts w:ascii="Arial" w:hAnsi="Arial" w:cs="Arial"/>
        </w:rPr>
        <w:t>. 2nd edn. Cheltenham: Edward Elgar.</w:t>
      </w:r>
    </w:p>
    <w:p w14:paraId="65E761CF"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Gereffi, G. and Fernandez-Stark, K. (2016) </w:t>
      </w:r>
      <w:r w:rsidRPr="00E179F3">
        <w:rPr>
          <w:rFonts w:ascii="Arial" w:hAnsi="Arial" w:cs="Arial"/>
          <w:i/>
          <w:iCs/>
        </w:rPr>
        <w:t>Global Value Chain Analysis: A Primer</w:t>
      </w:r>
      <w:r w:rsidRPr="00E179F3">
        <w:rPr>
          <w:rFonts w:ascii="Arial" w:hAnsi="Arial" w:cs="Arial"/>
        </w:rPr>
        <w:t>. Duke University.</w:t>
      </w:r>
    </w:p>
    <w:p w14:paraId="71A50C96"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Ghemawat, P. (2007) </w:t>
      </w:r>
      <w:r w:rsidRPr="00E179F3">
        <w:rPr>
          <w:rFonts w:ascii="Arial" w:hAnsi="Arial" w:cs="Arial"/>
          <w:i/>
          <w:iCs/>
        </w:rPr>
        <w:t>Redefining Global Strategy</w:t>
      </w:r>
      <w:r w:rsidRPr="00E179F3">
        <w:rPr>
          <w:rFonts w:ascii="Arial" w:hAnsi="Arial" w:cs="Arial"/>
        </w:rPr>
        <w:t>. Boston: Harvard Business School Press.</w:t>
      </w:r>
    </w:p>
    <w:p w14:paraId="04A85BFF"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Hofstede, G. (2011) ‘Dimensional zing cultures: The Hofstede model in context’, </w:t>
      </w:r>
      <w:r w:rsidRPr="00E179F3">
        <w:rPr>
          <w:rFonts w:ascii="Arial" w:hAnsi="Arial" w:cs="Arial"/>
          <w:i/>
          <w:iCs/>
        </w:rPr>
        <w:t>Online Readings in Psychology and Culture</w:t>
      </w:r>
      <w:r w:rsidRPr="00E179F3">
        <w:rPr>
          <w:rFonts w:ascii="Arial" w:hAnsi="Arial" w:cs="Arial"/>
        </w:rPr>
        <w:t>, 2(1), pp. 1–26.</w:t>
      </w:r>
    </w:p>
    <w:p w14:paraId="0D8BC6AC"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Hymer, S. (1976) </w:t>
      </w:r>
      <w:r w:rsidRPr="00E179F3">
        <w:rPr>
          <w:rFonts w:ascii="Arial" w:hAnsi="Arial" w:cs="Arial"/>
          <w:i/>
          <w:iCs/>
        </w:rPr>
        <w:t>The International Operations of National Firms: A Study of Direct Foreign Investment</w:t>
      </w:r>
      <w:r w:rsidRPr="00E179F3">
        <w:rPr>
          <w:rFonts w:ascii="Arial" w:hAnsi="Arial" w:cs="Arial"/>
        </w:rPr>
        <w:t>. Cambridge, MA: MIT Press.</w:t>
      </w:r>
    </w:p>
    <w:p w14:paraId="130AC11F" w14:textId="7BB70CC9"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lastRenderedPageBreak/>
        <w:t xml:space="preserve">Johanson, J. and Vahlne, J. (2009) ‘The Uppsala internationalization process model </w:t>
      </w:r>
      <w:r w:rsidR="00E93EBE" w:rsidRPr="00E179F3">
        <w:rPr>
          <w:rFonts w:ascii="Arial" w:hAnsi="Arial" w:cs="Arial"/>
        </w:rPr>
        <w:t>revisited:</w:t>
      </w:r>
      <w:r w:rsidR="00E93EBE" w:rsidRPr="00E179F3">
        <w:rPr>
          <w:rFonts w:ascii="Arial" w:hAnsi="Arial" w:cs="Arial"/>
          <w:i/>
          <w:iCs/>
        </w:rPr>
        <w:t xml:space="preserve"> Journal</w:t>
      </w:r>
      <w:r w:rsidRPr="00E179F3">
        <w:rPr>
          <w:rFonts w:ascii="Arial" w:hAnsi="Arial" w:cs="Arial"/>
          <w:i/>
          <w:iCs/>
        </w:rPr>
        <w:t xml:space="preserve"> of International Business Studies</w:t>
      </w:r>
      <w:r w:rsidRPr="00E179F3">
        <w:rPr>
          <w:rFonts w:ascii="Arial" w:hAnsi="Arial" w:cs="Arial"/>
        </w:rPr>
        <w:t>, 40(9), pp. 1411–1431.</w:t>
      </w:r>
    </w:p>
    <w:p w14:paraId="24E21E26"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Kotabe, M. and Helsen, K. (2020) </w:t>
      </w:r>
      <w:r w:rsidRPr="00E179F3">
        <w:rPr>
          <w:rFonts w:ascii="Arial" w:hAnsi="Arial" w:cs="Arial"/>
          <w:i/>
          <w:iCs/>
        </w:rPr>
        <w:t>Global Marketing Management</w:t>
      </w:r>
      <w:r w:rsidRPr="00E179F3">
        <w:rPr>
          <w:rFonts w:ascii="Arial" w:hAnsi="Arial" w:cs="Arial"/>
        </w:rPr>
        <w:t>. 8th edn. Hoboken: Wiley.</w:t>
      </w:r>
    </w:p>
    <w:p w14:paraId="17527FF1"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Luo, Y. (2002) </w:t>
      </w:r>
      <w:r w:rsidRPr="00E179F3">
        <w:rPr>
          <w:rFonts w:ascii="Arial" w:hAnsi="Arial" w:cs="Arial"/>
          <w:i/>
          <w:iCs/>
        </w:rPr>
        <w:t>Multinational Enterprises in Emerging Markets</w:t>
      </w:r>
      <w:r w:rsidRPr="00E179F3">
        <w:rPr>
          <w:rFonts w:ascii="Arial" w:hAnsi="Arial" w:cs="Arial"/>
        </w:rPr>
        <w:t>. Copenhagen: Copenhagen Business School Press.</w:t>
      </w:r>
    </w:p>
    <w:p w14:paraId="65C7316E" w14:textId="35D013ED"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Luo, Y. and Tung, R.L. (2007) ‘International expansion of emerging market enterprises: A springboard perspective</w:t>
      </w:r>
      <w:r w:rsidR="00E93EBE">
        <w:rPr>
          <w:rFonts w:ascii="Arial" w:hAnsi="Arial" w:cs="Arial"/>
        </w:rPr>
        <w:t xml:space="preserve">; </w:t>
      </w:r>
      <w:r w:rsidRPr="00E179F3">
        <w:rPr>
          <w:rFonts w:ascii="Arial" w:hAnsi="Arial" w:cs="Arial"/>
        </w:rPr>
        <w:t>38(4), pp. 481–498.</w:t>
      </w:r>
    </w:p>
    <w:p w14:paraId="4E41EAA2"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Meyer, K.E. (2001) ‘Institutions, transaction costs, and entry mode choice in Eastern Europe’, </w:t>
      </w:r>
      <w:r w:rsidRPr="00E179F3">
        <w:rPr>
          <w:rFonts w:ascii="Arial" w:hAnsi="Arial" w:cs="Arial"/>
          <w:i/>
          <w:iCs/>
        </w:rPr>
        <w:t>Journal of International Business Studies</w:t>
      </w:r>
      <w:r w:rsidRPr="00E179F3">
        <w:rPr>
          <w:rFonts w:ascii="Arial" w:hAnsi="Arial" w:cs="Arial"/>
        </w:rPr>
        <w:t>, 32(2), pp. 357–367.</w:t>
      </w:r>
    </w:p>
    <w:p w14:paraId="1217C015"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Meyer, K.E. and Peng, M.W. (2016) ‘Theoretical foundations of emerging economy business research’, </w:t>
      </w:r>
      <w:r w:rsidRPr="00E179F3">
        <w:rPr>
          <w:rFonts w:ascii="Arial" w:hAnsi="Arial" w:cs="Arial"/>
          <w:i/>
          <w:iCs/>
        </w:rPr>
        <w:t>Journal of International Business Studies</w:t>
      </w:r>
      <w:r w:rsidRPr="00E179F3">
        <w:rPr>
          <w:rFonts w:ascii="Arial" w:hAnsi="Arial" w:cs="Arial"/>
        </w:rPr>
        <w:t>, 47(1), pp. 3–22.</w:t>
      </w:r>
    </w:p>
    <w:p w14:paraId="40C747B9"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Narula, R. (2014) ‘Exploring the paradox of competence-creating subsidiaries: Balancing bandwidth and bricolage’, </w:t>
      </w:r>
      <w:r w:rsidRPr="00E179F3">
        <w:rPr>
          <w:rFonts w:ascii="Arial" w:hAnsi="Arial" w:cs="Arial"/>
          <w:i/>
          <w:iCs/>
        </w:rPr>
        <w:t>Long Range Planning</w:t>
      </w:r>
      <w:r w:rsidRPr="00E179F3">
        <w:rPr>
          <w:rFonts w:ascii="Arial" w:hAnsi="Arial" w:cs="Arial"/>
        </w:rPr>
        <w:t>, 47(1), pp. 4–13.</w:t>
      </w:r>
    </w:p>
    <w:p w14:paraId="7E342895"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Rugman, A.M. and Verbeke, A. (2004) ‘A perspective on regional and global strategies of multinational enterprises’, </w:t>
      </w:r>
      <w:r w:rsidRPr="00E179F3">
        <w:rPr>
          <w:rFonts w:ascii="Arial" w:hAnsi="Arial" w:cs="Arial"/>
          <w:i/>
          <w:iCs/>
        </w:rPr>
        <w:t>International Business Studies</w:t>
      </w:r>
      <w:r w:rsidRPr="00E179F3">
        <w:rPr>
          <w:rFonts w:ascii="Arial" w:hAnsi="Arial" w:cs="Arial"/>
        </w:rPr>
        <w:t>, 35(1), pp. 3–18.</w:t>
      </w:r>
    </w:p>
    <w:p w14:paraId="32D9A12E"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Thomas, D. and Peterson, M. (2018) </w:t>
      </w:r>
      <w:r w:rsidRPr="00E179F3">
        <w:rPr>
          <w:rFonts w:ascii="Arial" w:hAnsi="Arial" w:cs="Arial"/>
          <w:i/>
          <w:iCs/>
        </w:rPr>
        <w:t>Cross-Cultural Management: Essential Concepts</w:t>
      </w:r>
      <w:r w:rsidRPr="00E179F3">
        <w:rPr>
          <w:rFonts w:ascii="Arial" w:hAnsi="Arial" w:cs="Arial"/>
        </w:rPr>
        <w:t>. 4th edn. Thousand Oaks: Sage.</w:t>
      </w:r>
    </w:p>
    <w:p w14:paraId="4F1A3262"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UNCTAD (2023) </w:t>
      </w:r>
      <w:r w:rsidRPr="00E179F3">
        <w:rPr>
          <w:rFonts w:ascii="Arial" w:hAnsi="Arial" w:cs="Arial"/>
          <w:i/>
          <w:iCs/>
        </w:rPr>
        <w:t>World Investment Report 2023</w:t>
      </w:r>
      <w:r w:rsidRPr="00E179F3">
        <w:rPr>
          <w:rFonts w:ascii="Arial" w:hAnsi="Arial" w:cs="Arial"/>
        </w:rPr>
        <w:t>. Geneva: United Nations Publications.</w:t>
      </w:r>
    </w:p>
    <w:p w14:paraId="1FD504DF"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Volkswagen Group (2023) </w:t>
      </w:r>
      <w:r w:rsidRPr="00E179F3">
        <w:rPr>
          <w:rFonts w:ascii="Arial" w:hAnsi="Arial" w:cs="Arial"/>
          <w:i/>
          <w:iCs/>
        </w:rPr>
        <w:t>Annual Report 2023</w:t>
      </w:r>
      <w:r w:rsidRPr="00E179F3">
        <w:rPr>
          <w:rFonts w:ascii="Arial" w:hAnsi="Arial" w:cs="Arial"/>
        </w:rPr>
        <w:t>. Wolfsburg: Volkswagen AG.</w:t>
      </w:r>
    </w:p>
    <w:p w14:paraId="490A0563"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Xu, S. and Cavusgil, S.T. (2015) ‘Marketing strategy adaptation and performance in international markets’, </w:t>
      </w:r>
      <w:r w:rsidRPr="00E179F3">
        <w:rPr>
          <w:rFonts w:ascii="Arial" w:hAnsi="Arial" w:cs="Arial"/>
          <w:i/>
          <w:iCs/>
        </w:rPr>
        <w:t>Journal of International Marketing</w:t>
      </w:r>
      <w:r w:rsidRPr="00E179F3">
        <w:rPr>
          <w:rFonts w:ascii="Arial" w:hAnsi="Arial" w:cs="Arial"/>
        </w:rPr>
        <w:t>, 23(3), pp. 1–21.</w:t>
      </w:r>
    </w:p>
    <w:p w14:paraId="721A4F8B" w14:textId="43C0E2DE" w:rsidR="00E179F3" w:rsidRPr="00E179F3" w:rsidRDefault="00E179F3">
      <w:pPr>
        <w:pStyle w:val="ListParagraph"/>
        <w:numPr>
          <w:ilvl w:val="0"/>
          <w:numId w:val="1"/>
        </w:numPr>
        <w:spacing w:line="360" w:lineRule="auto"/>
        <w:jc w:val="both"/>
        <w:rPr>
          <w:rFonts w:ascii="Arial" w:hAnsi="Arial" w:cs="Arial"/>
        </w:rPr>
      </w:pPr>
      <w:r w:rsidRPr="00E179F3">
        <w:rPr>
          <w:rFonts w:ascii="Arial" w:hAnsi="Arial" w:cs="Arial"/>
        </w:rPr>
        <w:t>Zhang, M. and Morris, J.L. (2014)</w:t>
      </w:r>
      <w:r w:rsidR="00E93EBE">
        <w:rPr>
          <w:rFonts w:ascii="Arial" w:hAnsi="Arial" w:cs="Arial"/>
        </w:rPr>
        <w:t xml:space="preserve"> </w:t>
      </w:r>
      <w:r w:rsidRPr="00E179F3">
        <w:rPr>
          <w:rFonts w:ascii="Arial" w:hAnsi="Arial" w:cs="Arial"/>
          <w:i/>
          <w:iCs/>
        </w:rPr>
        <w:t>International Journal of Human Resource Management</w:t>
      </w:r>
      <w:r w:rsidRPr="00E179F3">
        <w:rPr>
          <w:rFonts w:ascii="Arial" w:hAnsi="Arial" w:cs="Arial"/>
        </w:rPr>
        <w:t>, 25(1), pp. 68–90.</w:t>
      </w:r>
    </w:p>
    <w:p w14:paraId="067BCF40" w14:textId="77777777" w:rsidR="00E179F3" w:rsidRPr="000869F9" w:rsidRDefault="00E179F3" w:rsidP="000869F9">
      <w:pPr>
        <w:spacing w:line="360" w:lineRule="auto"/>
        <w:jc w:val="both"/>
        <w:rPr>
          <w:rFonts w:ascii="Arial" w:hAnsi="Arial" w:cs="Arial"/>
        </w:rPr>
      </w:pPr>
    </w:p>
    <w:p w14:paraId="028D996C" w14:textId="77777777" w:rsidR="000869F9" w:rsidRPr="00615EB2" w:rsidRDefault="000869F9" w:rsidP="00615EB2">
      <w:pPr>
        <w:spacing w:line="360" w:lineRule="auto"/>
        <w:jc w:val="both"/>
        <w:rPr>
          <w:rFonts w:ascii="Arial" w:hAnsi="Arial" w:cs="Arial"/>
        </w:rPr>
      </w:pPr>
    </w:p>
    <w:p w14:paraId="2056865A" w14:textId="77777777" w:rsidR="00615EB2" w:rsidRPr="009A3DA8" w:rsidRDefault="00615EB2" w:rsidP="009A3DA8">
      <w:pPr>
        <w:spacing w:line="360" w:lineRule="auto"/>
        <w:jc w:val="both"/>
        <w:rPr>
          <w:rFonts w:ascii="Arial" w:hAnsi="Arial" w:cs="Arial"/>
        </w:rPr>
      </w:pPr>
    </w:p>
    <w:p w14:paraId="41679CF6" w14:textId="77777777" w:rsidR="009A3DA8" w:rsidRPr="004C0BAF" w:rsidRDefault="009A3DA8" w:rsidP="004C0BAF">
      <w:pPr>
        <w:spacing w:line="360" w:lineRule="auto"/>
        <w:jc w:val="both"/>
        <w:rPr>
          <w:rFonts w:ascii="Arial" w:hAnsi="Arial" w:cs="Arial"/>
        </w:rPr>
      </w:pPr>
    </w:p>
    <w:p w14:paraId="4CC3438B" w14:textId="6BF73FAE" w:rsidR="004C0BAF" w:rsidRDefault="00023134" w:rsidP="007E07B2">
      <w:pPr>
        <w:pStyle w:val="Heading1"/>
      </w:pPr>
      <w:bookmarkStart w:id="45" w:name="_Toc215538936"/>
      <w:bookmarkStart w:id="46" w:name="_Toc216009412"/>
      <w:r w:rsidRPr="00023134">
        <w:lastRenderedPageBreak/>
        <w:t>Appendices</w:t>
      </w:r>
      <w:bookmarkEnd w:id="45"/>
      <w:bookmarkEnd w:id="46"/>
    </w:p>
    <w:p w14:paraId="4A21AFD3" w14:textId="5FE736F4" w:rsidR="00023134" w:rsidRDefault="00023134" w:rsidP="007E07B2">
      <w:pPr>
        <w:pStyle w:val="Heading2"/>
      </w:pPr>
      <w:bookmarkStart w:id="47" w:name="_Toc215538937"/>
      <w:bookmarkStart w:id="48" w:name="_Toc216009413"/>
      <w:r w:rsidRPr="00023134">
        <w:t>Appendix A</w:t>
      </w:r>
      <w:r w:rsidR="007E07B2">
        <w:t>:</w:t>
      </w:r>
      <w:r w:rsidRPr="00023134">
        <w:t xml:space="preserve"> Volkswagen Global Operations Value Chain</w:t>
      </w:r>
      <w:bookmarkEnd w:id="47"/>
      <w:bookmarkEnd w:id="48"/>
    </w:p>
    <w:tbl>
      <w:tblPr>
        <w:tblStyle w:val="GridTable1Light"/>
        <w:tblW w:w="0" w:type="auto"/>
        <w:tblLook w:val="04A0" w:firstRow="1" w:lastRow="0" w:firstColumn="1" w:lastColumn="0" w:noHBand="0" w:noVBand="1"/>
      </w:tblPr>
      <w:tblGrid>
        <w:gridCol w:w="1885"/>
        <w:gridCol w:w="2225"/>
        <w:gridCol w:w="2379"/>
        <w:gridCol w:w="2861"/>
      </w:tblGrid>
      <w:tr w:rsidR="007E07B2" w:rsidRPr="007E07B2" w14:paraId="43A2A7CD" w14:textId="77777777" w:rsidTr="007E07B2">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0D878974" w14:textId="77777777" w:rsidR="007E07B2" w:rsidRPr="007E07B2" w:rsidRDefault="007E07B2" w:rsidP="007E07B2">
            <w:pPr>
              <w:spacing w:line="360" w:lineRule="auto"/>
              <w:jc w:val="center"/>
              <w:rPr>
                <w:rFonts w:ascii="Arial" w:hAnsi="Arial" w:cs="Arial"/>
                <w:sz w:val="22"/>
                <w:szCs w:val="22"/>
              </w:rPr>
            </w:pPr>
            <w:r w:rsidRPr="007E07B2">
              <w:rPr>
                <w:rFonts w:ascii="Arial" w:hAnsi="Arial" w:cs="Arial"/>
                <w:sz w:val="22"/>
                <w:szCs w:val="22"/>
              </w:rPr>
              <w:t>Activity</w:t>
            </w:r>
          </w:p>
        </w:tc>
        <w:tc>
          <w:tcPr>
            <w:tcW w:w="2225" w:type="dxa"/>
            <w:vAlign w:val="center"/>
            <w:hideMark/>
          </w:tcPr>
          <w:p w14:paraId="23B0E329" w14:textId="77777777" w:rsidR="007E07B2" w:rsidRPr="007E07B2" w:rsidRDefault="007E07B2" w:rsidP="007E07B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Global</w:t>
            </w:r>
          </w:p>
        </w:tc>
        <w:tc>
          <w:tcPr>
            <w:tcW w:w="0" w:type="auto"/>
            <w:vAlign w:val="center"/>
            <w:hideMark/>
          </w:tcPr>
          <w:p w14:paraId="54076254" w14:textId="77777777" w:rsidR="007E07B2" w:rsidRPr="007E07B2" w:rsidRDefault="007E07B2" w:rsidP="007E07B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In Brazil</w:t>
            </w:r>
          </w:p>
        </w:tc>
        <w:tc>
          <w:tcPr>
            <w:tcW w:w="0" w:type="auto"/>
            <w:vAlign w:val="center"/>
            <w:hideMark/>
          </w:tcPr>
          <w:p w14:paraId="3A540077" w14:textId="77777777" w:rsidR="007E07B2" w:rsidRPr="007E07B2" w:rsidRDefault="007E07B2" w:rsidP="007E07B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Notes</w:t>
            </w:r>
          </w:p>
        </w:tc>
      </w:tr>
      <w:tr w:rsidR="007E07B2" w:rsidRPr="007E07B2" w14:paraId="1505E6BF"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520C43C1"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Research &amp; Development</w:t>
            </w:r>
          </w:p>
        </w:tc>
        <w:tc>
          <w:tcPr>
            <w:tcW w:w="2225" w:type="dxa"/>
            <w:vAlign w:val="center"/>
            <w:hideMark/>
          </w:tcPr>
          <w:p w14:paraId="3B902C9D"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Germany, USA, China, India</w:t>
            </w:r>
          </w:p>
        </w:tc>
        <w:tc>
          <w:tcPr>
            <w:tcW w:w="0" w:type="auto"/>
            <w:vAlign w:val="center"/>
            <w:hideMark/>
          </w:tcPr>
          <w:p w14:paraId="250C5349"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São Bernardo do Campo Center</w:t>
            </w:r>
          </w:p>
        </w:tc>
        <w:tc>
          <w:tcPr>
            <w:tcW w:w="0" w:type="auto"/>
            <w:vAlign w:val="center"/>
            <w:hideMark/>
          </w:tcPr>
          <w:p w14:paraId="64E3DF99"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Focus on small cars for Brazilian needs, using VW's global tech.</w:t>
            </w:r>
          </w:p>
        </w:tc>
      </w:tr>
      <w:tr w:rsidR="007E07B2" w:rsidRPr="007E07B2" w14:paraId="7CC6759F"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1E71F206"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Sourcing &amp; Procurement</w:t>
            </w:r>
          </w:p>
        </w:tc>
        <w:tc>
          <w:tcPr>
            <w:tcW w:w="2225" w:type="dxa"/>
            <w:vAlign w:val="center"/>
            <w:hideMark/>
          </w:tcPr>
          <w:p w14:paraId="145E9258"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Europe, Asia, South America</w:t>
            </w:r>
          </w:p>
        </w:tc>
        <w:tc>
          <w:tcPr>
            <w:tcW w:w="0" w:type="auto"/>
            <w:vAlign w:val="center"/>
            <w:hideMark/>
          </w:tcPr>
          <w:p w14:paraId="0B20FC5C"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Local suppliers for parts</w:t>
            </w:r>
          </w:p>
        </w:tc>
        <w:tc>
          <w:tcPr>
            <w:tcW w:w="0" w:type="auto"/>
            <w:vAlign w:val="center"/>
            <w:hideMark/>
          </w:tcPr>
          <w:p w14:paraId="0B7E065B"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Using more local suppliers to reduce imports and get government benefits.</w:t>
            </w:r>
          </w:p>
        </w:tc>
      </w:tr>
      <w:tr w:rsidR="007E07B2" w:rsidRPr="007E07B2" w14:paraId="446591BC"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649B472D"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Production / Manufacturing</w:t>
            </w:r>
          </w:p>
        </w:tc>
        <w:tc>
          <w:tcPr>
            <w:tcW w:w="2225" w:type="dxa"/>
            <w:vAlign w:val="center"/>
            <w:hideMark/>
          </w:tcPr>
          <w:p w14:paraId="34067146"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Germany, Mexico, China, Brazil, USA, South Africa</w:t>
            </w:r>
          </w:p>
        </w:tc>
        <w:tc>
          <w:tcPr>
            <w:tcW w:w="0" w:type="auto"/>
            <w:vAlign w:val="center"/>
            <w:hideMark/>
          </w:tcPr>
          <w:p w14:paraId="763461CB" w14:textId="7EBDB3B1"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São Bernardo do Campo, Taubate, and Resende plants</w:t>
            </w:r>
          </w:p>
        </w:tc>
        <w:tc>
          <w:tcPr>
            <w:tcW w:w="0" w:type="auto"/>
            <w:vAlign w:val="center"/>
            <w:hideMark/>
          </w:tcPr>
          <w:p w14:paraId="5298A101"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Makes cars like Gol, Polo, T-Cross, with global designs and local changes.</w:t>
            </w:r>
          </w:p>
        </w:tc>
      </w:tr>
      <w:tr w:rsidR="007E07B2" w:rsidRPr="007E07B2" w14:paraId="02146A41"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0794A222"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Marketing &amp; Sales</w:t>
            </w:r>
          </w:p>
        </w:tc>
        <w:tc>
          <w:tcPr>
            <w:tcW w:w="2225" w:type="dxa"/>
            <w:vAlign w:val="center"/>
            <w:hideMark/>
          </w:tcPr>
          <w:p w14:paraId="6C1C94BE"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Europe, North America, Latin America, Asia</w:t>
            </w:r>
          </w:p>
        </w:tc>
        <w:tc>
          <w:tcPr>
            <w:tcW w:w="0" w:type="auto"/>
            <w:vAlign w:val="center"/>
            <w:hideMark/>
          </w:tcPr>
          <w:p w14:paraId="1F83252D"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Nationwide sales and dealer partnerships</w:t>
            </w:r>
          </w:p>
        </w:tc>
        <w:tc>
          <w:tcPr>
            <w:tcW w:w="0" w:type="auto"/>
            <w:vAlign w:val="center"/>
            <w:hideMark/>
          </w:tcPr>
          <w:p w14:paraId="0535F569"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Focus on brand promotion and local ads.</w:t>
            </w:r>
          </w:p>
        </w:tc>
      </w:tr>
      <w:tr w:rsidR="007E07B2" w:rsidRPr="007E07B2" w14:paraId="6C8BC196"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643D006D"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Financing</w:t>
            </w:r>
          </w:p>
        </w:tc>
        <w:tc>
          <w:tcPr>
            <w:tcW w:w="2225" w:type="dxa"/>
            <w:vAlign w:val="center"/>
            <w:hideMark/>
          </w:tcPr>
          <w:p w14:paraId="13463403"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VW Financial Services</w:t>
            </w:r>
          </w:p>
        </w:tc>
        <w:tc>
          <w:tcPr>
            <w:tcW w:w="0" w:type="auto"/>
            <w:vAlign w:val="center"/>
            <w:hideMark/>
          </w:tcPr>
          <w:p w14:paraId="07461C7A"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Local financing, leasing, loans</w:t>
            </w:r>
          </w:p>
        </w:tc>
        <w:tc>
          <w:tcPr>
            <w:tcW w:w="0" w:type="auto"/>
            <w:vAlign w:val="center"/>
            <w:hideMark/>
          </w:tcPr>
          <w:p w14:paraId="27BF2F71"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Helps customers buy cars and boosts sales in growing markets.</w:t>
            </w:r>
          </w:p>
        </w:tc>
      </w:tr>
      <w:tr w:rsidR="007E07B2" w:rsidRPr="007E07B2" w14:paraId="28608B20"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488E98E5"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After-Sales Services</w:t>
            </w:r>
          </w:p>
        </w:tc>
        <w:tc>
          <w:tcPr>
            <w:tcW w:w="2225" w:type="dxa"/>
            <w:vAlign w:val="center"/>
            <w:hideMark/>
          </w:tcPr>
          <w:p w14:paraId="218C5758"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Global service network</w:t>
            </w:r>
          </w:p>
        </w:tc>
        <w:tc>
          <w:tcPr>
            <w:tcW w:w="0" w:type="auto"/>
            <w:vAlign w:val="center"/>
            <w:hideMark/>
          </w:tcPr>
          <w:p w14:paraId="1FFF8FC1"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Service centers in major cities</w:t>
            </w:r>
          </w:p>
        </w:tc>
        <w:tc>
          <w:tcPr>
            <w:tcW w:w="0" w:type="auto"/>
            <w:vAlign w:val="center"/>
            <w:hideMark/>
          </w:tcPr>
          <w:p w14:paraId="2A3AAF37"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Services fit local needs and expectations.</w:t>
            </w:r>
          </w:p>
        </w:tc>
      </w:tr>
    </w:tbl>
    <w:p w14:paraId="240B8E50" w14:textId="77777777" w:rsidR="007E07B2" w:rsidRDefault="007E07B2" w:rsidP="00676562">
      <w:pPr>
        <w:spacing w:line="360" w:lineRule="auto"/>
        <w:jc w:val="both"/>
        <w:rPr>
          <w:rFonts w:ascii="Arial" w:hAnsi="Arial" w:cs="Arial"/>
        </w:rPr>
      </w:pPr>
    </w:p>
    <w:p w14:paraId="6C38887F" w14:textId="504D250B" w:rsidR="0070046B" w:rsidRDefault="0070046B" w:rsidP="0070046B">
      <w:pPr>
        <w:pStyle w:val="Heading2"/>
      </w:pPr>
      <w:bookmarkStart w:id="49" w:name="_Toc215538938"/>
      <w:bookmarkStart w:id="50" w:name="_Toc216009414"/>
      <w:r w:rsidRPr="0070046B">
        <w:t>Appendix B</w:t>
      </w:r>
      <w:r>
        <w:t>:</w:t>
      </w:r>
      <w:r w:rsidRPr="0070046B">
        <w:t xml:space="preserve"> OLI Analysis Table: Volkswagen in Brazil</w:t>
      </w:r>
      <w:bookmarkEnd w:id="49"/>
      <w:bookmarkEnd w:id="50"/>
    </w:p>
    <w:tbl>
      <w:tblPr>
        <w:tblStyle w:val="GridTable1Light"/>
        <w:tblW w:w="0" w:type="auto"/>
        <w:tblLook w:val="04A0" w:firstRow="1" w:lastRow="0" w:firstColumn="1" w:lastColumn="0" w:noHBand="0" w:noVBand="1"/>
      </w:tblPr>
      <w:tblGrid>
        <w:gridCol w:w="1720"/>
        <w:gridCol w:w="2696"/>
        <w:gridCol w:w="2377"/>
        <w:gridCol w:w="2557"/>
      </w:tblGrid>
      <w:tr w:rsidR="0070046B" w:rsidRPr="0070046B" w14:paraId="7BED97D8" w14:textId="77777777" w:rsidTr="007004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227AAFBD" w14:textId="77777777" w:rsidR="0070046B" w:rsidRPr="0070046B" w:rsidRDefault="0070046B" w:rsidP="0070046B">
            <w:pPr>
              <w:spacing w:line="360" w:lineRule="auto"/>
              <w:jc w:val="center"/>
              <w:rPr>
                <w:rFonts w:ascii="Arial" w:hAnsi="Arial" w:cs="Arial"/>
                <w:sz w:val="22"/>
                <w:szCs w:val="22"/>
              </w:rPr>
            </w:pPr>
            <w:r w:rsidRPr="0070046B">
              <w:rPr>
                <w:rFonts w:ascii="Arial" w:hAnsi="Arial" w:cs="Arial"/>
                <w:sz w:val="22"/>
                <w:szCs w:val="22"/>
              </w:rPr>
              <w:t>OLI Factor</w:t>
            </w:r>
          </w:p>
        </w:tc>
        <w:tc>
          <w:tcPr>
            <w:tcW w:w="2696" w:type="dxa"/>
            <w:vAlign w:val="center"/>
            <w:hideMark/>
          </w:tcPr>
          <w:p w14:paraId="57B4B336" w14:textId="77777777" w:rsidR="0070046B" w:rsidRPr="0070046B" w:rsidRDefault="0070046B" w:rsidP="0070046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Volkswagen Advantage</w:t>
            </w:r>
          </w:p>
        </w:tc>
        <w:tc>
          <w:tcPr>
            <w:tcW w:w="0" w:type="auto"/>
            <w:vAlign w:val="center"/>
            <w:hideMark/>
          </w:tcPr>
          <w:p w14:paraId="4A4BF862" w14:textId="77777777" w:rsidR="0070046B" w:rsidRPr="0070046B" w:rsidRDefault="0070046B" w:rsidP="0070046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Application in Brazil</w:t>
            </w:r>
          </w:p>
        </w:tc>
        <w:tc>
          <w:tcPr>
            <w:tcW w:w="0" w:type="auto"/>
            <w:vAlign w:val="center"/>
            <w:hideMark/>
          </w:tcPr>
          <w:p w14:paraId="5F84924E" w14:textId="77777777" w:rsidR="0070046B" w:rsidRPr="0070046B" w:rsidRDefault="0070046B" w:rsidP="0070046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Notes</w:t>
            </w:r>
          </w:p>
        </w:tc>
      </w:tr>
      <w:tr w:rsidR="0070046B" w:rsidRPr="0070046B" w14:paraId="13944D49" w14:textId="77777777" w:rsidTr="0070046B">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64E72DAE" w14:textId="77777777" w:rsidR="0070046B" w:rsidRPr="0070046B" w:rsidRDefault="0070046B" w:rsidP="0070046B">
            <w:pPr>
              <w:spacing w:line="360" w:lineRule="auto"/>
              <w:rPr>
                <w:rFonts w:ascii="Arial" w:hAnsi="Arial" w:cs="Arial"/>
                <w:sz w:val="22"/>
                <w:szCs w:val="22"/>
              </w:rPr>
            </w:pPr>
            <w:r w:rsidRPr="0070046B">
              <w:rPr>
                <w:rFonts w:ascii="Arial" w:hAnsi="Arial" w:cs="Arial"/>
                <w:sz w:val="22"/>
                <w:szCs w:val="22"/>
              </w:rPr>
              <w:t>Ownership</w:t>
            </w:r>
          </w:p>
        </w:tc>
        <w:tc>
          <w:tcPr>
            <w:tcW w:w="2696" w:type="dxa"/>
            <w:vAlign w:val="center"/>
            <w:hideMark/>
          </w:tcPr>
          <w:p w14:paraId="13D061ED"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Strong brand, own technology, advanced research</w:t>
            </w:r>
          </w:p>
        </w:tc>
        <w:tc>
          <w:tcPr>
            <w:tcW w:w="0" w:type="auto"/>
            <w:vAlign w:val="center"/>
            <w:hideMark/>
          </w:tcPr>
          <w:p w14:paraId="3C498249"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Uses VW technology to make cars for Brazil</w:t>
            </w:r>
          </w:p>
        </w:tc>
        <w:tc>
          <w:tcPr>
            <w:tcW w:w="0" w:type="auto"/>
            <w:vAlign w:val="center"/>
            <w:hideMark/>
          </w:tcPr>
          <w:p w14:paraId="6B180568"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Allows full control with own factories and teams.</w:t>
            </w:r>
          </w:p>
        </w:tc>
      </w:tr>
      <w:tr w:rsidR="0070046B" w:rsidRPr="0070046B" w14:paraId="73A4B764" w14:textId="77777777" w:rsidTr="0070046B">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3B65AF94" w14:textId="77777777" w:rsidR="0070046B" w:rsidRPr="0070046B" w:rsidRDefault="0070046B" w:rsidP="0070046B">
            <w:pPr>
              <w:spacing w:line="360" w:lineRule="auto"/>
              <w:rPr>
                <w:rFonts w:ascii="Arial" w:hAnsi="Arial" w:cs="Arial"/>
                <w:sz w:val="22"/>
                <w:szCs w:val="22"/>
              </w:rPr>
            </w:pPr>
            <w:r w:rsidRPr="0070046B">
              <w:rPr>
                <w:rFonts w:ascii="Arial" w:hAnsi="Arial" w:cs="Arial"/>
                <w:sz w:val="22"/>
                <w:szCs w:val="22"/>
              </w:rPr>
              <w:t>Location</w:t>
            </w:r>
          </w:p>
        </w:tc>
        <w:tc>
          <w:tcPr>
            <w:tcW w:w="2696" w:type="dxa"/>
            <w:vAlign w:val="center"/>
            <w:hideMark/>
          </w:tcPr>
          <w:p w14:paraId="470D943C"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Large car market, good workers, government benefits</w:t>
            </w:r>
          </w:p>
        </w:tc>
        <w:tc>
          <w:tcPr>
            <w:tcW w:w="0" w:type="auto"/>
            <w:vAlign w:val="center"/>
            <w:hideMark/>
          </w:tcPr>
          <w:p w14:paraId="6EFCA8F8"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Produces cars locally, reducing import costs</w:t>
            </w:r>
          </w:p>
        </w:tc>
        <w:tc>
          <w:tcPr>
            <w:tcW w:w="0" w:type="auto"/>
            <w:vAlign w:val="center"/>
            <w:hideMark/>
          </w:tcPr>
          <w:p w14:paraId="6DEB36DD"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Helps invest in local factories and cater to the local market.</w:t>
            </w:r>
          </w:p>
        </w:tc>
      </w:tr>
      <w:tr w:rsidR="0070046B" w:rsidRPr="0070046B" w14:paraId="1003A2AA" w14:textId="77777777" w:rsidTr="0070046B">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111C61F4" w14:textId="77777777" w:rsidR="0070046B" w:rsidRPr="0070046B" w:rsidRDefault="0070046B" w:rsidP="0070046B">
            <w:pPr>
              <w:spacing w:line="360" w:lineRule="auto"/>
              <w:rPr>
                <w:rFonts w:ascii="Arial" w:hAnsi="Arial" w:cs="Arial"/>
                <w:sz w:val="22"/>
                <w:szCs w:val="22"/>
              </w:rPr>
            </w:pPr>
            <w:r w:rsidRPr="0070046B">
              <w:rPr>
                <w:rFonts w:ascii="Arial" w:hAnsi="Arial" w:cs="Arial"/>
                <w:sz w:val="22"/>
                <w:szCs w:val="22"/>
              </w:rPr>
              <w:lastRenderedPageBreak/>
              <w:t>Internalisation</w:t>
            </w:r>
          </w:p>
        </w:tc>
        <w:tc>
          <w:tcPr>
            <w:tcW w:w="2696" w:type="dxa"/>
            <w:vAlign w:val="center"/>
            <w:hideMark/>
          </w:tcPr>
          <w:p w14:paraId="08E69367"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Strong supply chain, good quality control, financing</w:t>
            </w:r>
          </w:p>
        </w:tc>
        <w:tc>
          <w:tcPr>
            <w:tcW w:w="0" w:type="auto"/>
            <w:vAlign w:val="center"/>
            <w:hideMark/>
          </w:tcPr>
          <w:p w14:paraId="10B18E05"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Manages factories and suppliers directly in Brazil</w:t>
            </w:r>
          </w:p>
        </w:tc>
        <w:tc>
          <w:tcPr>
            <w:tcW w:w="0" w:type="auto"/>
            <w:vAlign w:val="center"/>
            <w:hideMark/>
          </w:tcPr>
          <w:p w14:paraId="06A200C1"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Protects technology and keeps global standards consistent.</w:t>
            </w:r>
          </w:p>
        </w:tc>
      </w:tr>
    </w:tbl>
    <w:p w14:paraId="350DF24F" w14:textId="77777777" w:rsidR="0070046B" w:rsidRDefault="0070046B" w:rsidP="00676562">
      <w:pPr>
        <w:spacing w:line="360" w:lineRule="auto"/>
        <w:jc w:val="both"/>
        <w:rPr>
          <w:rFonts w:ascii="Arial" w:hAnsi="Arial" w:cs="Arial"/>
        </w:rPr>
      </w:pPr>
    </w:p>
    <w:p w14:paraId="50307AE1" w14:textId="405429FD" w:rsidR="00C01F27" w:rsidRDefault="00C01F27" w:rsidP="00AF0B8C">
      <w:pPr>
        <w:pStyle w:val="Heading2"/>
      </w:pPr>
      <w:bookmarkStart w:id="51" w:name="_Toc215538939"/>
      <w:bookmarkStart w:id="52" w:name="_Toc216009415"/>
      <w:r w:rsidRPr="00C01F27">
        <w:t>Appendix C</w:t>
      </w:r>
      <w:r>
        <w:t xml:space="preserve">: </w:t>
      </w:r>
      <w:r w:rsidRPr="00C01F27">
        <w:t>Hofstede Cultural Comparison: Germany vs Brazil</w:t>
      </w:r>
      <w:bookmarkEnd w:id="51"/>
      <w:bookmarkEnd w:id="52"/>
    </w:p>
    <w:tbl>
      <w:tblPr>
        <w:tblStyle w:val="GridTable1Light"/>
        <w:tblW w:w="0" w:type="auto"/>
        <w:tblLook w:val="04A0" w:firstRow="1" w:lastRow="0" w:firstColumn="1" w:lastColumn="0" w:noHBand="0" w:noVBand="1"/>
      </w:tblPr>
      <w:tblGrid>
        <w:gridCol w:w="2245"/>
        <w:gridCol w:w="1170"/>
        <w:gridCol w:w="1620"/>
        <w:gridCol w:w="4315"/>
      </w:tblGrid>
      <w:tr w:rsidR="00C01F27" w:rsidRPr="00C01F27" w14:paraId="620026A7" w14:textId="77777777" w:rsidTr="00C01F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18116A67" w14:textId="77777777" w:rsidR="00C01F27" w:rsidRPr="00C01F27" w:rsidRDefault="00C01F27" w:rsidP="00C01F27">
            <w:pPr>
              <w:spacing w:line="360" w:lineRule="auto"/>
              <w:jc w:val="center"/>
              <w:rPr>
                <w:rFonts w:ascii="Arial" w:hAnsi="Arial" w:cs="Arial"/>
                <w:sz w:val="22"/>
                <w:szCs w:val="22"/>
              </w:rPr>
            </w:pPr>
            <w:r w:rsidRPr="00C01F27">
              <w:rPr>
                <w:rFonts w:ascii="Arial" w:hAnsi="Arial" w:cs="Arial"/>
                <w:sz w:val="22"/>
                <w:szCs w:val="22"/>
              </w:rPr>
              <w:t>Cultural Dimension</w:t>
            </w:r>
          </w:p>
        </w:tc>
        <w:tc>
          <w:tcPr>
            <w:tcW w:w="1170" w:type="dxa"/>
            <w:vAlign w:val="center"/>
            <w:hideMark/>
          </w:tcPr>
          <w:p w14:paraId="6F2B9CF3" w14:textId="77777777" w:rsidR="00C01F27" w:rsidRPr="00C01F27" w:rsidRDefault="00C01F27" w:rsidP="00C01F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Germany</w:t>
            </w:r>
          </w:p>
        </w:tc>
        <w:tc>
          <w:tcPr>
            <w:tcW w:w="1620" w:type="dxa"/>
            <w:vAlign w:val="center"/>
            <w:hideMark/>
          </w:tcPr>
          <w:p w14:paraId="77310492" w14:textId="77777777" w:rsidR="00C01F27" w:rsidRPr="00C01F27" w:rsidRDefault="00C01F27" w:rsidP="00C01F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Brazil</w:t>
            </w:r>
          </w:p>
        </w:tc>
        <w:tc>
          <w:tcPr>
            <w:tcW w:w="4315" w:type="dxa"/>
            <w:vAlign w:val="center"/>
            <w:hideMark/>
          </w:tcPr>
          <w:p w14:paraId="2E893D44" w14:textId="77777777" w:rsidR="00C01F27" w:rsidRPr="00C01F27" w:rsidRDefault="00C01F27" w:rsidP="00C01F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Implications for VW SOPs</w:t>
            </w:r>
          </w:p>
        </w:tc>
      </w:tr>
      <w:tr w:rsidR="00C01F27" w:rsidRPr="00C01F27" w14:paraId="6C2AE3C8"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3AD7C36A"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Power Distance</w:t>
            </w:r>
          </w:p>
        </w:tc>
        <w:tc>
          <w:tcPr>
            <w:tcW w:w="1170" w:type="dxa"/>
            <w:vAlign w:val="center"/>
            <w:hideMark/>
          </w:tcPr>
          <w:p w14:paraId="02707ED2"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35 (low)</w:t>
            </w:r>
          </w:p>
        </w:tc>
        <w:tc>
          <w:tcPr>
            <w:tcW w:w="1620" w:type="dxa"/>
            <w:vAlign w:val="center"/>
            <w:hideMark/>
          </w:tcPr>
          <w:p w14:paraId="30BDF271"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69 (high)</w:t>
            </w:r>
          </w:p>
        </w:tc>
        <w:tc>
          <w:tcPr>
            <w:tcW w:w="4315" w:type="dxa"/>
            <w:vAlign w:val="center"/>
            <w:hideMark/>
          </w:tcPr>
          <w:p w14:paraId="020A9CB8" w14:textId="1DEB0867"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The SOP has to simply outline authority. Brazilian people expect clean management.</w:t>
            </w:r>
          </w:p>
        </w:tc>
      </w:tr>
      <w:tr w:rsidR="00C01F27" w:rsidRPr="00C01F27" w14:paraId="2B204D86"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44715E8D"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Individualism</w:t>
            </w:r>
          </w:p>
        </w:tc>
        <w:tc>
          <w:tcPr>
            <w:tcW w:w="1170" w:type="dxa"/>
            <w:vAlign w:val="center"/>
            <w:hideMark/>
          </w:tcPr>
          <w:p w14:paraId="4C45318C"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67 (high)</w:t>
            </w:r>
          </w:p>
        </w:tc>
        <w:tc>
          <w:tcPr>
            <w:tcW w:w="1620" w:type="dxa"/>
            <w:vAlign w:val="center"/>
            <w:hideMark/>
          </w:tcPr>
          <w:p w14:paraId="158A9809"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38 (low)</w:t>
            </w:r>
          </w:p>
        </w:tc>
        <w:tc>
          <w:tcPr>
            <w:tcW w:w="4315" w:type="dxa"/>
            <w:vAlign w:val="center"/>
            <w:hideMark/>
          </w:tcPr>
          <w:p w14:paraId="00F75263" w14:textId="5FB406F4"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Reward systems must recognize team-based incentives in Brazil.</w:t>
            </w:r>
          </w:p>
        </w:tc>
      </w:tr>
      <w:tr w:rsidR="00C01F27" w:rsidRPr="00C01F27" w14:paraId="5215F204"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114AD1F2"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Masculinity</w:t>
            </w:r>
          </w:p>
        </w:tc>
        <w:tc>
          <w:tcPr>
            <w:tcW w:w="1170" w:type="dxa"/>
            <w:vAlign w:val="center"/>
            <w:hideMark/>
          </w:tcPr>
          <w:p w14:paraId="7E64DBBB"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66 (high)</w:t>
            </w:r>
          </w:p>
        </w:tc>
        <w:tc>
          <w:tcPr>
            <w:tcW w:w="1620" w:type="dxa"/>
            <w:vAlign w:val="center"/>
            <w:hideMark/>
          </w:tcPr>
          <w:p w14:paraId="7E4EA0EF"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49 (moderate)</w:t>
            </w:r>
          </w:p>
        </w:tc>
        <w:tc>
          <w:tcPr>
            <w:tcW w:w="4315" w:type="dxa"/>
            <w:vAlign w:val="center"/>
            <w:hideMark/>
          </w:tcPr>
          <w:p w14:paraId="2980ED22" w14:textId="1E56EF23"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Balance recognition on performance with date-building in Brazil.</w:t>
            </w:r>
          </w:p>
        </w:tc>
      </w:tr>
      <w:tr w:rsidR="00C01F27" w:rsidRPr="00C01F27" w14:paraId="12127CCF"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2EF253ED"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Uncertainty Avoidance</w:t>
            </w:r>
          </w:p>
        </w:tc>
        <w:tc>
          <w:tcPr>
            <w:tcW w:w="1170" w:type="dxa"/>
            <w:vAlign w:val="center"/>
            <w:hideMark/>
          </w:tcPr>
          <w:p w14:paraId="218A8816"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65 (high)</w:t>
            </w:r>
          </w:p>
        </w:tc>
        <w:tc>
          <w:tcPr>
            <w:tcW w:w="1620" w:type="dxa"/>
            <w:vAlign w:val="center"/>
            <w:hideMark/>
          </w:tcPr>
          <w:p w14:paraId="5A93776D"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76 (very high)</w:t>
            </w:r>
          </w:p>
        </w:tc>
        <w:tc>
          <w:tcPr>
            <w:tcW w:w="4315" w:type="dxa"/>
            <w:vAlign w:val="center"/>
            <w:hideMark/>
          </w:tcPr>
          <w:p w14:paraId="66597CB8" w14:textId="7CAFF4E2"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SOPs should include plans for handling dangers and unexpected situations in Brazil.</w:t>
            </w:r>
          </w:p>
        </w:tc>
      </w:tr>
      <w:tr w:rsidR="00C01F27" w:rsidRPr="00C01F27" w14:paraId="2D0092E0"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6A4ABC22"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Long-term Orientation</w:t>
            </w:r>
          </w:p>
        </w:tc>
        <w:tc>
          <w:tcPr>
            <w:tcW w:w="1170" w:type="dxa"/>
            <w:vAlign w:val="center"/>
            <w:hideMark/>
          </w:tcPr>
          <w:p w14:paraId="50204143"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83 (high)</w:t>
            </w:r>
          </w:p>
        </w:tc>
        <w:tc>
          <w:tcPr>
            <w:tcW w:w="1620" w:type="dxa"/>
            <w:vAlign w:val="center"/>
            <w:hideMark/>
          </w:tcPr>
          <w:p w14:paraId="00748A2D"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44 (low)</w:t>
            </w:r>
          </w:p>
        </w:tc>
        <w:tc>
          <w:tcPr>
            <w:tcW w:w="4315" w:type="dxa"/>
            <w:vAlign w:val="center"/>
            <w:hideMark/>
          </w:tcPr>
          <w:p w14:paraId="11E583DE" w14:textId="49ADC03D"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Focus on quick-term desires and short effects in Brazil.</w:t>
            </w:r>
          </w:p>
        </w:tc>
      </w:tr>
      <w:tr w:rsidR="00C01F27" w:rsidRPr="00C01F27" w14:paraId="75262A21"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0A0F5556"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Indulgence</w:t>
            </w:r>
          </w:p>
        </w:tc>
        <w:tc>
          <w:tcPr>
            <w:tcW w:w="1170" w:type="dxa"/>
            <w:vAlign w:val="center"/>
            <w:hideMark/>
          </w:tcPr>
          <w:p w14:paraId="094977AF"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40 (low)</w:t>
            </w:r>
          </w:p>
        </w:tc>
        <w:tc>
          <w:tcPr>
            <w:tcW w:w="1620" w:type="dxa"/>
            <w:vAlign w:val="center"/>
            <w:hideMark/>
          </w:tcPr>
          <w:p w14:paraId="62812F94"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59 (moderate)</w:t>
            </w:r>
          </w:p>
        </w:tc>
        <w:tc>
          <w:tcPr>
            <w:tcW w:w="4315" w:type="dxa"/>
            <w:vAlign w:val="center"/>
            <w:hideMark/>
          </w:tcPr>
          <w:p w14:paraId="110B2F67" w14:textId="2DAD7834"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Marketing and client engagement have to include a laugh and social aspects in Brazil.</w:t>
            </w:r>
          </w:p>
        </w:tc>
      </w:tr>
    </w:tbl>
    <w:p w14:paraId="63769257" w14:textId="77777777" w:rsidR="00C01F27" w:rsidRDefault="00C01F27" w:rsidP="00676562">
      <w:pPr>
        <w:spacing w:line="360" w:lineRule="auto"/>
        <w:jc w:val="both"/>
        <w:rPr>
          <w:rFonts w:ascii="Arial" w:hAnsi="Arial" w:cs="Arial"/>
        </w:rPr>
      </w:pPr>
    </w:p>
    <w:p w14:paraId="0A59118D" w14:textId="43D373D6" w:rsidR="000D5E59" w:rsidRDefault="000D5E59" w:rsidP="00057BB6">
      <w:pPr>
        <w:pStyle w:val="Heading2"/>
      </w:pPr>
      <w:bookmarkStart w:id="53" w:name="_Toc215538940"/>
      <w:bookmarkStart w:id="54" w:name="_Toc216009416"/>
      <w:r w:rsidRPr="000D5E59">
        <w:t>Appendix D</w:t>
      </w:r>
      <w:r>
        <w:t xml:space="preserve">: </w:t>
      </w:r>
      <w:r w:rsidRPr="000D5E59">
        <w:t>International Market Entry Modes</w:t>
      </w:r>
      <w:bookmarkEnd w:id="53"/>
      <w:bookmarkEnd w:id="54"/>
    </w:p>
    <w:tbl>
      <w:tblPr>
        <w:tblStyle w:val="GridTable1Light"/>
        <w:tblW w:w="0" w:type="auto"/>
        <w:tblLook w:val="04A0" w:firstRow="1" w:lastRow="0" w:firstColumn="1" w:lastColumn="0" w:noHBand="0" w:noVBand="1"/>
      </w:tblPr>
      <w:tblGrid>
        <w:gridCol w:w="1170"/>
        <w:gridCol w:w="2681"/>
        <w:gridCol w:w="1814"/>
        <w:gridCol w:w="3685"/>
      </w:tblGrid>
      <w:tr w:rsidR="00057BB6" w:rsidRPr="00057BB6" w14:paraId="3B7F85BD" w14:textId="77777777" w:rsidTr="00057B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96FFC9"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Country</w:t>
            </w:r>
          </w:p>
        </w:tc>
        <w:tc>
          <w:tcPr>
            <w:tcW w:w="0" w:type="auto"/>
            <w:vAlign w:val="center"/>
            <w:hideMark/>
          </w:tcPr>
          <w:p w14:paraId="63DFAD2A" w14:textId="77777777" w:rsidR="00057BB6" w:rsidRPr="00057BB6" w:rsidRDefault="00057BB6" w:rsidP="00057BB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Entry Mode</w:t>
            </w:r>
          </w:p>
        </w:tc>
        <w:tc>
          <w:tcPr>
            <w:tcW w:w="1814" w:type="dxa"/>
            <w:vAlign w:val="center"/>
            <w:hideMark/>
          </w:tcPr>
          <w:p w14:paraId="17031AB9" w14:textId="77777777" w:rsidR="00057BB6" w:rsidRPr="00057BB6" w:rsidRDefault="00057BB6" w:rsidP="00057BB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Year</w:t>
            </w:r>
          </w:p>
        </w:tc>
        <w:tc>
          <w:tcPr>
            <w:tcW w:w="3685" w:type="dxa"/>
            <w:vAlign w:val="center"/>
            <w:hideMark/>
          </w:tcPr>
          <w:p w14:paraId="6D24E559" w14:textId="77777777" w:rsidR="00057BB6" w:rsidRPr="00057BB6" w:rsidRDefault="00057BB6" w:rsidP="00057BB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Rationale / Notes</w:t>
            </w:r>
          </w:p>
        </w:tc>
      </w:tr>
      <w:tr w:rsidR="00057BB6" w:rsidRPr="00057BB6" w14:paraId="3F1D9C74"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3A679F"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Germany</w:t>
            </w:r>
          </w:p>
        </w:tc>
        <w:tc>
          <w:tcPr>
            <w:tcW w:w="0" w:type="auto"/>
            <w:vAlign w:val="center"/>
            <w:hideMark/>
          </w:tcPr>
          <w:p w14:paraId="29A60EF0"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Organic growth / Wholly owned</w:t>
            </w:r>
          </w:p>
        </w:tc>
        <w:tc>
          <w:tcPr>
            <w:tcW w:w="1814" w:type="dxa"/>
            <w:vAlign w:val="center"/>
            <w:hideMark/>
          </w:tcPr>
          <w:p w14:paraId="6297CE4C"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w:t>
            </w:r>
          </w:p>
        </w:tc>
        <w:tc>
          <w:tcPr>
            <w:tcW w:w="3685" w:type="dxa"/>
            <w:vAlign w:val="center"/>
            <w:hideMark/>
          </w:tcPr>
          <w:p w14:paraId="74D233E4"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VW headquarters; full control over operations.</w:t>
            </w:r>
          </w:p>
        </w:tc>
      </w:tr>
      <w:tr w:rsidR="00057BB6" w:rsidRPr="00057BB6" w14:paraId="142A0C82"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07D3E5"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USA</w:t>
            </w:r>
          </w:p>
        </w:tc>
        <w:tc>
          <w:tcPr>
            <w:tcW w:w="0" w:type="auto"/>
            <w:vAlign w:val="center"/>
            <w:hideMark/>
          </w:tcPr>
          <w:p w14:paraId="3D58FC84"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Joint venture &amp; wholly owned</w:t>
            </w:r>
          </w:p>
        </w:tc>
        <w:tc>
          <w:tcPr>
            <w:tcW w:w="1814" w:type="dxa"/>
            <w:vAlign w:val="center"/>
            <w:hideMark/>
          </w:tcPr>
          <w:p w14:paraId="19DC2567"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1990s–2000s</w:t>
            </w:r>
          </w:p>
        </w:tc>
        <w:tc>
          <w:tcPr>
            <w:tcW w:w="3685" w:type="dxa"/>
            <w:vAlign w:val="center"/>
            <w:hideMark/>
          </w:tcPr>
          <w:p w14:paraId="2D93A4E7"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Used local expertise and brand strength.</w:t>
            </w:r>
          </w:p>
        </w:tc>
      </w:tr>
      <w:tr w:rsidR="00057BB6" w:rsidRPr="00057BB6" w14:paraId="7CC5ECBE"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2EA1DB"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China</w:t>
            </w:r>
          </w:p>
        </w:tc>
        <w:tc>
          <w:tcPr>
            <w:tcW w:w="0" w:type="auto"/>
            <w:vAlign w:val="center"/>
            <w:hideMark/>
          </w:tcPr>
          <w:p w14:paraId="1404251B"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Joint venture</w:t>
            </w:r>
          </w:p>
        </w:tc>
        <w:tc>
          <w:tcPr>
            <w:tcW w:w="1814" w:type="dxa"/>
            <w:vAlign w:val="center"/>
            <w:hideMark/>
          </w:tcPr>
          <w:p w14:paraId="7E10286A"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1984–present</w:t>
            </w:r>
          </w:p>
        </w:tc>
        <w:tc>
          <w:tcPr>
            <w:tcW w:w="3685" w:type="dxa"/>
            <w:vAlign w:val="center"/>
            <w:hideMark/>
          </w:tcPr>
          <w:p w14:paraId="4CEB5FC5"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Required by law; shared technology agreements.</w:t>
            </w:r>
          </w:p>
        </w:tc>
      </w:tr>
      <w:tr w:rsidR="00057BB6" w:rsidRPr="00057BB6" w14:paraId="04A30061"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182F9B"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lastRenderedPageBreak/>
              <w:t>Brazil</w:t>
            </w:r>
          </w:p>
        </w:tc>
        <w:tc>
          <w:tcPr>
            <w:tcW w:w="0" w:type="auto"/>
            <w:vAlign w:val="center"/>
            <w:hideMark/>
          </w:tcPr>
          <w:p w14:paraId="4AE72D71"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Wholly owned subsidiary</w:t>
            </w:r>
          </w:p>
        </w:tc>
        <w:tc>
          <w:tcPr>
            <w:tcW w:w="1814" w:type="dxa"/>
            <w:vAlign w:val="center"/>
            <w:hideMark/>
          </w:tcPr>
          <w:p w14:paraId="21C7239E"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1953–present</w:t>
            </w:r>
          </w:p>
        </w:tc>
        <w:tc>
          <w:tcPr>
            <w:tcW w:w="3685" w:type="dxa"/>
            <w:vAlign w:val="center"/>
            <w:hideMark/>
          </w:tcPr>
          <w:p w14:paraId="6FAE1686"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Full control over production, quality, and sales.</w:t>
            </w:r>
          </w:p>
        </w:tc>
      </w:tr>
      <w:tr w:rsidR="00057BB6" w:rsidRPr="00057BB6" w14:paraId="23B38DFF"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5239B7"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Mexico</w:t>
            </w:r>
          </w:p>
        </w:tc>
        <w:tc>
          <w:tcPr>
            <w:tcW w:w="0" w:type="auto"/>
            <w:vAlign w:val="center"/>
            <w:hideMark/>
          </w:tcPr>
          <w:p w14:paraId="797D0F52"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Wholly owned subsidiary</w:t>
            </w:r>
          </w:p>
        </w:tc>
        <w:tc>
          <w:tcPr>
            <w:tcW w:w="1814" w:type="dxa"/>
            <w:vAlign w:val="center"/>
            <w:hideMark/>
          </w:tcPr>
          <w:p w14:paraId="4DC1C815"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1960s–present</w:t>
            </w:r>
          </w:p>
        </w:tc>
        <w:tc>
          <w:tcPr>
            <w:tcW w:w="3685" w:type="dxa"/>
            <w:vAlign w:val="center"/>
            <w:hideMark/>
          </w:tcPr>
          <w:p w14:paraId="1E259AE2"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Acts as a hub for North American operations.</w:t>
            </w:r>
          </w:p>
        </w:tc>
      </w:tr>
      <w:tr w:rsidR="00057BB6" w:rsidRPr="00057BB6" w14:paraId="114BC92B"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5B2476"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India</w:t>
            </w:r>
          </w:p>
        </w:tc>
        <w:tc>
          <w:tcPr>
            <w:tcW w:w="0" w:type="auto"/>
            <w:vAlign w:val="center"/>
            <w:hideMark/>
          </w:tcPr>
          <w:p w14:paraId="55929EE1"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Joint venture &amp; wholly owned</w:t>
            </w:r>
          </w:p>
        </w:tc>
        <w:tc>
          <w:tcPr>
            <w:tcW w:w="1814" w:type="dxa"/>
            <w:vAlign w:val="center"/>
            <w:hideMark/>
          </w:tcPr>
          <w:p w14:paraId="74E5F9AC"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2007–present</w:t>
            </w:r>
          </w:p>
        </w:tc>
        <w:tc>
          <w:tcPr>
            <w:tcW w:w="3685" w:type="dxa"/>
            <w:vAlign w:val="center"/>
            <w:hideMark/>
          </w:tcPr>
          <w:p w14:paraId="35A836D1"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Access to market with local partners.</w:t>
            </w:r>
          </w:p>
        </w:tc>
      </w:tr>
    </w:tbl>
    <w:p w14:paraId="2D568C0B" w14:textId="77777777" w:rsidR="00057BB6" w:rsidRDefault="00057BB6" w:rsidP="00676562">
      <w:pPr>
        <w:spacing w:line="360" w:lineRule="auto"/>
        <w:jc w:val="both"/>
        <w:rPr>
          <w:rFonts w:ascii="Arial" w:hAnsi="Arial" w:cs="Arial"/>
        </w:rPr>
      </w:pPr>
    </w:p>
    <w:tbl>
      <w:tblPr>
        <w:tblStyle w:val="GridTable1Light"/>
        <w:tblpPr w:leftFromText="180" w:rightFromText="180" w:vertAnchor="text" w:horzAnchor="margin" w:tblpXSpec="center" w:tblpY="722"/>
        <w:tblW w:w="11307" w:type="dxa"/>
        <w:tblLayout w:type="fixed"/>
        <w:tblLook w:val="04A0" w:firstRow="1" w:lastRow="0" w:firstColumn="1" w:lastColumn="0" w:noHBand="0" w:noVBand="1"/>
      </w:tblPr>
      <w:tblGrid>
        <w:gridCol w:w="1795"/>
        <w:gridCol w:w="2432"/>
        <w:gridCol w:w="1618"/>
        <w:gridCol w:w="1817"/>
        <w:gridCol w:w="2064"/>
        <w:gridCol w:w="1581"/>
      </w:tblGrid>
      <w:tr w:rsidR="005F3236" w:rsidRPr="005F3236" w14:paraId="43D59F74" w14:textId="77777777" w:rsidTr="005F3236">
        <w:trPr>
          <w:cnfStyle w:val="100000000000" w:firstRow="1" w:lastRow="0" w:firstColumn="0" w:lastColumn="0" w:oddVBand="0" w:evenVBand="0" w:oddHBand="0" w:evenHBand="0" w:firstRowFirstColumn="0" w:firstRowLastColumn="0" w:lastRowFirstColumn="0" w:lastRowLastColumn="0"/>
          <w:trHeight w:val="1087"/>
        </w:trPr>
        <w:tc>
          <w:tcPr>
            <w:cnfStyle w:val="001000000000" w:firstRow="0" w:lastRow="0" w:firstColumn="1" w:lastColumn="0" w:oddVBand="0" w:evenVBand="0" w:oddHBand="0" w:evenHBand="0" w:firstRowFirstColumn="0" w:firstRowLastColumn="0" w:lastRowFirstColumn="0" w:lastRowLastColumn="0"/>
            <w:tcW w:w="1795" w:type="dxa"/>
            <w:vAlign w:val="center"/>
            <w:hideMark/>
          </w:tcPr>
          <w:p w14:paraId="2B348363" w14:textId="77777777" w:rsidR="005F3236" w:rsidRPr="005F3236" w:rsidRDefault="005F3236" w:rsidP="005F3236">
            <w:pPr>
              <w:spacing w:line="360" w:lineRule="auto"/>
              <w:rPr>
                <w:rFonts w:ascii="Arial" w:hAnsi="Arial" w:cs="Arial"/>
                <w:sz w:val="22"/>
                <w:szCs w:val="22"/>
              </w:rPr>
            </w:pPr>
            <w:r w:rsidRPr="005F3236">
              <w:rPr>
                <w:rFonts w:ascii="Arial" w:hAnsi="Arial" w:cs="Arial"/>
                <w:sz w:val="22"/>
                <w:szCs w:val="22"/>
              </w:rPr>
              <w:t>SOP Adjustment Area</w:t>
            </w:r>
          </w:p>
        </w:tc>
        <w:tc>
          <w:tcPr>
            <w:tcW w:w="2432" w:type="dxa"/>
            <w:vAlign w:val="center"/>
            <w:hideMark/>
          </w:tcPr>
          <w:p w14:paraId="18A13D37"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Specific Change</w:t>
            </w:r>
          </w:p>
        </w:tc>
        <w:tc>
          <w:tcPr>
            <w:tcW w:w="1618" w:type="dxa"/>
            <w:vAlign w:val="center"/>
            <w:hideMark/>
          </w:tcPr>
          <w:p w14:paraId="7CB62F0F"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Related OLI Factor</w:t>
            </w:r>
          </w:p>
        </w:tc>
        <w:tc>
          <w:tcPr>
            <w:tcW w:w="1817" w:type="dxa"/>
            <w:vAlign w:val="center"/>
            <w:hideMark/>
          </w:tcPr>
          <w:p w14:paraId="7438489C"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Related Cultural Factor</w:t>
            </w:r>
          </w:p>
        </w:tc>
        <w:tc>
          <w:tcPr>
            <w:tcW w:w="2064" w:type="dxa"/>
            <w:vAlign w:val="center"/>
            <w:hideMark/>
          </w:tcPr>
          <w:p w14:paraId="2E4673BF"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Expected Outcome</w:t>
            </w:r>
          </w:p>
        </w:tc>
        <w:tc>
          <w:tcPr>
            <w:tcW w:w="1581" w:type="dxa"/>
            <w:vAlign w:val="center"/>
            <w:hideMark/>
          </w:tcPr>
          <w:p w14:paraId="5FD32F97"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Responsible Department</w:t>
            </w:r>
          </w:p>
        </w:tc>
      </w:tr>
      <w:tr w:rsidR="005F3236" w:rsidRPr="005F3236" w14:paraId="36F38086" w14:textId="77777777" w:rsidTr="005F3236">
        <w:trPr>
          <w:trHeight w:val="1842"/>
        </w:trPr>
        <w:tc>
          <w:tcPr>
            <w:cnfStyle w:val="001000000000" w:firstRow="0" w:lastRow="0" w:firstColumn="1" w:lastColumn="0" w:oddVBand="0" w:evenVBand="0" w:oddHBand="0" w:evenHBand="0" w:firstRowFirstColumn="0" w:firstRowLastColumn="0" w:lastRowFirstColumn="0" w:lastRowLastColumn="0"/>
            <w:tcW w:w="1795" w:type="dxa"/>
            <w:vAlign w:val="center"/>
            <w:hideMark/>
          </w:tcPr>
          <w:p w14:paraId="7552F8AF" w14:textId="77777777" w:rsidR="005F3236" w:rsidRPr="005F3236" w:rsidRDefault="005F3236" w:rsidP="005F3236">
            <w:pPr>
              <w:spacing w:line="360" w:lineRule="auto"/>
              <w:rPr>
                <w:rFonts w:ascii="Arial" w:hAnsi="Arial" w:cs="Arial"/>
                <w:sz w:val="22"/>
                <w:szCs w:val="22"/>
              </w:rPr>
            </w:pPr>
            <w:r w:rsidRPr="005F3236">
              <w:rPr>
                <w:rFonts w:ascii="Arial" w:hAnsi="Arial" w:cs="Arial"/>
                <w:sz w:val="22"/>
                <w:szCs w:val="22"/>
              </w:rPr>
              <w:t>HRM / Employee Management</w:t>
            </w:r>
          </w:p>
        </w:tc>
        <w:tc>
          <w:tcPr>
            <w:tcW w:w="2432" w:type="dxa"/>
            <w:vAlign w:val="center"/>
            <w:hideMark/>
          </w:tcPr>
          <w:p w14:paraId="0B1B3FB9"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Localize recruitment, training, performance, and conflict management</w:t>
            </w:r>
          </w:p>
        </w:tc>
        <w:tc>
          <w:tcPr>
            <w:tcW w:w="1618" w:type="dxa"/>
            <w:vAlign w:val="center"/>
            <w:hideMark/>
          </w:tcPr>
          <w:p w14:paraId="2F685049"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Internalisation, Ownership</w:t>
            </w:r>
          </w:p>
        </w:tc>
        <w:tc>
          <w:tcPr>
            <w:tcW w:w="1817" w:type="dxa"/>
            <w:vAlign w:val="center"/>
            <w:hideMark/>
          </w:tcPr>
          <w:p w14:paraId="4FDCBD36"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High power distance, collectivism</w:t>
            </w:r>
          </w:p>
        </w:tc>
        <w:tc>
          <w:tcPr>
            <w:tcW w:w="2064" w:type="dxa"/>
            <w:vAlign w:val="center"/>
            <w:hideMark/>
          </w:tcPr>
          <w:p w14:paraId="62539F66"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More engaged employees, lower turnover, better productivity</w:t>
            </w:r>
          </w:p>
        </w:tc>
        <w:tc>
          <w:tcPr>
            <w:tcW w:w="1581" w:type="dxa"/>
            <w:vAlign w:val="center"/>
            <w:hideMark/>
          </w:tcPr>
          <w:p w14:paraId="3D1703A4"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HR / Operations</w:t>
            </w:r>
          </w:p>
        </w:tc>
      </w:tr>
      <w:tr w:rsidR="005F3236" w:rsidRPr="005F3236" w14:paraId="1B17EF2F" w14:textId="77777777" w:rsidTr="005F3236">
        <w:trPr>
          <w:trHeight w:val="1610"/>
        </w:trPr>
        <w:tc>
          <w:tcPr>
            <w:cnfStyle w:val="001000000000" w:firstRow="0" w:lastRow="0" w:firstColumn="1" w:lastColumn="0" w:oddVBand="0" w:evenVBand="0" w:oddHBand="0" w:evenHBand="0" w:firstRowFirstColumn="0" w:firstRowLastColumn="0" w:lastRowFirstColumn="0" w:lastRowLastColumn="0"/>
            <w:tcW w:w="1795" w:type="dxa"/>
            <w:vAlign w:val="center"/>
            <w:hideMark/>
          </w:tcPr>
          <w:p w14:paraId="36965545" w14:textId="77777777" w:rsidR="005F3236" w:rsidRPr="005F3236" w:rsidRDefault="005F3236" w:rsidP="005F3236">
            <w:pPr>
              <w:spacing w:line="360" w:lineRule="auto"/>
              <w:rPr>
                <w:rFonts w:ascii="Arial" w:hAnsi="Arial" w:cs="Arial"/>
                <w:sz w:val="22"/>
                <w:szCs w:val="22"/>
              </w:rPr>
            </w:pPr>
            <w:r w:rsidRPr="005F3236">
              <w:rPr>
                <w:rFonts w:ascii="Arial" w:hAnsi="Arial" w:cs="Arial"/>
                <w:sz w:val="22"/>
                <w:szCs w:val="22"/>
              </w:rPr>
              <w:t>Supply Chain &amp; Compliance</w:t>
            </w:r>
          </w:p>
        </w:tc>
        <w:tc>
          <w:tcPr>
            <w:tcW w:w="2432" w:type="dxa"/>
            <w:vAlign w:val="center"/>
            <w:hideMark/>
          </w:tcPr>
          <w:p w14:paraId="40520192"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Supplier checks, local sourcing, quality control, audits, anti-corruption policies</w:t>
            </w:r>
          </w:p>
        </w:tc>
        <w:tc>
          <w:tcPr>
            <w:tcW w:w="1618" w:type="dxa"/>
            <w:vAlign w:val="center"/>
            <w:hideMark/>
          </w:tcPr>
          <w:p w14:paraId="25131F26"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Location, Internalisation</w:t>
            </w:r>
          </w:p>
        </w:tc>
        <w:tc>
          <w:tcPr>
            <w:tcW w:w="1817" w:type="dxa"/>
            <w:vAlign w:val="center"/>
            <w:hideMark/>
          </w:tcPr>
          <w:p w14:paraId="699EB7DD"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Uncertainty avoidance</w:t>
            </w:r>
          </w:p>
        </w:tc>
        <w:tc>
          <w:tcPr>
            <w:tcW w:w="2064" w:type="dxa"/>
            <w:vAlign w:val="center"/>
            <w:hideMark/>
          </w:tcPr>
          <w:p w14:paraId="090088EF"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Lower risk, smoother production, compliance with rules</w:t>
            </w:r>
          </w:p>
        </w:tc>
        <w:tc>
          <w:tcPr>
            <w:tcW w:w="1581" w:type="dxa"/>
            <w:vAlign w:val="center"/>
            <w:hideMark/>
          </w:tcPr>
          <w:p w14:paraId="7491DEA9"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Operations / Procurement / Compliance</w:t>
            </w:r>
          </w:p>
        </w:tc>
      </w:tr>
      <w:tr w:rsidR="005F3236" w:rsidRPr="005F3236" w14:paraId="7E272093" w14:textId="77777777" w:rsidTr="005F3236">
        <w:trPr>
          <w:trHeight w:val="1529"/>
        </w:trPr>
        <w:tc>
          <w:tcPr>
            <w:cnfStyle w:val="001000000000" w:firstRow="0" w:lastRow="0" w:firstColumn="1" w:lastColumn="0" w:oddVBand="0" w:evenVBand="0" w:oddHBand="0" w:evenHBand="0" w:firstRowFirstColumn="0" w:firstRowLastColumn="0" w:lastRowFirstColumn="0" w:lastRowLastColumn="0"/>
            <w:tcW w:w="1795" w:type="dxa"/>
            <w:vAlign w:val="center"/>
            <w:hideMark/>
          </w:tcPr>
          <w:p w14:paraId="003FA63C" w14:textId="77777777" w:rsidR="005F3236" w:rsidRPr="005F3236" w:rsidRDefault="005F3236" w:rsidP="005F3236">
            <w:pPr>
              <w:spacing w:line="360" w:lineRule="auto"/>
              <w:rPr>
                <w:rFonts w:ascii="Arial" w:hAnsi="Arial" w:cs="Arial"/>
                <w:sz w:val="22"/>
                <w:szCs w:val="22"/>
              </w:rPr>
            </w:pPr>
            <w:r w:rsidRPr="005F3236">
              <w:rPr>
                <w:rFonts w:ascii="Arial" w:hAnsi="Arial" w:cs="Arial"/>
                <w:sz w:val="22"/>
                <w:szCs w:val="22"/>
              </w:rPr>
              <w:t>Customer Engagement / Marketing</w:t>
            </w:r>
          </w:p>
        </w:tc>
        <w:tc>
          <w:tcPr>
            <w:tcW w:w="2432" w:type="dxa"/>
            <w:vAlign w:val="center"/>
            <w:hideMark/>
          </w:tcPr>
          <w:p w14:paraId="24D8FC34"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Local marketing, customer service, and feedback systems</w:t>
            </w:r>
          </w:p>
        </w:tc>
        <w:tc>
          <w:tcPr>
            <w:tcW w:w="1618" w:type="dxa"/>
            <w:vAlign w:val="center"/>
            <w:hideMark/>
          </w:tcPr>
          <w:p w14:paraId="33501768"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Ownership, Location</w:t>
            </w:r>
          </w:p>
        </w:tc>
        <w:tc>
          <w:tcPr>
            <w:tcW w:w="1817" w:type="dxa"/>
            <w:vAlign w:val="center"/>
            <w:hideMark/>
          </w:tcPr>
          <w:p w14:paraId="229EC1B5"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High-context communication, collectivism</w:t>
            </w:r>
          </w:p>
        </w:tc>
        <w:tc>
          <w:tcPr>
            <w:tcW w:w="2064" w:type="dxa"/>
            <w:vAlign w:val="center"/>
            <w:hideMark/>
          </w:tcPr>
          <w:p w14:paraId="3F79F6D3"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More customer satisfaction, loyalty, and market share</w:t>
            </w:r>
          </w:p>
        </w:tc>
        <w:tc>
          <w:tcPr>
            <w:tcW w:w="1581" w:type="dxa"/>
            <w:vAlign w:val="center"/>
            <w:hideMark/>
          </w:tcPr>
          <w:p w14:paraId="44FECDBA"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Marketing / Sales / Customer Service</w:t>
            </w:r>
          </w:p>
        </w:tc>
      </w:tr>
    </w:tbl>
    <w:p w14:paraId="2D133D9B" w14:textId="2F9D7C8C" w:rsidR="005F3236" w:rsidRDefault="005F3236" w:rsidP="005F3236">
      <w:pPr>
        <w:pStyle w:val="Heading2"/>
      </w:pPr>
      <w:bookmarkStart w:id="55" w:name="_Toc215538941"/>
      <w:bookmarkStart w:id="56" w:name="_Toc216009417"/>
      <w:r w:rsidRPr="005F3236">
        <w:t>Appendix E</w:t>
      </w:r>
      <w:r>
        <w:t>:</w:t>
      </w:r>
      <w:r w:rsidRPr="005F3236">
        <w:t xml:space="preserve"> SOP Adjustment Framework for Brazil</w:t>
      </w:r>
      <w:bookmarkEnd w:id="55"/>
      <w:bookmarkEnd w:id="56"/>
    </w:p>
    <w:p w14:paraId="583A3657" w14:textId="77777777" w:rsidR="005F3236" w:rsidRDefault="005F3236" w:rsidP="00676562">
      <w:pPr>
        <w:spacing w:line="360" w:lineRule="auto"/>
        <w:jc w:val="both"/>
        <w:rPr>
          <w:rFonts w:ascii="Arial" w:hAnsi="Arial" w:cs="Arial"/>
        </w:rPr>
      </w:pPr>
    </w:p>
    <w:p w14:paraId="258C76AD" w14:textId="77777777" w:rsidR="005F3236" w:rsidRPr="004C0BAF" w:rsidRDefault="005F3236" w:rsidP="00676562">
      <w:pPr>
        <w:spacing w:line="360" w:lineRule="auto"/>
        <w:jc w:val="both"/>
        <w:rPr>
          <w:rFonts w:ascii="Arial" w:hAnsi="Arial" w:cs="Arial"/>
        </w:rPr>
      </w:pPr>
    </w:p>
    <w:sectPr w:rsidR="005F3236" w:rsidRPr="004C0BAF" w:rsidSect="00257249">
      <w:headerReference w:type="default" r:id="rId24"/>
      <w:footerReference w:type="default" r:id="rId25"/>
      <w:pgSz w:w="12240" w:h="15840"/>
      <w:pgMar w:top="1440"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C9A67" w14:textId="77777777" w:rsidR="00481A55" w:rsidRDefault="00481A55" w:rsidP="009D708B">
      <w:pPr>
        <w:spacing w:after="0" w:line="240" w:lineRule="auto"/>
      </w:pPr>
      <w:r>
        <w:separator/>
      </w:r>
    </w:p>
  </w:endnote>
  <w:endnote w:type="continuationSeparator" w:id="0">
    <w:p w14:paraId="41A98D50" w14:textId="77777777" w:rsidR="00481A55" w:rsidRDefault="00481A55" w:rsidP="009D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194580"/>
      <w:docPartObj>
        <w:docPartGallery w:val="Page Numbers (Bottom of Page)"/>
        <w:docPartUnique/>
      </w:docPartObj>
    </w:sdtPr>
    <w:sdtEndPr>
      <w:rPr>
        <w:noProof/>
      </w:rPr>
    </w:sdtEndPr>
    <w:sdtContent>
      <w:p w14:paraId="698CBA4C" w14:textId="47027402" w:rsidR="00C23CDA" w:rsidRDefault="00C23C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0A4A1" w14:textId="77777777" w:rsidR="00C23CDA" w:rsidRDefault="00C23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E534B" w14:textId="77777777" w:rsidR="00481A55" w:rsidRDefault="00481A55" w:rsidP="009D708B">
      <w:pPr>
        <w:spacing w:after="0" w:line="240" w:lineRule="auto"/>
      </w:pPr>
      <w:r>
        <w:separator/>
      </w:r>
    </w:p>
  </w:footnote>
  <w:footnote w:type="continuationSeparator" w:id="0">
    <w:p w14:paraId="5F857973" w14:textId="77777777" w:rsidR="00481A55" w:rsidRDefault="00481A55" w:rsidP="009D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FAFDD" w14:textId="53523314" w:rsidR="009D708B" w:rsidRPr="009D708B" w:rsidRDefault="009D708B" w:rsidP="009D708B">
    <w:pPr>
      <w:pStyle w:val="Header"/>
    </w:pPr>
    <w:r>
      <w:rPr>
        <w:noProof/>
      </w:rPr>
      <w:drawing>
        <wp:anchor distT="0" distB="0" distL="114300" distR="114300" simplePos="0" relativeHeight="251658240" behindDoc="0" locked="0" layoutInCell="1" allowOverlap="1" wp14:anchorId="137E60DB" wp14:editId="2C0156E3">
          <wp:simplePos x="0" y="0"/>
          <wp:positionH relativeFrom="column">
            <wp:posOffset>-466090</wp:posOffset>
          </wp:positionH>
          <wp:positionV relativeFrom="page">
            <wp:posOffset>220454</wp:posOffset>
          </wp:positionV>
          <wp:extent cx="1358900" cy="541020"/>
          <wp:effectExtent l="0" t="0" r="0" b="0"/>
          <wp:wrapTopAndBottom/>
          <wp:docPr id="93297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8639" name="Picture 1404348639"/>
                  <pic:cNvPicPr/>
                </pic:nvPicPr>
                <pic:blipFill>
                  <a:blip r:embed="rId1">
                    <a:extLst>
                      <a:ext uri="{28A0092B-C50C-407E-A947-70E740481C1C}">
                        <a14:useLocalDpi xmlns:a14="http://schemas.microsoft.com/office/drawing/2010/main" val="0"/>
                      </a:ext>
                    </a:extLst>
                  </a:blip>
                  <a:stretch>
                    <a:fillRect/>
                  </a:stretch>
                </pic:blipFill>
                <pic:spPr>
                  <a:xfrm>
                    <a:off x="0" y="0"/>
                    <a:ext cx="1358900" cy="5410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45FB8"/>
    <w:multiLevelType w:val="hybridMultilevel"/>
    <w:tmpl w:val="AAE6C2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4770478"/>
    <w:multiLevelType w:val="hybridMultilevel"/>
    <w:tmpl w:val="1E7615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754693104">
    <w:abstractNumId w:val="0"/>
  </w:num>
  <w:num w:numId="2" w16cid:durableId="120055489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C"/>
    <w:rsid w:val="00004685"/>
    <w:rsid w:val="00004BED"/>
    <w:rsid w:val="00012B21"/>
    <w:rsid w:val="000204FE"/>
    <w:rsid w:val="00023134"/>
    <w:rsid w:val="00031642"/>
    <w:rsid w:val="00037E9B"/>
    <w:rsid w:val="00047145"/>
    <w:rsid w:val="000479E9"/>
    <w:rsid w:val="00052AB1"/>
    <w:rsid w:val="00053521"/>
    <w:rsid w:val="00054AA2"/>
    <w:rsid w:val="00054B35"/>
    <w:rsid w:val="00054E2B"/>
    <w:rsid w:val="00057BB6"/>
    <w:rsid w:val="00061088"/>
    <w:rsid w:val="0007004D"/>
    <w:rsid w:val="00070DAA"/>
    <w:rsid w:val="00072BA0"/>
    <w:rsid w:val="0008016D"/>
    <w:rsid w:val="000835ED"/>
    <w:rsid w:val="00086117"/>
    <w:rsid w:val="000869F9"/>
    <w:rsid w:val="00087CC8"/>
    <w:rsid w:val="000962AE"/>
    <w:rsid w:val="000A073E"/>
    <w:rsid w:val="000B295E"/>
    <w:rsid w:val="000B2CBF"/>
    <w:rsid w:val="000C7040"/>
    <w:rsid w:val="000D0F7A"/>
    <w:rsid w:val="000D25F8"/>
    <w:rsid w:val="000D5E59"/>
    <w:rsid w:val="000E598C"/>
    <w:rsid w:val="000E6090"/>
    <w:rsid w:val="000F7FED"/>
    <w:rsid w:val="00105CC8"/>
    <w:rsid w:val="00105F93"/>
    <w:rsid w:val="001075E1"/>
    <w:rsid w:val="00111B5D"/>
    <w:rsid w:val="001126A7"/>
    <w:rsid w:val="00120CCD"/>
    <w:rsid w:val="00122A3F"/>
    <w:rsid w:val="001230E0"/>
    <w:rsid w:val="0012624F"/>
    <w:rsid w:val="0014014C"/>
    <w:rsid w:val="00140A37"/>
    <w:rsid w:val="0015187F"/>
    <w:rsid w:val="00156021"/>
    <w:rsid w:val="001602D1"/>
    <w:rsid w:val="00160978"/>
    <w:rsid w:val="0016681A"/>
    <w:rsid w:val="0016687B"/>
    <w:rsid w:val="00171122"/>
    <w:rsid w:val="0017613D"/>
    <w:rsid w:val="00180569"/>
    <w:rsid w:val="00180CB2"/>
    <w:rsid w:val="00183113"/>
    <w:rsid w:val="001835C5"/>
    <w:rsid w:val="00190031"/>
    <w:rsid w:val="00190657"/>
    <w:rsid w:val="001969E8"/>
    <w:rsid w:val="001A0C8B"/>
    <w:rsid w:val="001A2D1F"/>
    <w:rsid w:val="001A78EE"/>
    <w:rsid w:val="001B42CE"/>
    <w:rsid w:val="001C1EE2"/>
    <w:rsid w:val="001D45C2"/>
    <w:rsid w:val="001F2D7E"/>
    <w:rsid w:val="001F5BE3"/>
    <w:rsid w:val="001F7E3B"/>
    <w:rsid w:val="00206D1E"/>
    <w:rsid w:val="002071DE"/>
    <w:rsid w:val="002130D5"/>
    <w:rsid w:val="00213423"/>
    <w:rsid w:val="002140F5"/>
    <w:rsid w:val="00217D0A"/>
    <w:rsid w:val="00221A2B"/>
    <w:rsid w:val="002227C4"/>
    <w:rsid w:val="0024518F"/>
    <w:rsid w:val="00256353"/>
    <w:rsid w:val="00257249"/>
    <w:rsid w:val="00262434"/>
    <w:rsid w:val="00272014"/>
    <w:rsid w:val="00273627"/>
    <w:rsid w:val="00280731"/>
    <w:rsid w:val="00281572"/>
    <w:rsid w:val="00283BE4"/>
    <w:rsid w:val="00290C11"/>
    <w:rsid w:val="00293E69"/>
    <w:rsid w:val="00295538"/>
    <w:rsid w:val="00297C69"/>
    <w:rsid w:val="002A1073"/>
    <w:rsid w:val="002A4524"/>
    <w:rsid w:val="002A4EB7"/>
    <w:rsid w:val="002B27E4"/>
    <w:rsid w:val="002B65CE"/>
    <w:rsid w:val="002C5069"/>
    <w:rsid w:val="002C5138"/>
    <w:rsid w:val="002C59E9"/>
    <w:rsid w:val="002D292F"/>
    <w:rsid w:val="002D4931"/>
    <w:rsid w:val="002E047E"/>
    <w:rsid w:val="002E24E0"/>
    <w:rsid w:val="002F1339"/>
    <w:rsid w:val="002F21CD"/>
    <w:rsid w:val="002F4864"/>
    <w:rsid w:val="002F5204"/>
    <w:rsid w:val="002F662D"/>
    <w:rsid w:val="002F7FB7"/>
    <w:rsid w:val="003102E1"/>
    <w:rsid w:val="003107C3"/>
    <w:rsid w:val="00313B0C"/>
    <w:rsid w:val="00316954"/>
    <w:rsid w:val="003173AE"/>
    <w:rsid w:val="0032219A"/>
    <w:rsid w:val="003333AA"/>
    <w:rsid w:val="0033794A"/>
    <w:rsid w:val="003437C3"/>
    <w:rsid w:val="00353387"/>
    <w:rsid w:val="003651D4"/>
    <w:rsid w:val="00371009"/>
    <w:rsid w:val="00372D11"/>
    <w:rsid w:val="0038080B"/>
    <w:rsid w:val="00382354"/>
    <w:rsid w:val="00386047"/>
    <w:rsid w:val="0038604B"/>
    <w:rsid w:val="00391F23"/>
    <w:rsid w:val="003973E6"/>
    <w:rsid w:val="00397F42"/>
    <w:rsid w:val="003A2D39"/>
    <w:rsid w:val="003A51E7"/>
    <w:rsid w:val="003A7530"/>
    <w:rsid w:val="003B248C"/>
    <w:rsid w:val="003B7BB7"/>
    <w:rsid w:val="003C1AC5"/>
    <w:rsid w:val="003C6070"/>
    <w:rsid w:val="003D4819"/>
    <w:rsid w:val="003D51D5"/>
    <w:rsid w:val="003D6F62"/>
    <w:rsid w:val="003F520D"/>
    <w:rsid w:val="0041138F"/>
    <w:rsid w:val="00413DB3"/>
    <w:rsid w:val="00413EF4"/>
    <w:rsid w:val="00423B59"/>
    <w:rsid w:val="0043033A"/>
    <w:rsid w:val="00431A47"/>
    <w:rsid w:val="0043499B"/>
    <w:rsid w:val="00434FF5"/>
    <w:rsid w:val="00436237"/>
    <w:rsid w:val="004370E4"/>
    <w:rsid w:val="00437801"/>
    <w:rsid w:val="00441A9A"/>
    <w:rsid w:val="0044395D"/>
    <w:rsid w:val="00454794"/>
    <w:rsid w:val="00456A31"/>
    <w:rsid w:val="00461424"/>
    <w:rsid w:val="00475259"/>
    <w:rsid w:val="00481A55"/>
    <w:rsid w:val="00483805"/>
    <w:rsid w:val="004904E1"/>
    <w:rsid w:val="004947B8"/>
    <w:rsid w:val="0049493D"/>
    <w:rsid w:val="004A188C"/>
    <w:rsid w:val="004A27FD"/>
    <w:rsid w:val="004A68C2"/>
    <w:rsid w:val="004A70E6"/>
    <w:rsid w:val="004B0B18"/>
    <w:rsid w:val="004B270C"/>
    <w:rsid w:val="004B36E3"/>
    <w:rsid w:val="004C0BAF"/>
    <w:rsid w:val="004C1358"/>
    <w:rsid w:val="004C20B2"/>
    <w:rsid w:val="004C2F15"/>
    <w:rsid w:val="004C7B1C"/>
    <w:rsid w:val="004D34F3"/>
    <w:rsid w:val="004D35B3"/>
    <w:rsid w:val="004D4603"/>
    <w:rsid w:val="004D5E8E"/>
    <w:rsid w:val="004D7749"/>
    <w:rsid w:val="004E0504"/>
    <w:rsid w:val="004E2E69"/>
    <w:rsid w:val="004E3FA4"/>
    <w:rsid w:val="004E6EE8"/>
    <w:rsid w:val="004E6F80"/>
    <w:rsid w:val="004F0976"/>
    <w:rsid w:val="004F1519"/>
    <w:rsid w:val="00504FA7"/>
    <w:rsid w:val="00505A24"/>
    <w:rsid w:val="00507FB9"/>
    <w:rsid w:val="00514D61"/>
    <w:rsid w:val="00535285"/>
    <w:rsid w:val="005407E9"/>
    <w:rsid w:val="00541830"/>
    <w:rsid w:val="00542984"/>
    <w:rsid w:val="00542CCA"/>
    <w:rsid w:val="0054318B"/>
    <w:rsid w:val="00544841"/>
    <w:rsid w:val="00552E5E"/>
    <w:rsid w:val="005645AB"/>
    <w:rsid w:val="00564811"/>
    <w:rsid w:val="00567EF9"/>
    <w:rsid w:val="005723B4"/>
    <w:rsid w:val="0058380C"/>
    <w:rsid w:val="005A2ED0"/>
    <w:rsid w:val="005A566B"/>
    <w:rsid w:val="005B1EC3"/>
    <w:rsid w:val="005B285F"/>
    <w:rsid w:val="005B2915"/>
    <w:rsid w:val="005B359D"/>
    <w:rsid w:val="005B7F96"/>
    <w:rsid w:val="005C5EB2"/>
    <w:rsid w:val="005D1AE8"/>
    <w:rsid w:val="005D32F5"/>
    <w:rsid w:val="005E143D"/>
    <w:rsid w:val="005E175D"/>
    <w:rsid w:val="005E2DF3"/>
    <w:rsid w:val="005E3BC8"/>
    <w:rsid w:val="005F109C"/>
    <w:rsid w:val="005F3236"/>
    <w:rsid w:val="005F582A"/>
    <w:rsid w:val="00603C80"/>
    <w:rsid w:val="00606D0D"/>
    <w:rsid w:val="006105A4"/>
    <w:rsid w:val="006118C8"/>
    <w:rsid w:val="00615EB2"/>
    <w:rsid w:val="006162B3"/>
    <w:rsid w:val="00620A81"/>
    <w:rsid w:val="00622E61"/>
    <w:rsid w:val="00623299"/>
    <w:rsid w:val="00623585"/>
    <w:rsid w:val="006238B8"/>
    <w:rsid w:val="00624E5D"/>
    <w:rsid w:val="00647950"/>
    <w:rsid w:val="00651AAA"/>
    <w:rsid w:val="006532CC"/>
    <w:rsid w:val="00653C5C"/>
    <w:rsid w:val="00670A64"/>
    <w:rsid w:val="00672EA0"/>
    <w:rsid w:val="00673A64"/>
    <w:rsid w:val="00673FC1"/>
    <w:rsid w:val="00676562"/>
    <w:rsid w:val="00680D2D"/>
    <w:rsid w:val="00682A72"/>
    <w:rsid w:val="006904F7"/>
    <w:rsid w:val="006A6F07"/>
    <w:rsid w:val="006B4F59"/>
    <w:rsid w:val="006C064F"/>
    <w:rsid w:val="006C4260"/>
    <w:rsid w:val="006C5D0B"/>
    <w:rsid w:val="006C6789"/>
    <w:rsid w:val="006D044C"/>
    <w:rsid w:val="006D191D"/>
    <w:rsid w:val="006E155C"/>
    <w:rsid w:val="006E35C7"/>
    <w:rsid w:val="006E3A9C"/>
    <w:rsid w:val="006E42E4"/>
    <w:rsid w:val="006F0E23"/>
    <w:rsid w:val="006F14A7"/>
    <w:rsid w:val="006F191D"/>
    <w:rsid w:val="00700287"/>
    <w:rsid w:val="0070046B"/>
    <w:rsid w:val="00700C9E"/>
    <w:rsid w:val="00720A62"/>
    <w:rsid w:val="007258C9"/>
    <w:rsid w:val="00726C43"/>
    <w:rsid w:val="00727D4D"/>
    <w:rsid w:val="00730AD7"/>
    <w:rsid w:val="00733357"/>
    <w:rsid w:val="00733776"/>
    <w:rsid w:val="00734083"/>
    <w:rsid w:val="00736B12"/>
    <w:rsid w:val="00737A07"/>
    <w:rsid w:val="00743DA1"/>
    <w:rsid w:val="0074486B"/>
    <w:rsid w:val="007518E3"/>
    <w:rsid w:val="007546A0"/>
    <w:rsid w:val="007623CD"/>
    <w:rsid w:val="00777358"/>
    <w:rsid w:val="00795195"/>
    <w:rsid w:val="007A6B46"/>
    <w:rsid w:val="007B14F9"/>
    <w:rsid w:val="007B3A70"/>
    <w:rsid w:val="007B61C1"/>
    <w:rsid w:val="007B73A1"/>
    <w:rsid w:val="007C41F4"/>
    <w:rsid w:val="007C4A23"/>
    <w:rsid w:val="007C5B4C"/>
    <w:rsid w:val="007C7CCE"/>
    <w:rsid w:val="007D1123"/>
    <w:rsid w:val="007D1197"/>
    <w:rsid w:val="007D2287"/>
    <w:rsid w:val="007D700C"/>
    <w:rsid w:val="007E07B2"/>
    <w:rsid w:val="007E08F3"/>
    <w:rsid w:val="007E4D5E"/>
    <w:rsid w:val="007E598D"/>
    <w:rsid w:val="007F2627"/>
    <w:rsid w:val="007F469E"/>
    <w:rsid w:val="007F5EB0"/>
    <w:rsid w:val="007F678A"/>
    <w:rsid w:val="00801B07"/>
    <w:rsid w:val="008143B4"/>
    <w:rsid w:val="0082194D"/>
    <w:rsid w:val="008269B4"/>
    <w:rsid w:val="008308F7"/>
    <w:rsid w:val="00831648"/>
    <w:rsid w:val="008337CB"/>
    <w:rsid w:val="008364F5"/>
    <w:rsid w:val="008469AC"/>
    <w:rsid w:val="00847D96"/>
    <w:rsid w:val="00850440"/>
    <w:rsid w:val="00850C0E"/>
    <w:rsid w:val="00854103"/>
    <w:rsid w:val="00861ADF"/>
    <w:rsid w:val="008721CB"/>
    <w:rsid w:val="00873598"/>
    <w:rsid w:val="00876D2A"/>
    <w:rsid w:val="00877149"/>
    <w:rsid w:val="0088016E"/>
    <w:rsid w:val="00881384"/>
    <w:rsid w:val="0088471A"/>
    <w:rsid w:val="00886706"/>
    <w:rsid w:val="008869E1"/>
    <w:rsid w:val="008872CE"/>
    <w:rsid w:val="00887A59"/>
    <w:rsid w:val="008A7CE1"/>
    <w:rsid w:val="008B0841"/>
    <w:rsid w:val="008B08CA"/>
    <w:rsid w:val="008C0AAC"/>
    <w:rsid w:val="008C131A"/>
    <w:rsid w:val="008C21E7"/>
    <w:rsid w:val="008D116A"/>
    <w:rsid w:val="008D16A0"/>
    <w:rsid w:val="008D73F7"/>
    <w:rsid w:val="008F77A0"/>
    <w:rsid w:val="00901924"/>
    <w:rsid w:val="00903E87"/>
    <w:rsid w:val="009042F9"/>
    <w:rsid w:val="009044A3"/>
    <w:rsid w:val="009137B1"/>
    <w:rsid w:val="00922947"/>
    <w:rsid w:val="00927B73"/>
    <w:rsid w:val="009309FB"/>
    <w:rsid w:val="00934796"/>
    <w:rsid w:val="009352B7"/>
    <w:rsid w:val="00940F7F"/>
    <w:rsid w:val="00947C80"/>
    <w:rsid w:val="00951CFA"/>
    <w:rsid w:val="00970832"/>
    <w:rsid w:val="00970FB3"/>
    <w:rsid w:val="00977937"/>
    <w:rsid w:val="009848D2"/>
    <w:rsid w:val="00984EAC"/>
    <w:rsid w:val="0099349A"/>
    <w:rsid w:val="00993BEF"/>
    <w:rsid w:val="00993E4E"/>
    <w:rsid w:val="00993F6A"/>
    <w:rsid w:val="009A1A75"/>
    <w:rsid w:val="009A3DA8"/>
    <w:rsid w:val="009A78D7"/>
    <w:rsid w:val="009B0528"/>
    <w:rsid w:val="009B52FD"/>
    <w:rsid w:val="009C4ACC"/>
    <w:rsid w:val="009C51F2"/>
    <w:rsid w:val="009D3B58"/>
    <w:rsid w:val="009D3CE8"/>
    <w:rsid w:val="009D708B"/>
    <w:rsid w:val="009E360E"/>
    <w:rsid w:val="009E68B2"/>
    <w:rsid w:val="009F2BAB"/>
    <w:rsid w:val="009F604D"/>
    <w:rsid w:val="00A035C4"/>
    <w:rsid w:val="00A05EA9"/>
    <w:rsid w:val="00A07F4F"/>
    <w:rsid w:val="00A11FA0"/>
    <w:rsid w:val="00A1220E"/>
    <w:rsid w:val="00A1546C"/>
    <w:rsid w:val="00A16F06"/>
    <w:rsid w:val="00A270EC"/>
    <w:rsid w:val="00A30915"/>
    <w:rsid w:val="00A363DA"/>
    <w:rsid w:val="00A416ED"/>
    <w:rsid w:val="00A42408"/>
    <w:rsid w:val="00A619BB"/>
    <w:rsid w:val="00A61E7B"/>
    <w:rsid w:val="00A637F2"/>
    <w:rsid w:val="00A6434E"/>
    <w:rsid w:val="00A83D00"/>
    <w:rsid w:val="00A84EB7"/>
    <w:rsid w:val="00A86114"/>
    <w:rsid w:val="00AA02DE"/>
    <w:rsid w:val="00AA217F"/>
    <w:rsid w:val="00AA73FA"/>
    <w:rsid w:val="00AB18A3"/>
    <w:rsid w:val="00AB355A"/>
    <w:rsid w:val="00AB59C8"/>
    <w:rsid w:val="00AB692C"/>
    <w:rsid w:val="00AB6C67"/>
    <w:rsid w:val="00AC08DF"/>
    <w:rsid w:val="00AC6659"/>
    <w:rsid w:val="00AC6A2A"/>
    <w:rsid w:val="00AD36BC"/>
    <w:rsid w:val="00AD3753"/>
    <w:rsid w:val="00AD616F"/>
    <w:rsid w:val="00AE09C5"/>
    <w:rsid w:val="00AE6C05"/>
    <w:rsid w:val="00AF0B8C"/>
    <w:rsid w:val="00AF103A"/>
    <w:rsid w:val="00AF7D93"/>
    <w:rsid w:val="00B01DAF"/>
    <w:rsid w:val="00B057BF"/>
    <w:rsid w:val="00B11A6A"/>
    <w:rsid w:val="00B2584C"/>
    <w:rsid w:val="00B350FB"/>
    <w:rsid w:val="00B40EB0"/>
    <w:rsid w:val="00B51A45"/>
    <w:rsid w:val="00B6798F"/>
    <w:rsid w:val="00B67F14"/>
    <w:rsid w:val="00B70696"/>
    <w:rsid w:val="00B70C47"/>
    <w:rsid w:val="00B7407B"/>
    <w:rsid w:val="00B87E48"/>
    <w:rsid w:val="00B96525"/>
    <w:rsid w:val="00BA71D7"/>
    <w:rsid w:val="00BB0CC1"/>
    <w:rsid w:val="00BB21B3"/>
    <w:rsid w:val="00BC119F"/>
    <w:rsid w:val="00BC2C1C"/>
    <w:rsid w:val="00BC505A"/>
    <w:rsid w:val="00BE13DC"/>
    <w:rsid w:val="00BE2223"/>
    <w:rsid w:val="00BE4839"/>
    <w:rsid w:val="00BE750C"/>
    <w:rsid w:val="00BF05C1"/>
    <w:rsid w:val="00BF246F"/>
    <w:rsid w:val="00BF5761"/>
    <w:rsid w:val="00C01F27"/>
    <w:rsid w:val="00C074D0"/>
    <w:rsid w:val="00C10CBE"/>
    <w:rsid w:val="00C13357"/>
    <w:rsid w:val="00C1455F"/>
    <w:rsid w:val="00C2157A"/>
    <w:rsid w:val="00C23CDA"/>
    <w:rsid w:val="00C252AA"/>
    <w:rsid w:val="00C35FCE"/>
    <w:rsid w:val="00C3769B"/>
    <w:rsid w:val="00C378AF"/>
    <w:rsid w:val="00C420DD"/>
    <w:rsid w:val="00C4472C"/>
    <w:rsid w:val="00C45099"/>
    <w:rsid w:val="00C452B1"/>
    <w:rsid w:val="00C47E82"/>
    <w:rsid w:val="00C62739"/>
    <w:rsid w:val="00C63B2F"/>
    <w:rsid w:val="00C6477B"/>
    <w:rsid w:val="00C72F78"/>
    <w:rsid w:val="00C74DD3"/>
    <w:rsid w:val="00C8138A"/>
    <w:rsid w:val="00C87311"/>
    <w:rsid w:val="00C90BBE"/>
    <w:rsid w:val="00C9284C"/>
    <w:rsid w:val="00C93992"/>
    <w:rsid w:val="00C9633F"/>
    <w:rsid w:val="00CA1789"/>
    <w:rsid w:val="00CA188B"/>
    <w:rsid w:val="00CA34C2"/>
    <w:rsid w:val="00CB2816"/>
    <w:rsid w:val="00CB389E"/>
    <w:rsid w:val="00CB55AA"/>
    <w:rsid w:val="00CC123F"/>
    <w:rsid w:val="00CD393A"/>
    <w:rsid w:val="00CD7871"/>
    <w:rsid w:val="00CE4208"/>
    <w:rsid w:val="00CE5254"/>
    <w:rsid w:val="00CE5D33"/>
    <w:rsid w:val="00CF1964"/>
    <w:rsid w:val="00CF4CD9"/>
    <w:rsid w:val="00CF5EE6"/>
    <w:rsid w:val="00D146D6"/>
    <w:rsid w:val="00D2045B"/>
    <w:rsid w:val="00D228AB"/>
    <w:rsid w:val="00D27215"/>
    <w:rsid w:val="00D2727E"/>
    <w:rsid w:val="00D27748"/>
    <w:rsid w:val="00D3452E"/>
    <w:rsid w:val="00D40C56"/>
    <w:rsid w:val="00D40C79"/>
    <w:rsid w:val="00D5459D"/>
    <w:rsid w:val="00D5541A"/>
    <w:rsid w:val="00D55CBA"/>
    <w:rsid w:val="00D56258"/>
    <w:rsid w:val="00D5758C"/>
    <w:rsid w:val="00D610F3"/>
    <w:rsid w:val="00D6342A"/>
    <w:rsid w:val="00D6569C"/>
    <w:rsid w:val="00D71B26"/>
    <w:rsid w:val="00D7426F"/>
    <w:rsid w:val="00D84FD2"/>
    <w:rsid w:val="00D96453"/>
    <w:rsid w:val="00DA00C2"/>
    <w:rsid w:val="00DA00D2"/>
    <w:rsid w:val="00DA11A6"/>
    <w:rsid w:val="00DA13D7"/>
    <w:rsid w:val="00DA65F8"/>
    <w:rsid w:val="00DA6CE1"/>
    <w:rsid w:val="00DB4BBA"/>
    <w:rsid w:val="00DC5506"/>
    <w:rsid w:val="00DC59AE"/>
    <w:rsid w:val="00DD1F70"/>
    <w:rsid w:val="00DD21CE"/>
    <w:rsid w:val="00DD272C"/>
    <w:rsid w:val="00DD51B7"/>
    <w:rsid w:val="00DD71F3"/>
    <w:rsid w:val="00DD778B"/>
    <w:rsid w:val="00DF56FE"/>
    <w:rsid w:val="00E0303A"/>
    <w:rsid w:val="00E05D0E"/>
    <w:rsid w:val="00E07C6E"/>
    <w:rsid w:val="00E14AAF"/>
    <w:rsid w:val="00E1548E"/>
    <w:rsid w:val="00E179F3"/>
    <w:rsid w:val="00E276EF"/>
    <w:rsid w:val="00E27BFE"/>
    <w:rsid w:val="00E27E8C"/>
    <w:rsid w:val="00E32AD5"/>
    <w:rsid w:val="00E335CD"/>
    <w:rsid w:val="00E373AE"/>
    <w:rsid w:val="00E3777A"/>
    <w:rsid w:val="00E37CAD"/>
    <w:rsid w:val="00E4315C"/>
    <w:rsid w:val="00E609B0"/>
    <w:rsid w:val="00E64935"/>
    <w:rsid w:val="00E71F71"/>
    <w:rsid w:val="00E7301C"/>
    <w:rsid w:val="00E7572B"/>
    <w:rsid w:val="00E81A49"/>
    <w:rsid w:val="00E81F83"/>
    <w:rsid w:val="00E87AB2"/>
    <w:rsid w:val="00E93EBE"/>
    <w:rsid w:val="00EA002B"/>
    <w:rsid w:val="00EA124D"/>
    <w:rsid w:val="00EA1ABD"/>
    <w:rsid w:val="00EA57B1"/>
    <w:rsid w:val="00EA7937"/>
    <w:rsid w:val="00EB3A2F"/>
    <w:rsid w:val="00EB5545"/>
    <w:rsid w:val="00EC56E2"/>
    <w:rsid w:val="00EC7A73"/>
    <w:rsid w:val="00ED2C3C"/>
    <w:rsid w:val="00ED476E"/>
    <w:rsid w:val="00ED5156"/>
    <w:rsid w:val="00EE3690"/>
    <w:rsid w:val="00EE72FA"/>
    <w:rsid w:val="00EF37B6"/>
    <w:rsid w:val="00EF622D"/>
    <w:rsid w:val="00F03DEC"/>
    <w:rsid w:val="00F116E1"/>
    <w:rsid w:val="00F12D2C"/>
    <w:rsid w:val="00F12F4C"/>
    <w:rsid w:val="00F13A01"/>
    <w:rsid w:val="00F15283"/>
    <w:rsid w:val="00F15386"/>
    <w:rsid w:val="00F1615C"/>
    <w:rsid w:val="00F202CE"/>
    <w:rsid w:val="00F23251"/>
    <w:rsid w:val="00F260ED"/>
    <w:rsid w:val="00F267BF"/>
    <w:rsid w:val="00F276D4"/>
    <w:rsid w:val="00F324D3"/>
    <w:rsid w:val="00F34A1F"/>
    <w:rsid w:val="00F37356"/>
    <w:rsid w:val="00F6719B"/>
    <w:rsid w:val="00F709A9"/>
    <w:rsid w:val="00F7127F"/>
    <w:rsid w:val="00F83920"/>
    <w:rsid w:val="00F864B2"/>
    <w:rsid w:val="00F87D45"/>
    <w:rsid w:val="00F96F1C"/>
    <w:rsid w:val="00FA2411"/>
    <w:rsid w:val="00FB5F06"/>
    <w:rsid w:val="00FB7636"/>
    <w:rsid w:val="00FC02F9"/>
    <w:rsid w:val="00FC2BE4"/>
    <w:rsid w:val="00FC5280"/>
    <w:rsid w:val="00FD5908"/>
    <w:rsid w:val="00FF7E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68496"/>
  <w15:chartTrackingRefBased/>
  <w15:docId w15:val="{2D98A3A5-2E61-430C-BEC9-DA282EC1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FA7"/>
    <w:pPr>
      <w:keepNext/>
      <w:keepLines/>
      <w:spacing w:before="360" w:after="80" w:line="360" w:lineRule="auto"/>
      <w:jc w:val="both"/>
      <w:outlineLvl w:val="0"/>
    </w:pPr>
    <w:rPr>
      <w:rFonts w:ascii="Arial" w:eastAsiaTheme="majorEastAsia" w:hAnsi="Arial" w:cstheme="majorBidi"/>
      <w:b/>
      <w:color w:val="2F5496" w:themeColor="accent1" w:themeShade="BF"/>
      <w:szCs w:val="40"/>
    </w:rPr>
  </w:style>
  <w:style w:type="paragraph" w:styleId="Heading2">
    <w:name w:val="heading 2"/>
    <w:basedOn w:val="Normal"/>
    <w:next w:val="Normal"/>
    <w:link w:val="Heading2Char"/>
    <w:uiPriority w:val="9"/>
    <w:unhideWhenUsed/>
    <w:qFormat/>
    <w:rsid w:val="004E6F80"/>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FA7"/>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4E6F80"/>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styleId="UnresolvedMention">
    <w:name w:val="Unresolved Mention"/>
    <w:basedOn w:val="DefaultParagraphFont"/>
    <w:uiPriority w:val="99"/>
    <w:semiHidden/>
    <w:unhideWhenUsed/>
    <w:rsid w:val="00AA02DE"/>
    <w:rPr>
      <w:color w:val="605E5C"/>
      <w:shd w:val="clear" w:color="auto" w:fill="E1DFDD"/>
    </w:rPr>
  </w:style>
  <w:style w:type="table" w:styleId="GridTable1Light">
    <w:name w:val="Grid Table 1 Light"/>
    <w:basedOn w:val="TableNormal"/>
    <w:uiPriority w:val="46"/>
    <w:rsid w:val="00C90BB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Light">
    <w:name w:val="Grid Table Light"/>
    <w:basedOn w:val="TableNormal"/>
    <w:uiPriority w:val="40"/>
    <w:rsid w:val="007F5EB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15579">
      <w:bodyDiv w:val="1"/>
      <w:marLeft w:val="0"/>
      <w:marRight w:val="0"/>
      <w:marTop w:val="0"/>
      <w:marBottom w:val="0"/>
      <w:divBdr>
        <w:top w:val="none" w:sz="0" w:space="0" w:color="auto"/>
        <w:left w:val="none" w:sz="0" w:space="0" w:color="auto"/>
        <w:bottom w:val="none" w:sz="0" w:space="0" w:color="auto"/>
        <w:right w:val="none" w:sz="0" w:space="0" w:color="auto"/>
      </w:divBdr>
    </w:div>
    <w:div w:id="8878021">
      <w:bodyDiv w:val="1"/>
      <w:marLeft w:val="0"/>
      <w:marRight w:val="0"/>
      <w:marTop w:val="0"/>
      <w:marBottom w:val="0"/>
      <w:divBdr>
        <w:top w:val="none" w:sz="0" w:space="0" w:color="auto"/>
        <w:left w:val="none" w:sz="0" w:space="0" w:color="auto"/>
        <w:bottom w:val="none" w:sz="0" w:space="0" w:color="auto"/>
        <w:right w:val="none" w:sz="0" w:space="0" w:color="auto"/>
      </w:divBdr>
    </w:div>
    <w:div w:id="15086174">
      <w:bodyDiv w:val="1"/>
      <w:marLeft w:val="0"/>
      <w:marRight w:val="0"/>
      <w:marTop w:val="0"/>
      <w:marBottom w:val="0"/>
      <w:divBdr>
        <w:top w:val="none" w:sz="0" w:space="0" w:color="auto"/>
        <w:left w:val="none" w:sz="0" w:space="0" w:color="auto"/>
        <w:bottom w:val="none" w:sz="0" w:space="0" w:color="auto"/>
        <w:right w:val="none" w:sz="0" w:space="0" w:color="auto"/>
      </w:divBdr>
    </w:div>
    <w:div w:id="19819551">
      <w:bodyDiv w:val="1"/>
      <w:marLeft w:val="0"/>
      <w:marRight w:val="0"/>
      <w:marTop w:val="0"/>
      <w:marBottom w:val="0"/>
      <w:divBdr>
        <w:top w:val="none" w:sz="0" w:space="0" w:color="auto"/>
        <w:left w:val="none" w:sz="0" w:space="0" w:color="auto"/>
        <w:bottom w:val="none" w:sz="0" w:space="0" w:color="auto"/>
        <w:right w:val="none" w:sz="0" w:space="0" w:color="auto"/>
      </w:divBdr>
    </w:div>
    <w:div w:id="30691800">
      <w:bodyDiv w:val="1"/>
      <w:marLeft w:val="0"/>
      <w:marRight w:val="0"/>
      <w:marTop w:val="0"/>
      <w:marBottom w:val="0"/>
      <w:divBdr>
        <w:top w:val="none" w:sz="0" w:space="0" w:color="auto"/>
        <w:left w:val="none" w:sz="0" w:space="0" w:color="auto"/>
        <w:bottom w:val="none" w:sz="0" w:space="0" w:color="auto"/>
        <w:right w:val="none" w:sz="0" w:space="0" w:color="auto"/>
      </w:divBdr>
    </w:div>
    <w:div w:id="39670023">
      <w:bodyDiv w:val="1"/>
      <w:marLeft w:val="0"/>
      <w:marRight w:val="0"/>
      <w:marTop w:val="0"/>
      <w:marBottom w:val="0"/>
      <w:divBdr>
        <w:top w:val="none" w:sz="0" w:space="0" w:color="auto"/>
        <w:left w:val="none" w:sz="0" w:space="0" w:color="auto"/>
        <w:bottom w:val="none" w:sz="0" w:space="0" w:color="auto"/>
        <w:right w:val="none" w:sz="0" w:space="0" w:color="auto"/>
      </w:divBdr>
    </w:div>
    <w:div w:id="52125086">
      <w:bodyDiv w:val="1"/>
      <w:marLeft w:val="0"/>
      <w:marRight w:val="0"/>
      <w:marTop w:val="0"/>
      <w:marBottom w:val="0"/>
      <w:divBdr>
        <w:top w:val="none" w:sz="0" w:space="0" w:color="auto"/>
        <w:left w:val="none" w:sz="0" w:space="0" w:color="auto"/>
        <w:bottom w:val="none" w:sz="0" w:space="0" w:color="auto"/>
        <w:right w:val="none" w:sz="0" w:space="0" w:color="auto"/>
      </w:divBdr>
    </w:div>
    <w:div w:id="68769978">
      <w:bodyDiv w:val="1"/>
      <w:marLeft w:val="0"/>
      <w:marRight w:val="0"/>
      <w:marTop w:val="0"/>
      <w:marBottom w:val="0"/>
      <w:divBdr>
        <w:top w:val="none" w:sz="0" w:space="0" w:color="auto"/>
        <w:left w:val="none" w:sz="0" w:space="0" w:color="auto"/>
        <w:bottom w:val="none" w:sz="0" w:space="0" w:color="auto"/>
        <w:right w:val="none" w:sz="0" w:space="0" w:color="auto"/>
      </w:divBdr>
    </w:div>
    <w:div w:id="81727763">
      <w:bodyDiv w:val="1"/>
      <w:marLeft w:val="0"/>
      <w:marRight w:val="0"/>
      <w:marTop w:val="0"/>
      <w:marBottom w:val="0"/>
      <w:divBdr>
        <w:top w:val="none" w:sz="0" w:space="0" w:color="auto"/>
        <w:left w:val="none" w:sz="0" w:space="0" w:color="auto"/>
        <w:bottom w:val="none" w:sz="0" w:space="0" w:color="auto"/>
        <w:right w:val="none" w:sz="0" w:space="0" w:color="auto"/>
      </w:divBdr>
    </w:div>
    <w:div w:id="85661805">
      <w:bodyDiv w:val="1"/>
      <w:marLeft w:val="0"/>
      <w:marRight w:val="0"/>
      <w:marTop w:val="0"/>
      <w:marBottom w:val="0"/>
      <w:divBdr>
        <w:top w:val="none" w:sz="0" w:space="0" w:color="auto"/>
        <w:left w:val="none" w:sz="0" w:space="0" w:color="auto"/>
        <w:bottom w:val="none" w:sz="0" w:space="0" w:color="auto"/>
        <w:right w:val="none" w:sz="0" w:space="0" w:color="auto"/>
      </w:divBdr>
    </w:div>
    <w:div w:id="89861115">
      <w:bodyDiv w:val="1"/>
      <w:marLeft w:val="0"/>
      <w:marRight w:val="0"/>
      <w:marTop w:val="0"/>
      <w:marBottom w:val="0"/>
      <w:divBdr>
        <w:top w:val="none" w:sz="0" w:space="0" w:color="auto"/>
        <w:left w:val="none" w:sz="0" w:space="0" w:color="auto"/>
        <w:bottom w:val="none" w:sz="0" w:space="0" w:color="auto"/>
        <w:right w:val="none" w:sz="0" w:space="0" w:color="auto"/>
      </w:divBdr>
    </w:div>
    <w:div w:id="93205858">
      <w:bodyDiv w:val="1"/>
      <w:marLeft w:val="0"/>
      <w:marRight w:val="0"/>
      <w:marTop w:val="0"/>
      <w:marBottom w:val="0"/>
      <w:divBdr>
        <w:top w:val="none" w:sz="0" w:space="0" w:color="auto"/>
        <w:left w:val="none" w:sz="0" w:space="0" w:color="auto"/>
        <w:bottom w:val="none" w:sz="0" w:space="0" w:color="auto"/>
        <w:right w:val="none" w:sz="0" w:space="0" w:color="auto"/>
      </w:divBdr>
    </w:div>
    <w:div w:id="107896400">
      <w:bodyDiv w:val="1"/>
      <w:marLeft w:val="0"/>
      <w:marRight w:val="0"/>
      <w:marTop w:val="0"/>
      <w:marBottom w:val="0"/>
      <w:divBdr>
        <w:top w:val="none" w:sz="0" w:space="0" w:color="auto"/>
        <w:left w:val="none" w:sz="0" w:space="0" w:color="auto"/>
        <w:bottom w:val="none" w:sz="0" w:space="0" w:color="auto"/>
        <w:right w:val="none" w:sz="0" w:space="0" w:color="auto"/>
      </w:divBdr>
    </w:div>
    <w:div w:id="109131289">
      <w:bodyDiv w:val="1"/>
      <w:marLeft w:val="0"/>
      <w:marRight w:val="0"/>
      <w:marTop w:val="0"/>
      <w:marBottom w:val="0"/>
      <w:divBdr>
        <w:top w:val="none" w:sz="0" w:space="0" w:color="auto"/>
        <w:left w:val="none" w:sz="0" w:space="0" w:color="auto"/>
        <w:bottom w:val="none" w:sz="0" w:space="0" w:color="auto"/>
        <w:right w:val="none" w:sz="0" w:space="0" w:color="auto"/>
      </w:divBdr>
    </w:div>
    <w:div w:id="127214238">
      <w:bodyDiv w:val="1"/>
      <w:marLeft w:val="0"/>
      <w:marRight w:val="0"/>
      <w:marTop w:val="0"/>
      <w:marBottom w:val="0"/>
      <w:divBdr>
        <w:top w:val="none" w:sz="0" w:space="0" w:color="auto"/>
        <w:left w:val="none" w:sz="0" w:space="0" w:color="auto"/>
        <w:bottom w:val="none" w:sz="0" w:space="0" w:color="auto"/>
        <w:right w:val="none" w:sz="0" w:space="0" w:color="auto"/>
      </w:divBdr>
    </w:div>
    <w:div w:id="160314051">
      <w:bodyDiv w:val="1"/>
      <w:marLeft w:val="0"/>
      <w:marRight w:val="0"/>
      <w:marTop w:val="0"/>
      <w:marBottom w:val="0"/>
      <w:divBdr>
        <w:top w:val="none" w:sz="0" w:space="0" w:color="auto"/>
        <w:left w:val="none" w:sz="0" w:space="0" w:color="auto"/>
        <w:bottom w:val="none" w:sz="0" w:space="0" w:color="auto"/>
        <w:right w:val="none" w:sz="0" w:space="0" w:color="auto"/>
      </w:divBdr>
    </w:div>
    <w:div w:id="162474865">
      <w:bodyDiv w:val="1"/>
      <w:marLeft w:val="0"/>
      <w:marRight w:val="0"/>
      <w:marTop w:val="0"/>
      <w:marBottom w:val="0"/>
      <w:divBdr>
        <w:top w:val="none" w:sz="0" w:space="0" w:color="auto"/>
        <w:left w:val="none" w:sz="0" w:space="0" w:color="auto"/>
        <w:bottom w:val="none" w:sz="0" w:space="0" w:color="auto"/>
        <w:right w:val="none" w:sz="0" w:space="0" w:color="auto"/>
      </w:divBdr>
    </w:div>
    <w:div w:id="181552647">
      <w:bodyDiv w:val="1"/>
      <w:marLeft w:val="0"/>
      <w:marRight w:val="0"/>
      <w:marTop w:val="0"/>
      <w:marBottom w:val="0"/>
      <w:divBdr>
        <w:top w:val="none" w:sz="0" w:space="0" w:color="auto"/>
        <w:left w:val="none" w:sz="0" w:space="0" w:color="auto"/>
        <w:bottom w:val="none" w:sz="0" w:space="0" w:color="auto"/>
        <w:right w:val="none" w:sz="0" w:space="0" w:color="auto"/>
      </w:divBdr>
    </w:div>
    <w:div w:id="182862922">
      <w:bodyDiv w:val="1"/>
      <w:marLeft w:val="0"/>
      <w:marRight w:val="0"/>
      <w:marTop w:val="0"/>
      <w:marBottom w:val="0"/>
      <w:divBdr>
        <w:top w:val="none" w:sz="0" w:space="0" w:color="auto"/>
        <w:left w:val="none" w:sz="0" w:space="0" w:color="auto"/>
        <w:bottom w:val="none" w:sz="0" w:space="0" w:color="auto"/>
        <w:right w:val="none" w:sz="0" w:space="0" w:color="auto"/>
      </w:divBdr>
    </w:div>
    <w:div w:id="204875237">
      <w:bodyDiv w:val="1"/>
      <w:marLeft w:val="0"/>
      <w:marRight w:val="0"/>
      <w:marTop w:val="0"/>
      <w:marBottom w:val="0"/>
      <w:divBdr>
        <w:top w:val="none" w:sz="0" w:space="0" w:color="auto"/>
        <w:left w:val="none" w:sz="0" w:space="0" w:color="auto"/>
        <w:bottom w:val="none" w:sz="0" w:space="0" w:color="auto"/>
        <w:right w:val="none" w:sz="0" w:space="0" w:color="auto"/>
      </w:divBdr>
    </w:div>
    <w:div w:id="210847682">
      <w:bodyDiv w:val="1"/>
      <w:marLeft w:val="0"/>
      <w:marRight w:val="0"/>
      <w:marTop w:val="0"/>
      <w:marBottom w:val="0"/>
      <w:divBdr>
        <w:top w:val="none" w:sz="0" w:space="0" w:color="auto"/>
        <w:left w:val="none" w:sz="0" w:space="0" w:color="auto"/>
        <w:bottom w:val="none" w:sz="0" w:space="0" w:color="auto"/>
        <w:right w:val="none" w:sz="0" w:space="0" w:color="auto"/>
      </w:divBdr>
    </w:div>
    <w:div w:id="213277137">
      <w:bodyDiv w:val="1"/>
      <w:marLeft w:val="0"/>
      <w:marRight w:val="0"/>
      <w:marTop w:val="0"/>
      <w:marBottom w:val="0"/>
      <w:divBdr>
        <w:top w:val="none" w:sz="0" w:space="0" w:color="auto"/>
        <w:left w:val="none" w:sz="0" w:space="0" w:color="auto"/>
        <w:bottom w:val="none" w:sz="0" w:space="0" w:color="auto"/>
        <w:right w:val="none" w:sz="0" w:space="0" w:color="auto"/>
      </w:divBdr>
    </w:div>
    <w:div w:id="225264194">
      <w:bodyDiv w:val="1"/>
      <w:marLeft w:val="0"/>
      <w:marRight w:val="0"/>
      <w:marTop w:val="0"/>
      <w:marBottom w:val="0"/>
      <w:divBdr>
        <w:top w:val="none" w:sz="0" w:space="0" w:color="auto"/>
        <w:left w:val="none" w:sz="0" w:space="0" w:color="auto"/>
        <w:bottom w:val="none" w:sz="0" w:space="0" w:color="auto"/>
        <w:right w:val="none" w:sz="0" w:space="0" w:color="auto"/>
      </w:divBdr>
    </w:div>
    <w:div w:id="226230930">
      <w:bodyDiv w:val="1"/>
      <w:marLeft w:val="0"/>
      <w:marRight w:val="0"/>
      <w:marTop w:val="0"/>
      <w:marBottom w:val="0"/>
      <w:divBdr>
        <w:top w:val="none" w:sz="0" w:space="0" w:color="auto"/>
        <w:left w:val="none" w:sz="0" w:space="0" w:color="auto"/>
        <w:bottom w:val="none" w:sz="0" w:space="0" w:color="auto"/>
        <w:right w:val="none" w:sz="0" w:space="0" w:color="auto"/>
      </w:divBdr>
    </w:div>
    <w:div w:id="228617144">
      <w:bodyDiv w:val="1"/>
      <w:marLeft w:val="0"/>
      <w:marRight w:val="0"/>
      <w:marTop w:val="0"/>
      <w:marBottom w:val="0"/>
      <w:divBdr>
        <w:top w:val="none" w:sz="0" w:space="0" w:color="auto"/>
        <w:left w:val="none" w:sz="0" w:space="0" w:color="auto"/>
        <w:bottom w:val="none" w:sz="0" w:space="0" w:color="auto"/>
        <w:right w:val="none" w:sz="0" w:space="0" w:color="auto"/>
      </w:divBdr>
    </w:div>
    <w:div w:id="245917072">
      <w:bodyDiv w:val="1"/>
      <w:marLeft w:val="0"/>
      <w:marRight w:val="0"/>
      <w:marTop w:val="0"/>
      <w:marBottom w:val="0"/>
      <w:divBdr>
        <w:top w:val="none" w:sz="0" w:space="0" w:color="auto"/>
        <w:left w:val="none" w:sz="0" w:space="0" w:color="auto"/>
        <w:bottom w:val="none" w:sz="0" w:space="0" w:color="auto"/>
        <w:right w:val="none" w:sz="0" w:space="0" w:color="auto"/>
      </w:divBdr>
    </w:div>
    <w:div w:id="248736313">
      <w:bodyDiv w:val="1"/>
      <w:marLeft w:val="0"/>
      <w:marRight w:val="0"/>
      <w:marTop w:val="0"/>
      <w:marBottom w:val="0"/>
      <w:divBdr>
        <w:top w:val="none" w:sz="0" w:space="0" w:color="auto"/>
        <w:left w:val="none" w:sz="0" w:space="0" w:color="auto"/>
        <w:bottom w:val="none" w:sz="0" w:space="0" w:color="auto"/>
        <w:right w:val="none" w:sz="0" w:space="0" w:color="auto"/>
      </w:divBdr>
    </w:div>
    <w:div w:id="253906495">
      <w:bodyDiv w:val="1"/>
      <w:marLeft w:val="0"/>
      <w:marRight w:val="0"/>
      <w:marTop w:val="0"/>
      <w:marBottom w:val="0"/>
      <w:divBdr>
        <w:top w:val="none" w:sz="0" w:space="0" w:color="auto"/>
        <w:left w:val="none" w:sz="0" w:space="0" w:color="auto"/>
        <w:bottom w:val="none" w:sz="0" w:space="0" w:color="auto"/>
        <w:right w:val="none" w:sz="0" w:space="0" w:color="auto"/>
      </w:divBdr>
    </w:div>
    <w:div w:id="266236880">
      <w:bodyDiv w:val="1"/>
      <w:marLeft w:val="0"/>
      <w:marRight w:val="0"/>
      <w:marTop w:val="0"/>
      <w:marBottom w:val="0"/>
      <w:divBdr>
        <w:top w:val="none" w:sz="0" w:space="0" w:color="auto"/>
        <w:left w:val="none" w:sz="0" w:space="0" w:color="auto"/>
        <w:bottom w:val="none" w:sz="0" w:space="0" w:color="auto"/>
        <w:right w:val="none" w:sz="0" w:space="0" w:color="auto"/>
      </w:divBdr>
    </w:div>
    <w:div w:id="279193406">
      <w:bodyDiv w:val="1"/>
      <w:marLeft w:val="0"/>
      <w:marRight w:val="0"/>
      <w:marTop w:val="0"/>
      <w:marBottom w:val="0"/>
      <w:divBdr>
        <w:top w:val="none" w:sz="0" w:space="0" w:color="auto"/>
        <w:left w:val="none" w:sz="0" w:space="0" w:color="auto"/>
        <w:bottom w:val="none" w:sz="0" w:space="0" w:color="auto"/>
        <w:right w:val="none" w:sz="0" w:space="0" w:color="auto"/>
      </w:divBdr>
    </w:div>
    <w:div w:id="281574941">
      <w:bodyDiv w:val="1"/>
      <w:marLeft w:val="0"/>
      <w:marRight w:val="0"/>
      <w:marTop w:val="0"/>
      <w:marBottom w:val="0"/>
      <w:divBdr>
        <w:top w:val="none" w:sz="0" w:space="0" w:color="auto"/>
        <w:left w:val="none" w:sz="0" w:space="0" w:color="auto"/>
        <w:bottom w:val="none" w:sz="0" w:space="0" w:color="auto"/>
        <w:right w:val="none" w:sz="0" w:space="0" w:color="auto"/>
      </w:divBdr>
    </w:div>
    <w:div w:id="291060743">
      <w:bodyDiv w:val="1"/>
      <w:marLeft w:val="0"/>
      <w:marRight w:val="0"/>
      <w:marTop w:val="0"/>
      <w:marBottom w:val="0"/>
      <w:divBdr>
        <w:top w:val="none" w:sz="0" w:space="0" w:color="auto"/>
        <w:left w:val="none" w:sz="0" w:space="0" w:color="auto"/>
        <w:bottom w:val="none" w:sz="0" w:space="0" w:color="auto"/>
        <w:right w:val="none" w:sz="0" w:space="0" w:color="auto"/>
      </w:divBdr>
    </w:div>
    <w:div w:id="297148420">
      <w:bodyDiv w:val="1"/>
      <w:marLeft w:val="0"/>
      <w:marRight w:val="0"/>
      <w:marTop w:val="0"/>
      <w:marBottom w:val="0"/>
      <w:divBdr>
        <w:top w:val="none" w:sz="0" w:space="0" w:color="auto"/>
        <w:left w:val="none" w:sz="0" w:space="0" w:color="auto"/>
        <w:bottom w:val="none" w:sz="0" w:space="0" w:color="auto"/>
        <w:right w:val="none" w:sz="0" w:space="0" w:color="auto"/>
      </w:divBdr>
    </w:div>
    <w:div w:id="304552563">
      <w:bodyDiv w:val="1"/>
      <w:marLeft w:val="0"/>
      <w:marRight w:val="0"/>
      <w:marTop w:val="0"/>
      <w:marBottom w:val="0"/>
      <w:divBdr>
        <w:top w:val="none" w:sz="0" w:space="0" w:color="auto"/>
        <w:left w:val="none" w:sz="0" w:space="0" w:color="auto"/>
        <w:bottom w:val="none" w:sz="0" w:space="0" w:color="auto"/>
        <w:right w:val="none" w:sz="0" w:space="0" w:color="auto"/>
      </w:divBdr>
    </w:div>
    <w:div w:id="326371882">
      <w:bodyDiv w:val="1"/>
      <w:marLeft w:val="0"/>
      <w:marRight w:val="0"/>
      <w:marTop w:val="0"/>
      <w:marBottom w:val="0"/>
      <w:divBdr>
        <w:top w:val="none" w:sz="0" w:space="0" w:color="auto"/>
        <w:left w:val="none" w:sz="0" w:space="0" w:color="auto"/>
        <w:bottom w:val="none" w:sz="0" w:space="0" w:color="auto"/>
        <w:right w:val="none" w:sz="0" w:space="0" w:color="auto"/>
      </w:divBdr>
    </w:div>
    <w:div w:id="333385771">
      <w:bodyDiv w:val="1"/>
      <w:marLeft w:val="0"/>
      <w:marRight w:val="0"/>
      <w:marTop w:val="0"/>
      <w:marBottom w:val="0"/>
      <w:divBdr>
        <w:top w:val="none" w:sz="0" w:space="0" w:color="auto"/>
        <w:left w:val="none" w:sz="0" w:space="0" w:color="auto"/>
        <w:bottom w:val="none" w:sz="0" w:space="0" w:color="auto"/>
        <w:right w:val="none" w:sz="0" w:space="0" w:color="auto"/>
      </w:divBdr>
    </w:div>
    <w:div w:id="333538050">
      <w:bodyDiv w:val="1"/>
      <w:marLeft w:val="0"/>
      <w:marRight w:val="0"/>
      <w:marTop w:val="0"/>
      <w:marBottom w:val="0"/>
      <w:divBdr>
        <w:top w:val="none" w:sz="0" w:space="0" w:color="auto"/>
        <w:left w:val="none" w:sz="0" w:space="0" w:color="auto"/>
        <w:bottom w:val="none" w:sz="0" w:space="0" w:color="auto"/>
        <w:right w:val="none" w:sz="0" w:space="0" w:color="auto"/>
      </w:divBdr>
    </w:div>
    <w:div w:id="354236632">
      <w:bodyDiv w:val="1"/>
      <w:marLeft w:val="0"/>
      <w:marRight w:val="0"/>
      <w:marTop w:val="0"/>
      <w:marBottom w:val="0"/>
      <w:divBdr>
        <w:top w:val="none" w:sz="0" w:space="0" w:color="auto"/>
        <w:left w:val="none" w:sz="0" w:space="0" w:color="auto"/>
        <w:bottom w:val="none" w:sz="0" w:space="0" w:color="auto"/>
        <w:right w:val="none" w:sz="0" w:space="0" w:color="auto"/>
      </w:divBdr>
    </w:div>
    <w:div w:id="362445084">
      <w:bodyDiv w:val="1"/>
      <w:marLeft w:val="0"/>
      <w:marRight w:val="0"/>
      <w:marTop w:val="0"/>
      <w:marBottom w:val="0"/>
      <w:divBdr>
        <w:top w:val="none" w:sz="0" w:space="0" w:color="auto"/>
        <w:left w:val="none" w:sz="0" w:space="0" w:color="auto"/>
        <w:bottom w:val="none" w:sz="0" w:space="0" w:color="auto"/>
        <w:right w:val="none" w:sz="0" w:space="0" w:color="auto"/>
      </w:divBdr>
    </w:div>
    <w:div w:id="366685704">
      <w:bodyDiv w:val="1"/>
      <w:marLeft w:val="0"/>
      <w:marRight w:val="0"/>
      <w:marTop w:val="0"/>
      <w:marBottom w:val="0"/>
      <w:divBdr>
        <w:top w:val="none" w:sz="0" w:space="0" w:color="auto"/>
        <w:left w:val="none" w:sz="0" w:space="0" w:color="auto"/>
        <w:bottom w:val="none" w:sz="0" w:space="0" w:color="auto"/>
        <w:right w:val="none" w:sz="0" w:space="0" w:color="auto"/>
      </w:divBdr>
    </w:div>
    <w:div w:id="371466067">
      <w:bodyDiv w:val="1"/>
      <w:marLeft w:val="0"/>
      <w:marRight w:val="0"/>
      <w:marTop w:val="0"/>
      <w:marBottom w:val="0"/>
      <w:divBdr>
        <w:top w:val="none" w:sz="0" w:space="0" w:color="auto"/>
        <w:left w:val="none" w:sz="0" w:space="0" w:color="auto"/>
        <w:bottom w:val="none" w:sz="0" w:space="0" w:color="auto"/>
        <w:right w:val="none" w:sz="0" w:space="0" w:color="auto"/>
      </w:divBdr>
    </w:div>
    <w:div w:id="401683301">
      <w:bodyDiv w:val="1"/>
      <w:marLeft w:val="0"/>
      <w:marRight w:val="0"/>
      <w:marTop w:val="0"/>
      <w:marBottom w:val="0"/>
      <w:divBdr>
        <w:top w:val="none" w:sz="0" w:space="0" w:color="auto"/>
        <w:left w:val="none" w:sz="0" w:space="0" w:color="auto"/>
        <w:bottom w:val="none" w:sz="0" w:space="0" w:color="auto"/>
        <w:right w:val="none" w:sz="0" w:space="0" w:color="auto"/>
      </w:divBdr>
    </w:div>
    <w:div w:id="401828004">
      <w:bodyDiv w:val="1"/>
      <w:marLeft w:val="0"/>
      <w:marRight w:val="0"/>
      <w:marTop w:val="0"/>
      <w:marBottom w:val="0"/>
      <w:divBdr>
        <w:top w:val="none" w:sz="0" w:space="0" w:color="auto"/>
        <w:left w:val="none" w:sz="0" w:space="0" w:color="auto"/>
        <w:bottom w:val="none" w:sz="0" w:space="0" w:color="auto"/>
        <w:right w:val="none" w:sz="0" w:space="0" w:color="auto"/>
      </w:divBdr>
    </w:div>
    <w:div w:id="409347307">
      <w:bodyDiv w:val="1"/>
      <w:marLeft w:val="0"/>
      <w:marRight w:val="0"/>
      <w:marTop w:val="0"/>
      <w:marBottom w:val="0"/>
      <w:divBdr>
        <w:top w:val="none" w:sz="0" w:space="0" w:color="auto"/>
        <w:left w:val="none" w:sz="0" w:space="0" w:color="auto"/>
        <w:bottom w:val="none" w:sz="0" w:space="0" w:color="auto"/>
        <w:right w:val="none" w:sz="0" w:space="0" w:color="auto"/>
      </w:divBdr>
    </w:div>
    <w:div w:id="414933565">
      <w:bodyDiv w:val="1"/>
      <w:marLeft w:val="0"/>
      <w:marRight w:val="0"/>
      <w:marTop w:val="0"/>
      <w:marBottom w:val="0"/>
      <w:divBdr>
        <w:top w:val="none" w:sz="0" w:space="0" w:color="auto"/>
        <w:left w:val="none" w:sz="0" w:space="0" w:color="auto"/>
        <w:bottom w:val="none" w:sz="0" w:space="0" w:color="auto"/>
        <w:right w:val="none" w:sz="0" w:space="0" w:color="auto"/>
      </w:divBdr>
    </w:div>
    <w:div w:id="421026066">
      <w:bodyDiv w:val="1"/>
      <w:marLeft w:val="0"/>
      <w:marRight w:val="0"/>
      <w:marTop w:val="0"/>
      <w:marBottom w:val="0"/>
      <w:divBdr>
        <w:top w:val="none" w:sz="0" w:space="0" w:color="auto"/>
        <w:left w:val="none" w:sz="0" w:space="0" w:color="auto"/>
        <w:bottom w:val="none" w:sz="0" w:space="0" w:color="auto"/>
        <w:right w:val="none" w:sz="0" w:space="0" w:color="auto"/>
      </w:divBdr>
    </w:div>
    <w:div w:id="421339974">
      <w:bodyDiv w:val="1"/>
      <w:marLeft w:val="0"/>
      <w:marRight w:val="0"/>
      <w:marTop w:val="0"/>
      <w:marBottom w:val="0"/>
      <w:divBdr>
        <w:top w:val="none" w:sz="0" w:space="0" w:color="auto"/>
        <w:left w:val="none" w:sz="0" w:space="0" w:color="auto"/>
        <w:bottom w:val="none" w:sz="0" w:space="0" w:color="auto"/>
        <w:right w:val="none" w:sz="0" w:space="0" w:color="auto"/>
      </w:divBdr>
    </w:div>
    <w:div w:id="439033403">
      <w:bodyDiv w:val="1"/>
      <w:marLeft w:val="0"/>
      <w:marRight w:val="0"/>
      <w:marTop w:val="0"/>
      <w:marBottom w:val="0"/>
      <w:divBdr>
        <w:top w:val="none" w:sz="0" w:space="0" w:color="auto"/>
        <w:left w:val="none" w:sz="0" w:space="0" w:color="auto"/>
        <w:bottom w:val="none" w:sz="0" w:space="0" w:color="auto"/>
        <w:right w:val="none" w:sz="0" w:space="0" w:color="auto"/>
      </w:divBdr>
    </w:div>
    <w:div w:id="442042116">
      <w:bodyDiv w:val="1"/>
      <w:marLeft w:val="0"/>
      <w:marRight w:val="0"/>
      <w:marTop w:val="0"/>
      <w:marBottom w:val="0"/>
      <w:divBdr>
        <w:top w:val="none" w:sz="0" w:space="0" w:color="auto"/>
        <w:left w:val="none" w:sz="0" w:space="0" w:color="auto"/>
        <w:bottom w:val="none" w:sz="0" w:space="0" w:color="auto"/>
        <w:right w:val="none" w:sz="0" w:space="0" w:color="auto"/>
      </w:divBdr>
    </w:div>
    <w:div w:id="443813161">
      <w:bodyDiv w:val="1"/>
      <w:marLeft w:val="0"/>
      <w:marRight w:val="0"/>
      <w:marTop w:val="0"/>
      <w:marBottom w:val="0"/>
      <w:divBdr>
        <w:top w:val="none" w:sz="0" w:space="0" w:color="auto"/>
        <w:left w:val="none" w:sz="0" w:space="0" w:color="auto"/>
        <w:bottom w:val="none" w:sz="0" w:space="0" w:color="auto"/>
        <w:right w:val="none" w:sz="0" w:space="0" w:color="auto"/>
      </w:divBdr>
    </w:div>
    <w:div w:id="453016609">
      <w:bodyDiv w:val="1"/>
      <w:marLeft w:val="0"/>
      <w:marRight w:val="0"/>
      <w:marTop w:val="0"/>
      <w:marBottom w:val="0"/>
      <w:divBdr>
        <w:top w:val="none" w:sz="0" w:space="0" w:color="auto"/>
        <w:left w:val="none" w:sz="0" w:space="0" w:color="auto"/>
        <w:bottom w:val="none" w:sz="0" w:space="0" w:color="auto"/>
        <w:right w:val="none" w:sz="0" w:space="0" w:color="auto"/>
      </w:divBdr>
    </w:div>
    <w:div w:id="472218602">
      <w:bodyDiv w:val="1"/>
      <w:marLeft w:val="0"/>
      <w:marRight w:val="0"/>
      <w:marTop w:val="0"/>
      <w:marBottom w:val="0"/>
      <w:divBdr>
        <w:top w:val="none" w:sz="0" w:space="0" w:color="auto"/>
        <w:left w:val="none" w:sz="0" w:space="0" w:color="auto"/>
        <w:bottom w:val="none" w:sz="0" w:space="0" w:color="auto"/>
        <w:right w:val="none" w:sz="0" w:space="0" w:color="auto"/>
      </w:divBdr>
    </w:div>
    <w:div w:id="492334993">
      <w:bodyDiv w:val="1"/>
      <w:marLeft w:val="0"/>
      <w:marRight w:val="0"/>
      <w:marTop w:val="0"/>
      <w:marBottom w:val="0"/>
      <w:divBdr>
        <w:top w:val="none" w:sz="0" w:space="0" w:color="auto"/>
        <w:left w:val="none" w:sz="0" w:space="0" w:color="auto"/>
        <w:bottom w:val="none" w:sz="0" w:space="0" w:color="auto"/>
        <w:right w:val="none" w:sz="0" w:space="0" w:color="auto"/>
      </w:divBdr>
    </w:div>
    <w:div w:id="507599229">
      <w:bodyDiv w:val="1"/>
      <w:marLeft w:val="0"/>
      <w:marRight w:val="0"/>
      <w:marTop w:val="0"/>
      <w:marBottom w:val="0"/>
      <w:divBdr>
        <w:top w:val="none" w:sz="0" w:space="0" w:color="auto"/>
        <w:left w:val="none" w:sz="0" w:space="0" w:color="auto"/>
        <w:bottom w:val="none" w:sz="0" w:space="0" w:color="auto"/>
        <w:right w:val="none" w:sz="0" w:space="0" w:color="auto"/>
      </w:divBdr>
    </w:div>
    <w:div w:id="512301059">
      <w:bodyDiv w:val="1"/>
      <w:marLeft w:val="0"/>
      <w:marRight w:val="0"/>
      <w:marTop w:val="0"/>
      <w:marBottom w:val="0"/>
      <w:divBdr>
        <w:top w:val="none" w:sz="0" w:space="0" w:color="auto"/>
        <w:left w:val="none" w:sz="0" w:space="0" w:color="auto"/>
        <w:bottom w:val="none" w:sz="0" w:space="0" w:color="auto"/>
        <w:right w:val="none" w:sz="0" w:space="0" w:color="auto"/>
      </w:divBdr>
    </w:div>
    <w:div w:id="512571665">
      <w:bodyDiv w:val="1"/>
      <w:marLeft w:val="0"/>
      <w:marRight w:val="0"/>
      <w:marTop w:val="0"/>
      <w:marBottom w:val="0"/>
      <w:divBdr>
        <w:top w:val="none" w:sz="0" w:space="0" w:color="auto"/>
        <w:left w:val="none" w:sz="0" w:space="0" w:color="auto"/>
        <w:bottom w:val="none" w:sz="0" w:space="0" w:color="auto"/>
        <w:right w:val="none" w:sz="0" w:space="0" w:color="auto"/>
      </w:divBdr>
    </w:div>
    <w:div w:id="518390604">
      <w:bodyDiv w:val="1"/>
      <w:marLeft w:val="0"/>
      <w:marRight w:val="0"/>
      <w:marTop w:val="0"/>
      <w:marBottom w:val="0"/>
      <w:divBdr>
        <w:top w:val="none" w:sz="0" w:space="0" w:color="auto"/>
        <w:left w:val="none" w:sz="0" w:space="0" w:color="auto"/>
        <w:bottom w:val="none" w:sz="0" w:space="0" w:color="auto"/>
        <w:right w:val="none" w:sz="0" w:space="0" w:color="auto"/>
      </w:divBdr>
    </w:div>
    <w:div w:id="519776360">
      <w:bodyDiv w:val="1"/>
      <w:marLeft w:val="0"/>
      <w:marRight w:val="0"/>
      <w:marTop w:val="0"/>
      <w:marBottom w:val="0"/>
      <w:divBdr>
        <w:top w:val="none" w:sz="0" w:space="0" w:color="auto"/>
        <w:left w:val="none" w:sz="0" w:space="0" w:color="auto"/>
        <w:bottom w:val="none" w:sz="0" w:space="0" w:color="auto"/>
        <w:right w:val="none" w:sz="0" w:space="0" w:color="auto"/>
      </w:divBdr>
    </w:div>
    <w:div w:id="521630196">
      <w:bodyDiv w:val="1"/>
      <w:marLeft w:val="0"/>
      <w:marRight w:val="0"/>
      <w:marTop w:val="0"/>
      <w:marBottom w:val="0"/>
      <w:divBdr>
        <w:top w:val="none" w:sz="0" w:space="0" w:color="auto"/>
        <w:left w:val="none" w:sz="0" w:space="0" w:color="auto"/>
        <w:bottom w:val="none" w:sz="0" w:space="0" w:color="auto"/>
        <w:right w:val="none" w:sz="0" w:space="0" w:color="auto"/>
      </w:divBdr>
    </w:div>
    <w:div w:id="529032898">
      <w:bodyDiv w:val="1"/>
      <w:marLeft w:val="0"/>
      <w:marRight w:val="0"/>
      <w:marTop w:val="0"/>
      <w:marBottom w:val="0"/>
      <w:divBdr>
        <w:top w:val="none" w:sz="0" w:space="0" w:color="auto"/>
        <w:left w:val="none" w:sz="0" w:space="0" w:color="auto"/>
        <w:bottom w:val="none" w:sz="0" w:space="0" w:color="auto"/>
        <w:right w:val="none" w:sz="0" w:space="0" w:color="auto"/>
      </w:divBdr>
      <w:divsChild>
        <w:div w:id="5440996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9487968">
      <w:bodyDiv w:val="1"/>
      <w:marLeft w:val="0"/>
      <w:marRight w:val="0"/>
      <w:marTop w:val="0"/>
      <w:marBottom w:val="0"/>
      <w:divBdr>
        <w:top w:val="none" w:sz="0" w:space="0" w:color="auto"/>
        <w:left w:val="none" w:sz="0" w:space="0" w:color="auto"/>
        <w:bottom w:val="none" w:sz="0" w:space="0" w:color="auto"/>
        <w:right w:val="none" w:sz="0" w:space="0" w:color="auto"/>
      </w:divBdr>
    </w:div>
    <w:div w:id="536624887">
      <w:bodyDiv w:val="1"/>
      <w:marLeft w:val="0"/>
      <w:marRight w:val="0"/>
      <w:marTop w:val="0"/>
      <w:marBottom w:val="0"/>
      <w:divBdr>
        <w:top w:val="none" w:sz="0" w:space="0" w:color="auto"/>
        <w:left w:val="none" w:sz="0" w:space="0" w:color="auto"/>
        <w:bottom w:val="none" w:sz="0" w:space="0" w:color="auto"/>
        <w:right w:val="none" w:sz="0" w:space="0" w:color="auto"/>
      </w:divBdr>
    </w:div>
    <w:div w:id="539821015">
      <w:bodyDiv w:val="1"/>
      <w:marLeft w:val="0"/>
      <w:marRight w:val="0"/>
      <w:marTop w:val="0"/>
      <w:marBottom w:val="0"/>
      <w:divBdr>
        <w:top w:val="none" w:sz="0" w:space="0" w:color="auto"/>
        <w:left w:val="none" w:sz="0" w:space="0" w:color="auto"/>
        <w:bottom w:val="none" w:sz="0" w:space="0" w:color="auto"/>
        <w:right w:val="none" w:sz="0" w:space="0" w:color="auto"/>
      </w:divBdr>
    </w:div>
    <w:div w:id="555512339">
      <w:bodyDiv w:val="1"/>
      <w:marLeft w:val="0"/>
      <w:marRight w:val="0"/>
      <w:marTop w:val="0"/>
      <w:marBottom w:val="0"/>
      <w:divBdr>
        <w:top w:val="none" w:sz="0" w:space="0" w:color="auto"/>
        <w:left w:val="none" w:sz="0" w:space="0" w:color="auto"/>
        <w:bottom w:val="none" w:sz="0" w:space="0" w:color="auto"/>
        <w:right w:val="none" w:sz="0" w:space="0" w:color="auto"/>
      </w:divBdr>
    </w:div>
    <w:div w:id="563761757">
      <w:bodyDiv w:val="1"/>
      <w:marLeft w:val="0"/>
      <w:marRight w:val="0"/>
      <w:marTop w:val="0"/>
      <w:marBottom w:val="0"/>
      <w:divBdr>
        <w:top w:val="none" w:sz="0" w:space="0" w:color="auto"/>
        <w:left w:val="none" w:sz="0" w:space="0" w:color="auto"/>
        <w:bottom w:val="none" w:sz="0" w:space="0" w:color="auto"/>
        <w:right w:val="none" w:sz="0" w:space="0" w:color="auto"/>
      </w:divBdr>
    </w:div>
    <w:div w:id="569073210">
      <w:bodyDiv w:val="1"/>
      <w:marLeft w:val="0"/>
      <w:marRight w:val="0"/>
      <w:marTop w:val="0"/>
      <w:marBottom w:val="0"/>
      <w:divBdr>
        <w:top w:val="none" w:sz="0" w:space="0" w:color="auto"/>
        <w:left w:val="none" w:sz="0" w:space="0" w:color="auto"/>
        <w:bottom w:val="none" w:sz="0" w:space="0" w:color="auto"/>
        <w:right w:val="none" w:sz="0" w:space="0" w:color="auto"/>
      </w:divBdr>
    </w:div>
    <w:div w:id="586303887">
      <w:bodyDiv w:val="1"/>
      <w:marLeft w:val="0"/>
      <w:marRight w:val="0"/>
      <w:marTop w:val="0"/>
      <w:marBottom w:val="0"/>
      <w:divBdr>
        <w:top w:val="none" w:sz="0" w:space="0" w:color="auto"/>
        <w:left w:val="none" w:sz="0" w:space="0" w:color="auto"/>
        <w:bottom w:val="none" w:sz="0" w:space="0" w:color="auto"/>
        <w:right w:val="none" w:sz="0" w:space="0" w:color="auto"/>
      </w:divBdr>
    </w:div>
    <w:div w:id="592662392">
      <w:bodyDiv w:val="1"/>
      <w:marLeft w:val="0"/>
      <w:marRight w:val="0"/>
      <w:marTop w:val="0"/>
      <w:marBottom w:val="0"/>
      <w:divBdr>
        <w:top w:val="none" w:sz="0" w:space="0" w:color="auto"/>
        <w:left w:val="none" w:sz="0" w:space="0" w:color="auto"/>
        <w:bottom w:val="none" w:sz="0" w:space="0" w:color="auto"/>
        <w:right w:val="none" w:sz="0" w:space="0" w:color="auto"/>
      </w:divBdr>
    </w:div>
    <w:div w:id="621495614">
      <w:bodyDiv w:val="1"/>
      <w:marLeft w:val="0"/>
      <w:marRight w:val="0"/>
      <w:marTop w:val="0"/>
      <w:marBottom w:val="0"/>
      <w:divBdr>
        <w:top w:val="none" w:sz="0" w:space="0" w:color="auto"/>
        <w:left w:val="none" w:sz="0" w:space="0" w:color="auto"/>
        <w:bottom w:val="none" w:sz="0" w:space="0" w:color="auto"/>
        <w:right w:val="none" w:sz="0" w:space="0" w:color="auto"/>
      </w:divBdr>
    </w:div>
    <w:div w:id="636761114">
      <w:bodyDiv w:val="1"/>
      <w:marLeft w:val="0"/>
      <w:marRight w:val="0"/>
      <w:marTop w:val="0"/>
      <w:marBottom w:val="0"/>
      <w:divBdr>
        <w:top w:val="none" w:sz="0" w:space="0" w:color="auto"/>
        <w:left w:val="none" w:sz="0" w:space="0" w:color="auto"/>
        <w:bottom w:val="none" w:sz="0" w:space="0" w:color="auto"/>
        <w:right w:val="none" w:sz="0" w:space="0" w:color="auto"/>
      </w:divBdr>
    </w:div>
    <w:div w:id="640311202">
      <w:bodyDiv w:val="1"/>
      <w:marLeft w:val="0"/>
      <w:marRight w:val="0"/>
      <w:marTop w:val="0"/>
      <w:marBottom w:val="0"/>
      <w:divBdr>
        <w:top w:val="none" w:sz="0" w:space="0" w:color="auto"/>
        <w:left w:val="none" w:sz="0" w:space="0" w:color="auto"/>
        <w:bottom w:val="none" w:sz="0" w:space="0" w:color="auto"/>
        <w:right w:val="none" w:sz="0" w:space="0" w:color="auto"/>
      </w:divBdr>
    </w:div>
    <w:div w:id="681398750">
      <w:bodyDiv w:val="1"/>
      <w:marLeft w:val="0"/>
      <w:marRight w:val="0"/>
      <w:marTop w:val="0"/>
      <w:marBottom w:val="0"/>
      <w:divBdr>
        <w:top w:val="none" w:sz="0" w:space="0" w:color="auto"/>
        <w:left w:val="none" w:sz="0" w:space="0" w:color="auto"/>
        <w:bottom w:val="none" w:sz="0" w:space="0" w:color="auto"/>
        <w:right w:val="none" w:sz="0" w:space="0" w:color="auto"/>
      </w:divBdr>
    </w:div>
    <w:div w:id="687754396">
      <w:bodyDiv w:val="1"/>
      <w:marLeft w:val="0"/>
      <w:marRight w:val="0"/>
      <w:marTop w:val="0"/>
      <w:marBottom w:val="0"/>
      <w:divBdr>
        <w:top w:val="none" w:sz="0" w:space="0" w:color="auto"/>
        <w:left w:val="none" w:sz="0" w:space="0" w:color="auto"/>
        <w:bottom w:val="none" w:sz="0" w:space="0" w:color="auto"/>
        <w:right w:val="none" w:sz="0" w:space="0" w:color="auto"/>
      </w:divBdr>
    </w:div>
    <w:div w:id="693192483">
      <w:bodyDiv w:val="1"/>
      <w:marLeft w:val="0"/>
      <w:marRight w:val="0"/>
      <w:marTop w:val="0"/>
      <w:marBottom w:val="0"/>
      <w:divBdr>
        <w:top w:val="none" w:sz="0" w:space="0" w:color="auto"/>
        <w:left w:val="none" w:sz="0" w:space="0" w:color="auto"/>
        <w:bottom w:val="none" w:sz="0" w:space="0" w:color="auto"/>
        <w:right w:val="none" w:sz="0" w:space="0" w:color="auto"/>
      </w:divBdr>
    </w:div>
    <w:div w:id="697705372">
      <w:bodyDiv w:val="1"/>
      <w:marLeft w:val="0"/>
      <w:marRight w:val="0"/>
      <w:marTop w:val="0"/>
      <w:marBottom w:val="0"/>
      <w:divBdr>
        <w:top w:val="none" w:sz="0" w:space="0" w:color="auto"/>
        <w:left w:val="none" w:sz="0" w:space="0" w:color="auto"/>
        <w:bottom w:val="none" w:sz="0" w:space="0" w:color="auto"/>
        <w:right w:val="none" w:sz="0" w:space="0" w:color="auto"/>
      </w:divBdr>
    </w:div>
    <w:div w:id="712076021">
      <w:bodyDiv w:val="1"/>
      <w:marLeft w:val="0"/>
      <w:marRight w:val="0"/>
      <w:marTop w:val="0"/>
      <w:marBottom w:val="0"/>
      <w:divBdr>
        <w:top w:val="none" w:sz="0" w:space="0" w:color="auto"/>
        <w:left w:val="none" w:sz="0" w:space="0" w:color="auto"/>
        <w:bottom w:val="none" w:sz="0" w:space="0" w:color="auto"/>
        <w:right w:val="none" w:sz="0" w:space="0" w:color="auto"/>
      </w:divBdr>
    </w:div>
    <w:div w:id="717514372">
      <w:bodyDiv w:val="1"/>
      <w:marLeft w:val="0"/>
      <w:marRight w:val="0"/>
      <w:marTop w:val="0"/>
      <w:marBottom w:val="0"/>
      <w:divBdr>
        <w:top w:val="none" w:sz="0" w:space="0" w:color="auto"/>
        <w:left w:val="none" w:sz="0" w:space="0" w:color="auto"/>
        <w:bottom w:val="none" w:sz="0" w:space="0" w:color="auto"/>
        <w:right w:val="none" w:sz="0" w:space="0" w:color="auto"/>
      </w:divBdr>
    </w:div>
    <w:div w:id="719331302">
      <w:bodyDiv w:val="1"/>
      <w:marLeft w:val="0"/>
      <w:marRight w:val="0"/>
      <w:marTop w:val="0"/>
      <w:marBottom w:val="0"/>
      <w:divBdr>
        <w:top w:val="none" w:sz="0" w:space="0" w:color="auto"/>
        <w:left w:val="none" w:sz="0" w:space="0" w:color="auto"/>
        <w:bottom w:val="none" w:sz="0" w:space="0" w:color="auto"/>
        <w:right w:val="none" w:sz="0" w:space="0" w:color="auto"/>
      </w:divBdr>
    </w:div>
    <w:div w:id="719477506">
      <w:bodyDiv w:val="1"/>
      <w:marLeft w:val="0"/>
      <w:marRight w:val="0"/>
      <w:marTop w:val="0"/>
      <w:marBottom w:val="0"/>
      <w:divBdr>
        <w:top w:val="none" w:sz="0" w:space="0" w:color="auto"/>
        <w:left w:val="none" w:sz="0" w:space="0" w:color="auto"/>
        <w:bottom w:val="none" w:sz="0" w:space="0" w:color="auto"/>
        <w:right w:val="none" w:sz="0" w:space="0" w:color="auto"/>
      </w:divBdr>
    </w:div>
    <w:div w:id="719937969">
      <w:bodyDiv w:val="1"/>
      <w:marLeft w:val="0"/>
      <w:marRight w:val="0"/>
      <w:marTop w:val="0"/>
      <w:marBottom w:val="0"/>
      <w:divBdr>
        <w:top w:val="none" w:sz="0" w:space="0" w:color="auto"/>
        <w:left w:val="none" w:sz="0" w:space="0" w:color="auto"/>
        <w:bottom w:val="none" w:sz="0" w:space="0" w:color="auto"/>
        <w:right w:val="none" w:sz="0" w:space="0" w:color="auto"/>
      </w:divBdr>
    </w:div>
    <w:div w:id="729353915">
      <w:bodyDiv w:val="1"/>
      <w:marLeft w:val="0"/>
      <w:marRight w:val="0"/>
      <w:marTop w:val="0"/>
      <w:marBottom w:val="0"/>
      <w:divBdr>
        <w:top w:val="none" w:sz="0" w:space="0" w:color="auto"/>
        <w:left w:val="none" w:sz="0" w:space="0" w:color="auto"/>
        <w:bottom w:val="none" w:sz="0" w:space="0" w:color="auto"/>
        <w:right w:val="none" w:sz="0" w:space="0" w:color="auto"/>
      </w:divBdr>
    </w:div>
    <w:div w:id="731388497">
      <w:bodyDiv w:val="1"/>
      <w:marLeft w:val="0"/>
      <w:marRight w:val="0"/>
      <w:marTop w:val="0"/>
      <w:marBottom w:val="0"/>
      <w:divBdr>
        <w:top w:val="none" w:sz="0" w:space="0" w:color="auto"/>
        <w:left w:val="none" w:sz="0" w:space="0" w:color="auto"/>
        <w:bottom w:val="none" w:sz="0" w:space="0" w:color="auto"/>
        <w:right w:val="none" w:sz="0" w:space="0" w:color="auto"/>
      </w:divBdr>
    </w:div>
    <w:div w:id="739519007">
      <w:bodyDiv w:val="1"/>
      <w:marLeft w:val="0"/>
      <w:marRight w:val="0"/>
      <w:marTop w:val="0"/>
      <w:marBottom w:val="0"/>
      <w:divBdr>
        <w:top w:val="none" w:sz="0" w:space="0" w:color="auto"/>
        <w:left w:val="none" w:sz="0" w:space="0" w:color="auto"/>
        <w:bottom w:val="none" w:sz="0" w:space="0" w:color="auto"/>
        <w:right w:val="none" w:sz="0" w:space="0" w:color="auto"/>
      </w:divBdr>
    </w:div>
    <w:div w:id="741677905">
      <w:bodyDiv w:val="1"/>
      <w:marLeft w:val="0"/>
      <w:marRight w:val="0"/>
      <w:marTop w:val="0"/>
      <w:marBottom w:val="0"/>
      <w:divBdr>
        <w:top w:val="none" w:sz="0" w:space="0" w:color="auto"/>
        <w:left w:val="none" w:sz="0" w:space="0" w:color="auto"/>
        <w:bottom w:val="none" w:sz="0" w:space="0" w:color="auto"/>
        <w:right w:val="none" w:sz="0" w:space="0" w:color="auto"/>
      </w:divBdr>
    </w:div>
    <w:div w:id="746077646">
      <w:bodyDiv w:val="1"/>
      <w:marLeft w:val="0"/>
      <w:marRight w:val="0"/>
      <w:marTop w:val="0"/>
      <w:marBottom w:val="0"/>
      <w:divBdr>
        <w:top w:val="none" w:sz="0" w:space="0" w:color="auto"/>
        <w:left w:val="none" w:sz="0" w:space="0" w:color="auto"/>
        <w:bottom w:val="none" w:sz="0" w:space="0" w:color="auto"/>
        <w:right w:val="none" w:sz="0" w:space="0" w:color="auto"/>
      </w:divBdr>
    </w:div>
    <w:div w:id="765075719">
      <w:bodyDiv w:val="1"/>
      <w:marLeft w:val="0"/>
      <w:marRight w:val="0"/>
      <w:marTop w:val="0"/>
      <w:marBottom w:val="0"/>
      <w:divBdr>
        <w:top w:val="none" w:sz="0" w:space="0" w:color="auto"/>
        <w:left w:val="none" w:sz="0" w:space="0" w:color="auto"/>
        <w:bottom w:val="none" w:sz="0" w:space="0" w:color="auto"/>
        <w:right w:val="none" w:sz="0" w:space="0" w:color="auto"/>
      </w:divBdr>
    </w:div>
    <w:div w:id="792868534">
      <w:bodyDiv w:val="1"/>
      <w:marLeft w:val="0"/>
      <w:marRight w:val="0"/>
      <w:marTop w:val="0"/>
      <w:marBottom w:val="0"/>
      <w:divBdr>
        <w:top w:val="none" w:sz="0" w:space="0" w:color="auto"/>
        <w:left w:val="none" w:sz="0" w:space="0" w:color="auto"/>
        <w:bottom w:val="none" w:sz="0" w:space="0" w:color="auto"/>
        <w:right w:val="none" w:sz="0" w:space="0" w:color="auto"/>
      </w:divBdr>
    </w:div>
    <w:div w:id="800347625">
      <w:bodyDiv w:val="1"/>
      <w:marLeft w:val="0"/>
      <w:marRight w:val="0"/>
      <w:marTop w:val="0"/>
      <w:marBottom w:val="0"/>
      <w:divBdr>
        <w:top w:val="none" w:sz="0" w:space="0" w:color="auto"/>
        <w:left w:val="none" w:sz="0" w:space="0" w:color="auto"/>
        <w:bottom w:val="none" w:sz="0" w:space="0" w:color="auto"/>
        <w:right w:val="none" w:sz="0" w:space="0" w:color="auto"/>
      </w:divBdr>
    </w:div>
    <w:div w:id="812527353">
      <w:bodyDiv w:val="1"/>
      <w:marLeft w:val="0"/>
      <w:marRight w:val="0"/>
      <w:marTop w:val="0"/>
      <w:marBottom w:val="0"/>
      <w:divBdr>
        <w:top w:val="none" w:sz="0" w:space="0" w:color="auto"/>
        <w:left w:val="none" w:sz="0" w:space="0" w:color="auto"/>
        <w:bottom w:val="none" w:sz="0" w:space="0" w:color="auto"/>
        <w:right w:val="none" w:sz="0" w:space="0" w:color="auto"/>
      </w:divBdr>
    </w:div>
    <w:div w:id="832374970">
      <w:bodyDiv w:val="1"/>
      <w:marLeft w:val="0"/>
      <w:marRight w:val="0"/>
      <w:marTop w:val="0"/>
      <w:marBottom w:val="0"/>
      <w:divBdr>
        <w:top w:val="none" w:sz="0" w:space="0" w:color="auto"/>
        <w:left w:val="none" w:sz="0" w:space="0" w:color="auto"/>
        <w:bottom w:val="none" w:sz="0" w:space="0" w:color="auto"/>
        <w:right w:val="none" w:sz="0" w:space="0" w:color="auto"/>
      </w:divBdr>
    </w:div>
    <w:div w:id="837354073">
      <w:bodyDiv w:val="1"/>
      <w:marLeft w:val="0"/>
      <w:marRight w:val="0"/>
      <w:marTop w:val="0"/>
      <w:marBottom w:val="0"/>
      <w:divBdr>
        <w:top w:val="none" w:sz="0" w:space="0" w:color="auto"/>
        <w:left w:val="none" w:sz="0" w:space="0" w:color="auto"/>
        <w:bottom w:val="none" w:sz="0" w:space="0" w:color="auto"/>
        <w:right w:val="none" w:sz="0" w:space="0" w:color="auto"/>
      </w:divBdr>
    </w:div>
    <w:div w:id="859316575">
      <w:bodyDiv w:val="1"/>
      <w:marLeft w:val="0"/>
      <w:marRight w:val="0"/>
      <w:marTop w:val="0"/>
      <w:marBottom w:val="0"/>
      <w:divBdr>
        <w:top w:val="none" w:sz="0" w:space="0" w:color="auto"/>
        <w:left w:val="none" w:sz="0" w:space="0" w:color="auto"/>
        <w:bottom w:val="none" w:sz="0" w:space="0" w:color="auto"/>
        <w:right w:val="none" w:sz="0" w:space="0" w:color="auto"/>
      </w:divBdr>
    </w:div>
    <w:div w:id="870608271">
      <w:bodyDiv w:val="1"/>
      <w:marLeft w:val="0"/>
      <w:marRight w:val="0"/>
      <w:marTop w:val="0"/>
      <w:marBottom w:val="0"/>
      <w:divBdr>
        <w:top w:val="none" w:sz="0" w:space="0" w:color="auto"/>
        <w:left w:val="none" w:sz="0" w:space="0" w:color="auto"/>
        <w:bottom w:val="none" w:sz="0" w:space="0" w:color="auto"/>
        <w:right w:val="none" w:sz="0" w:space="0" w:color="auto"/>
      </w:divBdr>
    </w:div>
    <w:div w:id="887373341">
      <w:bodyDiv w:val="1"/>
      <w:marLeft w:val="0"/>
      <w:marRight w:val="0"/>
      <w:marTop w:val="0"/>
      <w:marBottom w:val="0"/>
      <w:divBdr>
        <w:top w:val="none" w:sz="0" w:space="0" w:color="auto"/>
        <w:left w:val="none" w:sz="0" w:space="0" w:color="auto"/>
        <w:bottom w:val="none" w:sz="0" w:space="0" w:color="auto"/>
        <w:right w:val="none" w:sz="0" w:space="0" w:color="auto"/>
      </w:divBdr>
    </w:div>
    <w:div w:id="891234973">
      <w:bodyDiv w:val="1"/>
      <w:marLeft w:val="0"/>
      <w:marRight w:val="0"/>
      <w:marTop w:val="0"/>
      <w:marBottom w:val="0"/>
      <w:divBdr>
        <w:top w:val="none" w:sz="0" w:space="0" w:color="auto"/>
        <w:left w:val="none" w:sz="0" w:space="0" w:color="auto"/>
        <w:bottom w:val="none" w:sz="0" w:space="0" w:color="auto"/>
        <w:right w:val="none" w:sz="0" w:space="0" w:color="auto"/>
      </w:divBdr>
    </w:div>
    <w:div w:id="894706066">
      <w:bodyDiv w:val="1"/>
      <w:marLeft w:val="0"/>
      <w:marRight w:val="0"/>
      <w:marTop w:val="0"/>
      <w:marBottom w:val="0"/>
      <w:divBdr>
        <w:top w:val="none" w:sz="0" w:space="0" w:color="auto"/>
        <w:left w:val="none" w:sz="0" w:space="0" w:color="auto"/>
        <w:bottom w:val="none" w:sz="0" w:space="0" w:color="auto"/>
        <w:right w:val="none" w:sz="0" w:space="0" w:color="auto"/>
      </w:divBdr>
    </w:div>
    <w:div w:id="895161933">
      <w:bodyDiv w:val="1"/>
      <w:marLeft w:val="0"/>
      <w:marRight w:val="0"/>
      <w:marTop w:val="0"/>
      <w:marBottom w:val="0"/>
      <w:divBdr>
        <w:top w:val="none" w:sz="0" w:space="0" w:color="auto"/>
        <w:left w:val="none" w:sz="0" w:space="0" w:color="auto"/>
        <w:bottom w:val="none" w:sz="0" w:space="0" w:color="auto"/>
        <w:right w:val="none" w:sz="0" w:space="0" w:color="auto"/>
      </w:divBdr>
    </w:div>
    <w:div w:id="895701255">
      <w:bodyDiv w:val="1"/>
      <w:marLeft w:val="0"/>
      <w:marRight w:val="0"/>
      <w:marTop w:val="0"/>
      <w:marBottom w:val="0"/>
      <w:divBdr>
        <w:top w:val="none" w:sz="0" w:space="0" w:color="auto"/>
        <w:left w:val="none" w:sz="0" w:space="0" w:color="auto"/>
        <w:bottom w:val="none" w:sz="0" w:space="0" w:color="auto"/>
        <w:right w:val="none" w:sz="0" w:space="0" w:color="auto"/>
      </w:divBdr>
    </w:div>
    <w:div w:id="907569008">
      <w:bodyDiv w:val="1"/>
      <w:marLeft w:val="0"/>
      <w:marRight w:val="0"/>
      <w:marTop w:val="0"/>
      <w:marBottom w:val="0"/>
      <w:divBdr>
        <w:top w:val="none" w:sz="0" w:space="0" w:color="auto"/>
        <w:left w:val="none" w:sz="0" w:space="0" w:color="auto"/>
        <w:bottom w:val="none" w:sz="0" w:space="0" w:color="auto"/>
        <w:right w:val="none" w:sz="0" w:space="0" w:color="auto"/>
      </w:divBdr>
    </w:div>
    <w:div w:id="915673404">
      <w:bodyDiv w:val="1"/>
      <w:marLeft w:val="0"/>
      <w:marRight w:val="0"/>
      <w:marTop w:val="0"/>
      <w:marBottom w:val="0"/>
      <w:divBdr>
        <w:top w:val="none" w:sz="0" w:space="0" w:color="auto"/>
        <w:left w:val="none" w:sz="0" w:space="0" w:color="auto"/>
        <w:bottom w:val="none" w:sz="0" w:space="0" w:color="auto"/>
        <w:right w:val="none" w:sz="0" w:space="0" w:color="auto"/>
      </w:divBdr>
    </w:div>
    <w:div w:id="924219221">
      <w:bodyDiv w:val="1"/>
      <w:marLeft w:val="0"/>
      <w:marRight w:val="0"/>
      <w:marTop w:val="0"/>
      <w:marBottom w:val="0"/>
      <w:divBdr>
        <w:top w:val="none" w:sz="0" w:space="0" w:color="auto"/>
        <w:left w:val="none" w:sz="0" w:space="0" w:color="auto"/>
        <w:bottom w:val="none" w:sz="0" w:space="0" w:color="auto"/>
        <w:right w:val="none" w:sz="0" w:space="0" w:color="auto"/>
      </w:divBdr>
    </w:div>
    <w:div w:id="932206943">
      <w:bodyDiv w:val="1"/>
      <w:marLeft w:val="0"/>
      <w:marRight w:val="0"/>
      <w:marTop w:val="0"/>
      <w:marBottom w:val="0"/>
      <w:divBdr>
        <w:top w:val="none" w:sz="0" w:space="0" w:color="auto"/>
        <w:left w:val="none" w:sz="0" w:space="0" w:color="auto"/>
        <w:bottom w:val="none" w:sz="0" w:space="0" w:color="auto"/>
        <w:right w:val="none" w:sz="0" w:space="0" w:color="auto"/>
      </w:divBdr>
    </w:div>
    <w:div w:id="935752183">
      <w:bodyDiv w:val="1"/>
      <w:marLeft w:val="0"/>
      <w:marRight w:val="0"/>
      <w:marTop w:val="0"/>
      <w:marBottom w:val="0"/>
      <w:divBdr>
        <w:top w:val="none" w:sz="0" w:space="0" w:color="auto"/>
        <w:left w:val="none" w:sz="0" w:space="0" w:color="auto"/>
        <w:bottom w:val="none" w:sz="0" w:space="0" w:color="auto"/>
        <w:right w:val="none" w:sz="0" w:space="0" w:color="auto"/>
      </w:divBdr>
    </w:div>
    <w:div w:id="941840709">
      <w:bodyDiv w:val="1"/>
      <w:marLeft w:val="0"/>
      <w:marRight w:val="0"/>
      <w:marTop w:val="0"/>
      <w:marBottom w:val="0"/>
      <w:divBdr>
        <w:top w:val="none" w:sz="0" w:space="0" w:color="auto"/>
        <w:left w:val="none" w:sz="0" w:space="0" w:color="auto"/>
        <w:bottom w:val="none" w:sz="0" w:space="0" w:color="auto"/>
        <w:right w:val="none" w:sz="0" w:space="0" w:color="auto"/>
      </w:divBdr>
      <w:divsChild>
        <w:div w:id="16506729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3803875">
      <w:bodyDiv w:val="1"/>
      <w:marLeft w:val="0"/>
      <w:marRight w:val="0"/>
      <w:marTop w:val="0"/>
      <w:marBottom w:val="0"/>
      <w:divBdr>
        <w:top w:val="none" w:sz="0" w:space="0" w:color="auto"/>
        <w:left w:val="none" w:sz="0" w:space="0" w:color="auto"/>
        <w:bottom w:val="none" w:sz="0" w:space="0" w:color="auto"/>
        <w:right w:val="none" w:sz="0" w:space="0" w:color="auto"/>
      </w:divBdr>
    </w:div>
    <w:div w:id="1006903629">
      <w:bodyDiv w:val="1"/>
      <w:marLeft w:val="0"/>
      <w:marRight w:val="0"/>
      <w:marTop w:val="0"/>
      <w:marBottom w:val="0"/>
      <w:divBdr>
        <w:top w:val="none" w:sz="0" w:space="0" w:color="auto"/>
        <w:left w:val="none" w:sz="0" w:space="0" w:color="auto"/>
        <w:bottom w:val="none" w:sz="0" w:space="0" w:color="auto"/>
        <w:right w:val="none" w:sz="0" w:space="0" w:color="auto"/>
      </w:divBdr>
    </w:div>
    <w:div w:id="1008408105">
      <w:bodyDiv w:val="1"/>
      <w:marLeft w:val="0"/>
      <w:marRight w:val="0"/>
      <w:marTop w:val="0"/>
      <w:marBottom w:val="0"/>
      <w:divBdr>
        <w:top w:val="none" w:sz="0" w:space="0" w:color="auto"/>
        <w:left w:val="none" w:sz="0" w:space="0" w:color="auto"/>
        <w:bottom w:val="none" w:sz="0" w:space="0" w:color="auto"/>
        <w:right w:val="none" w:sz="0" w:space="0" w:color="auto"/>
      </w:divBdr>
    </w:div>
    <w:div w:id="1016346030">
      <w:bodyDiv w:val="1"/>
      <w:marLeft w:val="0"/>
      <w:marRight w:val="0"/>
      <w:marTop w:val="0"/>
      <w:marBottom w:val="0"/>
      <w:divBdr>
        <w:top w:val="none" w:sz="0" w:space="0" w:color="auto"/>
        <w:left w:val="none" w:sz="0" w:space="0" w:color="auto"/>
        <w:bottom w:val="none" w:sz="0" w:space="0" w:color="auto"/>
        <w:right w:val="none" w:sz="0" w:space="0" w:color="auto"/>
      </w:divBdr>
    </w:div>
    <w:div w:id="1017804780">
      <w:bodyDiv w:val="1"/>
      <w:marLeft w:val="0"/>
      <w:marRight w:val="0"/>
      <w:marTop w:val="0"/>
      <w:marBottom w:val="0"/>
      <w:divBdr>
        <w:top w:val="none" w:sz="0" w:space="0" w:color="auto"/>
        <w:left w:val="none" w:sz="0" w:space="0" w:color="auto"/>
        <w:bottom w:val="none" w:sz="0" w:space="0" w:color="auto"/>
        <w:right w:val="none" w:sz="0" w:space="0" w:color="auto"/>
      </w:divBdr>
    </w:div>
    <w:div w:id="1052460057">
      <w:bodyDiv w:val="1"/>
      <w:marLeft w:val="0"/>
      <w:marRight w:val="0"/>
      <w:marTop w:val="0"/>
      <w:marBottom w:val="0"/>
      <w:divBdr>
        <w:top w:val="none" w:sz="0" w:space="0" w:color="auto"/>
        <w:left w:val="none" w:sz="0" w:space="0" w:color="auto"/>
        <w:bottom w:val="none" w:sz="0" w:space="0" w:color="auto"/>
        <w:right w:val="none" w:sz="0" w:space="0" w:color="auto"/>
      </w:divBdr>
    </w:div>
    <w:div w:id="1052580851">
      <w:bodyDiv w:val="1"/>
      <w:marLeft w:val="0"/>
      <w:marRight w:val="0"/>
      <w:marTop w:val="0"/>
      <w:marBottom w:val="0"/>
      <w:divBdr>
        <w:top w:val="none" w:sz="0" w:space="0" w:color="auto"/>
        <w:left w:val="none" w:sz="0" w:space="0" w:color="auto"/>
        <w:bottom w:val="none" w:sz="0" w:space="0" w:color="auto"/>
        <w:right w:val="none" w:sz="0" w:space="0" w:color="auto"/>
      </w:divBdr>
    </w:div>
    <w:div w:id="1063412665">
      <w:bodyDiv w:val="1"/>
      <w:marLeft w:val="0"/>
      <w:marRight w:val="0"/>
      <w:marTop w:val="0"/>
      <w:marBottom w:val="0"/>
      <w:divBdr>
        <w:top w:val="none" w:sz="0" w:space="0" w:color="auto"/>
        <w:left w:val="none" w:sz="0" w:space="0" w:color="auto"/>
        <w:bottom w:val="none" w:sz="0" w:space="0" w:color="auto"/>
        <w:right w:val="none" w:sz="0" w:space="0" w:color="auto"/>
      </w:divBdr>
    </w:div>
    <w:div w:id="1067655399">
      <w:bodyDiv w:val="1"/>
      <w:marLeft w:val="0"/>
      <w:marRight w:val="0"/>
      <w:marTop w:val="0"/>
      <w:marBottom w:val="0"/>
      <w:divBdr>
        <w:top w:val="none" w:sz="0" w:space="0" w:color="auto"/>
        <w:left w:val="none" w:sz="0" w:space="0" w:color="auto"/>
        <w:bottom w:val="none" w:sz="0" w:space="0" w:color="auto"/>
        <w:right w:val="none" w:sz="0" w:space="0" w:color="auto"/>
      </w:divBdr>
    </w:div>
    <w:div w:id="1080786765">
      <w:bodyDiv w:val="1"/>
      <w:marLeft w:val="0"/>
      <w:marRight w:val="0"/>
      <w:marTop w:val="0"/>
      <w:marBottom w:val="0"/>
      <w:divBdr>
        <w:top w:val="none" w:sz="0" w:space="0" w:color="auto"/>
        <w:left w:val="none" w:sz="0" w:space="0" w:color="auto"/>
        <w:bottom w:val="none" w:sz="0" w:space="0" w:color="auto"/>
        <w:right w:val="none" w:sz="0" w:space="0" w:color="auto"/>
      </w:divBdr>
    </w:div>
    <w:div w:id="1085109475">
      <w:bodyDiv w:val="1"/>
      <w:marLeft w:val="0"/>
      <w:marRight w:val="0"/>
      <w:marTop w:val="0"/>
      <w:marBottom w:val="0"/>
      <w:divBdr>
        <w:top w:val="none" w:sz="0" w:space="0" w:color="auto"/>
        <w:left w:val="none" w:sz="0" w:space="0" w:color="auto"/>
        <w:bottom w:val="none" w:sz="0" w:space="0" w:color="auto"/>
        <w:right w:val="none" w:sz="0" w:space="0" w:color="auto"/>
      </w:divBdr>
    </w:div>
    <w:div w:id="1085883058">
      <w:bodyDiv w:val="1"/>
      <w:marLeft w:val="0"/>
      <w:marRight w:val="0"/>
      <w:marTop w:val="0"/>
      <w:marBottom w:val="0"/>
      <w:divBdr>
        <w:top w:val="none" w:sz="0" w:space="0" w:color="auto"/>
        <w:left w:val="none" w:sz="0" w:space="0" w:color="auto"/>
        <w:bottom w:val="none" w:sz="0" w:space="0" w:color="auto"/>
        <w:right w:val="none" w:sz="0" w:space="0" w:color="auto"/>
      </w:divBdr>
    </w:div>
    <w:div w:id="1088506538">
      <w:bodyDiv w:val="1"/>
      <w:marLeft w:val="0"/>
      <w:marRight w:val="0"/>
      <w:marTop w:val="0"/>
      <w:marBottom w:val="0"/>
      <w:divBdr>
        <w:top w:val="none" w:sz="0" w:space="0" w:color="auto"/>
        <w:left w:val="none" w:sz="0" w:space="0" w:color="auto"/>
        <w:bottom w:val="none" w:sz="0" w:space="0" w:color="auto"/>
        <w:right w:val="none" w:sz="0" w:space="0" w:color="auto"/>
      </w:divBdr>
    </w:div>
    <w:div w:id="1095247488">
      <w:bodyDiv w:val="1"/>
      <w:marLeft w:val="0"/>
      <w:marRight w:val="0"/>
      <w:marTop w:val="0"/>
      <w:marBottom w:val="0"/>
      <w:divBdr>
        <w:top w:val="none" w:sz="0" w:space="0" w:color="auto"/>
        <w:left w:val="none" w:sz="0" w:space="0" w:color="auto"/>
        <w:bottom w:val="none" w:sz="0" w:space="0" w:color="auto"/>
        <w:right w:val="none" w:sz="0" w:space="0" w:color="auto"/>
      </w:divBdr>
    </w:div>
    <w:div w:id="1101413113">
      <w:bodyDiv w:val="1"/>
      <w:marLeft w:val="0"/>
      <w:marRight w:val="0"/>
      <w:marTop w:val="0"/>
      <w:marBottom w:val="0"/>
      <w:divBdr>
        <w:top w:val="none" w:sz="0" w:space="0" w:color="auto"/>
        <w:left w:val="none" w:sz="0" w:space="0" w:color="auto"/>
        <w:bottom w:val="none" w:sz="0" w:space="0" w:color="auto"/>
        <w:right w:val="none" w:sz="0" w:space="0" w:color="auto"/>
      </w:divBdr>
    </w:div>
    <w:div w:id="1113984508">
      <w:bodyDiv w:val="1"/>
      <w:marLeft w:val="0"/>
      <w:marRight w:val="0"/>
      <w:marTop w:val="0"/>
      <w:marBottom w:val="0"/>
      <w:divBdr>
        <w:top w:val="none" w:sz="0" w:space="0" w:color="auto"/>
        <w:left w:val="none" w:sz="0" w:space="0" w:color="auto"/>
        <w:bottom w:val="none" w:sz="0" w:space="0" w:color="auto"/>
        <w:right w:val="none" w:sz="0" w:space="0" w:color="auto"/>
      </w:divBdr>
    </w:div>
    <w:div w:id="1122532325">
      <w:bodyDiv w:val="1"/>
      <w:marLeft w:val="0"/>
      <w:marRight w:val="0"/>
      <w:marTop w:val="0"/>
      <w:marBottom w:val="0"/>
      <w:divBdr>
        <w:top w:val="none" w:sz="0" w:space="0" w:color="auto"/>
        <w:left w:val="none" w:sz="0" w:space="0" w:color="auto"/>
        <w:bottom w:val="none" w:sz="0" w:space="0" w:color="auto"/>
        <w:right w:val="none" w:sz="0" w:space="0" w:color="auto"/>
      </w:divBdr>
    </w:div>
    <w:div w:id="1129400009">
      <w:bodyDiv w:val="1"/>
      <w:marLeft w:val="0"/>
      <w:marRight w:val="0"/>
      <w:marTop w:val="0"/>
      <w:marBottom w:val="0"/>
      <w:divBdr>
        <w:top w:val="none" w:sz="0" w:space="0" w:color="auto"/>
        <w:left w:val="none" w:sz="0" w:space="0" w:color="auto"/>
        <w:bottom w:val="none" w:sz="0" w:space="0" w:color="auto"/>
        <w:right w:val="none" w:sz="0" w:space="0" w:color="auto"/>
      </w:divBdr>
    </w:div>
    <w:div w:id="1130824487">
      <w:bodyDiv w:val="1"/>
      <w:marLeft w:val="0"/>
      <w:marRight w:val="0"/>
      <w:marTop w:val="0"/>
      <w:marBottom w:val="0"/>
      <w:divBdr>
        <w:top w:val="none" w:sz="0" w:space="0" w:color="auto"/>
        <w:left w:val="none" w:sz="0" w:space="0" w:color="auto"/>
        <w:bottom w:val="none" w:sz="0" w:space="0" w:color="auto"/>
        <w:right w:val="none" w:sz="0" w:space="0" w:color="auto"/>
      </w:divBdr>
    </w:div>
    <w:div w:id="1150907608">
      <w:bodyDiv w:val="1"/>
      <w:marLeft w:val="0"/>
      <w:marRight w:val="0"/>
      <w:marTop w:val="0"/>
      <w:marBottom w:val="0"/>
      <w:divBdr>
        <w:top w:val="none" w:sz="0" w:space="0" w:color="auto"/>
        <w:left w:val="none" w:sz="0" w:space="0" w:color="auto"/>
        <w:bottom w:val="none" w:sz="0" w:space="0" w:color="auto"/>
        <w:right w:val="none" w:sz="0" w:space="0" w:color="auto"/>
      </w:divBdr>
    </w:div>
    <w:div w:id="1162087968">
      <w:bodyDiv w:val="1"/>
      <w:marLeft w:val="0"/>
      <w:marRight w:val="0"/>
      <w:marTop w:val="0"/>
      <w:marBottom w:val="0"/>
      <w:divBdr>
        <w:top w:val="none" w:sz="0" w:space="0" w:color="auto"/>
        <w:left w:val="none" w:sz="0" w:space="0" w:color="auto"/>
        <w:bottom w:val="none" w:sz="0" w:space="0" w:color="auto"/>
        <w:right w:val="none" w:sz="0" w:space="0" w:color="auto"/>
      </w:divBdr>
    </w:div>
    <w:div w:id="1166435168">
      <w:bodyDiv w:val="1"/>
      <w:marLeft w:val="0"/>
      <w:marRight w:val="0"/>
      <w:marTop w:val="0"/>
      <w:marBottom w:val="0"/>
      <w:divBdr>
        <w:top w:val="none" w:sz="0" w:space="0" w:color="auto"/>
        <w:left w:val="none" w:sz="0" w:space="0" w:color="auto"/>
        <w:bottom w:val="none" w:sz="0" w:space="0" w:color="auto"/>
        <w:right w:val="none" w:sz="0" w:space="0" w:color="auto"/>
      </w:divBdr>
    </w:div>
    <w:div w:id="1167399068">
      <w:bodyDiv w:val="1"/>
      <w:marLeft w:val="0"/>
      <w:marRight w:val="0"/>
      <w:marTop w:val="0"/>
      <w:marBottom w:val="0"/>
      <w:divBdr>
        <w:top w:val="none" w:sz="0" w:space="0" w:color="auto"/>
        <w:left w:val="none" w:sz="0" w:space="0" w:color="auto"/>
        <w:bottom w:val="none" w:sz="0" w:space="0" w:color="auto"/>
        <w:right w:val="none" w:sz="0" w:space="0" w:color="auto"/>
      </w:divBdr>
    </w:div>
    <w:div w:id="1175725441">
      <w:bodyDiv w:val="1"/>
      <w:marLeft w:val="0"/>
      <w:marRight w:val="0"/>
      <w:marTop w:val="0"/>
      <w:marBottom w:val="0"/>
      <w:divBdr>
        <w:top w:val="none" w:sz="0" w:space="0" w:color="auto"/>
        <w:left w:val="none" w:sz="0" w:space="0" w:color="auto"/>
        <w:bottom w:val="none" w:sz="0" w:space="0" w:color="auto"/>
        <w:right w:val="none" w:sz="0" w:space="0" w:color="auto"/>
      </w:divBdr>
    </w:div>
    <w:div w:id="1189298215">
      <w:bodyDiv w:val="1"/>
      <w:marLeft w:val="0"/>
      <w:marRight w:val="0"/>
      <w:marTop w:val="0"/>
      <w:marBottom w:val="0"/>
      <w:divBdr>
        <w:top w:val="none" w:sz="0" w:space="0" w:color="auto"/>
        <w:left w:val="none" w:sz="0" w:space="0" w:color="auto"/>
        <w:bottom w:val="none" w:sz="0" w:space="0" w:color="auto"/>
        <w:right w:val="none" w:sz="0" w:space="0" w:color="auto"/>
      </w:divBdr>
    </w:div>
    <w:div w:id="1191725868">
      <w:bodyDiv w:val="1"/>
      <w:marLeft w:val="0"/>
      <w:marRight w:val="0"/>
      <w:marTop w:val="0"/>
      <w:marBottom w:val="0"/>
      <w:divBdr>
        <w:top w:val="none" w:sz="0" w:space="0" w:color="auto"/>
        <w:left w:val="none" w:sz="0" w:space="0" w:color="auto"/>
        <w:bottom w:val="none" w:sz="0" w:space="0" w:color="auto"/>
        <w:right w:val="none" w:sz="0" w:space="0" w:color="auto"/>
      </w:divBdr>
    </w:div>
    <w:div w:id="1193806513">
      <w:bodyDiv w:val="1"/>
      <w:marLeft w:val="0"/>
      <w:marRight w:val="0"/>
      <w:marTop w:val="0"/>
      <w:marBottom w:val="0"/>
      <w:divBdr>
        <w:top w:val="none" w:sz="0" w:space="0" w:color="auto"/>
        <w:left w:val="none" w:sz="0" w:space="0" w:color="auto"/>
        <w:bottom w:val="none" w:sz="0" w:space="0" w:color="auto"/>
        <w:right w:val="none" w:sz="0" w:space="0" w:color="auto"/>
      </w:divBdr>
      <w:divsChild>
        <w:div w:id="1193615307">
          <w:marLeft w:val="0"/>
          <w:marRight w:val="0"/>
          <w:marTop w:val="0"/>
          <w:marBottom w:val="0"/>
          <w:divBdr>
            <w:top w:val="none" w:sz="0" w:space="0" w:color="auto"/>
            <w:left w:val="none" w:sz="0" w:space="0" w:color="auto"/>
            <w:bottom w:val="none" w:sz="0" w:space="0" w:color="auto"/>
            <w:right w:val="none" w:sz="0" w:space="0" w:color="auto"/>
          </w:divBdr>
          <w:divsChild>
            <w:div w:id="12524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8068">
      <w:bodyDiv w:val="1"/>
      <w:marLeft w:val="0"/>
      <w:marRight w:val="0"/>
      <w:marTop w:val="0"/>
      <w:marBottom w:val="0"/>
      <w:divBdr>
        <w:top w:val="none" w:sz="0" w:space="0" w:color="auto"/>
        <w:left w:val="none" w:sz="0" w:space="0" w:color="auto"/>
        <w:bottom w:val="none" w:sz="0" w:space="0" w:color="auto"/>
        <w:right w:val="none" w:sz="0" w:space="0" w:color="auto"/>
      </w:divBdr>
    </w:div>
    <w:div w:id="1205750571">
      <w:bodyDiv w:val="1"/>
      <w:marLeft w:val="0"/>
      <w:marRight w:val="0"/>
      <w:marTop w:val="0"/>
      <w:marBottom w:val="0"/>
      <w:divBdr>
        <w:top w:val="none" w:sz="0" w:space="0" w:color="auto"/>
        <w:left w:val="none" w:sz="0" w:space="0" w:color="auto"/>
        <w:bottom w:val="none" w:sz="0" w:space="0" w:color="auto"/>
        <w:right w:val="none" w:sz="0" w:space="0" w:color="auto"/>
      </w:divBdr>
    </w:div>
    <w:div w:id="1207253258">
      <w:bodyDiv w:val="1"/>
      <w:marLeft w:val="0"/>
      <w:marRight w:val="0"/>
      <w:marTop w:val="0"/>
      <w:marBottom w:val="0"/>
      <w:divBdr>
        <w:top w:val="none" w:sz="0" w:space="0" w:color="auto"/>
        <w:left w:val="none" w:sz="0" w:space="0" w:color="auto"/>
        <w:bottom w:val="none" w:sz="0" w:space="0" w:color="auto"/>
        <w:right w:val="none" w:sz="0" w:space="0" w:color="auto"/>
      </w:divBdr>
    </w:div>
    <w:div w:id="1213731221">
      <w:bodyDiv w:val="1"/>
      <w:marLeft w:val="0"/>
      <w:marRight w:val="0"/>
      <w:marTop w:val="0"/>
      <w:marBottom w:val="0"/>
      <w:divBdr>
        <w:top w:val="none" w:sz="0" w:space="0" w:color="auto"/>
        <w:left w:val="none" w:sz="0" w:space="0" w:color="auto"/>
        <w:bottom w:val="none" w:sz="0" w:space="0" w:color="auto"/>
        <w:right w:val="none" w:sz="0" w:space="0" w:color="auto"/>
      </w:divBdr>
    </w:div>
    <w:div w:id="1225026324">
      <w:bodyDiv w:val="1"/>
      <w:marLeft w:val="0"/>
      <w:marRight w:val="0"/>
      <w:marTop w:val="0"/>
      <w:marBottom w:val="0"/>
      <w:divBdr>
        <w:top w:val="none" w:sz="0" w:space="0" w:color="auto"/>
        <w:left w:val="none" w:sz="0" w:space="0" w:color="auto"/>
        <w:bottom w:val="none" w:sz="0" w:space="0" w:color="auto"/>
        <w:right w:val="none" w:sz="0" w:space="0" w:color="auto"/>
      </w:divBdr>
    </w:div>
    <w:div w:id="1232160223">
      <w:bodyDiv w:val="1"/>
      <w:marLeft w:val="0"/>
      <w:marRight w:val="0"/>
      <w:marTop w:val="0"/>
      <w:marBottom w:val="0"/>
      <w:divBdr>
        <w:top w:val="none" w:sz="0" w:space="0" w:color="auto"/>
        <w:left w:val="none" w:sz="0" w:space="0" w:color="auto"/>
        <w:bottom w:val="none" w:sz="0" w:space="0" w:color="auto"/>
        <w:right w:val="none" w:sz="0" w:space="0" w:color="auto"/>
      </w:divBdr>
    </w:div>
    <w:div w:id="1234505925">
      <w:bodyDiv w:val="1"/>
      <w:marLeft w:val="0"/>
      <w:marRight w:val="0"/>
      <w:marTop w:val="0"/>
      <w:marBottom w:val="0"/>
      <w:divBdr>
        <w:top w:val="none" w:sz="0" w:space="0" w:color="auto"/>
        <w:left w:val="none" w:sz="0" w:space="0" w:color="auto"/>
        <w:bottom w:val="none" w:sz="0" w:space="0" w:color="auto"/>
        <w:right w:val="none" w:sz="0" w:space="0" w:color="auto"/>
      </w:divBdr>
    </w:div>
    <w:div w:id="1240670977">
      <w:bodyDiv w:val="1"/>
      <w:marLeft w:val="0"/>
      <w:marRight w:val="0"/>
      <w:marTop w:val="0"/>
      <w:marBottom w:val="0"/>
      <w:divBdr>
        <w:top w:val="none" w:sz="0" w:space="0" w:color="auto"/>
        <w:left w:val="none" w:sz="0" w:space="0" w:color="auto"/>
        <w:bottom w:val="none" w:sz="0" w:space="0" w:color="auto"/>
        <w:right w:val="none" w:sz="0" w:space="0" w:color="auto"/>
      </w:divBdr>
    </w:div>
    <w:div w:id="1243758491">
      <w:bodyDiv w:val="1"/>
      <w:marLeft w:val="0"/>
      <w:marRight w:val="0"/>
      <w:marTop w:val="0"/>
      <w:marBottom w:val="0"/>
      <w:divBdr>
        <w:top w:val="none" w:sz="0" w:space="0" w:color="auto"/>
        <w:left w:val="none" w:sz="0" w:space="0" w:color="auto"/>
        <w:bottom w:val="none" w:sz="0" w:space="0" w:color="auto"/>
        <w:right w:val="none" w:sz="0" w:space="0" w:color="auto"/>
      </w:divBdr>
    </w:div>
    <w:div w:id="1246495302">
      <w:bodyDiv w:val="1"/>
      <w:marLeft w:val="0"/>
      <w:marRight w:val="0"/>
      <w:marTop w:val="0"/>
      <w:marBottom w:val="0"/>
      <w:divBdr>
        <w:top w:val="none" w:sz="0" w:space="0" w:color="auto"/>
        <w:left w:val="none" w:sz="0" w:space="0" w:color="auto"/>
        <w:bottom w:val="none" w:sz="0" w:space="0" w:color="auto"/>
        <w:right w:val="none" w:sz="0" w:space="0" w:color="auto"/>
      </w:divBdr>
    </w:div>
    <w:div w:id="1256590966">
      <w:bodyDiv w:val="1"/>
      <w:marLeft w:val="0"/>
      <w:marRight w:val="0"/>
      <w:marTop w:val="0"/>
      <w:marBottom w:val="0"/>
      <w:divBdr>
        <w:top w:val="none" w:sz="0" w:space="0" w:color="auto"/>
        <w:left w:val="none" w:sz="0" w:space="0" w:color="auto"/>
        <w:bottom w:val="none" w:sz="0" w:space="0" w:color="auto"/>
        <w:right w:val="none" w:sz="0" w:space="0" w:color="auto"/>
      </w:divBdr>
    </w:div>
    <w:div w:id="1269896793">
      <w:bodyDiv w:val="1"/>
      <w:marLeft w:val="0"/>
      <w:marRight w:val="0"/>
      <w:marTop w:val="0"/>
      <w:marBottom w:val="0"/>
      <w:divBdr>
        <w:top w:val="none" w:sz="0" w:space="0" w:color="auto"/>
        <w:left w:val="none" w:sz="0" w:space="0" w:color="auto"/>
        <w:bottom w:val="none" w:sz="0" w:space="0" w:color="auto"/>
        <w:right w:val="none" w:sz="0" w:space="0" w:color="auto"/>
      </w:divBdr>
    </w:div>
    <w:div w:id="1273172961">
      <w:bodyDiv w:val="1"/>
      <w:marLeft w:val="0"/>
      <w:marRight w:val="0"/>
      <w:marTop w:val="0"/>
      <w:marBottom w:val="0"/>
      <w:divBdr>
        <w:top w:val="none" w:sz="0" w:space="0" w:color="auto"/>
        <w:left w:val="none" w:sz="0" w:space="0" w:color="auto"/>
        <w:bottom w:val="none" w:sz="0" w:space="0" w:color="auto"/>
        <w:right w:val="none" w:sz="0" w:space="0" w:color="auto"/>
      </w:divBdr>
    </w:div>
    <w:div w:id="1275556772">
      <w:bodyDiv w:val="1"/>
      <w:marLeft w:val="0"/>
      <w:marRight w:val="0"/>
      <w:marTop w:val="0"/>
      <w:marBottom w:val="0"/>
      <w:divBdr>
        <w:top w:val="none" w:sz="0" w:space="0" w:color="auto"/>
        <w:left w:val="none" w:sz="0" w:space="0" w:color="auto"/>
        <w:bottom w:val="none" w:sz="0" w:space="0" w:color="auto"/>
        <w:right w:val="none" w:sz="0" w:space="0" w:color="auto"/>
      </w:divBdr>
    </w:div>
    <w:div w:id="1282222645">
      <w:bodyDiv w:val="1"/>
      <w:marLeft w:val="0"/>
      <w:marRight w:val="0"/>
      <w:marTop w:val="0"/>
      <w:marBottom w:val="0"/>
      <w:divBdr>
        <w:top w:val="none" w:sz="0" w:space="0" w:color="auto"/>
        <w:left w:val="none" w:sz="0" w:space="0" w:color="auto"/>
        <w:bottom w:val="none" w:sz="0" w:space="0" w:color="auto"/>
        <w:right w:val="none" w:sz="0" w:space="0" w:color="auto"/>
      </w:divBdr>
    </w:div>
    <w:div w:id="1296719574">
      <w:bodyDiv w:val="1"/>
      <w:marLeft w:val="0"/>
      <w:marRight w:val="0"/>
      <w:marTop w:val="0"/>
      <w:marBottom w:val="0"/>
      <w:divBdr>
        <w:top w:val="none" w:sz="0" w:space="0" w:color="auto"/>
        <w:left w:val="none" w:sz="0" w:space="0" w:color="auto"/>
        <w:bottom w:val="none" w:sz="0" w:space="0" w:color="auto"/>
        <w:right w:val="none" w:sz="0" w:space="0" w:color="auto"/>
      </w:divBdr>
    </w:div>
    <w:div w:id="1313294156">
      <w:bodyDiv w:val="1"/>
      <w:marLeft w:val="0"/>
      <w:marRight w:val="0"/>
      <w:marTop w:val="0"/>
      <w:marBottom w:val="0"/>
      <w:divBdr>
        <w:top w:val="none" w:sz="0" w:space="0" w:color="auto"/>
        <w:left w:val="none" w:sz="0" w:space="0" w:color="auto"/>
        <w:bottom w:val="none" w:sz="0" w:space="0" w:color="auto"/>
        <w:right w:val="none" w:sz="0" w:space="0" w:color="auto"/>
      </w:divBdr>
    </w:div>
    <w:div w:id="1322807146">
      <w:bodyDiv w:val="1"/>
      <w:marLeft w:val="0"/>
      <w:marRight w:val="0"/>
      <w:marTop w:val="0"/>
      <w:marBottom w:val="0"/>
      <w:divBdr>
        <w:top w:val="none" w:sz="0" w:space="0" w:color="auto"/>
        <w:left w:val="none" w:sz="0" w:space="0" w:color="auto"/>
        <w:bottom w:val="none" w:sz="0" w:space="0" w:color="auto"/>
        <w:right w:val="none" w:sz="0" w:space="0" w:color="auto"/>
      </w:divBdr>
    </w:div>
    <w:div w:id="1336573185">
      <w:bodyDiv w:val="1"/>
      <w:marLeft w:val="0"/>
      <w:marRight w:val="0"/>
      <w:marTop w:val="0"/>
      <w:marBottom w:val="0"/>
      <w:divBdr>
        <w:top w:val="none" w:sz="0" w:space="0" w:color="auto"/>
        <w:left w:val="none" w:sz="0" w:space="0" w:color="auto"/>
        <w:bottom w:val="none" w:sz="0" w:space="0" w:color="auto"/>
        <w:right w:val="none" w:sz="0" w:space="0" w:color="auto"/>
      </w:divBdr>
    </w:div>
    <w:div w:id="1361931512">
      <w:bodyDiv w:val="1"/>
      <w:marLeft w:val="0"/>
      <w:marRight w:val="0"/>
      <w:marTop w:val="0"/>
      <w:marBottom w:val="0"/>
      <w:divBdr>
        <w:top w:val="none" w:sz="0" w:space="0" w:color="auto"/>
        <w:left w:val="none" w:sz="0" w:space="0" w:color="auto"/>
        <w:bottom w:val="none" w:sz="0" w:space="0" w:color="auto"/>
        <w:right w:val="none" w:sz="0" w:space="0" w:color="auto"/>
      </w:divBdr>
    </w:div>
    <w:div w:id="1385103577">
      <w:bodyDiv w:val="1"/>
      <w:marLeft w:val="0"/>
      <w:marRight w:val="0"/>
      <w:marTop w:val="0"/>
      <w:marBottom w:val="0"/>
      <w:divBdr>
        <w:top w:val="none" w:sz="0" w:space="0" w:color="auto"/>
        <w:left w:val="none" w:sz="0" w:space="0" w:color="auto"/>
        <w:bottom w:val="none" w:sz="0" w:space="0" w:color="auto"/>
        <w:right w:val="none" w:sz="0" w:space="0" w:color="auto"/>
      </w:divBdr>
    </w:div>
    <w:div w:id="1390760756">
      <w:bodyDiv w:val="1"/>
      <w:marLeft w:val="0"/>
      <w:marRight w:val="0"/>
      <w:marTop w:val="0"/>
      <w:marBottom w:val="0"/>
      <w:divBdr>
        <w:top w:val="none" w:sz="0" w:space="0" w:color="auto"/>
        <w:left w:val="none" w:sz="0" w:space="0" w:color="auto"/>
        <w:bottom w:val="none" w:sz="0" w:space="0" w:color="auto"/>
        <w:right w:val="none" w:sz="0" w:space="0" w:color="auto"/>
      </w:divBdr>
    </w:div>
    <w:div w:id="1396704288">
      <w:bodyDiv w:val="1"/>
      <w:marLeft w:val="0"/>
      <w:marRight w:val="0"/>
      <w:marTop w:val="0"/>
      <w:marBottom w:val="0"/>
      <w:divBdr>
        <w:top w:val="none" w:sz="0" w:space="0" w:color="auto"/>
        <w:left w:val="none" w:sz="0" w:space="0" w:color="auto"/>
        <w:bottom w:val="none" w:sz="0" w:space="0" w:color="auto"/>
        <w:right w:val="none" w:sz="0" w:space="0" w:color="auto"/>
      </w:divBdr>
    </w:div>
    <w:div w:id="1407341845">
      <w:bodyDiv w:val="1"/>
      <w:marLeft w:val="0"/>
      <w:marRight w:val="0"/>
      <w:marTop w:val="0"/>
      <w:marBottom w:val="0"/>
      <w:divBdr>
        <w:top w:val="none" w:sz="0" w:space="0" w:color="auto"/>
        <w:left w:val="none" w:sz="0" w:space="0" w:color="auto"/>
        <w:bottom w:val="none" w:sz="0" w:space="0" w:color="auto"/>
        <w:right w:val="none" w:sz="0" w:space="0" w:color="auto"/>
      </w:divBdr>
    </w:div>
    <w:div w:id="1409379726">
      <w:bodyDiv w:val="1"/>
      <w:marLeft w:val="0"/>
      <w:marRight w:val="0"/>
      <w:marTop w:val="0"/>
      <w:marBottom w:val="0"/>
      <w:divBdr>
        <w:top w:val="none" w:sz="0" w:space="0" w:color="auto"/>
        <w:left w:val="none" w:sz="0" w:space="0" w:color="auto"/>
        <w:bottom w:val="none" w:sz="0" w:space="0" w:color="auto"/>
        <w:right w:val="none" w:sz="0" w:space="0" w:color="auto"/>
      </w:divBdr>
    </w:div>
    <w:div w:id="1416054249">
      <w:bodyDiv w:val="1"/>
      <w:marLeft w:val="0"/>
      <w:marRight w:val="0"/>
      <w:marTop w:val="0"/>
      <w:marBottom w:val="0"/>
      <w:divBdr>
        <w:top w:val="none" w:sz="0" w:space="0" w:color="auto"/>
        <w:left w:val="none" w:sz="0" w:space="0" w:color="auto"/>
        <w:bottom w:val="none" w:sz="0" w:space="0" w:color="auto"/>
        <w:right w:val="none" w:sz="0" w:space="0" w:color="auto"/>
      </w:divBdr>
    </w:div>
    <w:div w:id="1419792255">
      <w:bodyDiv w:val="1"/>
      <w:marLeft w:val="0"/>
      <w:marRight w:val="0"/>
      <w:marTop w:val="0"/>
      <w:marBottom w:val="0"/>
      <w:divBdr>
        <w:top w:val="none" w:sz="0" w:space="0" w:color="auto"/>
        <w:left w:val="none" w:sz="0" w:space="0" w:color="auto"/>
        <w:bottom w:val="none" w:sz="0" w:space="0" w:color="auto"/>
        <w:right w:val="none" w:sz="0" w:space="0" w:color="auto"/>
      </w:divBdr>
    </w:div>
    <w:div w:id="1421176992">
      <w:bodyDiv w:val="1"/>
      <w:marLeft w:val="0"/>
      <w:marRight w:val="0"/>
      <w:marTop w:val="0"/>
      <w:marBottom w:val="0"/>
      <w:divBdr>
        <w:top w:val="none" w:sz="0" w:space="0" w:color="auto"/>
        <w:left w:val="none" w:sz="0" w:space="0" w:color="auto"/>
        <w:bottom w:val="none" w:sz="0" w:space="0" w:color="auto"/>
        <w:right w:val="none" w:sz="0" w:space="0" w:color="auto"/>
      </w:divBdr>
    </w:div>
    <w:div w:id="1432775704">
      <w:bodyDiv w:val="1"/>
      <w:marLeft w:val="0"/>
      <w:marRight w:val="0"/>
      <w:marTop w:val="0"/>
      <w:marBottom w:val="0"/>
      <w:divBdr>
        <w:top w:val="none" w:sz="0" w:space="0" w:color="auto"/>
        <w:left w:val="none" w:sz="0" w:space="0" w:color="auto"/>
        <w:bottom w:val="none" w:sz="0" w:space="0" w:color="auto"/>
        <w:right w:val="none" w:sz="0" w:space="0" w:color="auto"/>
      </w:divBdr>
    </w:div>
    <w:div w:id="1436711591">
      <w:bodyDiv w:val="1"/>
      <w:marLeft w:val="0"/>
      <w:marRight w:val="0"/>
      <w:marTop w:val="0"/>
      <w:marBottom w:val="0"/>
      <w:divBdr>
        <w:top w:val="none" w:sz="0" w:space="0" w:color="auto"/>
        <w:left w:val="none" w:sz="0" w:space="0" w:color="auto"/>
        <w:bottom w:val="none" w:sz="0" w:space="0" w:color="auto"/>
        <w:right w:val="none" w:sz="0" w:space="0" w:color="auto"/>
      </w:divBdr>
    </w:div>
    <w:div w:id="1439594389">
      <w:bodyDiv w:val="1"/>
      <w:marLeft w:val="0"/>
      <w:marRight w:val="0"/>
      <w:marTop w:val="0"/>
      <w:marBottom w:val="0"/>
      <w:divBdr>
        <w:top w:val="none" w:sz="0" w:space="0" w:color="auto"/>
        <w:left w:val="none" w:sz="0" w:space="0" w:color="auto"/>
        <w:bottom w:val="none" w:sz="0" w:space="0" w:color="auto"/>
        <w:right w:val="none" w:sz="0" w:space="0" w:color="auto"/>
      </w:divBdr>
    </w:div>
    <w:div w:id="1441682615">
      <w:bodyDiv w:val="1"/>
      <w:marLeft w:val="0"/>
      <w:marRight w:val="0"/>
      <w:marTop w:val="0"/>
      <w:marBottom w:val="0"/>
      <w:divBdr>
        <w:top w:val="none" w:sz="0" w:space="0" w:color="auto"/>
        <w:left w:val="none" w:sz="0" w:space="0" w:color="auto"/>
        <w:bottom w:val="none" w:sz="0" w:space="0" w:color="auto"/>
        <w:right w:val="none" w:sz="0" w:space="0" w:color="auto"/>
      </w:divBdr>
    </w:div>
    <w:div w:id="1449664257">
      <w:bodyDiv w:val="1"/>
      <w:marLeft w:val="0"/>
      <w:marRight w:val="0"/>
      <w:marTop w:val="0"/>
      <w:marBottom w:val="0"/>
      <w:divBdr>
        <w:top w:val="none" w:sz="0" w:space="0" w:color="auto"/>
        <w:left w:val="none" w:sz="0" w:space="0" w:color="auto"/>
        <w:bottom w:val="none" w:sz="0" w:space="0" w:color="auto"/>
        <w:right w:val="none" w:sz="0" w:space="0" w:color="auto"/>
      </w:divBdr>
    </w:div>
    <w:div w:id="1466459792">
      <w:bodyDiv w:val="1"/>
      <w:marLeft w:val="0"/>
      <w:marRight w:val="0"/>
      <w:marTop w:val="0"/>
      <w:marBottom w:val="0"/>
      <w:divBdr>
        <w:top w:val="none" w:sz="0" w:space="0" w:color="auto"/>
        <w:left w:val="none" w:sz="0" w:space="0" w:color="auto"/>
        <w:bottom w:val="none" w:sz="0" w:space="0" w:color="auto"/>
        <w:right w:val="none" w:sz="0" w:space="0" w:color="auto"/>
      </w:divBdr>
    </w:div>
    <w:div w:id="1471097710">
      <w:bodyDiv w:val="1"/>
      <w:marLeft w:val="0"/>
      <w:marRight w:val="0"/>
      <w:marTop w:val="0"/>
      <w:marBottom w:val="0"/>
      <w:divBdr>
        <w:top w:val="none" w:sz="0" w:space="0" w:color="auto"/>
        <w:left w:val="none" w:sz="0" w:space="0" w:color="auto"/>
        <w:bottom w:val="none" w:sz="0" w:space="0" w:color="auto"/>
        <w:right w:val="none" w:sz="0" w:space="0" w:color="auto"/>
      </w:divBdr>
    </w:div>
    <w:div w:id="1471634933">
      <w:bodyDiv w:val="1"/>
      <w:marLeft w:val="0"/>
      <w:marRight w:val="0"/>
      <w:marTop w:val="0"/>
      <w:marBottom w:val="0"/>
      <w:divBdr>
        <w:top w:val="none" w:sz="0" w:space="0" w:color="auto"/>
        <w:left w:val="none" w:sz="0" w:space="0" w:color="auto"/>
        <w:bottom w:val="none" w:sz="0" w:space="0" w:color="auto"/>
        <w:right w:val="none" w:sz="0" w:space="0" w:color="auto"/>
      </w:divBdr>
    </w:div>
    <w:div w:id="1477531627">
      <w:bodyDiv w:val="1"/>
      <w:marLeft w:val="0"/>
      <w:marRight w:val="0"/>
      <w:marTop w:val="0"/>
      <w:marBottom w:val="0"/>
      <w:divBdr>
        <w:top w:val="none" w:sz="0" w:space="0" w:color="auto"/>
        <w:left w:val="none" w:sz="0" w:space="0" w:color="auto"/>
        <w:bottom w:val="none" w:sz="0" w:space="0" w:color="auto"/>
        <w:right w:val="none" w:sz="0" w:space="0" w:color="auto"/>
      </w:divBdr>
    </w:div>
    <w:div w:id="1480461243">
      <w:bodyDiv w:val="1"/>
      <w:marLeft w:val="0"/>
      <w:marRight w:val="0"/>
      <w:marTop w:val="0"/>
      <w:marBottom w:val="0"/>
      <w:divBdr>
        <w:top w:val="none" w:sz="0" w:space="0" w:color="auto"/>
        <w:left w:val="none" w:sz="0" w:space="0" w:color="auto"/>
        <w:bottom w:val="none" w:sz="0" w:space="0" w:color="auto"/>
        <w:right w:val="none" w:sz="0" w:space="0" w:color="auto"/>
      </w:divBdr>
    </w:div>
    <w:div w:id="1486126494">
      <w:bodyDiv w:val="1"/>
      <w:marLeft w:val="0"/>
      <w:marRight w:val="0"/>
      <w:marTop w:val="0"/>
      <w:marBottom w:val="0"/>
      <w:divBdr>
        <w:top w:val="none" w:sz="0" w:space="0" w:color="auto"/>
        <w:left w:val="none" w:sz="0" w:space="0" w:color="auto"/>
        <w:bottom w:val="none" w:sz="0" w:space="0" w:color="auto"/>
        <w:right w:val="none" w:sz="0" w:space="0" w:color="auto"/>
      </w:divBdr>
    </w:div>
    <w:div w:id="1486165296">
      <w:bodyDiv w:val="1"/>
      <w:marLeft w:val="0"/>
      <w:marRight w:val="0"/>
      <w:marTop w:val="0"/>
      <w:marBottom w:val="0"/>
      <w:divBdr>
        <w:top w:val="none" w:sz="0" w:space="0" w:color="auto"/>
        <w:left w:val="none" w:sz="0" w:space="0" w:color="auto"/>
        <w:bottom w:val="none" w:sz="0" w:space="0" w:color="auto"/>
        <w:right w:val="none" w:sz="0" w:space="0" w:color="auto"/>
      </w:divBdr>
    </w:div>
    <w:div w:id="1486628508">
      <w:bodyDiv w:val="1"/>
      <w:marLeft w:val="0"/>
      <w:marRight w:val="0"/>
      <w:marTop w:val="0"/>
      <w:marBottom w:val="0"/>
      <w:divBdr>
        <w:top w:val="none" w:sz="0" w:space="0" w:color="auto"/>
        <w:left w:val="none" w:sz="0" w:space="0" w:color="auto"/>
        <w:bottom w:val="none" w:sz="0" w:space="0" w:color="auto"/>
        <w:right w:val="none" w:sz="0" w:space="0" w:color="auto"/>
      </w:divBdr>
    </w:div>
    <w:div w:id="1490710444">
      <w:bodyDiv w:val="1"/>
      <w:marLeft w:val="0"/>
      <w:marRight w:val="0"/>
      <w:marTop w:val="0"/>
      <w:marBottom w:val="0"/>
      <w:divBdr>
        <w:top w:val="none" w:sz="0" w:space="0" w:color="auto"/>
        <w:left w:val="none" w:sz="0" w:space="0" w:color="auto"/>
        <w:bottom w:val="none" w:sz="0" w:space="0" w:color="auto"/>
        <w:right w:val="none" w:sz="0" w:space="0" w:color="auto"/>
      </w:divBdr>
    </w:div>
    <w:div w:id="1505436219">
      <w:bodyDiv w:val="1"/>
      <w:marLeft w:val="0"/>
      <w:marRight w:val="0"/>
      <w:marTop w:val="0"/>
      <w:marBottom w:val="0"/>
      <w:divBdr>
        <w:top w:val="none" w:sz="0" w:space="0" w:color="auto"/>
        <w:left w:val="none" w:sz="0" w:space="0" w:color="auto"/>
        <w:bottom w:val="none" w:sz="0" w:space="0" w:color="auto"/>
        <w:right w:val="none" w:sz="0" w:space="0" w:color="auto"/>
      </w:divBdr>
    </w:div>
    <w:div w:id="1520392681">
      <w:bodyDiv w:val="1"/>
      <w:marLeft w:val="0"/>
      <w:marRight w:val="0"/>
      <w:marTop w:val="0"/>
      <w:marBottom w:val="0"/>
      <w:divBdr>
        <w:top w:val="none" w:sz="0" w:space="0" w:color="auto"/>
        <w:left w:val="none" w:sz="0" w:space="0" w:color="auto"/>
        <w:bottom w:val="none" w:sz="0" w:space="0" w:color="auto"/>
        <w:right w:val="none" w:sz="0" w:space="0" w:color="auto"/>
      </w:divBdr>
    </w:div>
    <w:div w:id="1542480247">
      <w:bodyDiv w:val="1"/>
      <w:marLeft w:val="0"/>
      <w:marRight w:val="0"/>
      <w:marTop w:val="0"/>
      <w:marBottom w:val="0"/>
      <w:divBdr>
        <w:top w:val="none" w:sz="0" w:space="0" w:color="auto"/>
        <w:left w:val="none" w:sz="0" w:space="0" w:color="auto"/>
        <w:bottom w:val="none" w:sz="0" w:space="0" w:color="auto"/>
        <w:right w:val="none" w:sz="0" w:space="0" w:color="auto"/>
      </w:divBdr>
    </w:div>
    <w:div w:id="1551839145">
      <w:bodyDiv w:val="1"/>
      <w:marLeft w:val="0"/>
      <w:marRight w:val="0"/>
      <w:marTop w:val="0"/>
      <w:marBottom w:val="0"/>
      <w:divBdr>
        <w:top w:val="none" w:sz="0" w:space="0" w:color="auto"/>
        <w:left w:val="none" w:sz="0" w:space="0" w:color="auto"/>
        <w:bottom w:val="none" w:sz="0" w:space="0" w:color="auto"/>
        <w:right w:val="none" w:sz="0" w:space="0" w:color="auto"/>
      </w:divBdr>
    </w:div>
    <w:div w:id="1561793788">
      <w:bodyDiv w:val="1"/>
      <w:marLeft w:val="0"/>
      <w:marRight w:val="0"/>
      <w:marTop w:val="0"/>
      <w:marBottom w:val="0"/>
      <w:divBdr>
        <w:top w:val="none" w:sz="0" w:space="0" w:color="auto"/>
        <w:left w:val="none" w:sz="0" w:space="0" w:color="auto"/>
        <w:bottom w:val="none" w:sz="0" w:space="0" w:color="auto"/>
        <w:right w:val="none" w:sz="0" w:space="0" w:color="auto"/>
      </w:divBdr>
    </w:div>
    <w:div w:id="1568105296">
      <w:bodyDiv w:val="1"/>
      <w:marLeft w:val="0"/>
      <w:marRight w:val="0"/>
      <w:marTop w:val="0"/>
      <w:marBottom w:val="0"/>
      <w:divBdr>
        <w:top w:val="none" w:sz="0" w:space="0" w:color="auto"/>
        <w:left w:val="none" w:sz="0" w:space="0" w:color="auto"/>
        <w:bottom w:val="none" w:sz="0" w:space="0" w:color="auto"/>
        <w:right w:val="none" w:sz="0" w:space="0" w:color="auto"/>
      </w:divBdr>
    </w:div>
    <w:div w:id="1568606549">
      <w:bodyDiv w:val="1"/>
      <w:marLeft w:val="0"/>
      <w:marRight w:val="0"/>
      <w:marTop w:val="0"/>
      <w:marBottom w:val="0"/>
      <w:divBdr>
        <w:top w:val="none" w:sz="0" w:space="0" w:color="auto"/>
        <w:left w:val="none" w:sz="0" w:space="0" w:color="auto"/>
        <w:bottom w:val="none" w:sz="0" w:space="0" w:color="auto"/>
        <w:right w:val="none" w:sz="0" w:space="0" w:color="auto"/>
      </w:divBdr>
    </w:div>
    <w:div w:id="1574391009">
      <w:bodyDiv w:val="1"/>
      <w:marLeft w:val="0"/>
      <w:marRight w:val="0"/>
      <w:marTop w:val="0"/>
      <w:marBottom w:val="0"/>
      <w:divBdr>
        <w:top w:val="none" w:sz="0" w:space="0" w:color="auto"/>
        <w:left w:val="none" w:sz="0" w:space="0" w:color="auto"/>
        <w:bottom w:val="none" w:sz="0" w:space="0" w:color="auto"/>
        <w:right w:val="none" w:sz="0" w:space="0" w:color="auto"/>
      </w:divBdr>
    </w:div>
    <w:div w:id="1598948171">
      <w:bodyDiv w:val="1"/>
      <w:marLeft w:val="0"/>
      <w:marRight w:val="0"/>
      <w:marTop w:val="0"/>
      <w:marBottom w:val="0"/>
      <w:divBdr>
        <w:top w:val="none" w:sz="0" w:space="0" w:color="auto"/>
        <w:left w:val="none" w:sz="0" w:space="0" w:color="auto"/>
        <w:bottom w:val="none" w:sz="0" w:space="0" w:color="auto"/>
        <w:right w:val="none" w:sz="0" w:space="0" w:color="auto"/>
      </w:divBdr>
    </w:div>
    <w:div w:id="1599093819">
      <w:bodyDiv w:val="1"/>
      <w:marLeft w:val="0"/>
      <w:marRight w:val="0"/>
      <w:marTop w:val="0"/>
      <w:marBottom w:val="0"/>
      <w:divBdr>
        <w:top w:val="none" w:sz="0" w:space="0" w:color="auto"/>
        <w:left w:val="none" w:sz="0" w:space="0" w:color="auto"/>
        <w:bottom w:val="none" w:sz="0" w:space="0" w:color="auto"/>
        <w:right w:val="none" w:sz="0" w:space="0" w:color="auto"/>
      </w:divBdr>
    </w:div>
    <w:div w:id="1608807415">
      <w:bodyDiv w:val="1"/>
      <w:marLeft w:val="0"/>
      <w:marRight w:val="0"/>
      <w:marTop w:val="0"/>
      <w:marBottom w:val="0"/>
      <w:divBdr>
        <w:top w:val="none" w:sz="0" w:space="0" w:color="auto"/>
        <w:left w:val="none" w:sz="0" w:space="0" w:color="auto"/>
        <w:bottom w:val="none" w:sz="0" w:space="0" w:color="auto"/>
        <w:right w:val="none" w:sz="0" w:space="0" w:color="auto"/>
      </w:divBdr>
    </w:div>
    <w:div w:id="1609195986">
      <w:bodyDiv w:val="1"/>
      <w:marLeft w:val="0"/>
      <w:marRight w:val="0"/>
      <w:marTop w:val="0"/>
      <w:marBottom w:val="0"/>
      <w:divBdr>
        <w:top w:val="none" w:sz="0" w:space="0" w:color="auto"/>
        <w:left w:val="none" w:sz="0" w:space="0" w:color="auto"/>
        <w:bottom w:val="none" w:sz="0" w:space="0" w:color="auto"/>
        <w:right w:val="none" w:sz="0" w:space="0" w:color="auto"/>
      </w:divBdr>
    </w:div>
    <w:div w:id="1610233410">
      <w:bodyDiv w:val="1"/>
      <w:marLeft w:val="0"/>
      <w:marRight w:val="0"/>
      <w:marTop w:val="0"/>
      <w:marBottom w:val="0"/>
      <w:divBdr>
        <w:top w:val="none" w:sz="0" w:space="0" w:color="auto"/>
        <w:left w:val="none" w:sz="0" w:space="0" w:color="auto"/>
        <w:bottom w:val="none" w:sz="0" w:space="0" w:color="auto"/>
        <w:right w:val="none" w:sz="0" w:space="0" w:color="auto"/>
      </w:divBdr>
    </w:div>
    <w:div w:id="1617638551">
      <w:bodyDiv w:val="1"/>
      <w:marLeft w:val="0"/>
      <w:marRight w:val="0"/>
      <w:marTop w:val="0"/>
      <w:marBottom w:val="0"/>
      <w:divBdr>
        <w:top w:val="none" w:sz="0" w:space="0" w:color="auto"/>
        <w:left w:val="none" w:sz="0" w:space="0" w:color="auto"/>
        <w:bottom w:val="none" w:sz="0" w:space="0" w:color="auto"/>
        <w:right w:val="none" w:sz="0" w:space="0" w:color="auto"/>
      </w:divBdr>
    </w:div>
    <w:div w:id="1637027591">
      <w:bodyDiv w:val="1"/>
      <w:marLeft w:val="0"/>
      <w:marRight w:val="0"/>
      <w:marTop w:val="0"/>
      <w:marBottom w:val="0"/>
      <w:divBdr>
        <w:top w:val="none" w:sz="0" w:space="0" w:color="auto"/>
        <w:left w:val="none" w:sz="0" w:space="0" w:color="auto"/>
        <w:bottom w:val="none" w:sz="0" w:space="0" w:color="auto"/>
        <w:right w:val="none" w:sz="0" w:space="0" w:color="auto"/>
      </w:divBdr>
    </w:div>
    <w:div w:id="1640188982">
      <w:bodyDiv w:val="1"/>
      <w:marLeft w:val="0"/>
      <w:marRight w:val="0"/>
      <w:marTop w:val="0"/>
      <w:marBottom w:val="0"/>
      <w:divBdr>
        <w:top w:val="none" w:sz="0" w:space="0" w:color="auto"/>
        <w:left w:val="none" w:sz="0" w:space="0" w:color="auto"/>
        <w:bottom w:val="none" w:sz="0" w:space="0" w:color="auto"/>
        <w:right w:val="none" w:sz="0" w:space="0" w:color="auto"/>
      </w:divBdr>
    </w:div>
    <w:div w:id="1658682946">
      <w:bodyDiv w:val="1"/>
      <w:marLeft w:val="0"/>
      <w:marRight w:val="0"/>
      <w:marTop w:val="0"/>
      <w:marBottom w:val="0"/>
      <w:divBdr>
        <w:top w:val="none" w:sz="0" w:space="0" w:color="auto"/>
        <w:left w:val="none" w:sz="0" w:space="0" w:color="auto"/>
        <w:bottom w:val="none" w:sz="0" w:space="0" w:color="auto"/>
        <w:right w:val="none" w:sz="0" w:space="0" w:color="auto"/>
      </w:divBdr>
    </w:div>
    <w:div w:id="1660617138">
      <w:bodyDiv w:val="1"/>
      <w:marLeft w:val="0"/>
      <w:marRight w:val="0"/>
      <w:marTop w:val="0"/>
      <w:marBottom w:val="0"/>
      <w:divBdr>
        <w:top w:val="none" w:sz="0" w:space="0" w:color="auto"/>
        <w:left w:val="none" w:sz="0" w:space="0" w:color="auto"/>
        <w:bottom w:val="none" w:sz="0" w:space="0" w:color="auto"/>
        <w:right w:val="none" w:sz="0" w:space="0" w:color="auto"/>
      </w:divBdr>
    </w:div>
    <w:div w:id="1663311525">
      <w:bodyDiv w:val="1"/>
      <w:marLeft w:val="0"/>
      <w:marRight w:val="0"/>
      <w:marTop w:val="0"/>
      <w:marBottom w:val="0"/>
      <w:divBdr>
        <w:top w:val="none" w:sz="0" w:space="0" w:color="auto"/>
        <w:left w:val="none" w:sz="0" w:space="0" w:color="auto"/>
        <w:bottom w:val="none" w:sz="0" w:space="0" w:color="auto"/>
        <w:right w:val="none" w:sz="0" w:space="0" w:color="auto"/>
      </w:divBdr>
    </w:div>
    <w:div w:id="1668677927">
      <w:bodyDiv w:val="1"/>
      <w:marLeft w:val="0"/>
      <w:marRight w:val="0"/>
      <w:marTop w:val="0"/>
      <w:marBottom w:val="0"/>
      <w:divBdr>
        <w:top w:val="none" w:sz="0" w:space="0" w:color="auto"/>
        <w:left w:val="none" w:sz="0" w:space="0" w:color="auto"/>
        <w:bottom w:val="none" w:sz="0" w:space="0" w:color="auto"/>
        <w:right w:val="none" w:sz="0" w:space="0" w:color="auto"/>
      </w:divBdr>
    </w:div>
    <w:div w:id="1675453449">
      <w:bodyDiv w:val="1"/>
      <w:marLeft w:val="0"/>
      <w:marRight w:val="0"/>
      <w:marTop w:val="0"/>
      <w:marBottom w:val="0"/>
      <w:divBdr>
        <w:top w:val="none" w:sz="0" w:space="0" w:color="auto"/>
        <w:left w:val="none" w:sz="0" w:space="0" w:color="auto"/>
        <w:bottom w:val="none" w:sz="0" w:space="0" w:color="auto"/>
        <w:right w:val="none" w:sz="0" w:space="0" w:color="auto"/>
      </w:divBdr>
    </w:div>
    <w:div w:id="1683123738">
      <w:bodyDiv w:val="1"/>
      <w:marLeft w:val="0"/>
      <w:marRight w:val="0"/>
      <w:marTop w:val="0"/>
      <w:marBottom w:val="0"/>
      <w:divBdr>
        <w:top w:val="none" w:sz="0" w:space="0" w:color="auto"/>
        <w:left w:val="none" w:sz="0" w:space="0" w:color="auto"/>
        <w:bottom w:val="none" w:sz="0" w:space="0" w:color="auto"/>
        <w:right w:val="none" w:sz="0" w:space="0" w:color="auto"/>
      </w:divBdr>
    </w:div>
    <w:div w:id="1694841085">
      <w:bodyDiv w:val="1"/>
      <w:marLeft w:val="0"/>
      <w:marRight w:val="0"/>
      <w:marTop w:val="0"/>
      <w:marBottom w:val="0"/>
      <w:divBdr>
        <w:top w:val="none" w:sz="0" w:space="0" w:color="auto"/>
        <w:left w:val="none" w:sz="0" w:space="0" w:color="auto"/>
        <w:bottom w:val="none" w:sz="0" w:space="0" w:color="auto"/>
        <w:right w:val="none" w:sz="0" w:space="0" w:color="auto"/>
      </w:divBdr>
    </w:div>
    <w:div w:id="1703626015">
      <w:bodyDiv w:val="1"/>
      <w:marLeft w:val="0"/>
      <w:marRight w:val="0"/>
      <w:marTop w:val="0"/>
      <w:marBottom w:val="0"/>
      <w:divBdr>
        <w:top w:val="none" w:sz="0" w:space="0" w:color="auto"/>
        <w:left w:val="none" w:sz="0" w:space="0" w:color="auto"/>
        <w:bottom w:val="none" w:sz="0" w:space="0" w:color="auto"/>
        <w:right w:val="none" w:sz="0" w:space="0" w:color="auto"/>
      </w:divBdr>
    </w:div>
    <w:div w:id="1716463638">
      <w:bodyDiv w:val="1"/>
      <w:marLeft w:val="0"/>
      <w:marRight w:val="0"/>
      <w:marTop w:val="0"/>
      <w:marBottom w:val="0"/>
      <w:divBdr>
        <w:top w:val="none" w:sz="0" w:space="0" w:color="auto"/>
        <w:left w:val="none" w:sz="0" w:space="0" w:color="auto"/>
        <w:bottom w:val="none" w:sz="0" w:space="0" w:color="auto"/>
        <w:right w:val="none" w:sz="0" w:space="0" w:color="auto"/>
      </w:divBdr>
    </w:div>
    <w:div w:id="1716924214">
      <w:bodyDiv w:val="1"/>
      <w:marLeft w:val="0"/>
      <w:marRight w:val="0"/>
      <w:marTop w:val="0"/>
      <w:marBottom w:val="0"/>
      <w:divBdr>
        <w:top w:val="none" w:sz="0" w:space="0" w:color="auto"/>
        <w:left w:val="none" w:sz="0" w:space="0" w:color="auto"/>
        <w:bottom w:val="none" w:sz="0" w:space="0" w:color="auto"/>
        <w:right w:val="none" w:sz="0" w:space="0" w:color="auto"/>
      </w:divBdr>
    </w:div>
    <w:div w:id="1718622400">
      <w:bodyDiv w:val="1"/>
      <w:marLeft w:val="0"/>
      <w:marRight w:val="0"/>
      <w:marTop w:val="0"/>
      <w:marBottom w:val="0"/>
      <w:divBdr>
        <w:top w:val="none" w:sz="0" w:space="0" w:color="auto"/>
        <w:left w:val="none" w:sz="0" w:space="0" w:color="auto"/>
        <w:bottom w:val="none" w:sz="0" w:space="0" w:color="auto"/>
        <w:right w:val="none" w:sz="0" w:space="0" w:color="auto"/>
      </w:divBdr>
    </w:div>
    <w:div w:id="1742561162">
      <w:bodyDiv w:val="1"/>
      <w:marLeft w:val="0"/>
      <w:marRight w:val="0"/>
      <w:marTop w:val="0"/>
      <w:marBottom w:val="0"/>
      <w:divBdr>
        <w:top w:val="none" w:sz="0" w:space="0" w:color="auto"/>
        <w:left w:val="none" w:sz="0" w:space="0" w:color="auto"/>
        <w:bottom w:val="none" w:sz="0" w:space="0" w:color="auto"/>
        <w:right w:val="none" w:sz="0" w:space="0" w:color="auto"/>
      </w:divBdr>
    </w:div>
    <w:div w:id="1748532051">
      <w:bodyDiv w:val="1"/>
      <w:marLeft w:val="0"/>
      <w:marRight w:val="0"/>
      <w:marTop w:val="0"/>
      <w:marBottom w:val="0"/>
      <w:divBdr>
        <w:top w:val="none" w:sz="0" w:space="0" w:color="auto"/>
        <w:left w:val="none" w:sz="0" w:space="0" w:color="auto"/>
        <w:bottom w:val="none" w:sz="0" w:space="0" w:color="auto"/>
        <w:right w:val="none" w:sz="0" w:space="0" w:color="auto"/>
      </w:divBdr>
    </w:div>
    <w:div w:id="1756246032">
      <w:bodyDiv w:val="1"/>
      <w:marLeft w:val="0"/>
      <w:marRight w:val="0"/>
      <w:marTop w:val="0"/>
      <w:marBottom w:val="0"/>
      <w:divBdr>
        <w:top w:val="none" w:sz="0" w:space="0" w:color="auto"/>
        <w:left w:val="none" w:sz="0" w:space="0" w:color="auto"/>
        <w:bottom w:val="none" w:sz="0" w:space="0" w:color="auto"/>
        <w:right w:val="none" w:sz="0" w:space="0" w:color="auto"/>
      </w:divBdr>
    </w:div>
    <w:div w:id="1765344374">
      <w:bodyDiv w:val="1"/>
      <w:marLeft w:val="0"/>
      <w:marRight w:val="0"/>
      <w:marTop w:val="0"/>
      <w:marBottom w:val="0"/>
      <w:divBdr>
        <w:top w:val="none" w:sz="0" w:space="0" w:color="auto"/>
        <w:left w:val="none" w:sz="0" w:space="0" w:color="auto"/>
        <w:bottom w:val="none" w:sz="0" w:space="0" w:color="auto"/>
        <w:right w:val="none" w:sz="0" w:space="0" w:color="auto"/>
      </w:divBdr>
    </w:div>
    <w:div w:id="1788084225">
      <w:bodyDiv w:val="1"/>
      <w:marLeft w:val="0"/>
      <w:marRight w:val="0"/>
      <w:marTop w:val="0"/>
      <w:marBottom w:val="0"/>
      <w:divBdr>
        <w:top w:val="none" w:sz="0" w:space="0" w:color="auto"/>
        <w:left w:val="none" w:sz="0" w:space="0" w:color="auto"/>
        <w:bottom w:val="none" w:sz="0" w:space="0" w:color="auto"/>
        <w:right w:val="none" w:sz="0" w:space="0" w:color="auto"/>
      </w:divBdr>
    </w:div>
    <w:div w:id="1818063473">
      <w:bodyDiv w:val="1"/>
      <w:marLeft w:val="0"/>
      <w:marRight w:val="0"/>
      <w:marTop w:val="0"/>
      <w:marBottom w:val="0"/>
      <w:divBdr>
        <w:top w:val="none" w:sz="0" w:space="0" w:color="auto"/>
        <w:left w:val="none" w:sz="0" w:space="0" w:color="auto"/>
        <w:bottom w:val="none" w:sz="0" w:space="0" w:color="auto"/>
        <w:right w:val="none" w:sz="0" w:space="0" w:color="auto"/>
      </w:divBdr>
    </w:div>
    <w:div w:id="1826167605">
      <w:bodyDiv w:val="1"/>
      <w:marLeft w:val="0"/>
      <w:marRight w:val="0"/>
      <w:marTop w:val="0"/>
      <w:marBottom w:val="0"/>
      <w:divBdr>
        <w:top w:val="none" w:sz="0" w:space="0" w:color="auto"/>
        <w:left w:val="none" w:sz="0" w:space="0" w:color="auto"/>
        <w:bottom w:val="none" w:sz="0" w:space="0" w:color="auto"/>
        <w:right w:val="none" w:sz="0" w:space="0" w:color="auto"/>
      </w:divBdr>
    </w:div>
    <w:div w:id="1837384187">
      <w:bodyDiv w:val="1"/>
      <w:marLeft w:val="0"/>
      <w:marRight w:val="0"/>
      <w:marTop w:val="0"/>
      <w:marBottom w:val="0"/>
      <w:divBdr>
        <w:top w:val="none" w:sz="0" w:space="0" w:color="auto"/>
        <w:left w:val="none" w:sz="0" w:space="0" w:color="auto"/>
        <w:bottom w:val="none" w:sz="0" w:space="0" w:color="auto"/>
        <w:right w:val="none" w:sz="0" w:space="0" w:color="auto"/>
      </w:divBdr>
    </w:div>
    <w:div w:id="1838109758">
      <w:bodyDiv w:val="1"/>
      <w:marLeft w:val="0"/>
      <w:marRight w:val="0"/>
      <w:marTop w:val="0"/>
      <w:marBottom w:val="0"/>
      <w:divBdr>
        <w:top w:val="none" w:sz="0" w:space="0" w:color="auto"/>
        <w:left w:val="none" w:sz="0" w:space="0" w:color="auto"/>
        <w:bottom w:val="none" w:sz="0" w:space="0" w:color="auto"/>
        <w:right w:val="none" w:sz="0" w:space="0" w:color="auto"/>
      </w:divBdr>
    </w:div>
    <w:div w:id="1856651740">
      <w:bodyDiv w:val="1"/>
      <w:marLeft w:val="0"/>
      <w:marRight w:val="0"/>
      <w:marTop w:val="0"/>
      <w:marBottom w:val="0"/>
      <w:divBdr>
        <w:top w:val="none" w:sz="0" w:space="0" w:color="auto"/>
        <w:left w:val="none" w:sz="0" w:space="0" w:color="auto"/>
        <w:bottom w:val="none" w:sz="0" w:space="0" w:color="auto"/>
        <w:right w:val="none" w:sz="0" w:space="0" w:color="auto"/>
      </w:divBdr>
    </w:div>
    <w:div w:id="1866942006">
      <w:bodyDiv w:val="1"/>
      <w:marLeft w:val="0"/>
      <w:marRight w:val="0"/>
      <w:marTop w:val="0"/>
      <w:marBottom w:val="0"/>
      <w:divBdr>
        <w:top w:val="none" w:sz="0" w:space="0" w:color="auto"/>
        <w:left w:val="none" w:sz="0" w:space="0" w:color="auto"/>
        <w:bottom w:val="none" w:sz="0" w:space="0" w:color="auto"/>
        <w:right w:val="none" w:sz="0" w:space="0" w:color="auto"/>
      </w:divBdr>
    </w:div>
    <w:div w:id="1869103938">
      <w:bodyDiv w:val="1"/>
      <w:marLeft w:val="0"/>
      <w:marRight w:val="0"/>
      <w:marTop w:val="0"/>
      <w:marBottom w:val="0"/>
      <w:divBdr>
        <w:top w:val="none" w:sz="0" w:space="0" w:color="auto"/>
        <w:left w:val="none" w:sz="0" w:space="0" w:color="auto"/>
        <w:bottom w:val="none" w:sz="0" w:space="0" w:color="auto"/>
        <w:right w:val="none" w:sz="0" w:space="0" w:color="auto"/>
      </w:divBdr>
    </w:div>
    <w:div w:id="1898466198">
      <w:bodyDiv w:val="1"/>
      <w:marLeft w:val="0"/>
      <w:marRight w:val="0"/>
      <w:marTop w:val="0"/>
      <w:marBottom w:val="0"/>
      <w:divBdr>
        <w:top w:val="none" w:sz="0" w:space="0" w:color="auto"/>
        <w:left w:val="none" w:sz="0" w:space="0" w:color="auto"/>
        <w:bottom w:val="none" w:sz="0" w:space="0" w:color="auto"/>
        <w:right w:val="none" w:sz="0" w:space="0" w:color="auto"/>
      </w:divBdr>
    </w:div>
    <w:div w:id="1908373921">
      <w:bodyDiv w:val="1"/>
      <w:marLeft w:val="0"/>
      <w:marRight w:val="0"/>
      <w:marTop w:val="0"/>
      <w:marBottom w:val="0"/>
      <w:divBdr>
        <w:top w:val="none" w:sz="0" w:space="0" w:color="auto"/>
        <w:left w:val="none" w:sz="0" w:space="0" w:color="auto"/>
        <w:bottom w:val="none" w:sz="0" w:space="0" w:color="auto"/>
        <w:right w:val="none" w:sz="0" w:space="0" w:color="auto"/>
      </w:divBdr>
    </w:div>
    <w:div w:id="1909029353">
      <w:bodyDiv w:val="1"/>
      <w:marLeft w:val="0"/>
      <w:marRight w:val="0"/>
      <w:marTop w:val="0"/>
      <w:marBottom w:val="0"/>
      <w:divBdr>
        <w:top w:val="none" w:sz="0" w:space="0" w:color="auto"/>
        <w:left w:val="none" w:sz="0" w:space="0" w:color="auto"/>
        <w:bottom w:val="none" w:sz="0" w:space="0" w:color="auto"/>
        <w:right w:val="none" w:sz="0" w:space="0" w:color="auto"/>
      </w:divBdr>
    </w:div>
    <w:div w:id="1913344917">
      <w:bodyDiv w:val="1"/>
      <w:marLeft w:val="0"/>
      <w:marRight w:val="0"/>
      <w:marTop w:val="0"/>
      <w:marBottom w:val="0"/>
      <w:divBdr>
        <w:top w:val="none" w:sz="0" w:space="0" w:color="auto"/>
        <w:left w:val="none" w:sz="0" w:space="0" w:color="auto"/>
        <w:bottom w:val="none" w:sz="0" w:space="0" w:color="auto"/>
        <w:right w:val="none" w:sz="0" w:space="0" w:color="auto"/>
      </w:divBdr>
    </w:div>
    <w:div w:id="1918129110">
      <w:bodyDiv w:val="1"/>
      <w:marLeft w:val="0"/>
      <w:marRight w:val="0"/>
      <w:marTop w:val="0"/>
      <w:marBottom w:val="0"/>
      <w:divBdr>
        <w:top w:val="none" w:sz="0" w:space="0" w:color="auto"/>
        <w:left w:val="none" w:sz="0" w:space="0" w:color="auto"/>
        <w:bottom w:val="none" w:sz="0" w:space="0" w:color="auto"/>
        <w:right w:val="none" w:sz="0" w:space="0" w:color="auto"/>
      </w:divBdr>
    </w:div>
    <w:div w:id="1919516182">
      <w:bodyDiv w:val="1"/>
      <w:marLeft w:val="0"/>
      <w:marRight w:val="0"/>
      <w:marTop w:val="0"/>
      <w:marBottom w:val="0"/>
      <w:divBdr>
        <w:top w:val="none" w:sz="0" w:space="0" w:color="auto"/>
        <w:left w:val="none" w:sz="0" w:space="0" w:color="auto"/>
        <w:bottom w:val="none" w:sz="0" w:space="0" w:color="auto"/>
        <w:right w:val="none" w:sz="0" w:space="0" w:color="auto"/>
      </w:divBdr>
    </w:div>
    <w:div w:id="1921868440">
      <w:bodyDiv w:val="1"/>
      <w:marLeft w:val="0"/>
      <w:marRight w:val="0"/>
      <w:marTop w:val="0"/>
      <w:marBottom w:val="0"/>
      <w:divBdr>
        <w:top w:val="none" w:sz="0" w:space="0" w:color="auto"/>
        <w:left w:val="none" w:sz="0" w:space="0" w:color="auto"/>
        <w:bottom w:val="none" w:sz="0" w:space="0" w:color="auto"/>
        <w:right w:val="none" w:sz="0" w:space="0" w:color="auto"/>
      </w:divBdr>
    </w:div>
    <w:div w:id="1924490312">
      <w:bodyDiv w:val="1"/>
      <w:marLeft w:val="0"/>
      <w:marRight w:val="0"/>
      <w:marTop w:val="0"/>
      <w:marBottom w:val="0"/>
      <w:divBdr>
        <w:top w:val="none" w:sz="0" w:space="0" w:color="auto"/>
        <w:left w:val="none" w:sz="0" w:space="0" w:color="auto"/>
        <w:bottom w:val="none" w:sz="0" w:space="0" w:color="auto"/>
        <w:right w:val="none" w:sz="0" w:space="0" w:color="auto"/>
      </w:divBdr>
      <w:divsChild>
        <w:div w:id="1322464157">
          <w:marLeft w:val="0"/>
          <w:marRight w:val="0"/>
          <w:marTop w:val="0"/>
          <w:marBottom w:val="0"/>
          <w:divBdr>
            <w:top w:val="none" w:sz="0" w:space="0" w:color="auto"/>
            <w:left w:val="none" w:sz="0" w:space="0" w:color="auto"/>
            <w:bottom w:val="none" w:sz="0" w:space="0" w:color="auto"/>
            <w:right w:val="none" w:sz="0" w:space="0" w:color="auto"/>
          </w:divBdr>
          <w:divsChild>
            <w:div w:id="11403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82602">
      <w:bodyDiv w:val="1"/>
      <w:marLeft w:val="0"/>
      <w:marRight w:val="0"/>
      <w:marTop w:val="0"/>
      <w:marBottom w:val="0"/>
      <w:divBdr>
        <w:top w:val="none" w:sz="0" w:space="0" w:color="auto"/>
        <w:left w:val="none" w:sz="0" w:space="0" w:color="auto"/>
        <w:bottom w:val="none" w:sz="0" w:space="0" w:color="auto"/>
        <w:right w:val="none" w:sz="0" w:space="0" w:color="auto"/>
      </w:divBdr>
    </w:div>
    <w:div w:id="1939748394">
      <w:bodyDiv w:val="1"/>
      <w:marLeft w:val="0"/>
      <w:marRight w:val="0"/>
      <w:marTop w:val="0"/>
      <w:marBottom w:val="0"/>
      <w:divBdr>
        <w:top w:val="none" w:sz="0" w:space="0" w:color="auto"/>
        <w:left w:val="none" w:sz="0" w:space="0" w:color="auto"/>
        <w:bottom w:val="none" w:sz="0" w:space="0" w:color="auto"/>
        <w:right w:val="none" w:sz="0" w:space="0" w:color="auto"/>
      </w:divBdr>
    </w:div>
    <w:div w:id="1942177253">
      <w:bodyDiv w:val="1"/>
      <w:marLeft w:val="0"/>
      <w:marRight w:val="0"/>
      <w:marTop w:val="0"/>
      <w:marBottom w:val="0"/>
      <w:divBdr>
        <w:top w:val="none" w:sz="0" w:space="0" w:color="auto"/>
        <w:left w:val="none" w:sz="0" w:space="0" w:color="auto"/>
        <w:bottom w:val="none" w:sz="0" w:space="0" w:color="auto"/>
        <w:right w:val="none" w:sz="0" w:space="0" w:color="auto"/>
      </w:divBdr>
    </w:div>
    <w:div w:id="1987857851">
      <w:bodyDiv w:val="1"/>
      <w:marLeft w:val="0"/>
      <w:marRight w:val="0"/>
      <w:marTop w:val="0"/>
      <w:marBottom w:val="0"/>
      <w:divBdr>
        <w:top w:val="none" w:sz="0" w:space="0" w:color="auto"/>
        <w:left w:val="none" w:sz="0" w:space="0" w:color="auto"/>
        <w:bottom w:val="none" w:sz="0" w:space="0" w:color="auto"/>
        <w:right w:val="none" w:sz="0" w:space="0" w:color="auto"/>
      </w:divBdr>
    </w:div>
    <w:div w:id="1996101228">
      <w:bodyDiv w:val="1"/>
      <w:marLeft w:val="0"/>
      <w:marRight w:val="0"/>
      <w:marTop w:val="0"/>
      <w:marBottom w:val="0"/>
      <w:divBdr>
        <w:top w:val="none" w:sz="0" w:space="0" w:color="auto"/>
        <w:left w:val="none" w:sz="0" w:space="0" w:color="auto"/>
        <w:bottom w:val="none" w:sz="0" w:space="0" w:color="auto"/>
        <w:right w:val="none" w:sz="0" w:space="0" w:color="auto"/>
      </w:divBdr>
    </w:div>
    <w:div w:id="2018386519">
      <w:bodyDiv w:val="1"/>
      <w:marLeft w:val="0"/>
      <w:marRight w:val="0"/>
      <w:marTop w:val="0"/>
      <w:marBottom w:val="0"/>
      <w:divBdr>
        <w:top w:val="none" w:sz="0" w:space="0" w:color="auto"/>
        <w:left w:val="none" w:sz="0" w:space="0" w:color="auto"/>
        <w:bottom w:val="none" w:sz="0" w:space="0" w:color="auto"/>
        <w:right w:val="none" w:sz="0" w:space="0" w:color="auto"/>
      </w:divBdr>
    </w:div>
    <w:div w:id="2023895249">
      <w:bodyDiv w:val="1"/>
      <w:marLeft w:val="0"/>
      <w:marRight w:val="0"/>
      <w:marTop w:val="0"/>
      <w:marBottom w:val="0"/>
      <w:divBdr>
        <w:top w:val="none" w:sz="0" w:space="0" w:color="auto"/>
        <w:left w:val="none" w:sz="0" w:space="0" w:color="auto"/>
        <w:bottom w:val="none" w:sz="0" w:space="0" w:color="auto"/>
        <w:right w:val="none" w:sz="0" w:space="0" w:color="auto"/>
      </w:divBdr>
    </w:div>
    <w:div w:id="2025352474">
      <w:bodyDiv w:val="1"/>
      <w:marLeft w:val="0"/>
      <w:marRight w:val="0"/>
      <w:marTop w:val="0"/>
      <w:marBottom w:val="0"/>
      <w:divBdr>
        <w:top w:val="none" w:sz="0" w:space="0" w:color="auto"/>
        <w:left w:val="none" w:sz="0" w:space="0" w:color="auto"/>
        <w:bottom w:val="none" w:sz="0" w:space="0" w:color="auto"/>
        <w:right w:val="none" w:sz="0" w:space="0" w:color="auto"/>
      </w:divBdr>
    </w:div>
    <w:div w:id="2041739098">
      <w:bodyDiv w:val="1"/>
      <w:marLeft w:val="0"/>
      <w:marRight w:val="0"/>
      <w:marTop w:val="0"/>
      <w:marBottom w:val="0"/>
      <w:divBdr>
        <w:top w:val="none" w:sz="0" w:space="0" w:color="auto"/>
        <w:left w:val="none" w:sz="0" w:space="0" w:color="auto"/>
        <w:bottom w:val="none" w:sz="0" w:space="0" w:color="auto"/>
        <w:right w:val="none" w:sz="0" w:space="0" w:color="auto"/>
      </w:divBdr>
    </w:div>
    <w:div w:id="2041851521">
      <w:bodyDiv w:val="1"/>
      <w:marLeft w:val="0"/>
      <w:marRight w:val="0"/>
      <w:marTop w:val="0"/>
      <w:marBottom w:val="0"/>
      <w:divBdr>
        <w:top w:val="none" w:sz="0" w:space="0" w:color="auto"/>
        <w:left w:val="none" w:sz="0" w:space="0" w:color="auto"/>
        <w:bottom w:val="none" w:sz="0" w:space="0" w:color="auto"/>
        <w:right w:val="none" w:sz="0" w:space="0" w:color="auto"/>
      </w:divBdr>
    </w:div>
    <w:div w:id="2045475816">
      <w:bodyDiv w:val="1"/>
      <w:marLeft w:val="0"/>
      <w:marRight w:val="0"/>
      <w:marTop w:val="0"/>
      <w:marBottom w:val="0"/>
      <w:divBdr>
        <w:top w:val="none" w:sz="0" w:space="0" w:color="auto"/>
        <w:left w:val="none" w:sz="0" w:space="0" w:color="auto"/>
        <w:bottom w:val="none" w:sz="0" w:space="0" w:color="auto"/>
        <w:right w:val="none" w:sz="0" w:space="0" w:color="auto"/>
      </w:divBdr>
    </w:div>
    <w:div w:id="2054233495">
      <w:bodyDiv w:val="1"/>
      <w:marLeft w:val="0"/>
      <w:marRight w:val="0"/>
      <w:marTop w:val="0"/>
      <w:marBottom w:val="0"/>
      <w:divBdr>
        <w:top w:val="none" w:sz="0" w:space="0" w:color="auto"/>
        <w:left w:val="none" w:sz="0" w:space="0" w:color="auto"/>
        <w:bottom w:val="none" w:sz="0" w:space="0" w:color="auto"/>
        <w:right w:val="none" w:sz="0" w:space="0" w:color="auto"/>
      </w:divBdr>
    </w:div>
    <w:div w:id="2055041234">
      <w:bodyDiv w:val="1"/>
      <w:marLeft w:val="0"/>
      <w:marRight w:val="0"/>
      <w:marTop w:val="0"/>
      <w:marBottom w:val="0"/>
      <w:divBdr>
        <w:top w:val="none" w:sz="0" w:space="0" w:color="auto"/>
        <w:left w:val="none" w:sz="0" w:space="0" w:color="auto"/>
        <w:bottom w:val="none" w:sz="0" w:space="0" w:color="auto"/>
        <w:right w:val="none" w:sz="0" w:space="0" w:color="auto"/>
      </w:divBdr>
    </w:div>
    <w:div w:id="2061435656">
      <w:bodyDiv w:val="1"/>
      <w:marLeft w:val="0"/>
      <w:marRight w:val="0"/>
      <w:marTop w:val="0"/>
      <w:marBottom w:val="0"/>
      <w:divBdr>
        <w:top w:val="none" w:sz="0" w:space="0" w:color="auto"/>
        <w:left w:val="none" w:sz="0" w:space="0" w:color="auto"/>
        <w:bottom w:val="none" w:sz="0" w:space="0" w:color="auto"/>
        <w:right w:val="none" w:sz="0" w:space="0" w:color="auto"/>
      </w:divBdr>
    </w:div>
    <w:div w:id="2066904154">
      <w:bodyDiv w:val="1"/>
      <w:marLeft w:val="0"/>
      <w:marRight w:val="0"/>
      <w:marTop w:val="0"/>
      <w:marBottom w:val="0"/>
      <w:divBdr>
        <w:top w:val="none" w:sz="0" w:space="0" w:color="auto"/>
        <w:left w:val="none" w:sz="0" w:space="0" w:color="auto"/>
        <w:bottom w:val="none" w:sz="0" w:space="0" w:color="auto"/>
        <w:right w:val="none" w:sz="0" w:space="0" w:color="auto"/>
      </w:divBdr>
    </w:div>
    <w:div w:id="2089841279">
      <w:bodyDiv w:val="1"/>
      <w:marLeft w:val="0"/>
      <w:marRight w:val="0"/>
      <w:marTop w:val="0"/>
      <w:marBottom w:val="0"/>
      <w:divBdr>
        <w:top w:val="none" w:sz="0" w:space="0" w:color="auto"/>
        <w:left w:val="none" w:sz="0" w:space="0" w:color="auto"/>
        <w:bottom w:val="none" w:sz="0" w:space="0" w:color="auto"/>
        <w:right w:val="none" w:sz="0" w:space="0" w:color="auto"/>
      </w:divBdr>
    </w:div>
    <w:div w:id="2095125329">
      <w:bodyDiv w:val="1"/>
      <w:marLeft w:val="0"/>
      <w:marRight w:val="0"/>
      <w:marTop w:val="0"/>
      <w:marBottom w:val="0"/>
      <w:divBdr>
        <w:top w:val="none" w:sz="0" w:space="0" w:color="auto"/>
        <w:left w:val="none" w:sz="0" w:space="0" w:color="auto"/>
        <w:bottom w:val="none" w:sz="0" w:space="0" w:color="auto"/>
        <w:right w:val="none" w:sz="0" w:space="0" w:color="auto"/>
      </w:divBdr>
    </w:div>
    <w:div w:id="2109546131">
      <w:bodyDiv w:val="1"/>
      <w:marLeft w:val="0"/>
      <w:marRight w:val="0"/>
      <w:marTop w:val="0"/>
      <w:marBottom w:val="0"/>
      <w:divBdr>
        <w:top w:val="none" w:sz="0" w:space="0" w:color="auto"/>
        <w:left w:val="none" w:sz="0" w:space="0" w:color="auto"/>
        <w:bottom w:val="none" w:sz="0" w:space="0" w:color="auto"/>
        <w:right w:val="none" w:sz="0" w:space="0" w:color="auto"/>
      </w:divBdr>
    </w:div>
    <w:div w:id="2120179000">
      <w:bodyDiv w:val="1"/>
      <w:marLeft w:val="0"/>
      <w:marRight w:val="0"/>
      <w:marTop w:val="0"/>
      <w:marBottom w:val="0"/>
      <w:divBdr>
        <w:top w:val="none" w:sz="0" w:space="0" w:color="auto"/>
        <w:left w:val="none" w:sz="0" w:space="0" w:color="auto"/>
        <w:bottom w:val="none" w:sz="0" w:space="0" w:color="auto"/>
        <w:right w:val="none" w:sz="0" w:space="0" w:color="auto"/>
      </w:divBdr>
    </w:div>
    <w:div w:id="2125077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05F5B-28CE-4278-86D2-5314D20A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TotalTime>
  <Pages>35</Pages>
  <Words>8086</Words>
  <Characters>46094</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RSA</dc:creator>
  <cp:keywords/>
  <dc:description/>
  <cp:lastModifiedBy>RSA</cp:lastModifiedBy>
  <cp:revision>145</cp:revision>
  <cp:lastPrinted>2025-12-08T15:45:00Z</cp:lastPrinted>
  <dcterms:created xsi:type="dcterms:W3CDTF">2025-12-01T19:43:00Z</dcterms:created>
  <dcterms:modified xsi:type="dcterms:W3CDTF">2025-12-08T15:45:00Z</dcterms:modified>
</cp:coreProperties>
</file>