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C9758" w14:textId="77777777" w:rsidR="00935DF2" w:rsidRPr="00E36ED0" w:rsidRDefault="00935DF2" w:rsidP="007F17F4">
      <w:pPr>
        <w:pStyle w:val="NoSpacing"/>
        <w:spacing w:line="360" w:lineRule="auto"/>
        <w:rPr>
          <w:rFonts w:ascii="Arial" w:hAnsi="Arial" w:cs="Arial"/>
        </w:rPr>
      </w:pPr>
      <w:r w:rsidRPr="00E36ED0">
        <w:rPr>
          <w:rFonts w:ascii="Arial" w:hAnsi="Arial" w:cs="Arial"/>
        </w:rPr>
        <w:t>Student Name: Jowita Nowacka</w:t>
      </w:r>
    </w:p>
    <w:p w14:paraId="4467CB0F" w14:textId="4C1197E4" w:rsidR="00935DF2" w:rsidRPr="00E36ED0" w:rsidRDefault="00935DF2" w:rsidP="007F17F4">
      <w:pPr>
        <w:pStyle w:val="NoSpacing"/>
        <w:spacing w:line="360" w:lineRule="auto"/>
        <w:rPr>
          <w:rFonts w:ascii="Arial" w:hAnsi="Arial" w:cs="Arial"/>
        </w:rPr>
      </w:pPr>
      <w:r w:rsidRPr="00E36ED0">
        <w:rPr>
          <w:rFonts w:ascii="Arial" w:hAnsi="Arial" w:cs="Arial"/>
        </w:rPr>
        <w:t>Student ID Number: 2513429</w:t>
      </w:r>
    </w:p>
    <w:p w14:paraId="5CE5C781" w14:textId="77777777" w:rsidR="00935DF2" w:rsidRPr="00E36ED0" w:rsidRDefault="00935DF2" w:rsidP="007F17F4">
      <w:pPr>
        <w:pStyle w:val="NoSpacing"/>
        <w:spacing w:line="360" w:lineRule="auto"/>
        <w:rPr>
          <w:rFonts w:ascii="Arial" w:hAnsi="Arial" w:cs="Arial"/>
        </w:rPr>
      </w:pPr>
      <w:r w:rsidRPr="00E36ED0">
        <w:rPr>
          <w:rFonts w:ascii="Arial" w:hAnsi="Arial" w:cs="Arial"/>
        </w:rPr>
        <w:t>Module: Psychology in Health and Social Care</w:t>
      </w:r>
    </w:p>
    <w:p w14:paraId="76237D85" w14:textId="77777777" w:rsidR="00935DF2" w:rsidRPr="00E36ED0" w:rsidRDefault="00935DF2" w:rsidP="007F17F4">
      <w:pPr>
        <w:pStyle w:val="NoSpacing"/>
        <w:spacing w:line="360" w:lineRule="auto"/>
        <w:rPr>
          <w:rFonts w:ascii="Arial" w:hAnsi="Arial" w:cs="Arial"/>
        </w:rPr>
      </w:pPr>
      <w:r w:rsidRPr="00E36ED0">
        <w:rPr>
          <w:rFonts w:ascii="Arial" w:hAnsi="Arial" w:cs="Arial"/>
        </w:rPr>
        <w:t>Module Code: LCHS4010</w:t>
      </w:r>
    </w:p>
    <w:p w14:paraId="4A935977" w14:textId="08719155" w:rsidR="00935DF2" w:rsidRPr="00E36ED0" w:rsidRDefault="00935DF2" w:rsidP="007F17F4">
      <w:pPr>
        <w:pStyle w:val="NoSpacing"/>
        <w:spacing w:line="360" w:lineRule="auto"/>
        <w:rPr>
          <w:rFonts w:ascii="Arial" w:hAnsi="Arial" w:cs="Arial"/>
        </w:rPr>
      </w:pPr>
      <w:r w:rsidRPr="00E36ED0">
        <w:rPr>
          <w:rFonts w:ascii="Arial" w:hAnsi="Arial" w:cs="Arial"/>
        </w:rPr>
        <w:t xml:space="preserve">Lecturer: </w:t>
      </w:r>
      <w:r w:rsidR="00F3532C" w:rsidRPr="00E36ED0">
        <w:rPr>
          <w:rFonts w:ascii="Arial" w:hAnsi="Arial" w:cs="Arial"/>
        </w:rPr>
        <w:t>Peace</w:t>
      </w:r>
      <w:r w:rsidR="005302EA" w:rsidRPr="00E36ED0">
        <w:rPr>
          <w:rFonts w:ascii="Arial" w:hAnsi="Arial" w:cs="Arial"/>
        </w:rPr>
        <w:t xml:space="preserve"> Ukachu</w:t>
      </w:r>
      <w:r w:rsidR="006868C1" w:rsidRPr="00E36ED0">
        <w:rPr>
          <w:rFonts w:ascii="Arial" w:hAnsi="Arial" w:cs="Arial"/>
        </w:rPr>
        <w:t>kwu</w:t>
      </w:r>
    </w:p>
    <w:p w14:paraId="0894A547" w14:textId="56EE375D" w:rsidR="002816DF" w:rsidRPr="00E36ED0" w:rsidRDefault="00935DF2" w:rsidP="007F17F4">
      <w:pPr>
        <w:pStyle w:val="NoSpacing"/>
        <w:spacing w:line="360" w:lineRule="auto"/>
        <w:rPr>
          <w:rFonts w:ascii="Arial" w:hAnsi="Arial" w:cs="Arial"/>
        </w:rPr>
      </w:pPr>
      <w:r w:rsidRPr="00E36ED0">
        <w:rPr>
          <w:rFonts w:ascii="Arial" w:hAnsi="Arial" w:cs="Arial"/>
        </w:rPr>
        <w:t>Assignment Title: Component 2: Essay Discuss the impact of social media on mental health in adolescence.</w:t>
      </w:r>
      <w:r w:rsidR="00143709">
        <w:rPr>
          <w:rFonts w:ascii="Arial" w:hAnsi="Arial" w:cs="Arial"/>
        </w:rPr>
        <w:t xml:space="preserve"> </w:t>
      </w:r>
    </w:p>
    <w:p w14:paraId="70908248" w14:textId="77777777" w:rsidR="00A0623D" w:rsidRPr="00E36ED0" w:rsidRDefault="00A0623D" w:rsidP="00935DF2">
      <w:pPr>
        <w:pStyle w:val="NoSpacing"/>
        <w:rPr>
          <w:rFonts w:ascii="Arial" w:hAnsi="Arial" w:cs="Arial"/>
        </w:rPr>
      </w:pPr>
    </w:p>
    <w:p w14:paraId="0825A673" w14:textId="77777777" w:rsidR="00A0623D" w:rsidRDefault="00A0623D" w:rsidP="00935DF2">
      <w:pPr>
        <w:pStyle w:val="NoSpacing"/>
      </w:pPr>
    </w:p>
    <w:p w14:paraId="747916A8" w14:textId="77777777" w:rsidR="00A0623D" w:rsidRDefault="00A0623D" w:rsidP="00935DF2">
      <w:pPr>
        <w:pStyle w:val="NoSpacing"/>
      </w:pPr>
    </w:p>
    <w:p w14:paraId="6548AAA9" w14:textId="77777777" w:rsidR="00A0623D" w:rsidRDefault="00A0623D" w:rsidP="00935DF2">
      <w:pPr>
        <w:pStyle w:val="NoSpacing"/>
      </w:pPr>
    </w:p>
    <w:p w14:paraId="29A3C3BF" w14:textId="77777777" w:rsidR="00A0623D" w:rsidRDefault="00A0623D" w:rsidP="00935DF2">
      <w:pPr>
        <w:pStyle w:val="NoSpacing"/>
      </w:pPr>
    </w:p>
    <w:p w14:paraId="00BF1EE8" w14:textId="4A6CC4A8" w:rsidR="00397BEB" w:rsidRPr="0052348D" w:rsidRDefault="00397BEB" w:rsidP="00935DF2">
      <w:pPr>
        <w:pStyle w:val="NoSpacing"/>
        <w:rPr>
          <w:rFonts w:ascii="Arial" w:hAnsi="Arial" w:cs="Arial"/>
          <w:color w:val="000000" w:themeColor="text1"/>
          <w:sz w:val="32"/>
          <w:szCs w:val="32"/>
        </w:rPr>
      </w:pPr>
      <w:r w:rsidRPr="00397BEB">
        <w:rPr>
          <w:rFonts w:ascii="Arial" w:hAnsi="Arial" w:cs="Arial"/>
        </w:rPr>
        <w:t>​</w:t>
      </w:r>
      <w:r w:rsidRPr="0052348D">
        <w:rPr>
          <w:rFonts w:ascii="Arial" w:hAnsi="Arial" w:cs="Arial"/>
          <w:color w:val="000000" w:themeColor="text1"/>
          <w:sz w:val="32"/>
          <w:szCs w:val="32"/>
        </w:rPr>
        <w:t>Discuss the impact of social media on mental health in adolescence</w:t>
      </w:r>
    </w:p>
    <w:p w14:paraId="46274851" w14:textId="77777777" w:rsidR="000329E0" w:rsidRDefault="000329E0" w:rsidP="00935DF2">
      <w:pPr>
        <w:pStyle w:val="NoSpacing"/>
        <w:rPr>
          <w:color w:val="000000" w:themeColor="text1"/>
          <w:sz w:val="32"/>
          <w:szCs w:val="32"/>
        </w:rPr>
      </w:pPr>
    </w:p>
    <w:p w14:paraId="73AD4AE9" w14:textId="77777777" w:rsidR="000329E0" w:rsidRDefault="000329E0" w:rsidP="00935DF2">
      <w:pPr>
        <w:pStyle w:val="NoSpacing"/>
        <w:rPr>
          <w:color w:val="000000" w:themeColor="text1"/>
          <w:sz w:val="32"/>
          <w:szCs w:val="32"/>
        </w:rPr>
      </w:pPr>
    </w:p>
    <w:p w14:paraId="5AC0473F" w14:textId="77777777" w:rsidR="007A0271" w:rsidRPr="001625AB" w:rsidRDefault="007A0271" w:rsidP="007F17F4">
      <w:pPr>
        <w:pStyle w:val="NoSpacing"/>
        <w:spacing w:line="360" w:lineRule="auto"/>
        <w:rPr>
          <w:rFonts w:ascii="Arial" w:hAnsi="Arial" w:cs="Arial"/>
        </w:rPr>
      </w:pPr>
      <w:r>
        <w:rPr>
          <w:rFonts w:ascii="Arial" w:hAnsi="Arial" w:cs="Arial"/>
        </w:rPr>
        <w:t>​</w:t>
      </w:r>
      <w:r w:rsidRPr="001625AB">
        <w:rPr>
          <w:rFonts w:ascii="Arial" w:hAnsi="Arial" w:cs="Arial"/>
        </w:rPr>
        <w:t>Social media platforms have fundamentally reshaped the ecosystem of adolescent communication, identity negotiation, and peer engagement over the past decade. While these digital environments offer unprecedented opportunities for creative self-expression, identity exploration, and community building, a growing body of empirical research highlights their potential to compromise young people's psychological well-being. Increased rates of internalising symptoms, such as anxiety, depression, social distress, and diminished self-esteem, are frequently observed alongside heavy digital engagement. However, the psychological consequences of social media are neither uniform nor purely negative. To evaluate these complex outcomes critically, digital behaviours must be examined through robust developmental psychology frameworks. This essay analyses the impact of social media on adolescent mental health by applying Erik Erikson’s theory of psychosocial development alongside John Bowlby’s attachment theory. By integrating these lifespan theories with contemporary empirical research, this discussion explores how online dynamics intersect with adolescent developmental vulnerabilities and details practical, evidence-informed interventions for health and social care practice.</w:t>
      </w:r>
    </w:p>
    <w:p w14:paraId="34579A6C" w14:textId="77777777" w:rsidR="0028697A" w:rsidRDefault="007A0271" w:rsidP="007F17F4">
      <w:pPr>
        <w:pStyle w:val="NoSpacing"/>
        <w:spacing w:line="360" w:lineRule="auto"/>
        <w:rPr>
          <w:rFonts w:ascii="Arial" w:hAnsi="Arial" w:cs="Arial"/>
        </w:rPr>
      </w:pPr>
      <w:r>
        <w:rPr>
          <w:rFonts w:ascii="Arial" w:hAnsi="Arial" w:cs="Arial"/>
        </w:rPr>
        <w:t>​</w:t>
      </w:r>
      <w:r w:rsidRPr="001625AB">
        <w:rPr>
          <w:rFonts w:ascii="Arial" w:hAnsi="Arial" w:cs="Arial"/>
        </w:rPr>
        <w:t>Adolescence represents a distinct developmental period</w:t>
      </w:r>
      <w:r w:rsidR="00697514" w:rsidRPr="001625AB">
        <w:rPr>
          <w:rFonts w:ascii="Arial" w:hAnsi="Arial" w:cs="Arial"/>
        </w:rPr>
        <w:t xml:space="preserve"> </w:t>
      </w:r>
      <w:r w:rsidR="007F5213" w:rsidRPr="001625AB">
        <w:rPr>
          <w:rFonts w:ascii="Arial" w:hAnsi="Arial" w:cs="Arial"/>
        </w:rPr>
        <w:t xml:space="preserve">characterised by profound neurological, social, and emotional transformations, alongside a heightened sensitivity to peer evaluation and social standing. Social media environments magnify these inherent developmental vulnerabilities through distinct psychological mechanisms, most notably upward social comparison, cyberbullying, and the fear of missing out (FOMO). Empirical studies demonstrate significant associations between high levels of screen time and </w:t>
      </w:r>
    </w:p>
    <w:p w14:paraId="70F9D1C4" w14:textId="1FCC021E" w:rsidR="007F5213" w:rsidRPr="001625AB" w:rsidRDefault="0028697A" w:rsidP="007F17F4">
      <w:pPr>
        <w:pStyle w:val="NoSpacing"/>
        <w:spacing w:line="360" w:lineRule="auto"/>
        <w:rPr>
          <w:rFonts w:ascii="Arial" w:hAnsi="Arial" w:cs="Arial"/>
        </w:rPr>
      </w:pPr>
      <w:r>
        <w:rPr>
          <w:rFonts w:ascii="Arial" w:hAnsi="Arial" w:cs="Arial"/>
        </w:rPr>
        <w:lastRenderedPageBreak/>
        <w:t xml:space="preserve"> </w:t>
      </w:r>
      <w:r w:rsidR="007F5213" w:rsidRPr="001625AB">
        <w:rPr>
          <w:rFonts w:ascii="Arial" w:hAnsi="Arial" w:cs="Arial"/>
        </w:rPr>
        <w:t>psychological distress. For instance, Twenge and Campbell (2018) reported an association between higher levels of screen time and lower psychological well-being among children and adolescents. Furthermore, a major systematic review and meta-analysis of over one million adolescents by Fassi et al. (2024) found a positive association between social media use and internalising symptoms in both community and clinical samples, although the authors highlighted important gaps in the evidence base.</w:t>
      </w:r>
    </w:p>
    <w:p w14:paraId="72F73FB5" w14:textId="3B500AC5" w:rsidR="002947F6" w:rsidRPr="001625AB" w:rsidRDefault="007F5213" w:rsidP="007F17F4">
      <w:pPr>
        <w:pStyle w:val="NoSpacing"/>
        <w:spacing w:line="360" w:lineRule="auto"/>
        <w:rPr>
          <w:rFonts w:ascii="Arial" w:hAnsi="Arial" w:cs="Arial"/>
        </w:rPr>
      </w:pPr>
      <w:r w:rsidRPr="001625AB">
        <w:rPr>
          <w:rFonts w:ascii="Arial" w:hAnsi="Arial" w:cs="Arial"/>
        </w:rPr>
        <w:t>​Exposure to highly curated, idealized peer representations encourages upward social comparison. While early foundational studies on social networking sites by Vogel et al. (2014) demonstrated this dynamic primarily within undergraduate adult samples, subsequent youth-focused research confirms its acute relevance to adolescents. Specifically, Nesi and Prinstein (2015)</w:t>
      </w:r>
      <w:r w:rsidR="002947F6" w:rsidRPr="001625AB">
        <w:rPr>
          <w:rFonts w:ascii="Arial" w:hAnsi="Arial" w:cs="Arial"/>
        </w:rPr>
        <w:t xml:space="preserve"> found that social comparison and feedback-seeking behaviours on social media were associated with depressive symptoms among adolescents, with particularly pronounced effects observed among female participants and youth experiencing lower peer popularity.</w:t>
      </w:r>
    </w:p>
    <w:p w14:paraId="2D5A53A4" w14:textId="5052FDFD" w:rsidR="00DF719C" w:rsidRPr="00C52864" w:rsidRDefault="002947F6" w:rsidP="007F17F4">
      <w:pPr>
        <w:pStyle w:val="NoSpacing"/>
        <w:spacing w:line="360" w:lineRule="auto"/>
        <w:rPr>
          <w:rFonts w:ascii="Arial" w:hAnsi="Arial" w:cs="Arial"/>
        </w:rPr>
      </w:pPr>
      <w:r>
        <w:rPr>
          <w:rFonts w:ascii="Arial" w:hAnsi="Arial" w:cs="Arial"/>
        </w:rPr>
        <w:t>​</w:t>
      </w:r>
      <w:r w:rsidRPr="00C52864">
        <w:rPr>
          <w:rFonts w:ascii="Arial" w:hAnsi="Arial" w:cs="Arial"/>
        </w:rPr>
        <w:t>Nevertheless, an objective evaluation requires recognising that social media’s impact is contingent on individual and environmental factors rather than being universally detrimental. A systematic narrative review by Best, Manktelow, and Taylor (2014) emphasised that digital platforms can offer vital social support, enhance social capital, and foster a sense of belonging among marginalised youth who struggle to find peer validation in their immediate offline environments. Modern public health advisories, such as the U.S. Surgeon General’s Advisory on</w:t>
      </w:r>
      <w:r w:rsidR="00DE2FEA" w:rsidRPr="00C52864">
        <w:rPr>
          <w:rFonts w:ascii="Arial" w:hAnsi="Arial" w:cs="Arial"/>
        </w:rPr>
        <w:t xml:space="preserve"> </w:t>
      </w:r>
      <w:r w:rsidR="00DF719C" w:rsidRPr="00C52864">
        <w:rPr>
          <w:rFonts w:ascii="Arial" w:hAnsi="Arial" w:cs="Arial"/>
        </w:rPr>
        <w:t>Social Media and Youth Mental Health (U.S. Department of Health and Human Services, 2023), similarly affirm that while social media poses significant risks of harm, it also serves as a crucial space for identity expression and peer connection. Thus, social media functions as a double-edged sword; its psychological effects depend on how digital interactions interact with an individual adolescent's underlying developmental stage and relational security.</w:t>
      </w:r>
    </w:p>
    <w:p w14:paraId="1D5FCC1A" w14:textId="6AAA665C" w:rsidR="007E6443" w:rsidRPr="00C52864" w:rsidRDefault="00DF719C" w:rsidP="007F17F4">
      <w:pPr>
        <w:pStyle w:val="NoSpacing"/>
        <w:spacing w:line="360" w:lineRule="auto"/>
        <w:rPr>
          <w:rFonts w:ascii="Arial" w:hAnsi="Arial" w:cs="Arial"/>
        </w:rPr>
      </w:pPr>
      <w:r w:rsidRPr="00C52864">
        <w:rPr>
          <w:rFonts w:ascii="Arial" w:hAnsi="Arial" w:cs="Arial"/>
        </w:rPr>
        <w:t>​Erik Erikson’s theory of psychosocial development offers a highly relevant theoretical framework for interpreting these digital dynamics. Erikson posited that the central developmental task of adolescence is resolving the stage of Identity versus Role Confusion, wherein individuals experiment with various roles, values, and social identities to construct a coherent sense of self (Erikson, 1968). In the contemporary context, social media can provide a persistent arena for identity experimentation. Adolescents curate public profiles, test self-presentations, and monitor peer feedback in the form of likes, comments, and shares to gauge their social acceptability. When digital feedback is positive, it can temporarily bolster self-worth and affirm developing identity commitments. However, an over-reliance on quantifiable, external validation often fosters a fragile, fragmented identity that remains excessively dependent</w:t>
      </w:r>
      <w:r w:rsidR="00363780" w:rsidRPr="00C52864">
        <w:rPr>
          <w:rFonts w:ascii="Arial" w:hAnsi="Arial" w:cs="Arial"/>
        </w:rPr>
        <w:t xml:space="preserve"> </w:t>
      </w:r>
      <w:r w:rsidR="007E6443" w:rsidRPr="00C52864">
        <w:rPr>
          <w:rFonts w:ascii="Arial" w:hAnsi="Arial" w:cs="Arial"/>
        </w:rPr>
        <w:t xml:space="preserve">on peer approval. Furthermore, experiencing online rejection </w:t>
      </w:r>
      <w:r w:rsidR="007E6443" w:rsidRPr="00C52864">
        <w:rPr>
          <w:rFonts w:ascii="Arial" w:hAnsi="Arial" w:cs="Arial"/>
        </w:rPr>
        <w:lastRenderedPageBreak/>
        <w:t>or cyberbullying during this sensitive phase heightens the risk of role confusion, leading to social withdrawal and identity distress.</w:t>
      </w:r>
    </w:p>
    <w:p w14:paraId="7F25B811" w14:textId="67DE0D02" w:rsidR="007E6443" w:rsidRPr="00672512" w:rsidRDefault="007E6443" w:rsidP="007F17F4">
      <w:pPr>
        <w:pStyle w:val="NoSpacing"/>
        <w:spacing w:line="360" w:lineRule="auto"/>
        <w:rPr>
          <w:rFonts w:ascii="Arial" w:hAnsi="Arial" w:cs="Arial"/>
        </w:rPr>
      </w:pPr>
      <w:r w:rsidRPr="00C52864">
        <w:rPr>
          <w:rFonts w:ascii="Arial" w:hAnsi="Arial" w:cs="Arial"/>
        </w:rPr>
        <w:t>​While Erikson’s model possesses clear usefulness in explaining why adolescents are intensely motivated to seek peer validation online, it also exhibits structural limitations when applied to modern digital spaces. Conceived prior to the emergence of digital communications, Erikson’s theory does not explicitly account for the relentless, permanent, and algorithmically driven nature of contemporary digital platforms. Digital platforms can instead expose adolescents to persistent and potentially public peer evaluation, while previous self</w:t>
      </w:r>
      <w:r w:rsidR="00A22456">
        <w:rPr>
          <w:rFonts w:ascii="Arial" w:hAnsi="Arial" w:cs="Arial"/>
        </w:rPr>
        <w:t xml:space="preserve">- </w:t>
      </w:r>
      <w:r w:rsidRPr="00C52864">
        <w:rPr>
          <w:rFonts w:ascii="Arial" w:hAnsi="Arial" w:cs="Arial"/>
        </w:rPr>
        <w:t xml:space="preserve">expressions may </w:t>
      </w:r>
      <w:r w:rsidRPr="00672512">
        <w:rPr>
          <w:rFonts w:ascii="Arial" w:hAnsi="Arial" w:cs="Arial"/>
        </w:rPr>
        <w:t>remain accessible for extended periods.</w:t>
      </w:r>
    </w:p>
    <w:p w14:paraId="77D0A754" w14:textId="3D9D5D7C" w:rsidR="0052408D" w:rsidRPr="00672512" w:rsidRDefault="007E6443" w:rsidP="007F17F4">
      <w:pPr>
        <w:pStyle w:val="NoSpacing"/>
        <w:spacing w:line="360" w:lineRule="auto"/>
        <w:rPr>
          <w:rFonts w:ascii="Arial" w:hAnsi="Arial" w:cs="Arial"/>
        </w:rPr>
      </w:pPr>
      <w:r w:rsidRPr="00672512">
        <w:rPr>
          <w:rFonts w:ascii="Arial" w:hAnsi="Arial" w:cs="Arial"/>
        </w:rPr>
        <w:t>​Complementing Erikson’s structural focus on identity, John Bowlby’s attachment theory provides vital insights into the emotional security and relational behaviours of adolescents online. Bowlby proposed that early interactions with primary caregivers shape internal working models</w:t>
      </w:r>
      <w:r w:rsidR="00BA72CB">
        <w:rPr>
          <w:rFonts w:ascii="Arial" w:hAnsi="Arial" w:cs="Arial"/>
        </w:rPr>
        <w:t xml:space="preserve"> </w:t>
      </w:r>
      <w:r w:rsidRPr="00672512">
        <w:rPr>
          <w:rFonts w:ascii="Arial" w:hAnsi="Arial" w:cs="Arial"/>
        </w:rPr>
        <w:t>cognitive representations of self and others that guide interpersonal relationships throughout life (Bowlby, 1982). During adolescence, relationships with peers become increasingly important alongside continuing attachment relationships with parents, as young people seek sources of a "safe haven" and</w:t>
      </w:r>
      <w:r w:rsidR="0052408D" w:rsidRPr="00672512">
        <w:rPr>
          <w:rFonts w:ascii="Arial" w:hAnsi="Arial" w:cs="Arial"/>
        </w:rPr>
        <w:t>"</w:t>
      </w:r>
      <w:r w:rsidR="00EC5104" w:rsidRPr="00672512">
        <w:rPr>
          <w:rFonts w:ascii="Arial" w:hAnsi="Arial" w:cs="Arial"/>
        </w:rPr>
        <w:t xml:space="preserve"> </w:t>
      </w:r>
      <w:r w:rsidR="0052408D" w:rsidRPr="00672512">
        <w:rPr>
          <w:rFonts w:ascii="Arial" w:hAnsi="Arial" w:cs="Arial"/>
        </w:rPr>
        <w:t>secure base" within important relationships (Bowlby, 1982; Armsden and Greenberg, 1987). Social media facilitates continuous connectivity with these peer attachment figures. However, digital communication may lack some of the non-verbal cues, emotional depth, and physical co-presence that can contribute to attachment security. Consequently, adolescents with insecure attachment patterns may be at greater risk of digital distress. Those with anxious attachment styles may engage in hyper-vigilant online behaviours, compulsively checking messages to ward off perceived rejection and experiencing intense anxiety when responses are delayed. By contrast, adolescents with avoidant attachment tendencies may show lower levels of online engagement or openness, although evidence for these patterns in adolescent populations remains limited.</w:t>
      </w:r>
    </w:p>
    <w:p w14:paraId="20CBAB5C" w14:textId="405D7FFF" w:rsidR="00E3662A" w:rsidRPr="00911BCE" w:rsidRDefault="0052408D" w:rsidP="007F17F4">
      <w:pPr>
        <w:pStyle w:val="NoSpacing"/>
        <w:spacing w:line="360" w:lineRule="auto"/>
        <w:rPr>
          <w:rFonts w:ascii="Arial" w:hAnsi="Arial" w:cs="Arial"/>
        </w:rPr>
      </w:pPr>
      <w:r w:rsidRPr="00672512">
        <w:rPr>
          <w:rFonts w:ascii="Arial" w:hAnsi="Arial" w:cs="Arial"/>
        </w:rPr>
        <w:t>​Evaluating the evidence supporting attachment theory in digital spaces requires critical methodological nuance. While foundational research on digital attachment behaviours, such as Ol</w:t>
      </w:r>
      <w:r w:rsidR="00F147E0">
        <w:rPr>
          <w:rFonts w:ascii="Arial" w:hAnsi="Arial" w:cs="Arial"/>
        </w:rPr>
        <w:t>d</w:t>
      </w:r>
      <w:r w:rsidRPr="00672512">
        <w:rPr>
          <w:rFonts w:ascii="Arial" w:hAnsi="Arial" w:cs="Arial"/>
        </w:rPr>
        <w:t xml:space="preserve">meadow, Quinn, and Kowert </w:t>
      </w:r>
      <w:r w:rsidR="003D3986" w:rsidRPr="00672512">
        <w:rPr>
          <w:rFonts w:ascii="Arial" w:hAnsi="Arial" w:cs="Arial"/>
        </w:rPr>
        <w:t>(</w:t>
      </w:r>
      <w:r w:rsidRPr="00672512">
        <w:rPr>
          <w:rFonts w:ascii="Arial" w:hAnsi="Arial" w:cs="Arial"/>
        </w:rPr>
        <w:t>2013</w:t>
      </w:r>
      <w:r w:rsidR="003D3986" w:rsidRPr="00672512">
        <w:rPr>
          <w:rFonts w:ascii="Arial" w:hAnsi="Arial" w:cs="Arial"/>
        </w:rPr>
        <w:t>)</w:t>
      </w:r>
      <w:r w:rsidRPr="00672512">
        <w:rPr>
          <w:rFonts w:ascii="Arial" w:hAnsi="Arial" w:cs="Arial"/>
        </w:rPr>
        <w:t xml:space="preserve">, provided valuable insights into how attachment styles influence social platform usage, these early studies examined adult populations, </w:t>
      </w:r>
      <w:r w:rsidRPr="00A22456">
        <w:rPr>
          <w:rFonts w:ascii="Arial" w:hAnsi="Arial" w:cs="Arial"/>
        </w:rPr>
        <w:t>limiting their direct generalizability to adolescents. More recent research specifically focused on adolescents, such as Ekinci and Akat (2023), found associations between anxious-</w:t>
      </w:r>
      <w:r w:rsidRPr="00911BCE">
        <w:rPr>
          <w:rFonts w:ascii="Arial" w:hAnsi="Arial" w:cs="Arial"/>
        </w:rPr>
        <w:t>ambivalent</w:t>
      </w:r>
      <w:r w:rsidR="003A59CC" w:rsidRPr="00911BCE">
        <w:rPr>
          <w:rFonts w:ascii="Arial" w:hAnsi="Arial" w:cs="Arial"/>
        </w:rPr>
        <w:t xml:space="preserve"> </w:t>
      </w:r>
      <w:r w:rsidR="00E3662A" w:rsidRPr="00911BCE">
        <w:rPr>
          <w:rFonts w:ascii="Arial" w:hAnsi="Arial" w:cs="Arial"/>
        </w:rPr>
        <w:t xml:space="preserve">attachment, social appearance anxiety, and Instagram addiction, highlighting the importance of relational and individual factors in adolescents’ social media experiences. Nevertheless, a broader theoretical limitation of Bowlby's framework in this context is its tendency to focus predominantly on early relational history, sometimes underestimating </w:t>
      </w:r>
      <w:r w:rsidR="00E3662A" w:rsidRPr="00911BCE">
        <w:rPr>
          <w:rFonts w:ascii="Arial" w:hAnsi="Arial" w:cs="Arial"/>
        </w:rPr>
        <w:lastRenderedPageBreak/>
        <w:t>powerful soci</w:t>
      </w:r>
      <w:r w:rsidR="003A2B10">
        <w:rPr>
          <w:rFonts w:ascii="Arial" w:hAnsi="Arial" w:cs="Arial"/>
        </w:rPr>
        <w:t>o - c</w:t>
      </w:r>
      <w:r w:rsidR="00E3662A" w:rsidRPr="00911BCE">
        <w:rPr>
          <w:rFonts w:ascii="Arial" w:hAnsi="Arial" w:cs="Arial"/>
        </w:rPr>
        <w:t>ultural, environmental and platform</w:t>
      </w:r>
      <w:r w:rsidR="00EC23E6">
        <w:rPr>
          <w:rFonts w:ascii="Arial" w:hAnsi="Arial" w:cs="Arial"/>
        </w:rPr>
        <w:t xml:space="preserve"> - </w:t>
      </w:r>
      <w:r w:rsidR="00E3662A" w:rsidRPr="00911BCE">
        <w:rPr>
          <w:rFonts w:ascii="Arial" w:hAnsi="Arial" w:cs="Arial"/>
        </w:rPr>
        <w:t>related factors that shape adolescent digital habits regardless of their underlying attachment security.</w:t>
      </w:r>
    </w:p>
    <w:p w14:paraId="4079B2AD" w14:textId="5488A063" w:rsidR="00E3662A" w:rsidRPr="00911BCE" w:rsidRDefault="00E3662A" w:rsidP="007F17F4">
      <w:pPr>
        <w:pStyle w:val="NoSpacing"/>
        <w:spacing w:line="360" w:lineRule="auto"/>
        <w:rPr>
          <w:rFonts w:ascii="Arial" w:hAnsi="Arial" w:cs="Arial"/>
        </w:rPr>
      </w:pPr>
      <w:r w:rsidRPr="00911BCE">
        <w:rPr>
          <w:rFonts w:ascii="Arial" w:hAnsi="Arial" w:cs="Arial"/>
        </w:rPr>
        <w:t>​Integrating Erikson’s and Bowlby’s theories demonstrates that social media does not impact young people in a vacuum; rather, it interacts dynamically with identity formation and relational security. Erikson highlights what adolescents are striving to achieve online (identity consolidation and social recognition), while Bowlby clarifies how they navigate digital relationships based on internal emotional security. Together, these theories suggest that the psychological effects of social media may interact with pre</w:t>
      </w:r>
      <w:r w:rsidR="006919F4" w:rsidRPr="00911BCE">
        <w:rPr>
          <w:rFonts w:ascii="Arial" w:hAnsi="Arial" w:cs="Arial"/>
        </w:rPr>
        <w:t>-</w:t>
      </w:r>
      <w:r w:rsidRPr="00911BCE">
        <w:rPr>
          <w:rFonts w:ascii="Arial" w:hAnsi="Arial" w:cs="Arial"/>
        </w:rPr>
        <w:t>existing developmental vulnerabilities rather than operating independently of them.</w:t>
      </w:r>
    </w:p>
    <w:p w14:paraId="524FBC3D" w14:textId="243E4623" w:rsidR="00C50A7B" w:rsidRPr="00911BCE" w:rsidRDefault="00E3662A" w:rsidP="007F17F4">
      <w:pPr>
        <w:pStyle w:val="NoSpacing"/>
        <w:spacing w:line="360" w:lineRule="auto"/>
        <w:rPr>
          <w:rFonts w:ascii="Arial" w:hAnsi="Arial" w:cs="Arial"/>
        </w:rPr>
      </w:pPr>
      <w:r w:rsidRPr="00911BCE">
        <w:rPr>
          <w:rFonts w:ascii="Arial" w:hAnsi="Arial" w:cs="Arial"/>
        </w:rPr>
        <w:t>​For health and social care practitioners working in youth services, schools, and mental health settings, these theoretical insights provide a strong foundation for practical, evidence-informed interventions. Rather than relying on blanket</w:t>
      </w:r>
      <w:r w:rsidR="00C860DE" w:rsidRPr="00911BCE">
        <w:rPr>
          <w:rFonts w:ascii="Arial" w:hAnsi="Arial" w:cs="Arial"/>
        </w:rPr>
        <w:t xml:space="preserve"> </w:t>
      </w:r>
      <w:r w:rsidR="00C50A7B" w:rsidRPr="00911BCE">
        <w:rPr>
          <w:rFonts w:ascii="Arial" w:hAnsi="Arial" w:cs="Arial"/>
        </w:rPr>
        <w:t>restrictions based solely on time spent online, practitioners should implement targeted strategies that enhance digital literacy and emotional resilience. Utilizing Erikson’s framework, practitioners can help adolescents decouple their self-concept from quantifiable online metrics, guiding them toward offline activities that build authentic self</w:t>
      </w:r>
      <w:r w:rsidR="00EC23E6">
        <w:rPr>
          <w:rFonts w:ascii="Arial" w:hAnsi="Arial" w:cs="Arial"/>
        </w:rPr>
        <w:t xml:space="preserve"> - </w:t>
      </w:r>
      <w:r w:rsidR="00C50A7B" w:rsidRPr="00911BCE">
        <w:rPr>
          <w:rFonts w:ascii="Arial" w:hAnsi="Arial" w:cs="Arial"/>
        </w:rPr>
        <w:t>esteem and stable identity boundaries. Applying Bowlby’s attachment concepts, social care workers can explore young people's broader relational patterns to understand whether compulsive social media use reflects underlying fears of abandonment or social isolation.</w:t>
      </w:r>
    </w:p>
    <w:p w14:paraId="0744A6B9" w14:textId="7F8FBEC9" w:rsidR="0012214C" w:rsidRDefault="00C50A7B" w:rsidP="007F17F4">
      <w:pPr>
        <w:pStyle w:val="NoSpacing"/>
        <w:spacing w:line="360" w:lineRule="auto"/>
        <w:rPr>
          <w:rFonts w:ascii="Arial" w:hAnsi="Arial" w:cs="Arial"/>
        </w:rPr>
      </w:pPr>
      <w:r w:rsidRPr="00911BCE">
        <w:rPr>
          <w:rFonts w:ascii="Arial" w:hAnsi="Arial" w:cs="Arial"/>
        </w:rPr>
        <w:t>​Practitioners can also facilitate parent</w:t>
      </w:r>
      <w:r w:rsidR="00EC23E6">
        <w:rPr>
          <w:rFonts w:ascii="Arial" w:hAnsi="Arial" w:cs="Arial"/>
        </w:rPr>
        <w:t xml:space="preserve"> </w:t>
      </w:r>
      <w:r w:rsidRPr="00911BCE">
        <w:rPr>
          <w:rFonts w:ascii="Arial" w:hAnsi="Arial" w:cs="Arial"/>
        </w:rPr>
        <w:t xml:space="preserve">child communication workshops to strengthen offline attachment security, providing young people with a genuine "secure base" at home so they rely less on superficial digital validation. Furthermore, professionals in healthcare and educational settings should consider assessing not only the quantity of social media use but also the qualitative nature of digital engagement </w:t>
      </w:r>
      <w:r w:rsidR="00296777">
        <w:rPr>
          <w:rFonts w:ascii="Arial" w:hAnsi="Arial" w:cs="Arial"/>
        </w:rPr>
        <w:t>(</w:t>
      </w:r>
      <w:r w:rsidRPr="00911BCE">
        <w:rPr>
          <w:rFonts w:ascii="Arial" w:hAnsi="Arial" w:cs="Arial"/>
        </w:rPr>
        <w:t>e.g., social comparison, exposure to cyberbullying, feedback-seeking and problematic use</w:t>
      </w:r>
      <w:r w:rsidR="00296777">
        <w:rPr>
          <w:rFonts w:ascii="Arial" w:hAnsi="Arial" w:cs="Arial"/>
        </w:rPr>
        <w:t>)</w:t>
      </w:r>
      <w:r w:rsidRPr="00911BCE">
        <w:rPr>
          <w:rFonts w:ascii="Arial" w:hAnsi="Arial" w:cs="Arial"/>
        </w:rPr>
        <w:t xml:space="preserve"> alongside peer relationships and safeguarding considerations. Differentiating between normative, protective digital engagement and problematic, compulsive usage enables practitioners to deliver individualized support tailored to each adolescent's developmental needs. This holistic approach</w:t>
      </w:r>
      <w:r w:rsidR="00C860DE" w:rsidRPr="00911BCE">
        <w:rPr>
          <w:rFonts w:ascii="Arial" w:hAnsi="Arial" w:cs="Arial"/>
        </w:rPr>
        <w:t xml:space="preserve"> </w:t>
      </w:r>
      <w:r w:rsidR="0012214C" w:rsidRPr="00911BCE">
        <w:rPr>
          <w:rFonts w:ascii="Arial" w:hAnsi="Arial" w:cs="Arial"/>
        </w:rPr>
        <w:t>ensures that early identification strategies effectively address systemic and relational stressors before severe psychological distress emerges.</w:t>
      </w:r>
    </w:p>
    <w:p w14:paraId="0FFCF163" w14:textId="77777777" w:rsidR="007B7B39" w:rsidRPr="00911BCE" w:rsidRDefault="007B7B39" w:rsidP="007F17F4">
      <w:pPr>
        <w:pStyle w:val="NoSpacing"/>
        <w:spacing w:line="360" w:lineRule="auto"/>
        <w:rPr>
          <w:rFonts w:ascii="Arial" w:hAnsi="Arial" w:cs="Arial"/>
        </w:rPr>
      </w:pPr>
    </w:p>
    <w:p w14:paraId="0AECDF70" w14:textId="77777777" w:rsidR="0034104B" w:rsidRDefault="0012214C" w:rsidP="001E51FF">
      <w:pPr>
        <w:pStyle w:val="NoSpacing"/>
        <w:spacing w:line="360" w:lineRule="auto"/>
        <w:rPr>
          <w:rFonts w:ascii="Arial" w:hAnsi="Arial" w:cs="Arial"/>
        </w:rPr>
      </w:pPr>
      <w:r w:rsidRPr="00911BCE">
        <w:rPr>
          <w:rFonts w:ascii="Arial" w:hAnsi="Arial" w:cs="Arial"/>
        </w:rPr>
        <w:t>​</w:t>
      </w:r>
    </w:p>
    <w:p w14:paraId="294E1143" w14:textId="77777777" w:rsidR="0034104B" w:rsidRDefault="0034104B" w:rsidP="001E51FF">
      <w:pPr>
        <w:pStyle w:val="NoSpacing"/>
        <w:spacing w:line="360" w:lineRule="auto"/>
        <w:rPr>
          <w:rFonts w:ascii="Arial" w:hAnsi="Arial" w:cs="Arial"/>
        </w:rPr>
      </w:pPr>
    </w:p>
    <w:p w14:paraId="14888C41" w14:textId="77777777" w:rsidR="0034104B" w:rsidRDefault="0034104B" w:rsidP="001E51FF">
      <w:pPr>
        <w:pStyle w:val="NoSpacing"/>
        <w:spacing w:line="360" w:lineRule="auto"/>
        <w:rPr>
          <w:rFonts w:ascii="Arial" w:hAnsi="Arial" w:cs="Arial"/>
        </w:rPr>
      </w:pPr>
    </w:p>
    <w:p w14:paraId="292D816D" w14:textId="77777777" w:rsidR="0034104B" w:rsidRDefault="0034104B" w:rsidP="001E51FF">
      <w:pPr>
        <w:pStyle w:val="NoSpacing"/>
        <w:spacing w:line="360" w:lineRule="auto"/>
        <w:rPr>
          <w:rFonts w:ascii="Arial" w:hAnsi="Arial" w:cs="Arial"/>
        </w:rPr>
      </w:pPr>
    </w:p>
    <w:p w14:paraId="73980E27" w14:textId="77777777" w:rsidR="0034104B" w:rsidRDefault="0034104B" w:rsidP="001E51FF">
      <w:pPr>
        <w:pStyle w:val="NoSpacing"/>
        <w:spacing w:line="360" w:lineRule="auto"/>
        <w:rPr>
          <w:rFonts w:ascii="Arial" w:hAnsi="Arial" w:cs="Arial"/>
        </w:rPr>
      </w:pPr>
    </w:p>
    <w:p w14:paraId="6FBCCE89" w14:textId="7C5F0BCB" w:rsidR="0012214C" w:rsidRDefault="0012214C" w:rsidP="007F17F4">
      <w:pPr>
        <w:pStyle w:val="NoSpacing"/>
        <w:spacing w:line="360" w:lineRule="auto"/>
        <w:rPr>
          <w:rFonts w:ascii="Arial" w:hAnsi="Arial" w:cs="Arial"/>
        </w:rPr>
      </w:pPr>
      <w:r w:rsidRPr="00911BCE">
        <w:rPr>
          <w:rFonts w:ascii="Arial" w:hAnsi="Arial" w:cs="Arial"/>
        </w:rPr>
        <w:lastRenderedPageBreak/>
        <w:t>In conclusion, social media exerts a complex, multifaceted influence on adolescent mental health, offering substantial opportunities for connection while presenting real risks to psychological well</w:t>
      </w:r>
      <w:r w:rsidR="006D0B71">
        <w:rPr>
          <w:rFonts w:ascii="Arial" w:hAnsi="Arial" w:cs="Arial"/>
        </w:rPr>
        <w:t>-</w:t>
      </w:r>
      <w:r w:rsidR="00296777">
        <w:rPr>
          <w:rFonts w:ascii="Arial" w:hAnsi="Arial" w:cs="Arial"/>
        </w:rPr>
        <w:t xml:space="preserve"> </w:t>
      </w:r>
      <w:r w:rsidRPr="00911BCE">
        <w:rPr>
          <w:rFonts w:ascii="Arial" w:hAnsi="Arial" w:cs="Arial"/>
        </w:rPr>
        <w:t>being. Applying Erikson’s theory of psychosocial development illustrates how digital environments reshape identity consolidation, frequently shifting the balance from internal self-reflection towards external, quantifiable peer approval. Concurrently, Bowlby’s attachment theory explains why young people seek constant connectivity and why those with insecure attachment patterns may experience heightened vulnerability to digital anxiety and social isolation. Recognising both the utility and limitations of these lifespan theories enables health and social care professionals to design nuanced, practical interventions that promote digital resilience, strengthen real-world relationships, and support healthy adolescent development within an increasingly digitised world.</w:t>
      </w:r>
    </w:p>
    <w:p w14:paraId="3331591D" w14:textId="77777777" w:rsidR="00EA1122" w:rsidRPr="00911BCE" w:rsidRDefault="00EA1122" w:rsidP="007F17F4">
      <w:pPr>
        <w:pStyle w:val="NoSpacing"/>
        <w:spacing w:line="360" w:lineRule="auto"/>
        <w:rPr>
          <w:rFonts w:ascii="Arial" w:hAnsi="Arial" w:cs="Arial"/>
        </w:rPr>
      </w:pPr>
    </w:p>
    <w:p w14:paraId="4251C7C0" w14:textId="49E5160D" w:rsidR="004C2371" w:rsidRPr="004A40C3" w:rsidRDefault="004C2371" w:rsidP="00EA1122">
      <w:pPr>
        <w:rPr>
          <w:rFonts w:ascii="Arial" w:hAnsi="Arial" w:cs="Arial"/>
          <w:sz w:val="28"/>
          <w:szCs w:val="28"/>
        </w:rPr>
      </w:pPr>
      <w:r w:rsidRPr="004A40C3">
        <w:rPr>
          <w:rFonts w:ascii="Arial" w:hAnsi="Arial" w:cs="Arial"/>
          <w:sz w:val="28"/>
          <w:szCs w:val="28"/>
        </w:rPr>
        <w:t>Reference list</w:t>
      </w:r>
    </w:p>
    <w:p w14:paraId="283DCFBB" w14:textId="77777777" w:rsidR="00CF7E11" w:rsidRPr="00911BCE" w:rsidRDefault="00CF7E11" w:rsidP="007F17F4">
      <w:pPr>
        <w:pStyle w:val="NoSpacing"/>
        <w:spacing w:line="360" w:lineRule="auto"/>
        <w:rPr>
          <w:rFonts w:ascii="Arial" w:hAnsi="Arial" w:cs="Arial"/>
        </w:rPr>
      </w:pPr>
    </w:p>
    <w:p w14:paraId="5668F4B4" w14:textId="46183F05" w:rsidR="004C2371" w:rsidRDefault="004C2371" w:rsidP="007F17F4">
      <w:pPr>
        <w:pStyle w:val="NoSpacing"/>
        <w:spacing w:line="360" w:lineRule="auto"/>
        <w:rPr>
          <w:rFonts w:ascii="Arial" w:hAnsi="Arial" w:cs="Arial"/>
        </w:rPr>
      </w:pPr>
      <w:r w:rsidRPr="00911BCE">
        <w:rPr>
          <w:rFonts w:ascii="Arial" w:hAnsi="Arial" w:cs="Arial"/>
        </w:rPr>
        <w:t>Armsden, G.C. and Greenberg, M.T. (1987) ‘The inventory of parent and peer attachment: Individual differences and their relationship to psychological well-being in adolescence’, Journal of Youth and Adolescence, 16(5), pp. 427</w:t>
      </w:r>
      <w:r w:rsidR="00B62364">
        <w:rPr>
          <w:rFonts w:ascii="Arial" w:hAnsi="Arial" w:cs="Arial"/>
        </w:rPr>
        <w:t>-</w:t>
      </w:r>
      <w:r w:rsidR="00FA6903">
        <w:rPr>
          <w:rFonts w:ascii="Arial" w:hAnsi="Arial" w:cs="Arial"/>
        </w:rPr>
        <w:t xml:space="preserve"> 4</w:t>
      </w:r>
      <w:r w:rsidRPr="00911BCE">
        <w:rPr>
          <w:rFonts w:ascii="Arial" w:hAnsi="Arial" w:cs="Arial"/>
        </w:rPr>
        <w:t>54.</w:t>
      </w:r>
    </w:p>
    <w:p w14:paraId="3D4AB501" w14:textId="77777777" w:rsidR="007B5F93" w:rsidRPr="00911BCE" w:rsidRDefault="007B5F93" w:rsidP="007F17F4">
      <w:pPr>
        <w:pStyle w:val="NoSpacing"/>
        <w:spacing w:line="360" w:lineRule="auto"/>
        <w:rPr>
          <w:rFonts w:ascii="Arial" w:hAnsi="Arial" w:cs="Arial"/>
        </w:rPr>
      </w:pPr>
    </w:p>
    <w:p w14:paraId="13808312" w14:textId="37256ABF" w:rsidR="004C2371" w:rsidRDefault="004C2371" w:rsidP="007F17F4">
      <w:pPr>
        <w:pStyle w:val="NoSpacing"/>
        <w:spacing w:line="360" w:lineRule="auto"/>
        <w:rPr>
          <w:rFonts w:ascii="Arial" w:hAnsi="Arial" w:cs="Arial"/>
        </w:rPr>
      </w:pPr>
      <w:r w:rsidRPr="00911BCE">
        <w:rPr>
          <w:rFonts w:ascii="Arial" w:hAnsi="Arial" w:cs="Arial"/>
        </w:rPr>
        <w:t>​Best, P., Manktelow, R. and Taylor, B. (2014) ‘Online communication, social media and adolescent wellbeing: A systematic narrative review’, Children and Youth Services Review, 41, pp. 27</w:t>
      </w:r>
      <w:r w:rsidR="009E43AE">
        <w:rPr>
          <w:rFonts w:ascii="Arial" w:hAnsi="Arial" w:cs="Arial"/>
        </w:rPr>
        <w:t>-</w:t>
      </w:r>
      <w:r w:rsidRPr="00911BCE">
        <w:rPr>
          <w:rFonts w:ascii="Arial" w:hAnsi="Arial" w:cs="Arial"/>
        </w:rPr>
        <w:t>36.</w:t>
      </w:r>
    </w:p>
    <w:p w14:paraId="2625CD9F" w14:textId="77777777" w:rsidR="00AB33FD" w:rsidRPr="00911BCE" w:rsidRDefault="00AB33FD" w:rsidP="007F17F4">
      <w:pPr>
        <w:pStyle w:val="NoSpacing"/>
        <w:spacing w:line="360" w:lineRule="auto"/>
        <w:rPr>
          <w:rFonts w:ascii="Arial" w:hAnsi="Arial" w:cs="Arial"/>
        </w:rPr>
      </w:pPr>
    </w:p>
    <w:p w14:paraId="44310FAC" w14:textId="77777777" w:rsidR="004C2371" w:rsidRDefault="004C2371" w:rsidP="007F17F4">
      <w:pPr>
        <w:pStyle w:val="NoSpacing"/>
        <w:spacing w:line="360" w:lineRule="auto"/>
        <w:rPr>
          <w:rFonts w:ascii="Arial" w:hAnsi="Arial" w:cs="Arial"/>
        </w:rPr>
      </w:pPr>
      <w:r w:rsidRPr="00911BCE">
        <w:rPr>
          <w:rFonts w:ascii="Arial" w:hAnsi="Arial" w:cs="Arial"/>
        </w:rPr>
        <w:t>​Bowlby, J. (1982) Attachment and loss: Vol. 1. Attachment. 2nd edn. New York: Basic Books.</w:t>
      </w:r>
    </w:p>
    <w:p w14:paraId="06B26531" w14:textId="77777777" w:rsidR="00627FE3" w:rsidRPr="00911BCE" w:rsidRDefault="00627FE3" w:rsidP="007F17F4">
      <w:pPr>
        <w:pStyle w:val="NoSpacing"/>
        <w:spacing w:line="360" w:lineRule="auto"/>
        <w:rPr>
          <w:rFonts w:ascii="Arial" w:hAnsi="Arial" w:cs="Arial"/>
        </w:rPr>
      </w:pPr>
    </w:p>
    <w:p w14:paraId="7C323E8D" w14:textId="36935246" w:rsidR="00AC24A5" w:rsidRDefault="00AC24A5" w:rsidP="007F17F4">
      <w:pPr>
        <w:pStyle w:val="NoSpacing"/>
        <w:spacing w:line="360" w:lineRule="auto"/>
        <w:rPr>
          <w:rFonts w:ascii="Arial" w:hAnsi="Arial" w:cs="Arial"/>
        </w:rPr>
      </w:pPr>
      <w:r w:rsidRPr="00911BCE">
        <w:rPr>
          <w:rFonts w:ascii="Arial" w:hAnsi="Arial" w:cs="Arial"/>
        </w:rPr>
        <w:t>Ekinci, N. and Akat, M. (2023) ‘The Relationship between Anxious</w:t>
      </w:r>
      <w:r w:rsidR="00876615">
        <w:rPr>
          <w:rFonts w:ascii="Arial" w:hAnsi="Arial" w:cs="Arial"/>
        </w:rPr>
        <w:t xml:space="preserve"> - </w:t>
      </w:r>
      <w:r w:rsidRPr="00911BCE">
        <w:rPr>
          <w:rFonts w:ascii="Arial" w:hAnsi="Arial" w:cs="Arial"/>
        </w:rPr>
        <w:t>Ambivalent Attachment and Social Appearance Anxiety in Adolescents: The Serial Mediation of Positive Youth Development and Instagram Addiction’, Psychological Reports, 126(5), pp. 2465</w:t>
      </w:r>
      <w:r w:rsidR="00836C1C">
        <w:rPr>
          <w:rFonts w:ascii="Arial" w:hAnsi="Arial" w:cs="Arial"/>
        </w:rPr>
        <w:t>-</w:t>
      </w:r>
      <w:r w:rsidRPr="00911BCE">
        <w:rPr>
          <w:rFonts w:ascii="Arial" w:hAnsi="Arial" w:cs="Arial"/>
        </w:rPr>
        <w:t>2488.</w:t>
      </w:r>
    </w:p>
    <w:p w14:paraId="2D5F0D33" w14:textId="77777777" w:rsidR="00172F05" w:rsidRPr="00911BCE" w:rsidRDefault="00172F05" w:rsidP="007F17F4">
      <w:pPr>
        <w:pStyle w:val="NoSpacing"/>
        <w:spacing w:line="360" w:lineRule="auto"/>
        <w:rPr>
          <w:rFonts w:ascii="Arial" w:hAnsi="Arial" w:cs="Arial"/>
        </w:rPr>
      </w:pPr>
    </w:p>
    <w:p w14:paraId="2E969A9D" w14:textId="77777777" w:rsidR="00AC24A5" w:rsidRDefault="00AC24A5" w:rsidP="007F17F4">
      <w:pPr>
        <w:pStyle w:val="NoSpacing"/>
        <w:spacing w:line="360" w:lineRule="auto"/>
        <w:rPr>
          <w:rFonts w:ascii="Arial" w:hAnsi="Arial" w:cs="Arial"/>
        </w:rPr>
      </w:pPr>
      <w:r w:rsidRPr="00911BCE">
        <w:rPr>
          <w:rFonts w:ascii="Arial" w:hAnsi="Arial" w:cs="Arial"/>
        </w:rPr>
        <w:t>​Erikson, E.H. (1968) Identity: Youth and crisis. New York: W.W. Norton &amp; Company.</w:t>
      </w:r>
    </w:p>
    <w:p w14:paraId="7A83ADF0" w14:textId="77777777" w:rsidR="00172F05" w:rsidRPr="00911BCE" w:rsidRDefault="00172F05" w:rsidP="007F17F4">
      <w:pPr>
        <w:pStyle w:val="NoSpacing"/>
        <w:spacing w:line="360" w:lineRule="auto"/>
        <w:rPr>
          <w:rFonts w:ascii="Arial" w:hAnsi="Arial" w:cs="Arial"/>
        </w:rPr>
      </w:pPr>
    </w:p>
    <w:p w14:paraId="62B64862" w14:textId="72D69707" w:rsidR="00AC24A5" w:rsidRDefault="00AC24A5" w:rsidP="007F17F4">
      <w:pPr>
        <w:pStyle w:val="NoSpacing"/>
        <w:spacing w:line="360" w:lineRule="auto"/>
        <w:rPr>
          <w:rFonts w:ascii="Arial" w:hAnsi="Arial" w:cs="Arial"/>
        </w:rPr>
      </w:pPr>
      <w:r w:rsidRPr="00911BCE">
        <w:rPr>
          <w:rFonts w:ascii="Arial" w:hAnsi="Arial" w:cs="Arial"/>
        </w:rPr>
        <w:t>​Fassi, L., Thomas, K., Parry, D.A., Leyland</w:t>
      </w:r>
      <w:r w:rsidR="00876615">
        <w:rPr>
          <w:rFonts w:ascii="Arial" w:hAnsi="Arial" w:cs="Arial"/>
        </w:rPr>
        <w:t xml:space="preserve"> - </w:t>
      </w:r>
      <w:r w:rsidRPr="00911BCE">
        <w:rPr>
          <w:rFonts w:ascii="Arial" w:hAnsi="Arial" w:cs="Arial"/>
        </w:rPr>
        <w:t>Craggs, A., Ford, T.J. and Orben, A. (2024) ‘Social media use and internalizing symptoms in clinical and community adolescent samples: A systematic review and meta-analysis’, JAMA Pediatrics, 178(8), pp. 814</w:t>
      </w:r>
      <w:r w:rsidR="0031562F">
        <w:rPr>
          <w:rFonts w:ascii="Arial" w:hAnsi="Arial" w:cs="Arial"/>
        </w:rPr>
        <w:t>-</w:t>
      </w:r>
      <w:r w:rsidRPr="00911BCE">
        <w:rPr>
          <w:rFonts w:ascii="Arial" w:hAnsi="Arial" w:cs="Arial"/>
        </w:rPr>
        <w:t>822.</w:t>
      </w:r>
    </w:p>
    <w:p w14:paraId="79322F7B" w14:textId="77777777" w:rsidR="00814564" w:rsidRPr="00911BCE" w:rsidRDefault="00814564" w:rsidP="007F17F4">
      <w:pPr>
        <w:pStyle w:val="NoSpacing"/>
        <w:spacing w:line="360" w:lineRule="auto"/>
        <w:rPr>
          <w:rFonts w:ascii="Arial" w:hAnsi="Arial" w:cs="Arial"/>
        </w:rPr>
      </w:pPr>
    </w:p>
    <w:p w14:paraId="28E48280" w14:textId="0CE9635C" w:rsidR="00E31699" w:rsidRDefault="00AC24A5" w:rsidP="007F17F4">
      <w:pPr>
        <w:pStyle w:val="NoSpacing"/>
        <w:spacing w:line="360" w:lineRule="auto"/>
        <w:rPr>
          <w:rFonts w:ascii="Arial" w:hAnsi="Arial" w:cs="Arial"/>
        </w:rPr>
      </w:pPr>
      <w:r w:rsidRPr="00911BCE">
        <w:rPr>
          <w:rFonts w:ascii="Arial" w:hAnsi="Arial" w:cs="Arial"/>
        </w:rPr>
        <w:lastRenderedPageBreak/>
        <w:t>​Nesi, J. and Prinstein, M.J. (2015) ‘Using social media for social</w:t>
      </w:r>
      <w:r w:rsidR="00C80B24" w:rsidRPr="00911BCE">
        <w:rPr>
          <w:rFonts w:ascii="Arial" w:hAnsi="Arial" w:cs="Arial"/>
        </w:rPr>
        <w:t xml:space="preserve"> </w:t>
      </w:r>
      <w:r w:rsidR="00E31699" w:rsidRPr="00911BCE">
        <w:rPr>
          <w:rFonts w:ascii="Arial" w:hAnsi="Arial" w:cs="Arial"/>
        </w:rPr>
        <w:t>comparison and feedback-seeking: Gender and popularity moderate associations with depressive symptoms’, Journal of Abnormal Child Psychology, 43(8), pp. 1427</w:t>
      </w:r>
      <w:r w:rsidR="00F32739">
        <w:rPr>
          <w:rFonts w:ascii="Arial" w:hAnsi="Arial" w:cs="Arial"/>
        </w:rPr>
        <w:t>-</w:t>
      </w:r>
      <w:r w:rsidR="00E31699" w:rsidRPr="00911BCE">
        <w:rPr>
          <w:rFonts w:ascii="Arial" w:hAnsi="Arial" w:cs="Arial"/>
        </w:rPr>
        <w:t>1438.</w:t>
      </w:r>
    </w:p>
    <w:p w14:paraId="0DF89372" w14:textId="77777777" w:rsidR="00A42223" w:rsidRPr="00911BCE" w:rsidRDefault="00A42223" w:rsidP="007F17F4">
      <w:pPr>
        <w:pStyle w:val="NoSpacing"/>
        <w:spacing w:line="360" w:lineRule="auto"/>
        <w:rPr>
          <w:rFonts w:ascii="Arial" w:hAnsi="Arial" w:cs="Arial"/>
        </w:rPr>
      </w:pPr>
    </w:p>
    <w:p w14:paraId="616F4110" w14:textId="1DC62225" w:rsidR="00E31699" w:rsidRDefault="00E31699" w:rsidP="007F17F4">
      <w:pPr>
        <w:pStyle w:val="NoSpacing"/>
        <w:spacing w:line="360" w:lineRule="auto"/>
        <w:rPr>
          <w:rFonts w:ascii="Arial" w:hAnsi="Arial" w:cs="Arial"/>
        </w:rPr>
      </w:pPr>
      <w:r w:rsidRPr="00911BCE">
        <w:rPr>
          <w:rFonts w:ascii="Arial" w:hAnsi="Arial" w:cs="Arial"/>
        </w:rPr>
        <w:t xml:space="preserve">​Oldmeadow, J.A., Quinn, S. and Kowert, R. (2013) ‘Attachment style, social skills, and Facebook use amongst adults’, Computers in Human </w:t>
      </w:r>
      <w:r w:rsidR="00E97BEF" w:rsidRPr="00911BCE">
        <w:rPr>
          <w:rFonts w:ascii="Arial" w:hAnsi="Arial" w:cs="Arial"/>
        </w:rPr>
        <w:t>Behaviour</w:t>
      </w:r>
      <w:r w:rsidRPr="00911BCE">
        <w:rPr>
          <w:rFonts w:ascii="Arial" w:hAnsi="Arial" w:cs="Arial"/>
        </w:rPr>
        <w:t>, 29(3), pp. 1142</w:t>
      </w:r>
      <w:r w:rsidR="00C44A43">
        <w:rPr>
          <w:rFonts w:ascii="Arial" w:hAnsi="Arial" w:cs="Arial"/>
        </w:rPr>
        <w:t>-</w:t>
      </w:r>
      <w:r w:rsidRPr="00911BCE">
        <w:rPr>
          <w:rFonts w:ascii="Arial" w:hAnsi="Arial" w:cs="Arial"/>
        </w:rPr>
        <w:t>1149.</w:t>
      </w:r>
    </w:p>
    <w:p w14:paraId="0A886DD3" w14:textId="77777777" w:rsidR="00A42223" w:rsidRPr="00911BCE" w:rsidRDefault="00A42223" w:rsidP="007F17F4">
      <w:pPr>
        <w:pStyle w:val="NoSpacing"/>
        <w:spacing w:line="360" w:lineRule="auto"/>
        <w:rPr>
          <w:rFonts w:ascii="Arial" w:hAnsi="Arial" w:cs="Arial"/>
        </w:rPr>
      </w:pPr>
    </w:p>
    <w:p w14:paraId="041FF77B" w14:textId="14D57B65" w:rsidR="00E31699" w:rsidRDefault="00E31699" w:rsidP="007F17F4">
      <w:pPr>
        <w:pStyle w:val="NoSpacing"/>
        <w:spacing w:line="360" w:lineRule="auto"/>
        <w:rPr>
          <w:rFonts w:ascii="Arial" w:hAnsi="Arial" w:cs="Arial"/>
        </w:rPr>
      </w:pPr>
      <w:r w:rsidRPr="00911BCE">
        <w:rPr>
          <w:rFonts w:ascii="Arial" w:hAnsi="Arial" w:cs="Arial"/>
        </w:rPr>
        <w:t>​Twenge, J.M. and Campbell, W.K. (2018) ‘Associations between screen time and lower psychological well-being among children and adolescents: Evidence from a population</w:t>
      </w:r>
      <w:r w:rsidR="0051369D">
        <w:rPr>
          <w:rFonts w:ascii="Arial" w:hAnsi="Arial" w:cs="Arial"/>
        </w:rPr>
        <w:t>-</w:t>
      </w:r>
      <w:r w:rsidRPr="00911BCE">
        <w:rPr>
          <w:rFonts w:ascii="Arial" w:hAnsi="Arial" w:cs="Arial"/>
        </w:rPr>
        <w:t>based study’, Preventive Medicine Reports, 12, pp. 271</w:t>
      </w:r>
      <w:r w:rsidR="00C44A43">
        <w:rPr>
          <w:rFonts w:ascii="Arial" w:hAnsi="Arial" w:cs="Arial"/>
        </w:rPr>
        <w:t>-</w:t>
      </w:r>
      <w:r w:rsidRPr="00911BCE">
        <w:rPr>
          <w:rFonts w:ascii="Arial" w:hAnsi="Arial" w:cs="Arial"/>
        </w:rPr>
        <w:t>283.</w:t>
      </w:r>
    </w:p>
    <w:p w14:paraId="5C955DB0" w14:textId="77777777" w:rsidR="00A42223" w:rsidRPr="00911BCE" w:rsidRDefault="00A42223" w:rsidP="007F17F4">
      <w:pPr>
        <w:pStyle w:val="NoSpacing"/>
        <w:spacing w:line="360" w:lineRule="auto"/>
        <w:rPr>
          <w:rFonts w:ascii="Arial" w:hAnsi="Arial" w:cs="Arial"/>
        </w:rPr>
      </w:pPr>
    </w:p>
    <w:p w14:paraId="63052C97" w14:textId="43E2567E" w:rsidR="003B46C3" w:rsidRDefault="00E31699" w:rsidP="007F17F4">
      <w:pPr>
        <w:pStyle w:val="NoSpacing"/>
        <w:spacing w:line="360" w:lineRule="auto"/>
        <w:rPr>
          <w:rFonts w:ascii="Arial" w:hAnsi="Arial" w:cs="Arial"/>
        </w:rPr>
      </w:pPr>
      <w:r w:rsidRPr="00911BCE">
        <w:rPr>
          <w:rFonts w:ascii="Arial" w:hAnsi="Arial" w:cs="Arial"/>
        </w:rPr>
        <w:t xml:space="preserve">​U.S. Department of Health and Human Services (2023) Social Media and Youth Mental Health: The U.S. Surgeon General’s Advisory. Available at: </w:t>
      </w:r>
      <w:hyperlink r:id="rId4" w:history="1">
        <w:r w:rsidR="003B46C3" w:rsidRPr="00615BFD">
          <w:rPr>
            <w:rStyle w:val="Hyperlink"/>
            <w:rFonts w:ascii="Arial" w:hAnsi="Arial" w:cs="Arial"/>
          </w:rPr>
          <w:t>https://www.hhs.gov/sites/default/files/surgeon-general-social-media-youth-mental-health-advisory.pdf</w:t>
        </w:r>
      </w:hyperlink>
    </w:p>
    <w:p w14:paraId="4418FFE7" w14:textId="5D1CF3FE" w:rsidR="00F8308B" w:rsidRDefault="003B46C3" w:rsidP="007F17F4">
      <w:pPr>
        <w:pStyle w:val="NoSpacing"/>
        <w:spacing w:line="360" w:lineRule="auto"/>
        <w:rPr>
          <w:rFonts w:ascii="Arial" w:hAnsi="Arial" w:cs="Arial"/>
        </w:rPr>
      </w:pPr>
      <w:r>
        <w:rPr>
          <w:rFonts w:ascii="Arial" w:hAnsi="Arial" w:cs="Arial"/>
        </w:rPr>
        <w:t xml:space="preserve"> </w:t>
      </w:r>
      <w:r w:rsidR="00E31699" w:rsidRPr="00911BCE">
        <w:rPr>
          <w:rFonts w:ascii="Arial" w:hAnsi="Arial" w:cs="Arial"/>
        </w:rPr>
        <w:t xml:space="preserve"> (Accessed: 12 August 2026).</w:t>
      </w:r>
      <w:r w:rsidR="00C11404" w:rsidRPr="00911BCE">
        <w:rPr>
          <w:rFonts w:ascii="Arial" w:hAnsi="Arial" w:cs="Arial"/>
        </w:rPr>
        <w:t xml:space="preserve"> </w:t>
      </w:r>
    </w:p>
    <w:p w14:paraId="1D84CA05" w14:textId="77777777" w:rsidR="007633A5" w:rsidRDefault="007633A5" w:rsidP="007F17F4">
      <w:pPr>
        <w:pStyle w:val="NoSpacing"/>
        <w:spacing w:line="360" w:lineRule="auto"/>
        <w:rPr>
          <w:rFonts w:ascii="Arial" w:hAnsi="Arial" w:cs="Arial"/>
        </w:rPr>
      </w:pPr>
    </w:p>
    <w:p w14:paraId="0E5C111A" w14:textId="703BE04E" w:rsidR="000329E0" w:rsidRPr="00911BCE" w:rsidRDefault="00C11404" w:rsidP="007F17F4">
      <w:pPr>
        <w:pStyle w:val="NoSpacing"/>
        <w:spacing w:line="360" w:lineRule="auto"/>
        <w:rPr>
          <w:rFonts w:ascii="Arial" w:hAnsi="Arial" w:cs="Arial"/>
        </w:rPr>
      </w:pPr>
      <w:r w:rsidRPr="00911BCE">
        <w:rPr>
          <w:rFonts w:ascii="Arial" w:hAnsi="Arial" w:cs="Arial"/>
        </w:rPr>
        <w:t>​Vogel, E.A., Rose, J.P., Roberts, L.R. and Eckles, K. (2014) ‘Social comparison, social media, and self-esteem’, Psychology of Popular Media Culture, 3(4), pp. 206</w:t>
      </w:r>
      <w:r w:rsidR="00C44A43">
        <w:rPr>
          <w:rFonts w:ascii="Arial" w:hAnsi="Arial" w:cs="Arial"/>
        </w:rPr>
        <w:t>-</w:t>
      </w:r>
      <w:r w:rsidRPr="00911BCE">
        <w:rPr>
          <w:rFonts w:ascii="Arial" w:hAnsi="Arial" w:cs="Arial"/>
        </w:rPr>
        <w:t>222.</w:t>
      </w:r>
    </w:p>
    <w:sectPr w:rsidR="000329E0" w:rsidRPr="00911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23A"/>
    <w:rsid w:val="00031303"/>
    <w:rsid w:val="000329E0"/>
    <w:rsid w:val="0003701A"/>
    <w:rsid w:val="000C34EB"/>
    <w:rsid w:val="0012214C"/>
    <w:rsid w:val="00143709"/>
    <w:rsid w:val="001625AB"/>
    <w:rsid w:val="00165670"/>
    <w:rsid w:val="00172F05"/>
    <w:rsid w:val="0018514A"/>
    <w:rsid w:val="00185475"/>
    <w:rsid w:val="001D1123"/>
    <w:rsid w:val="001E51FF"/>
    <w:rsid w:val="002816DF"/>
    <w:rsid w:val="0028697A"/>
    <w:rsid w:val="002947F6"/>
    <w:rsid w:val="00296777"/>
    <w:rsid w:val="0031562F"/>
    <w:rsid w:val="00316721"/>
    <w:rsid w:val="0034104B"/>
    <w:rsid w:val="00363780"/>
    <w:rsid w:val="00397BEB"/>
    <w:rsid w:val="003A2B10"/>
    <w:rsid w:val="003A59CC"/>
    <w:rsid w:val="003B46C3"/>
    <w:rsid w:val="003D3986"/>
    <w:rsid w:val="004A40C3"/>
    <w:rsid w:val="004C2371"/>
    <w:rsid w:val="004D5633"/>
    <w:rsid w:val="0051369D"/>
    <w:rsid w:val="0052348D"/>
    <w:rsid w:val="0052408D"/>
    <w:rsid w:val="005302EA"/>
    <w:rsid w:val="0062123A"/>
    <w:rsid w:val="00627FE3"/>
    <w:rsid w:val="00672512"/>
    <w:rsid w:val="006868C1"/>
    <w:rsid w:val="006919F4"/>
    <w:rsid w:val="00697514"/>
    <w:rsid w:val="006D0B71"/>
    <w:rsid w:val="007633A5"/>
    <w:rsid w:val="00774636"/>
    <w:rsid w:val="007A0271"/>
    <w:rsid w:val="007B5C7B"/>
    <w:rsid w:val="007B5F93"/>
    <w:rsid w:val="007B7B39"/>
    <w:rsid w:val="007E6443"/>
    <w:rsid w:val="007F10E4"/>
    <w:rsid w:val="007F17F4"/>
    <w:rsid w:val="007F5213"/>
    <w:rsid w:val="00814564"/>
    <w:rsid w:val="00836C1C"/>
    <w:rsid w:val="00876615"/>
    <w:rsid w:val="00911BCE"/>
    <w:rsid w:val="00921294"/>
    <w:rsid w:val="00935DF2"/>
    <w:rsid w:val="00995548"/>
    <w:rsid w:val="009E43AE"/>
    <w:rsid w:val="00A0623D"/>
    <w:rsid w:val="00A22456"/>
    <w:rsid w:val="00A42223"/>
    <w:rsid w:val="00AB33FD"/>
    <w:rsid w:val="00AC24A5"/>
    <w:rsid w:val="00B62364"/>
    <w:rsid w:val="00B76AFA"/>
    <w:rsid w:val="00B962BB"/>
    <w:rsid w:val="00BA72CB"/>
    <w:rsid w:val="00BE7EDF"/>
    <w:rsid w:val="00BF2B88"/>
    <w:rsid w:val="00C11404"/>
    <w:rsid w:val="00C160D5"/>
    <w:rsid w:val="00C44A43"/>
    <w:rsid w:val="00C50A7B"/>
    <w:rsid w:val="00C525D7"/>
    <w:rsid w:val="00C52864"/>
    <w:rsid w:val="00C80B24"/>
    <w:rsid w:val="00C860DE"/>
    <w:rsid w:val="00CF7E11"/>
    <w:rsid w:val="00D92610"/>
    <w:rsid w:val="00DE2FEA"/>
    <w:rsid w:val="00DF719C"/>
    <w:rsid w:val="00E121A3"/>
    <w:rsid w:val="00E1304B"/>
    <w:rsid w:val="00E262E1"/>
    <w:rsid w:val="00E31699"/>
    <w:rsid w:val="00E3662A"/>
    <w:rsid w:val="00E36ED0"/>
    <w:rsid w:val="00E766D7"/>
    <w:rsid w:val="00E97BEF"/>
    <w:rsid w:val="00EA1122"/>
    <w:rsid w:val="00EC23E6"/>
    <w:rsid w:val="00EC5104"/>
    <w:rsid w:val="00ED58F3"/>
    <w:rsid w:val="00F147E0"/>
    <w:rsid w:val="00F32739"/>
    <w:rsid w:val="00F3532C"/>
    <w:rsid w:val="00F8308B"/>
    <w:rsid w:val="00F947AB"/>
    <w:rsid w:val="00FA6903"/>
    <w:rsid w:val="00FD4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7711"/>
  <w15:chartTrackingRefBased/>
  <w15:docId w15:val="{9F3F8B17-836A-43F4-AFA5-9EB2091A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23A"/>
    <w:rPr>
      <w:rFonts w:eastAsiaTheme="majorEastAsia" w:cstheme="majorBidi"/>
      <w:color w:val="272727" w:themeColor="text1" w:themeTint="D8"/>
    </w:rPr>
  </w:style>
  <w:style w:type="paragraph" w:styleId="Title">
    <w:name w:val="Title"/>
    <w:basedOn w:val="Normal"/>
    <w:next w:val="Normal"/>
    <w:link w:val="TitleChar"/>
    <w:uiPriority w:val="10"/>
    <w:qFormat/>
    <w:rsid w:val="00621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23A"/>
    <w:pPr>
      <w:spacing w:before="160"/>
      <w:jc w:val="center"/>
    </w:pPr>
    <w:rPr>
      <w:i/>
      <w:iCs/>
      <w:color w:val="404040" w:themeColor="text1" w:themeTint="BF"/>
    </w:rPr>
  </w:style>
  <w:style w:type="character" w:customStyle="1" w:styleId="QuoteChar">
    <w:name w:val="Quote Char"/>
    <w:basedOn w:val="DefaultParagraphFont"/>
    <w:link w:val="Quote"/>
    <w:uiPriority w:val="29"/>
    <w:rsid w:val="0062123A"/>
    <w:rPr>
      <w:i/>
      <w:iCs/>
      <w:color w:val="404040" w:themeColor="text1" w:themeTint="BF"/>
    </w:rPr>
  </w:style>
  <w:style w:type="paragraph" w:styleId="ListParagraph">
    <w:name w:val="List Paragraph"/>
    <w:basedOn w:val="Normal"/>
    <w:uiPriority w:val="34"/>
    <w:qFormat/>
    <w:rsid w:val="0062123A"/>
    <w:pPr>
      <w:ind w:left="720"/>
      <w:contextualSpacing/>
    </w:pPr>
  </w:style>
  <w:style w:type="character" w:styleId="IntenseEmphasis">
    <w:name w:val="Intense Emphasis"/>
    <w:basedOn w:val="DefaultParagraphFont"/>
    <w:uiPriority w:val="21"/>
    <w:qFormat/>
    <w:rsid w:val="0062123A"/>
    <w:rPr>
      <w:i/>
      <w:iCs/>
      <w:color w:val="0F4761" w:themeColor="accent1" w:themeShade="BF"/>
    </w:rPr>
  </w:style>
  <w:style w:type="paragraph" w:styleId="IntenseQuote">
    <w:name w:val="Intense Quote"/>
    <w:basedOn w:val="Normal"/>
    <w:next w:val="Normal"/>
    <w:link w:val="IntenseQuoteChar"/>
    <w:uiPriority w:val="30"/>
    <w:qFormat/>
    <w:rsid w:val="00621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23A"/>
    <w:rPr>
      <w:i/>
      <w:iCs/>
      <w:color w:val="0F4761" w:themeColor="accent1" w:themeShade="BF"/>
    </w:rPr>
  </w:style>
  <w:style w:type="character" w:styleId="IntenseReference">
    <w:name w:val="Intense Reference"/>
    <w:basedOn w:val="DefaultParagraphFont"/>
    <w:uiPriority w:val="32"/>
    <w:qFormat/>
    <w:rsid w:val="0062123A"/>
    <w:rPr>
      <w:b/>
      <w:bCs/>
      <w:smallCaps/>
      <w:color w:val="0F4761" w:themeColor="accent1" w:themeShade="BF"/>
      <w:spacing w:val="5"/>
    </w:rPr>
  </w:style>
  <w:style w:type="paragraph" w:styleId="NoSpacing">
    <w:name w:val="No Spacing"/>
    <w:uiPriority w:val="1"/>
    <w:qFormat/>
    <w:rsid w:val="0062123A"/>
    <w:pPr>
      <w:spacing w:after="0" w:line="240" w:lineRule="auto"/>
    </w:pPr>
  </w:style>
  <w:style w:type="character" w:styleId="Hyperlink">
    <w:name w:val="Hyperlink"/>
    <w:basedOn w:val="DefaultParagraphFont"/>
    <w:uiPriority w:val="99"/>
    <w:unhideWhenUsed/>
    <w:rsid w:val="0028697A"/>
    <w:rPr>
      <w:color w:val="467886" w:themeColor="hyperlink"/>
      <w:u w:val="single"/>
    </w:rPr>
  </w:style>
  <w:style w:type="character" w:styleId="UnresolvedMention">
    <w:name w:val="Unresolved Mention"/>
    <w:basedOn w:val="DefaultParagraphFont"/>
    <w:uiPriority w:val="99"/>
    <w:semiHidden/>
    <w:unhideWhenUsed/>
    <w:rsid w:val="00286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hs.gov/sites/default/files/surgeon-general-social-media-youth-mental-health-advis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jowita.nowacka50@gmail.com</dc:creator>
  <cp:keywords/>
  <dc:description/>
  <cp:lastModifiedBy>jowita.nowacka50@gmail.com</cp:lastModifiedBy>
  <cp:revision>3</cp:revision>
  <dcterms:created xsi:type="dcterms:W3CDTF">2026-08-16T10:26:00Z</dcterms:created>
  <dcterms:modified xsi:type="dcterms:W3CDTF">2026-08-16T10:31:00Z</dcterms:modified>
</cp:coreProperties>
</file>