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7E01498" w14:textId="28E9D872" w:rsidR="003A3CA5" w:rsidRDefault="00EF6F53">
      <w:r>
        <w:t xml:space="preserve">Alex Webb - PC 2288 – </w:t>
      </w:r>
      <w:hyperlink r:id="rId6" w:history="1">
        <w:r w:rsidR="007B3B79">
          <w:rPr>
            <w:rStyle w:val="Hyperlink"/>
            <w:rFonts w:ascii="&amp;quot" w:hAnsi="&amp;quot"/>
            <w:color w:val="00090E"/>
          </w:rPr>
          <w:t>2024849</w:t>
        </w:r>
      </w:hyperlink>
      <w:r w:rsidR="00240212">
        <w:t xml:space="preserve"> – Exam 2 – 01/06/2021</w:t>
      </w:r>
    </w:p>
    <w:p w14:paraId="3751F3A2" w14:textId="5FF9CCA9" w:rsidR="00EF6F53" w:rsidRDefault="00EF6F53"/>
    <w:p w14:paraId="0D2D5214" w14:textId="5619D44F" w:rsidR="00EF6F53" w:rsidRDefault="00EF6F53">
      <w:r>
        <w:t>1.</w:t>
      </w:r>
      <w:r w:rsidR="005F157C">
        <w:t xml:space="preserve"> -</w:t>
      </w:r>
      <w:r>
        <w:t xml:space="preserve"> </w:t>
      </w:r>
      <w:r w:rsidR="005F157C">
        <w:t>S.163 of the road traffic act gives a police constable the power to stop vehicles on a road and is defined as follows.</w:t>
      </w:r>
    </w:p>
    <w:p w14:paraId="616AECB1" w14:textId="0BCA8F18" w:rsidR="005F157C" w:rsidRDefault="005F157C">
      <w:r>
        <w:t>“any person driving a mechanically propelled vehicle, on a road or other public place, must stop when ordered to do so by a constable in uniform”.</w:t>
      </w:r>
    </w:p>
    <w:p w14:paraId="74E04F60" w14:textId="7D984725" w:rsidR="005F157C" w:rsidRDefault="005F157C">
      <w:r>
        <w:t>Although it says a constable in uniform, this includes unmarked vehicles.</w:t>
      </w:r>
    </w:p>
    <w:p w14:paraId="74C5A6A6" w14:textId="77777777" w:rsidR="005F157C" w:rsidRDefault="005F157C"/>
    <w:p w14:paraId="55EE567E" w14:textId="02E33451" w:rsidR="005F157C" w:rsidRDefault="005F157C">
      <w:r>
        <w:t xml:space="preserve">2. – S.6 of the Road Traffic Act 1988 encompasses </w:t>
      </w:r>
      <w:r w:rsidR="00142637">
        <w:t>most of</w:t>
      </w:r>
      <w:r>
        <w:t xml:space="preserve"> the police powers to request a preliminary roadside breath test</w:t>
      </w:r>
      <w:r w:rsidR="00142637">
        <w:t xml:space="preserve"> to gauge whether someone is driving a motor vehicle whilst over the prescribed limit of alcohol. </w:t>
      </w:r>
    </w:p>
    <w:p w14:paraId="62D26C01" w14:textId="615AA89E" w:rsidR="00142637" w:rsidRDefault="00142637">
      <w:r>
        <w:t>There are 3 circumstances in which a constable may request this test. When a constable has suspicion that someone is over the proscribed limit of alcohol, when someone has been involved in an RTC, and when someone has committed a moving traffic offence.</w:t>
      </w:r>
    </w:p>
    <w:p w14:paraId="6E03A125" w14:textId="72D91684" w:rsidR="00142637" w:rsidRDefault="00142637">
      <w:r>
        <w:t>S.6(4) gives the specific power to request a preliminary roadside breath test when someone has committed a moving traffic offence. The officer does not have to have been the person to see the moving traffic offence first-hand, just know that one has been committed. The constable does not have to be in uniform to request the test but does have to be in uniform to administer it.</w:t>
      </w:r>
    </w:p>
    <w:p w14:paraId="55E18EC2" w14:textId="492E9546" w:rsidR="00142637" w:rsidRDefault="00142637"/>
    <w:p w14:paraId="1B216E61" w14:textId="38D4C206" w:rsidR="00142637" w:rsidRDefault="00142637">
      <w:r>
        <w:t>3. – S.3 of the Road Traffic Act 1988 defines the offence of “driving without due care or reasonable consideration”, as when a person “drives a mechanically propelled vehicle, without due care or reasonable consideration for other road users, on a road or other public place”.</w:t>
      </w:r>
    </w:p>
    <w:p w14:paraId="55242BC8" w14:textId="77777777" w:rsidR="00A922DC" w:rsidRDefault="00A922DC"/>
    <w:p w14:paraId="504A9171" w14:textId="67B07C0F" w:rsidR="00142637" w:rsidRDefault="00142637">
      <w:r>
        <w:t xml:space="preserve">4. – The effective </w:t>
      </w:r>
      <w:r w:rsidR="00A922DC">
        <w:t>use of roads policing powers can help reduce the wider unlawful activity of criminals in several ways.</w:t>
      </w:r>
    </w:p>
    <w:p w14:paraId="78943492" w14:textId="617069CB" w:rsidR="00A922DC" w:rsidRDefault="00A922DC">
      <w:r>
        <w:t>The wider public use the roads extensively as part of their every day lives, the same is true for criminals. In the first instance, knowledge of driving exemptions, stopping powers and requested powers can directly disrupt criminal activity as it happens. Exemptions allow qualified police drivers to pursue criminals and stopping powers allow any constable to</w:t>
      </w:r>
      <w:r w:rsidR="007128AC">
        <w:t xml:space="preserve"> disrupt criminal activity directly, for instance when a vehicle is suspected to be carrying drugs or other prohibited items. This power can also be used when cloned vehicles are detected as cloned vehicles are often used by criminals to cover their tracks. </w:t>
      </w:r>
    </w:p>
    <w:p w14:paraId="30976B7C" w14:textId="48CD992A" w:rsidR="007128AC" w:rsidRDefault="007128AC">
      <w:r>
        <w:t>Effective use of roads policing powers will also dissuade criminals from using the roads in the locality, as the criminals know that the police will be able to disrupt them by using those powers effectively.</w:t>
      </w:r>
    </w:p>
    <w:p w14:paraId="1279AD5D" w14:textId="29DF239F" w:rsidR="007128AC" w:rsidRDefault="007128AC"/>
    <w:p w14:paraId="70664760" w14:textId="1B0E8CEE" w:rsidR="007128AC" w:rsidRDefault="007128AC">
      <w:r>
        <w:t>5. – S.165 of the road traffic act 1988 gives constables the power to stop and check vehicles insurance documentation. Every driver using a motor vehicle on a road or other public place, requires at the bare minimum, 3</w:t>
      </w:r>
      <w:r w:rsidRPr="007128AC">
        <w:rPr>
          <w:vertAlign w:val="superscript"/>
        </w:rPr>
        <w:t>rd</w:t>
      </w:r>
      <w:r>
        <w:t xml:space="preserve"> party coverage from an insurance provider.</w:t>
      </w:r>
    </w:p>
    <w:p w14:paraId="184150CB" w14:textId="07095B0B" w:rsidR="007128AC" w:rsidRDefault="007128AC">
      <w:r>
        <w:lastRenderedPageBreak/>
        <w:t>After completing a check on the driver under s.165 of the Road Traffic act, the constable will have found that the driver is not insured to drive the motorcycle, at this point he has several options. The driver will generally be reported for the offence of driving a motor vehicle on a road or other public place without insurance, but the motorcycle does NOT necessarily have to be seized. If another person who IS insured to drive the motorcycle is present, then the constable may allow that person to take the motorcycle away. If this is not the case, and the vehicle is either going to be an obstruction left where it is, or the constable suspects that leaving the vehicle in situ will cause it to be again driven without insurance, then (with the requisite training) the constable may seize the motorcycle.</w:t>
      </w:r>
    </w:p>
    <w:p w14:paraId="0CF670F1" w14:textId="65578D03" w:rsidR="007128AC" w:rsidRDefault="007128AC"/>
    <w:p w14:paraId="56093522" w14:textId="4A329480" w:rsidR="00BD2705" w:rsidRDefault="007128AC">
      <w:r>
        <w:t xml:space="preserve">6. </w:t>
      </w:r>
      <w:r w:rsidR="00BD2705">
        <w:t>–</w:t>
      </w:r>
      <w:r>
        <w:t xml:space="preserve"> </w:t>
      </w:r>
      <w:r w:rsidR="00BD2705">
        <w:t>s.170(1) of the road traffic act defines a reportable road traffic collision (RTC) as follows</w:t>
      </w:r>
    </w:p>
    <w:p w14:paraId="7EA7330E" w14:textId="1177CCB8" w:rsidR="00BD2705" w:rsidRDefault="00BD2705">
      <w:r>
        <w:t xml:space="preserve">“owing to the presence of a mechanically propelled vehicle on a road or other public place, an accident is caused whereby injury is caused to anybody other than the driver of that vehicle, damage is caused to any property other than that vehicle (or an </w:t>
      </w:r>
      <w:r w:rsidR="00FB6722">
        <w:t>animal or other property in that vehicle) or damage is caused to any property that is affixed to or a part of the road itself”</w:t>
      </w:r>
    </w:p>
    <w:p w14:paraId="1F809F61" w14:textId="77777777" w:rsidR="00FB6722" w:rsidRDefault="00FB6722">
      <w:r>
        <w:t xml:space="preserve"> Note that the mechanically propelled vehicle does not need to be directly involved in the RTC, the scenario could be that another vehicle has swerved to hit a parked car and has then collided with another object. </w:t>
      </w:r>
    </w:p>
    <w:p w14:paraId="1447F3F1" w14:textId="21A0031C" w:rsidR="00FB6722" w:rsidRDefault="00FB6722">
      <w:r>
        <w:t>Also, not any animal hit on the road leads to a reportable RTC. The reportable animals are generally defined as; cattle, horse, ass, mule, pig, sheep, dog, goat. Note that cats are exempt from being reportable animals, as are rabbits and birds.</w:t>
      </w:r>
    </w:p>
    <w:p w14:paraId="12A41F6B" w14:textId="6A7096BB" w:rsidR="00FB6722" w:rsidRDefault="00FB6722">
      <w:r>
        <w:t>The property affixed to or part of the road itself includes lampposts, signs, and hedgerows.</w:t>
      </w:r>
    </w:p>
    <w:p w14:paraId="7C53852E" w14:textId="2B294294" w:rsidR="00FB6722" w:rsidRDefault="00FB6722"/>
    <w:p w14:paraId="68EBEDD2" w14:textId="3C3A2BCB" w:rsidR="00FB6722" w:rsidRDefault="00FB6722">
      <w:r>
        <w:t xml:space="preserve">7. </w:t>
      </w:r>
      <w:r w:rsidR="003B17C0">
        <w:t>–</w:t>
      </w:r>
      <w:r>
        <w:t xml:space="preserve"> </w:t>
      </w:r>
      <w:r w:rsidR="003B17C0">
        <w:t>The role of a Family Liaison Officer (FLO) can be described thusly.</w:t>
      </w:r>
    </w:p>
    <w:p w14:paraId="1EAED4C7" w14:textId="35A644D6" w:rsidR="00D147AE" w:rsidRDefault="00D147AE">
      <w:r>
        <w:t>FLO’s work differently to other constables in that instead of being attached primarily to an occurrence, they are instead attached to the family of a person involved in the occurrence. There is no blanket rule as to when an FLO will become involved, it could be to the family of a missing person, to the family of someone who is the victim of suicide or homicide, or even (in rare circumstances) to the family of someone suspected  of committing a serious offence.</w:t>
      </w:r>
    </w:p>
    <w:p w14:paraId="5998ACA6" w14:textId="1D10B55A" w:rsidR="002C3A2F" w:rsidRDefault="003B17C0">
      <w:r>
        <w:t>The initial and overarching role of FLO</w:t>
      </w:r>
      <w:r w:rsidR="00D147AE">
        <w:t>’s</w:t>
      </w:r>
      <w:r>
        <w:t xml:space="preserve"> is the same as any other constable, an investigator. The </w:t>
      </w:r>
      <w:r w:rsidR="00D147AE">
        <w:t>FLO will be tasked with gathering whatever evidence they can from the family of interest. This is not generally in a prosecutorial way (imagine formal questioning) but more in an assisting capacity</w:t>
      </w:r>
      <w:r w:rsidR="002C3A2F">
        <w:t>, where it is determined that the family may hold evidence which will assist investigating the occurrence. FLO’s are concerned with allowing the family to best contribute to the occurrence by providing the evidence they may hold.</w:t>
      </w:r>
    </w:p>
    <w:p w14:paraId="1C9C67D4" w14:textId="20B84074" w:rsidR="002C3A2F" w:rsidRDefault="002C3A2F">
      <w:r>
        <w:t>The FLO will focus on gaining with the family and gaining their trust, they will be the face of the police where the family are concerned. This is not done in an underhanded way, but in more of a caring and compassionate way.</w:t>
      </w:r>
    </w:p>
    <w:p w14:paraId="578D6EB7" w14:textId="02118D34" w:rsidR="002C3A2F" w:rsidRDefault="002C3A2F">
      <w:r>
        <w:t xml:space="preserve">The FLO is also in charge of “taking care” of the family. For this scenario imagine that the FLO is attached to the family of a homicide victim. The FLO will signpost to family to services that might fall out of the referral remit, but the FLO believes will be beneficial to the family. This can include </w:t>
      </w:r>
      <w:r>
        <w:lastRenderedPageBreak/>
        <w:t>bereavement services or support groups for the family of victims. This is essential as the family of victims can suffer extensive anxiety and mental health issues particularly where violent crimes are involved.</w:t>
      </w:r>
    </w:p>
    <w:p w14:paraId="7662BE7B" w14:textId="675D6E53" w:rsidR="002C3A2F" w:rsidRDefault="002C3A2F">
      <w:r>
        <w:t>The FLO also has a duty to make official referrals to the relevant agencies</w:t>
      </w:r>
      <w:r w:rsidR="00706CF7">
        <w:t>. This can include the NHS, homicide service, PPU services and services like “wish upon a star” (for the family of deceased children”.</w:t>
      </w:r>
    </w:p>
    <w:p w14:paraId="065E4BFC" w14:textId="6A95B040" w:rsidR="00706CF7" w:rsidRDefault="00706CF7"/>
    <w:p w14:paraId="2669828B" w14:textId="77777777" w:rsidR="00690E31" w:rsidRDefault="00706CF7" w:rsidP="00690E31">
      <w:r>
        <w:t xml:space="preserve">8. - </w:t>
      </w:r>
      <w:r w:rsidR="00690E31">
        <w:t>s.170(1) of the road traffic act defines a reportable road traffic collision (RTC) as follows</w:t>
      </w:r>
    </w:p>
    <w:p w14:paraId="38C1E21E" w14:textId="010C67A7" w:rsidR="00690E31" w:rsidRDefault="00690E31" w:rsidP="00690E31">
      <w:r>
        <w:t>“owing to the presence of a mechanically propelled vehicle on a road or other public place, an accident is caused whereby injury is caused to anybody other than the driver of that vehicle, damage is caused to any property other than that vehicle (or an animal or other property in that vehicle) or damage is caused to any property that is affixed to or a part of the road itself”</w:t>
      </w:r>
    </w:p>
    <w:p w14:paraId="53F12179" w14:textId="1108165A" w:rsidR="00690E31" w:rsidRDefault="00690E31" w:rsidP="00690E31">
      <w:r>
        <w:t xml:space="preserve">When a driver is involved in a reportable RTC, they have several responsibilities. Where a driver is involved in a reportable RTC, they are required to remain at the scene long enough for anybody with reasonable grounds to do so, to ask for certain details. This person does NOT need to be someone directly involved in the RTC. </w:t>
      </w:r>
    </w:p>
    <w:p w14:paraId="7E4E4758" w14:textId="42F13275" w:rsidR="00690E31" w:rsidRDefault="00690E31" w:rsidP="00690E31">
      <w:r>
        <w:t>The details in question are the drivers name, address, the vehicle registration number (VRN) of the vehicle and the driver’s insurance details.</w:t>
      </w:r>
    </w:p>
    <w:p w14:paraId="3A2985FA" w14:textId="217AE59C" w:rsidR="00690E31" w:rsidRDefault="00690E31" w:rsidP="00690E31">
      <w:r>
        <w:t>There are circumstances where a driver might be unable to give these details on the scene, so failing this, the accident MUST be reported IN PERSON to a police station within 24 hours, and the same details must be given.</w:t>
      </w:r>
    </w:p>
    <w:p w14:paraId="02C7666C" w14:textId="63A7B06E" w:rsidR="00690E31" w:rsidRDefault="00690E31" w:rsidP="00690E31">
      <w:r>
        <w:t xml:space="preserve">Failure to follow this conduct after a reportable RTC could leave the driver in breach of S.170(4) of the Road Traffic Act 1988 – Failing to stop at the scene of a reportable RTC. </w:t>
      </w:r>
    </w:p>
    <w:p w14:paraId="4CC39462" w14:textId="145F4549" w:rsidR="00690E31" w:rsidRDefault="00690E31" w:rsidP="00690E31"/>
    <w:p w14:paraId="25F1BC44" w14:textId="2842B9F7" w:rsidR="00690E31" w:rsidRDefault="00690E31" w:rsidP="00690E31">
      <w:r>
        <w:t xml:space="preserve">9. </w:t>
      </w:r>
      <w:r w:rsidR="00146458">
        <w:t>–</w:t>
      </w:r>
      <w:r>
        <w:t xml:space="preserve"> </w:t>
      </w:r>
      <w:r w:rsidR="00C67F8D">
        <w:t>you can enter and request a breathe test in matters of suspicion and rtc</w:t>
      </w:r>
      <w:bookmarkStart w:id="0" w:name="_GoBack"/>
      <w:bookmarkEnd w:id="0"/>
    </w:p>
    <w:p w14:paraId="00A590EE" w14:textId="6AB5A3E5" w:rsidR="00146458" w:rsidRDefault="00146458" w:rsidP="00690E31"/>
    <w:p w14:paraId="555D7330" w14:textId="2232BFC5" w:rsidR="00146458" w:rsidRDefault="00146458" w:rsidP="00690E31">
      <w:r>
        <w:t xml:space="preserve">10. </w:t>
      </w:r>
      <w:r w:rsidR="00D264DD">
        <w:t>–</w:t>
      </w:r>
      <w:r>
        <w:t xml:space="preserve"> </w:t>
      </w:r>
      <w:r w:rsidR="00D264DD">
        <w:t>S.1 of the Road Traffic Act 1988 is the offence of “causing death by dangerous driving” and can be defined thusly.</w:t>
      </w:r>
    </w:p>
    <w:p w14:paraId="0FF3B3A6" w14:textId="62DE2709" w:rsidR="00D264DD" w:rsidRDefault="00D264DD" w:rsidP="00690E31">
      <w:r>
        <w:t>“causes the death of another person, by driving a mechanically propelled vehicle, dangerously on a road or other public place”.</w:t>
      </w:r>
    </w:p>
    <w:p w14:paraId="7F8C7722" w14:textId="0C795F36" w:rsidR="00D264DD" w:rsidRDefault="00D264DD" w:rsidP="00690E31">
      <w:r>
        <w:t>A mechanically propelled vehicle is defined as a conveyance mechanically power by petrol, oil, gas, diesel, electric or steam.</w:t>
      </w:r>
    </w:p>
    <w:p w14:paraId="27466193" w14:textId="63A43E23" w:rsidR="00D264DD" w:rsidRDefault="00D264DD" w:rsidP="00690E31">
      <w:r>
        <w:t>Driving is defined as having control over the steering and propulsion of the vehicle.</w:t>
      </w:r>
    </w:p>
    <w:p w14:paraId="2EF0BBA1" w14:textId="32DECEF9" w:rsidR="00D264DD" w:rsidRDefault="00D264DD" w:rsidP="00690E31">
      <w:r>
        <w:t>Dangerous driving is defined as driving which falls “far” below the standard of a careful and competent driver.</w:t>
      </w:r>
    </w:p>
    <w:p w14:paraId="28B6F73B" w14:textId="17102A08" w:rsidR="00D264DD" w:rsidRDefault="00D264DD" w:rsidP="00690E31">
      <w:r>
        <w:t>A road is defined as any highway or other road, or bridge over which a road passes, to which the public have access (on payment or otherwise).</w:t>
      </w:r>
    </w:p>
    <w:p w14:paraId="62293950" w14:textId="6288AC0B" w:rsidR="00D264DD" w:rsidRDefault="00D264DD" w:rsidP="00690E31"/>
    <w:p w14:paraId="303D171C" w14:textId="3B02DD84" w:rsidR="00D264DD" w:rsidRDefault="00D264DD" w:rsidP="00690E31">
      <w:r>
        <w:lastRenderedPageBreak/>
        <w:t xml:space="preserve">11. </w:t>
      </w:r>
      <w:r w:rsidR="00882F02">
        <w:t>–</w:t>
      </w:r>
      <w:r>
        <w:t xml:space="preserve"> </w:t>
      </w:r>
      <w:r w:rsidR="00882F02">
        <w:t>The limits for drink/drug driving offences are as follows</w:t>
      </w:r>
    </w:p>
    <w:p w14:paraId="77F8E04D" w14:textId="5CB54D89" w:rsidR="00882F02" w:rsidRDefault="00882F02" w:rsidP="00690E31">
      <w:r>
        <w:t>35 micrograms per 100 millilitres of breath.</w:t>
      </w:r>
    </w:p>
    <w:p w14:paraId="326C6EB1" w14:textId="74F9B30F" w:rsidR="00882F02" w:rsidRDefault="00882F02" w:rsidP="00690E31">
      <w:r>
        <w:t>80 milligrams per 100 millilitres of blood.</w:t>
      </w:r>
    </w:p>
    <w:p w14:paraId="72FD9E43" w14:textId="725519CB" w:rsidR="00882F02" w:rsidRDefault="00882F02" w:rsidP="00690E31">
      <w:r>
        <w:t>107 milligrams per 100 millilitres of urine.</w:t>
      </w:r>
    </w:p>
    <w:p w14:paraId="45CB7064" w14:textId="5711152A" w:rsidR="00882F02" w:rsidRDefault="00882F02" w:rsidP="00690E31">
      <w:r>
        <w:t>There is no such thing as a “two pints” or “one pint” rule as alcohol affects different people in different ways.</w:t>
      </w:r>
    </w:p>
    <w:p w14:paraId="26CC2F22" w14:textId="63734D3E" w:rsidR="00882F02" w:rsidRDefault="00882F02" w:rsidP="00690E31">
      <w:r>
        <w:t>The same is also true for drugs, and even prescription drugs can breach the relevant offences if used whilst driving a vehicle. Even controlled substances have amounts at which you can take the drug and legally drive a vehicle. Roadside drug tests will test for cannabis and cocaine.</w:t>
      </w:r>
    </w:p>
    <w:p w14:paraId="59671C63" w14:textId="63B8EC23" w:rsidR="00882F02" w:rsidRDefault="00882F02" w:rsidP="00690E31"/>
    <w:p w14:paraId="4847E351" w14:textId="6873AC38" w:rsidR="00882F02" w:rsidRDefault="00882F02" w:rsidP="00690E31">
      <w:r>
        <w:t xml:space="preserve">12. </w:t>
      </w:r>
      <w:r w:rsidR="005E0C45">
        <w:t>–</w:t>
      </w:r>
      <w:r>
        <w:t xml:space="preserve"> </w:t>
      </w:r>
      <w:r w:rsidR="005E0C45">
        <w:t>Several people can be present at an interview other than the suspect.</w:t>
      </w:r>
    </w:p>
    <w:p w14:paraId="0BB2DC2B" w14:textId="59176718" w:rsidR="005E0C45" w:rsidRDefault="005E0C45" w:rsidP="00690E31">
      <w:r>
        <w:t>Obviously the first of these is the investigator, this need not be a constable but can be someone of a higher rank or different role. Their role in the interview process is not to prove or disprove guilt, but simply to gather as much information about the suspects involvement in a potential offence as possible, to allow others such as the CPS to make the determination about whether legal proceedings would be appropriate. Also present could be officers that are outside of the room monitoring on the CCTV in the room.</w:t>
      </w:r>
    </w:p>
    <w:p w14:paraId="71DAF861" w14:textId="676C6D65" w:rsidR="005E0C45" w:rsidRDefault="005E0C45" w:rsidP="00690E31">
      <w:r>
        <w:t>Another person present could be the solicitor of the person being interview. COVID has proved that this does not necessarily have to be in person, with it being acceptable for the solicitor to be involved in the interview by phone. The role of the solicitor is to protect and advance the legal rights of their clients, NOT to answer the questions for a client (which is a breach of the rules and can lead to their removal).</w:t>
      </w:r>
    </w:p>
    <w:p w14:paraId="45AD9F59" w14:textId="13AC7D4D" w:rsidR="005E0C45" w:rsidRDefault="005E0C45" w:rsidP="00690E31">
      <w:r>
        <w:t xml:space="preserve">Some suspects will require what is called an appropriate adult. This is a legal requirement where the suspect is under the age of 18 but can also be there case where it is suspected that thee suspect may have difficulty understanding what is happening (often the case in serious mental health cases). The role of the AA is to take care or and promote the suspects welfare in the interview process. They are NOT to answer for the suspect or feed them </w:t>
      </w:r>
      <w:r w:rsidR="00C26225">
        <w:t>answers but</w:t>
      </w:r>
      <w:r>
        <w:t xml:space="preserve"> can be used as a communication aide between the officer and the suspect.</w:t>
      </w:r>
    </w:p>
    <w:p w14:paraId="5B4FA0AD" w14:textId="510C89AE" w:rsidR="00C26225" w:rsidRDefault="00C26225" w:rsidP="00690E31">
      <w:r>
        <w:t xml:space="preserve">Another person present could be a translator whom as the name suggests is simply there as a communication aide between the officers and the suspect where language barriers may be an issue. They must translate anything that is said or written verbatim. </w:t>
      </w:r>
    </w:p>
    <w:p w14:paraId="690AB01A" w14:textId="1EA7BC69" w:rsidR="00C26225" w:rsidRDefault="00C26225" w:rsidP="00690E31">
      <w:r>
        <w:t xml:space="preserve">There is not limit to how many people can be part of the interview at once, so long as they fall into one of these roles. </w:t>
      </w:r>
    </w:p>
    <w:p w14:paraId="23F3DC37" w14:textId="5D53FC2D" w:rsidR="00E20662" w:rsidRDefault="00E20662" w:rsidP="00690E31"/>
    <w:p w14:paraId="79FE2E26" w14:textId="53BD6E68" w:rsidR="00E20662" w:rsidRDefault="00E20662" w:rsidP="00690E31">
      <w:r>
        <w:t>13. – The national police interviewing model (NPIM) is as follows.</w:t>
      </w:r>
    </w:p>
    <w:p w14:paraId="25416C84" w14:textId="36362167" w:rsidR="00E20662" w:rsidRDefault="00E20662" w:rsidP="00690E31">
      <w:r>
        <w:t xml:space="preserve">NPIM can be fit into on acronym, PEACE. PEACE has been created and </w:t>
      </w:r>
      <w:r w:rsidR="00775B89">
        <w:t>assigned best practice status by the college of policing because not only does it cover all the PACE requirements in interview, but also keeps a structure to aide the interviewer in obtaining best evidence.</w:t>
      </w:r>
    </w:p>
    <w:p w14:paraId="55AC3339" w14:textId="2AB354F1" w:rsidR="00775B89" w:rsidRDefault="00775B89" w:rsidP="00690E31">
      <w:r>
        <w:t>P – planning and preparation</w:t>
      </w:r>
    </w:p>
    <w:p w14:paraId="3CCE7971" w14:textId="5B7DC628" w:rsidR="00775B89" w:rsidRDefault="00775B89" w:rsidP="00690E31">
      <w:r>
        <w:lastRenderedPageBreak/>
        <w:t>E – engage and explain</w:t>
      </w:r>
    </w:p>
    <w:p w14:paraId="225084C7" w14:textId="45E23D39" w:rsidR="00775B89" w:rsidRDefault="00775B89" w:rsidP="00690E31">
      <w:r>
        <w:t>A – account, clarification and challenge</w:t>
      </w:r>
    </w:p>
    <w:p w14:paraId="13538DC6" w14:textId="30ED2DCA" w:rsidR="00775B89" w:rsidRDefault="00775B89" w:rsidP="00690E31">
      <w:r>
        <w:t>C – closure</w:t>
      </w:r>
    </w:p>
    <w:p w14:paraId="3CCE5569" w14:textId="0327C6AD" w:rsidR="00775B89" w:rsidRDefault="00775B89" w:rsidP="00690E31">
      <w:r>
        <w:t>E – evaluation.</w:t>
      </w:r>
    </w:p>
    <w:p w14:paraId="27FD7BAB" w14:textId="427E1807" w:rsidR="00775B89" w:rsidRDefault="00775B89" w:rsidP="00690E31"/>
    <w:p w14:paraId="7A6CAB44" w14:textId="066D36C4" w:rsidR="00775B89" w:rsidRDefault="00775B89" w:rsidP="00690E31">
      <w:r>
        <w:t>Planning and preparation can take many forms and will differ for each officer depending on their experience and role, but it is recommended that before the interview, the officer does several things. First is to create or consult an interview plan. Templates are available in force or these can be created form scratch, but the interview plan will provide structure for the interview and give the officer a number of consideration such as the offence, case law, possible defences, lines of questioning, evidential opportunities (such as CCTV or forensics) and questioning strategies. Also available to help officers is an aide memoire which provides a script for the start of the interview which covers all the pace requirements.</w:t>
      </w:r>
    </w:p>
    <w:p w14:paraId="26DAC1C4" w14:textId="271C5EF0" w:rsidR="00775B89" w:rsidRDefault="00775B89" w:rsidP="00690E31">
      <w:r>
        <w:t>Engage and explain is the rapport part of the NPIM, engagement can be achieved by following the acronym GRRR (greeting, reason, routine and roadmap). GRRR covers all the rapport building at the start of the interview and aims to make sure that the suspect is comfortable and has a clear explanation of what is happening and what is going to happen in the interview. The afore-mentioned aide memoire will cover engage and explain if used correctly, but it is particularly important to clarify with the suspect AND solicitor that the suspect is fit for interview.</w:t>
      </w:r>
    </w:p>
    <w:p w14:paraId="0672F6CE" w14:textId="606D22C0" w:rsidR="00775B89" w:rsidRDefault="00775B89" w:rsidP="00690E31">
      <w:r>
        <w:t>Account clarification and challenge is the questioning structure which should follow a generally open-probe-close structure going from topic to topic. This is to keep the interview structured and avoid inappropriate questions.</w:t>
      </w:r>
    </w:p>
    <w:p w14:paraId="41356325" w14:textId="631A2CB9" w:rsidR="00775B89" w:rsidRDefault="00775B89" w:rsidP="00690E31">
      <w:r>
        <w:t>Closure is the end of the interview and how it should be finished, also covered in the aide memoire.</w:t>
      </w:r>
    </w:p>
    <w:p w14:paraId="7E32AA51" w14:textId="03E5D956" w:rsidR="00775B89" w:rsidRDefault="00775B89" w:rsidP="00690E31">
      <w:r>
        <w:t xml:space="preserve">Evaluation is both the evaluation of the information collected in the interview, and the self-evaluation of the interview to achieve best performances in future. </w:t>
      </w:r>
    </w:p>
    <w:p w14:paraId="23CF6ECB" w14:textId="67DA1E36" w:rsidR="00C32E8D" w:rsidRDefault="00C32E8D" w:rsidP="00690E31"/>
    <w:p w14:paraId="277D5198" w14:textId="5F4CB7A5" w:rsidR="00B15F1B" w:rsidRDefault="00C32E8D" w:rsidP="00690E31">
      <w:r>
        <w:t xml:space="preserve">14. - </w:t>
      </w:r>
      <w:r w:rsidR="00B15F1B">
        <w:rPr>
          <w:lang w:val="en"/>
        </w:rPr>
        <w:t>Section 76 of the Serious Crime Act 2015</w:t>
      </w:r>
      <w:r w:rsidR="00B15F1B">
        <w:rPr>
          <w:lang w:val="en"/>
        </w:rPr>
        <w:t xml:space="preserve"> defines </w:t>
      </w:r>
      <w:r w:rsidR="00B15F1B">
        <w:t>Controlling or Coercive Behaviour in an Intimate or Family Relationship</w:t>
      </w:r>
      <w:r w:rsidR="00B15F1B">
        <w:t xml:space="preserve"> as when a person</w:t>
      </w:r>
    </w:p>
    <w:p w14:paraId="1D2E27E2" w14:textId="1DADE780" w:rsidR="00B15F1B" w:rsidRDefault="00B15F1B" w:rsidP="00690E31">
      <w:r>
        <w:t>“repeatedly or continuously engages in behaviour towards another person, that is coercive or controlling, at the time of the behaviour the subjects are personally connected by way of an intimate or family relationship, the behaviour has a serious effect on the victim, and the perpetrator knows or aught to know that their behaviour could have such an effect on the victim”.</w:t>
      </w:r>
    </w:p>
    <w:p w14:paraId="0168EDD9" w14:textId="317955CE" w:rsidR="00B15F1B" w:rsidRDefault="00B15F1B" w:rsidP="00690E31"/>
    <w:p w14:paraId="16DD8D9E" w14:textId="6458C3C0" w:rsidR="00B15F1B" w:rsidRDefault="00B15F1B" w:rsidP="00690E31">
      <w:r>
        <w:t xml:space="preserve">15. – The newly created offence of coercive control is so important because it covers gaps inadvertently left by the definition of domestic abuse which covers only coercive or threatening violence, behaviour or abuse. The new offence covers the emotional and manipulation aspects of domestic abuse which are often present but go largely unreported. This can be because the victim has been “conditioned” by the offender into believing that the coercion or control are entirely normal, or that the victim is too scared to come forward or even believes that they deserve it. The psychological and emotional aspects of domestic abuse are really damaging and are the key parts </w:t>
      </w:r>
      <w:r>
        <w:lastRenderedPageBreak/>
        <w:t>which are now covered by the new offence. It is imperative that we not only serve justice to offenders in DA cases, but also give other victims the power and confidence to come forward and recognise the abuse they have suffered.</w:t>
      </w:r>
    </w:p>
    <w:p w14:paraId="3C5A9250" w14:textId="79ABE0AC" w:rsidR="00B15F1B" w:rsidRDefault="00B15F1B" w:rsidP="00690E31"/>
    <w:p w14:paraId="51D72FFA" w14:textId="32394840" w:rsidR="00B15F1B" w:rsidRDefault="00B15F1B" w:rsidP="00690E31">
      <w:pPr>
        <w:rPr>
          <w:color w:val="000000" w:themeColor="text1"/>
        </w:rPr>
      </w:pPr>
      <w:r>
        <w:t xml:space="preserve">16. - </w:t>
      </w:r>
      <w:r>
        <w:rPr>
          <w:color w:val="000000" w:themeColor="text1"/>
        </w:rPr>
        <w:t>section 46 of the Children Act 1989</w:t>
      </w:r>
      <w:r>
        <w:rPr>
          <w:color w:val="000000" w:themeColor="text1"/>
        </w:rPr>
        <w:t xml:space="preserve"> states that </w:t>
      </w:r>
    </w:p>
    <w:p w14:paraId="5A9584DC" w14:textId="54C68477" w:rsidR="00B15F1B" w:rsidRDefault="00B15F1B" w:rsidP="00690E31">
      <w:pPr>
        <w:rPr>
          <w:color w:val="000000" w:themeColor="text1"/>
        </w:rPr>
      </w:pPr>
      <w:r>
        <w:rPr>
          <w:color w:val="000000" w:themeColor="text1"/>
        </w:rPr>
        <w:t>“where a constable has reasonable cause to believe that a child is at risk of significant harm, they may remove that child to a place of suitable accommodation or take steps to prevent the child’s removal from suitable accommodation”.</w:t>
      </w:r>
    </w:p>
    <w:p w14:paraId="5ED49E46" w14:textId="528DDA44" w:rsidR="00B15F1B" w:rsidRDefault="00B15F1B" w:rsidP="00690E31">
      <w:pPr>
        <w:rPr>
          <w:color w:val="000000" w:themeColor="text1"/>
        </w:rPr>
      </w:pPr>
      <w:r>
        <w:rPr>
          <w:color w:val="000000" w:themeColor="text1"/>
        </w:rPr>
        <w:t xml:space="preserve">Consider that one of the primary roles of a constable is to preserve life and to safeguard vulnerable individuals, there are few more vulnerable than children. </w:t>
      </w:r>
      <w:r w:rsidR="003E0CBE">
        <w:rPr>
          <w:color w:val="000000" w:themeColor="text1"/>
        </w:rPr>
        <w:t xml:space="preserve">Significant harm is the threshold for both the S.44 and S.46 children’s act 1989 powers. This is where the harm done to the child can have a serious effect on the Childs physical, emotional, or psychological development or health. </w:t>
      </w:r>
    </w:p>
    <w:p w14:paraId="6EFFFF4D" w14:textId="68AECFCF" w:rsidR="003E0CBE" w:rsidRDefault="003E0CBE" w:rsidP="00690E31">
      <w:pPr>
        <w:rPr>
          <w:color w:val="000000" w:themeColor="text1"/>
        </w:rPr>
      </w:pPr>
      <w:r>
        <w:rPr>
          <w:color w:val="000000" w:themeColor="text1"/>
        </w:rPr>
        <w:t xml:space="preserve">Whereas S.44 is a pre-planned warrant, s.46 is a power that constables carry with them wherever they go and as such, could need to be used at the proverbial drop of a hat. This could be for example at a domestic incident where the constable makes an on the spot assessment that the children need to be removed because the threshold has been reached. </w:t>
      </w:r>
    </w:p>
    <w:p w14:paraId="15672513" w14:textId="203D8EA5" w:rsidR="003010C7" w:rsidRDefault="003010C7" w:rsidP="00690E31">
      <w:pPr>
        <w:rPr>
          <w:color w:val="000000" w:themeColor="text1"/>
        </w:rPr>
      </w:pPr>
      <w:r>
        <w:rPr>
          <w:color w:val="000000" w:themeColor="text1"/>
        </w:rPr>
        <w:t xml:space="preserve">Someone of the rank of inspector or above should ideally be consulted before using the power but this if not practicable, this can be done afterwards. </w:t>
      </w:r>
    </w:p>
    <w:p w14:paraId="74961FBD" w14:textId="15A1A146" w:rsidR="003010C7" w:rsidRDefault="003010C7" w:rsidP="00690E31">
      <w:pPr>
        <w:rPr>
          <w:color w:val="000000" w:themeColor="text1"/>
        </w:rPr>
      </w:pPr>
      <w:r>
        <w:rPr>
          <w:color w:val="000000" w:themeColor="text1"/>
        </w:rPr>
        <w:t xml:space="preserve">The place of suitable accommodation can include places such as police stations (as an utter and temporary last resort), hospitals, hostels and other protected accommodations. The initial suitable accommodation can be transient until a more appropriate and long-term solution is found. This could even be a neighbours or family members house </w:t>
      </w:r>
    </w:p>
    <w:p w14:paraId="74B4BAF1" w14:textId="55AE3DB3" w:rsidR="003010C7" w:rsidRDefault="003010C7" w:rsidP="00690E31">
      <w:pPr>
        <w:rPr>
          <w:color w:val="000000" w:themeColor="text1"/>
        </w:rPr>
      </w:pPr>
      <w:r>
        <w:rPr>
          <w:color w:val="000000" w:themeColor="text1"/>
        </w:rPr>
        <w:t xml:space="preserve">If the child has been taken to </w:t>
      </w:r>
      <w:r>
        <w:rPr>
          <w:color w:val="000000" w:themeColor="text1"/>
        </w:rPr>
        <w:t>suitable accommodation</w:t>
      </w:r>
      <w:r>
        <w:rPr>
          <w:color w:val="000000" w:themeColor="text1"/>
        </w:rPr>
        <w:t xml:space="preserve">, the constable may prevent the child from being removed from the </w:t>
      </w:r>
      <w:r>
        <w:rPr>
          <w:color w:val="000000" w:themeColor="text1"/>
        </w:rPr>
        <w:t>suitable accommodation</w:t>
      </w:r>
      <w:r>
        <w:rPr>
          <w:color w:val="000000" w:themeColor="text1"/>
        </w:rPr>
        <w:t xml:space="preserve">, for instance, preventing the parents of the child removing the child from hospital. The transient </w:t>
      </w:r>
      <w:r>
        <w:rPr>
          <w:color w:val="000000" w:themeColor="text1"/>
        </w:rPr>
        <w:t>suitable accommodation</w:t>
      </w:r>
      <w:r>
        <w:rPr>
          <w:color w:val="000000" w:themeColor="text1"/>
        </w:rPr>
        <w:t xml:space="preserve"> can only be used to house the child for 48 hours with a potential extension by a superintendent if necessary.</w:t>
      </w:r>
    </w:p>
    <w:p w14:paraId="1881F21E" w14:textId="4C322690" w:rsidR="003010C7" w:rsidRDefault="003010C7" w:rsidP="00690E31">
      <w:pPr>
        <w:rPr>
          <w:color w:val="000000" w:themeColor="text1"/>
        </w:rPr>
      </w:pPr>
    </w:p>
    <w:p w14:paraId="3AFE4EF6" w14:textId="0A108ABF" w:rsidR="003010C7" w:rsidRDefault="003010C7" w:rsidP="00690E31">
      <w:r>
        <w:rPr>
          <w:color w:val="000000" w:themeColor="text1"/>
        </w:rPr>
        <w:t xml:space="preserve">17. </w:t>
      </w:r>
      <w:r w:rsidR="00D674E9">
        <w:rPr>
          <w:color w:val="000000" w:themeColor="text1"/>
        </w:rPr>
        <w:t>–</w:t>
      </w:r>
      <w:r>
        <w:rPr>
          <w:color w:val="000000" w:themeColor="text1"/>
        </w:rPr>
        <w:t xml:space="preserve"> </w:t>
      </w:r>
      <w:r w:rsidR="00D674E9">
        <w:t>S.</w:t>
      </w:r>
      <w:r w:rsidR="00D674E9">
        <w:t>1 Children and Young Persons Act 193</w:t>
      </w:r>
      <w:r w:rsidR="00D674E9">
        <w:t>3 defines the offence of “child cruelty” as follows</w:t>
      </w:r>
    </w:p>
    <w:p w14:paraId="37A768A6" w14:textId="645DC8E0" w:rsidR="00D674E9" w:rsidRDefault="00D674E9" w:rsidP="00690E31">
      <w:r>
        <w:t>“where a person has responsibility for a child under the age of 16, wilfully abandons, ill treats or neglects, or exposes the child to unnecessary cruelty, suffering or injury to health, they will be guilty of this offence”.</w:t>
      </w:r>
    </w:p>
    <w:p w14:paraId="7CF02C50" w14:textId="5A202F54" w:rsidR="00D674E9" w:rsidRDefault="00D674E9" w:rsidP="00690E31">
      <w:r>
        <w:t xml:space="preserve">The suspect must be a person over the age of 18. </w:t>
      </w:r>
    </w:p>
    <w:p w14:paraId="1FC48A8D" w14:textId="5203FF50" w:rsidR="00D674E9" w:rsidRDefault="00D674E9" w:rsidP="00690E31"/>
    <w:p w14:paraId="7E6693D3" w14:textId="6D966915" w:rsidR="00D674E9" w:rsidRDefault="00D674E9" w:rsidP="00690E31">
      <w:pPr>
        <w:rPr>
          <w:color w:val="000000"/>
        </w:rPr>
      </w:pPr>
      <w:r>
        <w:t xml:space="preserve">18. </w:t>
      </w:r>
      <w:r w:rsidR="0050236F">
        <w:t>–</w:t>
      </w:r>
      <w:r>
        <w:t xml:space="preserve"> </w:t>
      </w:r>
      <w:r w:rsidR="0050236F">
        <w:rPr>
          <w:color w:val="000000"/>
        </w:rPr>
        <w:t xml:space="preserve">The </w:t>
      </w:r>
      <w:r w:rsidR="0050236F">
        <w:rPr>
          <w:color w:val="000000"/>
        </w:rPr>
        <w:t>risk identification, assessment and management model</w:t>
      </w:r>
      <w:r w:rsidR="0050236F">
        <w:rPr>
          <w:color w:val="000000"/>
        </w:rPr>
        <w:t xml:space="preserve"> that should be used in DA incidents in the DASH model (Domestic abuse, stalking and harassment) or (domestic abuse safeguarding hub) (the acronym differs force to force). </w:t>
      </w:r>
    </w:p>
    <w:p w14:paraId="3E4A48BC" w14:textId="4659D56B" w:rsidR="0050236F" w:rsidRDefault="0050236F" w:rsidP="00690E31">
      <w:pPr>
        <w:rPr>
          <w:color w:val="000000"/>
        </w:rPr>
      </w:pPr>
      <w:r>
        <w:rPr>
          <w:color w:val="000000"/>
        </w:rPr>
        <w:t xml:space="preserve">This comprises of a listen of around 30 questions that are to be asked to the victim, the answers to these questions will lead to a risk level (standard, medium or high) being created. This risk level then informs the response to the situation. The DASH is included as part of the Public Protection </w:t>
      </w:r>
      <w:r>
        <w:rPr>
          <w:color w:val="000000"/>
        </w:rPr>
        <w:lastRenderedPageBreak/>
        <w:t xml:space="preserve">Notification report (PPN) but can be done separately on our phones using I-patrol. </w:t>
      </w:r>
      <w:r w:rsidR="00153738">
        <w:rPr>
          <w:color w:val="000000"/>
        </w:rPr>
        <w:t xml:space="preserve">Certain questions such as “has this person ever tried to strangle or choke you”? or “has this person ever mistreated a family pet or other animal”? are automatic high-risk questions due to the underlying indicators and will lead to the victim being considered automatically high-risk. </w:t>
      </w:r>
    </w:p>
    <w:p w14:paraId="7F5D547E" w14:textId="0F551D4D" w:rsidR="00153738" w:rsidRDefault="00153738" w:rsidP="00690E31">
      <w:pPr>
        <w:rPr>
          <w:color w:val="000000"/>
        </w:rPr>
      </w:pPr>
      <w:r>
        <w:rPr>
          <w:color w:val="000000"/>
        </w:rPr>
        <w:t>The PPN is then reviewed by a supervisor (generally a sergeant) using a DAC02 domestic abuse checklist (on NICHE) who will the either ratify or change this initial grading.</w:t>
      </w:r>
    </w:p>
    <w:p w14:paraId="55AD8CC5" w14:textId="3585D554" w:rsidR="00153738" w:rsidRDefault="00153738" w:rsidP="00690E31">
      <w:pPr>
        <w:rPr>
          <w:color w:val="000000"/>
        </w:rPr>
      </w:pPr>
      <w:r>
        <w:rPr>
          <w:color w:val="000000"/>
        </w:rPr>
        <w:t xml:space="preserve">The DASH is compulsory for officers to offer in any DV setting. The victim can refuse but the answers should still be considered as best as possible form whatever information the victim gives. </w:t>
      </w:r>
    </w:p>
    <w:p w14:paraId="6A55BA33" w14:textId="75D529B0" w:rsidR="00153738" w:rsidRDefault="00153738" w:rsidP="00690E31">
      <w:pPr>
        <w:rPr>
          <w:color w:val="000000"/>
        </w:rPr>
      </w:pPr>
    </w:p>
    <w:p w14:paraId="0DAD4C1D" w14:textId="36C8F8A4" w:rsidR="00153738" w:rsidRDefault="00153738" w:rsidP="00690E31">
      <w:pPr>
        <w:rPr>
          <w:color w:val="000000"/>
        </w:rPr>
      </w:pPr>
      <w:r>
        <w:rPr>
          <w:color w:val="000000"/>
        </w:rPr>
        <w:t xml:space="preserve">19. </w:t>
      </w:r>
      <w:r w:rsidR="00717AA0">
        <w:rPr>
          <w:color w:val="000000"/>
        </w:rPr>
        <w:t xml:space="preserve">– The DASH model which has been explained in the prior question forms part of the </w:t>
      </w:r>
      <w:r w:rsidR="00717AA0">
        <w:rPr>
          <w:color w:val="000000"/>
        </w:rPr>
        <w:t>Public Protection Notification report (PPN)</w:t>
      </w:r>
      <w:r w:rsidR="00717AA0">
        <w:rPr>
          <w:color w:val="000000"/>
        </w:rPr>
        <w:t xml:space="preserve">. As well as being used in DV situations as previously described. PPNs also cover children at risk, and vulnerable adults. Each option selected will bring a different list of questions which will determine the persons risk rating and what actions need to be taken to safeguard that person. </w:t>
      </w:r>
    </w:p>
    <w:p w14:paraId="56F78C89" w14:textId="6845A2B2" w:rsidR="00717AA0" w:rsidRDefault="00717AA0" w:rsidP="00690E31">
      <w:pPr>
        <w:rPr>
          <w:color w:val="000000"/>
        </w:rPr>
      </w:pPr>
      <w:r>
        <w:rPr>
          <w:color w:val="000000"/>
        </w:rPr>
        <w:t xml:space="preserve">All PPN’s should include the details of anyone involved. This is especially important for cases where DV physical injury has occurred with the victim’s doctor being included for evidential opportunities, and for children at risk where it is now policy to get not only the doctor’s information, but their schools as well, due to safeguarding requirements. </w:t>
      </w:r>
    </w:p>
    <w:p w14:paraId="7BC3F248" w14:textId="5C55204B" w:rsidR="00717AA0" w:rsidRDefault="00717AA0" w:rsidP="00690E31">
      <w:pPr>
        <w:rPr>
          <w:color w:val="000000"/>
        </w:rPr>
      </w:pPr>
      <w:r>
        <w:rPr>
          <w:color w:val="000000"/>
        </w:rPr>
        <w:t xml:space="preserve">The last part of the form is generally for officers’ observations where the officer can explain the occurrence (as referral partners may not have these details) and make recommendations as to the actions to be taken next, as well as justifying their gradings of risk. </w:t>
      </w:r>
    </w:p>
    <w:p w14:paraId="391FFDC9" w14:textId="25E79289" w:rsidR="00717AA0" w:rsidRDefault="00717AA0" w:rsidP="00690E31">
      <w:pPr>
        <w:rPr>
          <w:color w:val="000000"/>
        </w:rPr>
      </w:pPr>
      <w:r>
        <w:rPr>
          <w:color w:val="000000"/>
        </w:rPr>
        <w:t xml:space="preserve">The PPN is the sent to the supervisor for quality checking then also sent to the Public Protection Unit (PPU). Who will take care of referrals and consider things like MAPPA’s and </w:t>
      </w:r>
      <w:proofErr w:type="gramStart"/>
      <w:r>
        <w:rPr>
          <w:color w:val="000000"/>
        </w:rPr>
        <w:t>MARAC’s.</w:t>
      </w:r>
      <w:proofErr w:type="gramEnd"/>
    </w:p>
    <w:p w14:paraId="3FED5162" w14:textId="0E57FE9C" w:rsidR="00717AA0" w:rsidRDefault="00717AA0" w:rsidP="00690E31">
      <w:pPr>
        <w:rPr>
          <w:color w:val="000000"/>
        </w:rPr>
      </w:pPr>
    </w:p>
    <w:p w14:paraId="60CF70A0" w14:textId="0D2972F5" w:rsidR="00717AA0" w:rsidRDefault="00717AA0" w:rsidP="00690E31">
      <w:pPr>
        <w:rPr>
          <w:color w:val="000000"/>
        </w:rPr>
      </w:pPr>
      <w:r>
        <w:rPr>
          <w:color w:val="000000"/>
        </w:rPr>
        <w:t xml:space="preserve">20. </w:t>
      </w:r>
      <w:r w:rsidR="00686559">
        <w:rPr>
          <w:color w:val="000000"/>
        </w:rPr>
        <w:t>–</w:t>
      </w:r>
      <w:r>
        <w:rPr>
          <w:color w:val="000000"/>
        </w:rPr>
        <w:t xml:space="preserve"> </w:t>
      </w:r>
      <w:r w:rsidR="00686559">
        <w:rPr>
          <w:color w:val="000000"/>
        </w:rPr>
        <w:t xml:space="preserve">a DVPN is a domestic violence protection notice. This is a prohibitive behaviour restriction </w:t>
      </w:r>
      <w:proofErr w:type="spellStart"/>
      <w:r w:rsidR="00686559">
        <w:rPr>
          <w:color w:val="000000"/>
        </w:rPr>
        <w:t>sed</w:t>
      </w:r>
      <w:proofErr w:type="spellEnd"/>
      <w:r w:rsidR="00686559">
        <w:rPr>
          <w:color w:val="000000"/>
        </w:rPr>
        <w:t xml:space="preserve"> to protect a vulnerable DV victim from persistent and dangerous offenders. It is served to an offender to ban certain types of behaviour or prohibit form being near a victim.</w:t>
      </w:r>
    </w:p>
    <w:p w14:paraId="036DECFB" w14:textId="5D5BC8F6" w:rsidR="00686559" w:rsidRDefault="00686559" w:rsidP="00690E31">
      <w:pPr>
        <w:rPr>
          <w:color w:val="000000"/>
        </w:rPr>
      </w:pPr>
      <w:r>
        <w:rPr>
          <w:color w:val="000000"/>
        </w:rPr>
        <w:t xml:space="preserve">A request for a DVPN first is made to a superintendent or above who will then allow or disallow is to be served to the offender. </w:t>
      </w:r>
      <w:r w:rsidR="00221292">
        <w:rPr>
          <w:color w:val="000000"/>
        </w:rPr>
        <w:t>The DVPN lasts between 24-48 hours after which is MUST be heard at a magistrate’s court to be turned into a domestic violence protection order (DVPO).</w:t>
      </w:r>
    </w:p>
    <w:p w14:paraId="76CAA194" w14:textId="56A59FCD" w:rsidR="00221292" w:rsidRDefault="00221292" w:rsidP="00690E31">
      <w:pPr>
        <w:rPr>
          <w:color w:val="000000"/>
        </w:rPr>
      </w:pPr>
    </w:p>
    <w:p w14:paraId="2AF07130" w14:textId="3B549E1D" w:rsidR="00221292" w:rsidRDefault="00221292" w:rsidP="00690E31">
      <w:pPr>
        <w:rPr>
          <w:color w:val="000000"/>
        </w:rPr>
      </w:pPr>
      <w:r>
        <w:rPr>
          <w:color w:val="000000"/>
        </w:rPr>
        <w:t>21. – Child Sexual Exploitation (CSE) is defined as</w:t>
      </w:r>
    </w:p>
    <w:p w14:paraId="38429C7F" w14:textId="4E42EF2D" w:rsidR="00221292" w:rsidRDefault="00221292" w:rsidP="00690E31">
      <w:pPr>
        <w:rPr>
          <w:color w:val="000000"/>
        </w:rPr>
      </w:pPr>
      <w:r>
        <w:rPr>
          <w:color w:val="000000"/>
        </w:rPr>
        <w:t>“when an individual or group, take advantage of an imbalance in power, to coerce, manipulate, or deceive a young person under the age of 18 into sexual activity”.</w:t>
      </w:r>
    </w:p>
    <w:p w14:paraId="78DE7D9E" w14:textId="253960C8" w:rsidR="00221292" w:rsidRDefault="00221292" w:rsidP="00690E31">
      <w:pPr>
        <w:rPr>
          <w:color w:val="000000"/>
        </w:rPr>
      </w:pPr>
      <w:r>
        <w:rPr>
          <w:color w:val="000000"/>
        </w:rPr>
        <w:t>This is often found to happen to vulnerable children who have been put at risk through drug or alcohol abuse or have been drafted into county lines services. The children will exchange sexual favours with the offenders in return for access to drugs or money or other gifts.</w:t>
      </w:r>
    </w:p>
    <w:p w14:paraId="55BD7CE5" w14:textId="6CC2E1AC" w:rsidR="00221292" w:rsidRDefault="00221292" w:rsidP="00690E31">
      <w:pPr>
        <w:rPr>
          <w:color w:val="000000"/>
        </w:rPr>
      </w:pPr>
      <w:r>
        <w:rPr>
          <w:color w:val="000000"/>
        </w:rPr>
        <w:t xml:space="preserve">22. – Sarah’s law, is like Claire’s law. Where a person has concerns about someone whom is in contact with a child, say a family members new partner, or a friend who appears to be taking an </w:t>
      </w:r>
      <w:r>
        <w:rPr>
          <w:color w:val="000000"/>
        </w:rPr>
        <w:lastRenderedPageBreak/>
        <w:t xml:space="preserve">interest in the child, the concerned person may make a Claire’s law application to the police. </w:t>
      </w:r>
      <w:r w:rsidR="0064032E">
        <w:rPr>
          <w:color w:val="000000"/>
        </w:rPr>
        <w:t xml:space="preserve">The police will then undertake a thorough review of the subject’s history and prior offences (if any) concerning children, and then if it is deemed appropriate, make disclosures not to the reporting person, but to the guardian (whomever it may be) of the child. If the subject IS the Childs guardian, then the disclosure will be forwarded too relevant safeguarding agencies and powers such as the s.46 children’s act power, may be used to protect and remove the child. </w:t>
      </w:r>
    </w:p>
    <w:p w14:paraId="3932198F" w14:textId="77777777" w:rsidR="00221292" w:rsidRDefault="00221292" w:rsidP="00690E31">
      <w:pPr>
        <w:rPr>
          <w:color w:val="000000"/>
        </w:rPr>
      </w:pPr>
    </w:p>
    <w:p w14:paraId="43803683" w14:textId="5FA85601" w:rsidR="00221292" w:rsidRDefault="00221292" w:rsidP="00690E31">
      <w:pPr>
        <w:rPr>
          <w:color w:val="000000"/>
        </w:rPr>
      </w:pPr>
      <w:r>
        <w:rPr>
          <w:color w:val="000000"/>
        </w:rPr>
        <w:t>23. – evidential presumptions are circumstance where the courts will presume that true consent (with the freedom and capacity to make that consent) has not been given. These circumstances are as follows.</w:t>
      </w:r>
    </w:p>
    <w:p w14:paraId="57F848D7" w14:textId="4E5A6631" w:rsidR="00221292" w:rsidRDefault="00221292" w:rsidP="00690E31">
      <w:pPr>
        <w:rPr>
          <w:color w:val="000000"/>
        </w:rPr>
      </w:pPr>
      <w:r>
        <w:rPr>
          <w:color w:val="000000"/>
        </w:rPr>
        <w:t>Forced captivity</w:t>
      </w:r>
    </w:p>
    <w:p w14:paraId="7D0F57FD" w14:textId="7404149F" w:rsidR="00221292" w:rsidRDefault="00221292" w:rsidP="00690E31">
      <w:pPr>
        <w:rPr>
          <w:color w:val="000000"/>
        </w:rPr>
      </w:pPr>
      <w:r>
        <w:rPr>
          <w:color w:val="000000"/>
        </w:rPr>
        <w:t>Fear of violence</w:t>
      </w:r>
    </w:p>
    <w:p w14:paraId="5B981826" w14:textId="2F6740A5" w:rsidR="00221292" w:rsidRDefault="00221292" w:rsidP="00690E31">
      <w:pPr>
        <w:rPr>
          <w:color w:val="000000"/>
        </w:rPr>
      </w:pPr>
      <w:r>
        <w:rPr>
          <w:color w:val="000000"/>
        </w:rPr>
        <w:t>Inability to communicate consent</w:t>
      </w:r>
    </w:p>
    <w:p w14:paraId="2727D6EE" w14:textId="689E328E" w:rsidR="00221292" w:rsidRDefault="00221292" w:rsidP="00690E31">
      <w:pPr>
        <w:rPr>
          <w:color w:val="000000"/>
        </w:rPr>
      </w:pPr>
      <w:r>
        <w:rPr>
          <w:color w:val="000000"/>
        </w:rPr>
        <w:t>Unconsciousness</w:t>
      </w:r>
    </w:p>
    <w:p w14:paraId="18064F19" w14:textId="6087CC3E" w:rsidR="00221292" w:rsidRDefault="00221292" w:rsidP="00690E31">
      <w:pPr>
        <w:rPr>
          <w:color w:val="000000"/>
        </w:rPr>
      </w:pPr>
      <w:r>
        <w:rPr>
          <w:color w:val="000000"/>
        </w:rPr>
        <w:t>The use of stupefying substances</w:t>
      </w:r>
    </w:p>
    <w:p w14:paraId="6FD36C3C" w14:textId="61EAE622" w:rsidR="00221292" w:rsidRDefault="00221292" w:rsidP="00690E31">
      <w:pPr>
        <w:rPr>
          <w:color w:val="000000"/>
        </w:rPr>
      </w:pPr>
      <w:r>
        <w:rPr>
          <w:color w:val="000000"/>
        </w:rPr>
        <w:t>Where any of these circumstances are met as being involved in the act, the courts can presume that consent with freedom and capacity to give consent, has not been given.</w:t>
      </w:r>
    </w:p>
    <w:p w14:paraId="0B8B7F4C" w14:textId="49FA6138" w:rsidR="002874EC" w:rsidRDefault="002874EC" w:rsidP="00690E31">
      <w:pPr>
        <w:rPr>
          <w:color w:val="000000"/>
        </w:rPr>
      </w:pPr>
      <w:r>
        <w:rPr>
          <w:color w:val="000000"/>
        </w:rPr>
        <w:t>There are also two conclusive presumptions that follow the same rules which are</w:t>
      </w:r>
    </w:p>
    <w:p w14:paraId="25707890" w14:textId="2224FB81" w:rsidR="002874EC" w:rsidRDefault="002874EC" w:rsidP="00690E31">
      <w:pPr>
        <w:rPr>
          <w:color w:val="000000"/>
        </w:rPr>
      </w:pPr>
      <w:r>
        <w:rPr>
          <w:color w:val="000000"/>
        </w:rPr>
        <w:t>Deceiving the victim as to the nature of the act</w:t>
      </w:r>
    </w:p>
    <w:p w14:paraId="1F55582A" w14:textId="1FEA1E52" w:rsidR="002874EC" w:rsidRDefault="002874EC" w:rsidP="00690E31">
      <w:pPr>
        <w:rPr>
          <w:color w:val="000000"/>
        </w:rPr>
      </w:pPr>
      <w:r>
        <w:rPr>
          <w:color w:val="000000"/>
        </w:rPr>
        <w:t>Impersonation of someone personally known to the victim</w:t>
      </w:r>
    </w:p>
    <w:p w14:paraId="6F7DA7B3" w14:textId="42977F0E" w:rsidR="00221292" w:rsidRDefault="00221292" w:rsidP="00690E31">
      <w:pPr>
        <w:rPr>
          <w:color w:val="000000"/>
        </w:rPr>
      </w:pPr>
    </w:p>
    <w:p w14:paraId="48F20DD5" w14:textId="78CCB361" w:rsidR="00221292" w:rsidRDefault="00221292" w:rsidP="00690E31">
      <w:pPr>
        <w:rPr>
          <w:color w:val="000000"/>
        </w:rPr>
      </w:pPr>
      <w:r>
        <w:rPr>
          <w:color w:val="000000"/>
        </w:rPr>
        <w:t xml:space="preserve">24. – </w:t>
      </w:r>
    </w:p>
    <w:p w14:paraId="1BFE9450" w14:textId="600A7757" w:rsidR="00221292" w:rsidRDefault="00221292" w:rsidP="00690E31">
      <w:pPr>
        <w:rPr>
          <w:color w:val="000000"/>
        </w:rPr>
      </w:pPr>
    </w:p>
    <w:p w14:paraId="0C911C0D" w14:textId="15607C4F" w:rsidR="00221292" w:rsidRDefault="00221292" w:rsidP="00690E31">
      <w:pPr>
        <w:rPr>
          <w:color w:val="000000" w:themeColor="text1"/>
        </w:rPr>
      </w:pPr>
      <w:r>
        <w:rPr>
          <w:color w:val="000000"/>
        </w:rPr>
        <w:t xml:space="preserve">25. - </w:t>
      </w:r>
    </w:p>
    <w:p w14:paraId="68C20651" w14:textId="77777777" w:rsidR="00B15F1B" w:rsidRDefault="00B15F1B" w:rsidP="00690E31"/>
    <w:p w14:paraId="44B97ECA" w14:textId="77777777" w:rsidR="00775B89" w:rsidRDefault="00775B89" w:rsidP="00690E31"/>
    <w:p w14:paraId="2E8338E6" w14:textId="77777777" w:rsidR="00E20662" w:rsidRDefault="00E20662" w:rsidP="00690E31"/>
    <w:p w14:paraId="56ABB928" w14:textId="77777777" w:rsidR="005E0C45" w:rsidRDefault="005E0C45" w:rsidP="00690E31"/>
    <w:p w14:paraId="2B9426F6" w14:textId="77777777" w:rsidR="005E0C45" w:rsidRDefault="005E0C45" w:rsidP="00690E31"/>
    <w:p w14:paraId="7066AF0E" w14:textId="77777777" w:rsidR="00690E31" w:rsidRDefault="00690E31" w:rsidP="00690E31"/>
    <w:p w14:paraId="0B977FD0" w14:textId="75EC2FC3" w:rsidR="00706CF7" w:rsidRDefault="00706CF7"/>
    <w:p w14:paraId="6CC9D49D" w14:textId="77777777" w:rsidR="00706CF7" w:rsidRDefault="00706CF7"/>
    <w:p w14:paraId="2CA4321D" w14:textId="77777777" w:rsidR="007128AC" w:rsidRDefault="007128AC"/>
    <w:p w14:paraId="41CB8C5E" w14:textId="77777777" w:rsidR="00A922DC" w:rsidRDefault="00A922DC"/>
    <w:p w14:paraId="10713EFB" w14:textId="77777777" w:rsidR="00A922DC" w:rsidRDefault="00A922DC"/>
    <w:p w14:paraId="696CE816" w14:textId="77777777" w:rsidR="005F157C" w:rsidRDefault="005F157C"/>
    <w:sectPr w:rsidR="005F157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E76FEC7" w14:textId="77777777" w:rsidR="007B3B79" w:rsidRDefault="007B3B79" w:rsidP="007B3B79">
      <w:pPr>
        <w:spacing w:after="0" w:line="240" w:lineRule="auto"/>
      </w:pPr>
      <w:r>
        <w:separator/>
      </w:r>
    </w:p>
  </w:endnote>
  <w:endnote w:type="continuationSeparator" w:id="0">
    <w:p w14:paraId="5FA4677B" w14:textId="77777777" w:rsidR="007B3B79" w:rsidRDefault="007B3B79" w:rsidP="007B3B7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mp;quot">
    <w:altName w:val="Cambria"/>
    <w:panose1 w:val="00000000000000000000"/>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5EB690D" w14:textId="77777777" w:rsidR="007B3B79" w:rsidRDefault="007B3B79" w:rsidP="007B3B79">
      <w:pPr>
        <w:spacing w:after="0" w:line="240" w:lineRule="auto"/>
      </w:pPr>
      <w:r>
        <w:separator/>
      </w:r>
    </w:p>
  </w:footnote>
  <w:footnote w:type="continuationSeparator" w:id="0">
    <w:p w14:paraId="53A4949C" w14:textId="77777777" w:rsidR="007B3B79" w:rsidRDefault="007B3B79" w:rsidP="007B3B7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F6F53"/>
    <w:rsid w:val="00142637"/>
    <w:rsid w:val="00146458"/>
    <w:rsid w:val="00153738"/>
    <w:rsid w:val="00221292"/>
    <w:rsid w:val="00240212"/>
    <w:rsid w:val="002874EC"/>
    <w:rsid w:val="002C3A2F"/>
    <w:rsid w:val="003010C7"/>
    <w:rsid w:val="003A3CA5"/>
    <w:rsid w:val="003B17C0"/>
    <w:rsid w:val="003E0CBE"/>
    <w:rsid w:val="0050236F"/>
    <w:rsid w:val="00564648"/>
    <w:rsid w:val="005E0C45"/>
    <w:rsid w:val="005F157C"/>
    <w:rsid w:val="0064032E"/>
    <w:rsid w:val="00686559"/>
    <w:rsid w:val="00690E31"/>
    <w:rsid w:val="00706CF7"/>
    <w:rsid w:val="007128AC"/>
    <w:rsid w:val="00717AA0"/>
    <w:rsid w:val="00775B89"/>
    <w:rsid w:val="007B3B79"/>
    <w:rsid w:val="00882F02"/>
    <w:rsid w:val="009B3E30"/>
    <w:rsid w:val="00A922DC"/>
    <w:rsid w:val="00B15F1B"/>
    <w:rsid w:val="00BD2705"/>
    <w:rsid w:val="00C26225"/>
    <w:rsid w:val="00C32E8D"/>
    <w:rsid w:val="00C67F8D"/>
    <w:rsid w:val="00D147AE"/>
    <w:rsid w:val="00D264DD"/>
    <w:rsid w:val="00D674E9"/>
    <w:rsid w:val="00E20662"/>
    <w:rsid w:val="00EF6F53"/>
    <w:rsid w:val="00FB67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F1DCE22"/>
  <w15:chartTrackingRefBased/>
  <w15:docId w15:val="{C28FC401-2630-4876-B6F4-B273CC2A15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7B3B79"/>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mailto:2024849@student.uwtsd.ac.uk" TargetMode="Externa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3327</Words>
  <Characters>18970</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22253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Webb, Alex K</dc:creator>
  <cp:keywords/>
  <dc:description/>
  <cp:lastModifiedBy>Webb, Alex K</cp:lastModifiedBy>
  <cp:revision>2</cp:revision>
  <dcterms:created xsi:type="dcterms:W3CDTF">2021-06-01T10:00:00Z</dcterms:created>
  <dcterms:modified xsi:type="dcterms:W3CDTF">2021-06-01T10:00:00Z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iteId">
    <vt:lpwstr>e46c8472-ef5d-4b63-bc74-4a60db42c371</vt:lpwstr>
  </property>
  <property fmtid="{D5CDD505-2E9C-101B-9397-08002B2CF9AE}" pid="4" name="MSIP_Label_f2acd28b-79a3-4a0f-b0ff-4b75658b1549_Owner">
    <vt:lpwstr>Alex.Webb2@gwent.police.uk</vt:lpwstr>
  </property>
  <property fmtid="{D5CDD505-2E9C-101B-9397-08002B2CF9AE}" pid="5" name="MSIP_Label_f2acd28b-79a3-4a0f-b0ff-4b75658b1549_SetDate">
    <vt:lpwstr>2021-06-01T07:53:05.0798598Z</vt:lpwstr>
  </property>
  <property fmtid="{D5CDD505-2E9C-101B-9397-08002B2CF9AE}" pid="6" name="MSIP_Label_f2acd28b-79a3-4a0f-b0ff-4b75658b1549_Name">
    <vt:lpwstr>OFFICIAL</vt:lpwstr>
  </property>
  <property fmtid="{D5CDD505-2E9C-101B-9397-08002B2CF9AE}" pid="7" name="MSIP_Label_f2acd28b-79a3-4a0f-b0ff-4b75658b1549_Application">
    <vt:lpwstr>Microsoft Azure Information Protection</vt:lpwstr>
  </property>
  <property fmtid="{D5CDD505-2E9C-101B-9397-08002B2CF9AE}" pid="8" name="MSIP_Label_f2acd28b-79a3-4a0f-b0ff-4b75658b1549_ActionId">
    <vt:lpwstr>4fecbc00-0b71-4338-9f82-8df1d0a36743</vt:lpwstr>
  </property>
  <property fmtid="{D5CDD505-2E9C-101B-9397-08002B2CF9AE}" pid="9" name="MSIP_Label_f2acd28b-79a3-4a0f-b0ff-4b75658b1549_Extended_MSFT_Method">
    <vt:lpwstr>Automatic</vt:lpwstr>
  </property>
  <property fmtid="{D5CDD505-2E9C-101B-9397-08002B2CF9AE}" pid="10" name="Sensitivity">
    <vt:lpwstr>OFFICIAL</vt:lpwstr>
  </property>
</Properties>
</file>