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F3326" w:rsidRDefault="009F3326">
      <w:pPr>
        <w:jc w:val="center"/>
        <w:rPr>
          <w:sz w:val="60"/>
          <w:szCs w:val="60"/>
        </w:rPr>
      </w:pPr>
    </w:p>
    <w:p w14:paraId="00000002" w14:textId="77777777" w:rsidR="009F3326" w:rsidRDefault="009F3326">
      <w:pPr>
        <w:jc w:val="center"/>
        <w:rPr>
          <w:sz w:val="60"/>
          <w:szCs w:val="60"/>
        </w:rPr>
      </w:pPr>
    </w:p>
    <w:p w14:paraId="00000003" w14:textId="77777777" w:rsidR="009F3326" w:rsidRDefault="009F3326">
      <w:pPr>
        <w:rPr>
          <w:sz w:val="60"/>
          <w:szCs w:val="60"/>
        </w:rPr>
      </w:pPr>
    </w:p>
    <w:p w14:paraId="00000004" w14:textId="77777777" w:rsidR="009F3326" w:rsidRDefault="009F3326">
      <w:pPr>
        <w:rPr>
          <w:sz w:val="60"/>
          <w:szCs w:val="60"/>
        </w:rPr>
      </w:pPr>
    </w:p>
    <w:p w14:paraId="00000005" w14:textId="77777777" w:rsidR="009F3326" w:rsidRDefault="00586CEF">
      <w:pPr>
        <w:pStyle w:val="Title"/>
      </w:pPr>
      <w:bookmarkStart w:id="0" w:name="_3dhqnoqiqysr" w:colFirst="0" w:colLast="0"/>
      <w:bookmarkEnd w:id="0"/>
      <w:r>
        <w:t>Contract Law Assignment 1</w:t>
      </w:r>
    </w:p>
    <w:p w14:paraId="00000006" w14:textId="77777777" w:rsidR="009F3326" w:rsidRDefault="00586CEF">
      <w:pPr>
        <w:jc w:val="center"/>
      </w:pPr>
      <w:r>
        <w:t>Ewan Swan - 1901543</w:t>
      </w:r>
    </w:p>
    <w:p w14:paraId="00000007" w14:textId="77777777" w:rsidR="009F3326" w:rsidRDefault="009F3326">
      <w:pPr>
        <w:jc w:val="center"/>
      </w:pPr>
    </w:p>
    <w:p w14:paraId="00000008" w14:textId="77777777" w:rsidR="009F3326" w:rsidRDefault="009F3326">
      <w:pPr>
        <w:jc w:val="center"/>
      </w:pPr>
    </w:p>
    <w:p w14:paraId="00000009" w14:textId="77777777" w:rsidR="009F3326" w:rsidRDefault="009F3326">
      <w:pPr>
        <w:jc w:val="center"/>
      </w:pPr>
    </w:p>
    <w:p w14:paraId="0000000A" w14:textId="77777777" w:rsidR="009F3326" w:rsidRDefault="009F3326">
      <w:pPr>
        <w:jc w:val="center"/>
      </w:pPr>
    </w:p>
    <w:p w14:paraId="0000000B" w14:textId="77777777" w:rsidR="009F3326" w:rsidRDefault="009F3326">
      <w:pPr>
        <w:jc w:val="center"/>
      </w:pPr>
    </w:p>
    <w:p w14:paraId="0000000C" w14:textId="77777777" w:rsidR="009F3326" w:rsidRDefault="009F3326">
      <w:pPr>
        <w:jc w:val="center"/>
      </w:pPr>
    </w:p>
    <w:p w14:paraId="0000000D" w14:textId="77777777" w:rsidR="009F3326" w:rsidRDefault="009F3326">
      <w:pPr>
        <w:jc w:val="center"/>
      </w:pPr>
    </w:p>
    <w:p w14:paraId="0000000E" w14:textId="77777777" w:rsidR="009F3326" w:rsidRDefault="009F3326">
      <w:pPr>
        <w:jc w:val="center"/>
      </w:pPr>
    </w:p>
    <w:p w14:paraId="0000000F" w14:textId="77777777" w:rsidR="009F3326" w:rsidRDefault="009F3326">
      <w:pPr>
        <w:jc w:val="center"/>
      </w:pPr>
    </w:p>
    <w:p w14:paraId="00000010" w14:textId="77777777" w:rsidR="009F3326" w:rsidRDefault="009F3326">
      <w:pPr>
        <w:jc w:val="center"/>
      </w:pPr>
    </w:p>
    <w:p w14:paraId="00000011" w14:textId="77777777" w:rsidR="009F3326" w:rsidRDefault="009F3326">
      <w:pPr>
        <w:jc w:val="center"/>
      </w:pPr>
    </w:p>
    <w:p w14:paraId="00000012" w14:textId="77777777" w:rsidR="009F3326" w:rsidRDefault="009F3326">
      <w:pPr>
        <w:jc w:val="center"/>
      </w:pPr>
    </w:p>
    <w:p w14:paraId="00000013" w14:textId="77777777" w:rsidR="009F3326" w:rsidRDefault="009F3326">
      <w:pPr>
        <w:jc w:val="center"/>
      </w:pPr>
    </w:p>
    <w:p w14:paraId="00000014" w14:textId="77777777" w:rsidR="009F3326" w:rsidRDefault="009F3326">
      <w:pPr>
        <w:jc w:val="center"/>
      </w:pPr>
    </w:p>
    <w:p w14:paraId="00000015" w14:textId="77777777" w:rsidR="009F3326" w:rsidRDefault="009F3326">
      <w:pPr>
        <w:jc w:val="center"/>
      </w:pPr>
    </w:p>
    <w:p w14:paraId="00000016" w14:textId="77777777" w:rsidR="009F3326" w:rsidRDefault="009F3326">
      <w:pPr>
        <w:ind w:left="0"/>
      </w:pPr>
    </w:p>
    <w:p w14:paraId="00000017" w14:textId="77777777" w:rsidR="009F3326" w:rsidRDefault="009F3326">
      <w:pPr>
        <w:spacing w:before="240" w:after="240"/>
        <w:ind w:left="0"/>
      </w:pPr>
    </w:p>
    <w:p w14:paraId="2510A7EC" w14:textId="74981F37" w:rsidR="00184AA1" w:rsidRPr="00184AA1" w:rsidRDefault="00586CEF" w:rsidP="00184AA1">
      <w:pPr>
        <w:pStyle w:val="Heading1"/>
      </w:pPr>
      <w:bookmarkStart w:id="1" w:name="_xnvde62eigug" w:colFirst="0" w:colLast="0"/>
      <w:bookmarkEnd w:id="1"/>
      <w:r>
        <w:lastRenderedPageBreak/>
        <w:t>a)</w:t>
      </w:r>
      <w:r>
        <w:rPr>
          <w:rFonts w:ascii="Times New Roman" w:eastAsia="Times New Roman" w:hAnsi="Times New Roman" w:cs="Times New Roman"/>
        </w:rPr>
        <w:t xml:space="preserve">    </w:t>
      </w:r>
      <w:r>
        <w:t xml:space="preserve">What is the rule of privity of contract? [5 marks] </w:t>
      </w:r>
    </w:p>
    <w:p w14:paraId="00000019" w14:textId="58AD5F24" w:rsidR="009F3326" w:rsidRDefault="00586CEF">
      <w:pPr>
        <w:spacing w:before="240" w:after="240"/>
        <w:ind w:left="0"/>
        <w:rPr>
          <w:highlight w:val="white"/>
        </w:rPr>
      </w:pPr>
      <w:r>
        <w:rPr>
          <w:highlight w:val="white"/>
        </w:rPr>
        <w:t>T</w:t>
      </w:r>
      <w:r>
        <w:rPr>
          <w:highlight w:val="white"/>
        </w:rPr>
        <w:t xml:space="preserve">he rule of privity of contract creates rights and obligations on the contracting parties alone. The rule prohibits third parties from imposing contractual conditions and only contractual parties can sue or be sued under it. </w:t>
      </w:r>
      <w:r>
        <w:t>This is true even if the contra</w:t>
      </w:r>
      <w:r>
        <w:t xml:space="preserve">ct was established to benefit the third </w:t>
      </w:r>
      <w:r w:rsidR="00184AA1">
        <w:t>party</w:t>
      </w:r>
      <w:r w:rsidR="00184AA1">
        <w:rPr>
          <w:highlight w:val="white"/>
        </w:rPr>
        <w:t xml:space="preserve"> (</w:t>
      </w:r>
      <w:r>
        <w:rPr>
          <w:highlight w:val="white"/>
        </w:rPr>
        <w:t>Dunlop Pneumatic Tyre Co Ltd v Selfridge &amp; Co Ltd 1915).</w:t>
      </w:r>
    </w:p>
    <w:p w14:paraId="0000001B" w14:textId="20578849" w:rsidR="009F3326" w:rsidRDefault="00586CEF">
      <w:pPr>
        <w:spacing w:before="240" w:after="240"/>
        <w:ind w:left="0"/>
        <w:rPr>
          <w:shd w:val="clear" w:color="auto" w:fill="FBFBFB"/>
        </w:rPr>
      </w:pPr>
      <w:r>
        <w:rPr>
          <w:highlight w:val="white"/>
        </w:rPr>
        <w:t>The United Kingdom Contracts (Rights of Third Parties) Act 1999 developed the doctrine, allowing third parties to enforce contractual terms if the cont</w:t>
      </w:r>
      <w:r>
        <w:rPr>
          <w:highlight w:val="white"/>
        </w:rPr>
        <w:t>ract clearly allows it and the term benefits the third party (</w:t>
      </w:r>
      <w:r>
        <w:rPr>
          <w:shd w:val="clear" w:color="auto" w:fill="FBFBFB"/>
        </w:rPr>
        <w:t>Andrews 2001)</w:t>
      </w:r>
      <w:r>
        <w:rPr>
          <w:highlight w:val="white"/>
        </w:rPr>
        <w:t>.</w:t>
      </w:r>
    </w:p>
    <w:p w14:paraId="59142339" w14:textId="77777777" w:rsidR="00184AA1" w:rsidRPr="00184AA1" w:rsidRDefault="00184AA1">
      <w:pPr>
        <w:spacing w:before="240" w:after="240"/>
        <w:ind w:left="0"/>
        <w:rPr>
          <w:shd w:val="clear" w:color="auto" w:fill="FBFBFB"/>
        </w:rPr>
      </w:pPr>
    </w:p>
    <w:p w14:paraId="0000001C" w14:textId="77777777" w:rsidR="009F3326" w:rsidRDefault="00586CEF">
      <w:pPr>
        <w:pStyle w:val="Heading1"/>
      </w:pPr>
      <w:bookmarkStart w:id="2" w:name="_dk3nzscljdfp" w:colFirst="0" w:colLast="0"/>
      <w:bookmarkEnd w:id="2"/>
      <w:r>
        <w:t>b)</w:t>
      </w:r>
      <w:r>
        <w:rPr>
          <w:rFonts w:ascii="Times New Roman" w:eastAsia="Times New Roman" w:hAnsi="Times New Roman" w:cs="Times New Roman"/>
        </w:rPr>
        <w:t xml:space="preserve">    </w:t>
      </w:r>
      <w:r>
        <w:t xml:space="preserve">Explain whether past consideration amounts to good consideration [10 marks] </w:t>
      </w:r>
    </w:p>
    <w:p w14:paraId="0000001D" w14:textId="77777777" w:rsidR="009F3326" w:rsidRDefault="00586CEF">
      <w:pPr>
        <w:spacing w:before="240" w:after="240"/>
        <w:ind w:left="0"/>
      </w:pPr>
      <w:r>
        <w:rPr>
          <w:highlight w:val="white"/>
        </w:rPr>
        <w:t>A valid contract requires each contracting party to benefit and suffer detriment under it. The benefit or detriment suffered is consideration. Past consideration is no consideration. Consideration must be given in exchange for a promise at the time the pro</w:t>
      </w:r>
      <w:r>
        <w:rPr>
          <w:highlight w:val="white"/>
        </w:rPr>
        <w:t xml:space="preserve">mise is made to be enforceable (Re McArdle 1951). Requested performance is an exception to this, If the conduct had been performed at the promisor's request, the 'past' consideration would have been acceptable (Pao On v Lau </w:t>
      </w:r>
      <w:proofErr w:type="spellStart"/>
      <w:r>
        <w:rPr>
          <w:highlight w:val="white"/>
        </w:rPr>
        <w:t>Yiu</w:t>
      </w:r>
      <w:proofErr w:type="spellEnd"/>
      <w:r>
        <w:rPr>
          <w:highlight w:val="white"/>
        </w:rPr>
        <w:t xml:space="preserve"> Long).</w:t>
      </w:r>
      <w:r>
        <w:t xml:space="preserve"> </w:t>
      </w:r>
    </w:p>
    <w:p w14:paraId="0000001E" w14:textId="1A6517DC" w:rsidR="009F3326" w:rsidRDefault="00586CEF">
      <w:pPr>
        <w:spacing w:before="240" w:after="240"/>
        <w:ind w:left="0"/>
        <w:rPr>
          <w:shd w:val="clear" w:color="auto" w:fill="FBFBFB"/>
        </w:rPr>
      </w:pPr>
      <w:r>
        <w:t xml:space="preserve">However, in today's </w:t>
      </w:r>
      <w:r>
        <w:t xml:space="preserve">world, there is a growing consensus that commitments made in the past can be enforced. According to contemporary thinking, a promise can be enforced if it involves a substantial </w:t>
      </w:r>
      <w:r w:rsidR="00184AA1">
        <w:t>advantage,</w:t>
      </w:r>
      <w:r>
        <w:t xml:space="preserve"> and the benefit was promised after consideration</w:t>
      </w:r>
      <w:r>
        <w:rPr>
          <w:shd w:val="clear" w:color="auto" w:fill="FBFBFB"/>
        </w:rPr>
        <w:t xml:space="preserve"> (</w:t>
      </w:r>
      <w:proofErr w:type="spellStart"/>
      <w:r>
        <w:rPr>
          <w:shd w:val="clear" w:color="auto" w:fill="FBFBFB"/>
        </w:rPr>
        <w:t>UpCounsel</w:t>
      </w:r>
      <w:proofErr w:type="spellEnd"/>
      <w:r>
        <w:rPr>
          <w:shd w:val="clear" w:color="auto" w:fill="FBFBFB"/>
        </w:rPr>
        <w:t xml:space="preserve"> 2019). T</w:t>
      </w:r>
      <w:r>
        <w:rPr>
          <w:shd w:val="clear" w:color="auto" w:fill="FBFBFB"/>
        </w:rPr>
        <w:t>his is still up for debate however and the consensus is still past consideration is to be considered no consideration in the majority of instances.</w:t>
      </w:r>
    </w:p>
    <w:p w14:paraId="140FDF84" w14:textId="77777777" w:rsidR="00184AA1" w:rsidRDefault="00184AA1">
      <w:pPr>
        <w:spacing w:before="240" w:after="240"/>
        <w:ind w:left="0"/>
        <w:rPr>
          <w:shd w:val="clear" w:color="auto" w:fill="FBFBFB"/>
        </w:rPr>
      </w:pPr>
    </w:p>
    <w:p w14:paraId="0000001F" w14:textId="77777777" w:rsidR="009F3326" w:rsidRDefault="00586CEF">
      <w:pPr>
        <w:pStyle w:val="Heading1"/>
      </w:pPr>
      <w:bookmarkStart w:id="3" w:name="_5x3duzjgv9zf" w:colFirst="0" w:colLast="0"/>
      <w:bookmarkEnd w:id="3"/>
      <w:r>
        <w:t xml:space="preserve">c)    Identify three of the exceptions to the entire performance rule from </w:t>
      </w:r>
      <w:r>
        <w:rPr>
          <w:i/>
        </w:rPr>
        <w:t xml:space="preserve">Cutter v Powell (1795). </w:t>
      </w:r>
      <w:r>
        <w:t>[15 marks</w:t>
      </w:r>
      <w:r>
        <w:t>]</w:t>
      </w:r>
    </w:p>
    <w:p w14:paraId="00000020" w14:textId="77777777" w:rsidR="009F3326" w:rsidRDefault="00586CEF">
      <w:pPr>
        <w:spacing w:before="240" w:after="240"/>
        <w:ind w:left="0"/>
      </w:pPr>
      <w:r>
        <w:t xml:space="preserve">The entire performance rule is </w:t>
      </w:r>
      <w:r>
        <w:rPr>
          <w:rFonts w:ascii="Roboto" w:eastAsia="Roboto" w:hAnsi="Roboto" w:cs="Roboto"/>
          <w:highlight w:val="white"/>
        </w:rPr>
        <w:t>where a contract provides for consideration for the complete performance of an express contractual term, a term cannot be implied for partial performance. (</w:t>
      </w:r>
      <w:r>
        <w:rPr>
          <w:highlight w:val="white"/>
        </w:rPr>
        <w:t>Cutter v Powell 1795)</w:t>
      </w:r>
    </w:p>
    <w:p w14:paraId="00000021" w14:textId="18E4B842" w:rsidR="009F3326" w:rsidRDefault="00586CEF">
      <w:pPr>
        <w:spacing w:before="240" w:after="240"/>
        <w:ind w:left="0"/>
      </w:pPr>
      <w:r>
        <w:t>Exceptions of this rule include divisible con</w:t>
      </w:r>
      <w:r>
        <w:t xml:space="preserve">tracts also known as severable contracts. In these </w:t>
      </w:r>
      <w:r w:rsidR="00184AA1">
        <w:t>cases,</w:t>
      </w:r>
      <w:r>
        <w:t xml:space="preserve"> the existing contract will be divided up into separate parts where possible. If a specific amount is agreed to be payable per hour or per week, then the court may award a sum for the parts of the con</w:t>
      </w:r>
      <w:r>
        <w:t>tract that were completed. (</w:t>
      </w:r>
      <w:r>
        <w:rPr>
          <w:i/>
        </w:rPr>
        <w:t>Ritchie v Atkinson</w:t>
      </w:r>
      <w:r>
        <w:t xml:space="preserve"> 1808)          </w:t>
      </w:r>
    </w:p>
    <w:p w14:paraId="00000022" w14:textId="15719264" w:rsidR="009F3326" w:rsidRDefault="00586CEF">
      <w:pPr>
        <w:spacing w:before="240" w:after="240"/>
        <w:ind w:left="0"/>
        <w:jc w:val="both"/>
      </w:pPr>
      <w:r>
        <w:t>A further exception is substantial performance. This takes place when a court is satisfied with the performance presented. The court may then award the contractually agreed price for the amount</w:t>
      </w:r>
      <w:r>
        <w:t xml:space="preserve"> of work completed and subsequently will deduct a sum to reflect that which was not performed(</w:t>
      </w:r>
      <w:hyperlink r:id="rId4">
        <w:r>
          <w:t>Bolton v Mahadeva</w:t>
        </w:r>
      </w:hyperlink>
      <w:r>
        <w:t xml:space="preserve"> 1972). If the performance is not held to a substantial amount the claiman</w:t>
      </w:r>
      <w:r>
        <w:t xml:space="preserve">t will not be entitled to </w:t>
      </w:r>
      <w:r w:rsidR="00184AA1">
        <w:t>anything,</w:t>
      </w:r>
      <w:r>
        <w:t xml:space="preserve"> however. Distinguishing substantial performance can be considered difficult as cases may vary wildly, therefore they are determined by the facts of individual cases(</w:t>
      </w:r>
      <w:hyperlink r:id="rId5">
        <w:r>
          <w:t>Hoenig v Isaacs</w:t>
        </w:r>
      </w:hyperlink>
      <w:r>
        <w:t xml:space="preserve"> 1952).</w:t>
      </w:r>
    </w:p>
    <w:p w14:paraId="00000023" w14:textId="77777777" w:rsidR="009F3326" w:rsidRDefault="00586CEF">
      <w:pPr>
        <w:spacing w:before="240" w:after="240"/>
        <w:ind w:left="0"/>
        <w:rPr>
          <w:highlight w:val="white"/>
        </w:rPr>
      </w:pPr>
      <w:r>
        <w:t>Acceptance of partial performance is another exception that can occur. When one party willingly accepts incomplete performance, a fee is due for the task that is accomplished. The emphasis is on free acceptance</w:t>
      </w:r>
      <w:r>
        <w:rPr>
          <w:i/>
          <w:highlight w:val="white"/>
        </w:rPr>
        <w:t>(Sumpter</w:t>
      </w:r>
      <w:r>
        <w:rPr>
          <w:i/>
          <w:highlight w:val="white"/>
        </w:rPr>
        <w:t xml:space="preserve"> v Hedges</w:t>
      </w:r>
      <w:r>
        <w:rPr>
          <w:highlight w:val="white"/>
        </w:rPr>
        <w:t xml:space="preserve"> 1898). Following the acceptance, an implicit secondary contract is established, which is effectively an agreement to repudiate the original contract and construct a new one for partial fulfilment </w:t>
      </w:r>
      <w:proofErr w:type="spellStart"/>
      <w:r>
        <w:rPr>
          <w:highlight w:val="white"/>
        </w:rPr>
        <w:t>payout</w:t>
      </w:r>
      <w:proofErr w:type="spellEnd"/>
      <w:r>
        <w:rPr>
          <w:highlight w:val="white"/>
        </w:rPr>
        <w:t xml:space="preserve"> (</w:t>
      </w:r>
      <w:proofErr w:type="spellStart"/>
      <w:r>
        <w:rPr>
          <w:highlight w:val="white"/>
        </w:rPr>
        <w:t>Kronman</w:t>
      </w:r>
      <w:proofErr w:type="spellEnd"/>
      <w:r>
        <w:rPr>
          <w:highlight w:val="white"/>
        </w:rPr>
        <w:t xml:space="preserve"> 1985). </w:t>
      </w:r>
    </w:p>
    <w:p w14:paraId="00000024" w14:textId="77777777" w:rsidR="009F3326" w:rsidRDefault="009F3326">
      <w:pPr>
        <w:spacing w:before="240" w:after="240"/>
        <w:ind w:left="0"/>
        <w:rPr>
          <w:highlight w:val="white"/>
        </w:rPr>
      </w:pPr>
    </w:p>
    <w:p w14:paraId="00000025" w14:textId="77777777" w:rsidR="009F3326" w:rsidRDefault="00586CEF">
      <w:pPr>
        <w:pStyle w:val="Heading1"/>
      </w:pPr>
      <w:bookmarkStart w:id="4" w:name="_71xu1dqa8urz" w:colFirst="0" w:colLast="0"/>
      <w:bookmarkEnd w:id="4"/>
      <w:r>
        <w:lastRenderedPageBreak/>
        <w:t xml:space="preserve">d) Advise Arthur whether </w:t>
      </w:r>
      <w:r>
        <w:t xml:space="preserve">any valid contracts exist for the sale of the </w:t>
      </w:r>
      <w:r>
        <w:t>watch.[</w:t>
      </w:r>
      <w:r>
        <w:t xml:space="preserve">70 marks] </w:t>
      </w:r>
    </w:p>
    <w:p w14:paraId="00000026" w14:textId="77777777" w:rsidR="009F3326" w:rsidRDefault="00586CEF">
      <w:pPr>
        <w:spacing w:before="240" w:after="240"/>
        <w:ind w:left="0"/>
      </w:pPr>
      <w:r>
        <w:t>Arthur posted an advert in the “antique-tickers” and wrote “Antique Rolex Watch For Sale, open to serious offers. Price: £15,000”. Arthur’s advertisement of the watch is not an offer but is an</w:t>
      </w:r>
      <w:r>
        <w:t xml:space="preserve"> invitation to treat.</w:t>
      </w:r>
    </w:p>
    <w:p w14:paraId="00000027" w14:textId="77777777" w:rsidR="009F3326" w:rsidRDefault="00586CEF">
      <w:pPr>
        <w:spacing w:before="240" w:after="240"/>
        <w:ind w:left="0"/>
        <w:rPr>
          <w:sz w:val="16"/>
          <w:szCs w:val="16"/>
        </w:rPr>
      </w:pPr>
      <w:r>
        <w:t xml:space="preserve">An offer is a declaration of the terms upon which the offeror is willing to enter into a contract. The offer should be comprehensive, detailed, and capable of being accepted. Arthurs advert does not meet the criteria and is therefore </w:t>
      </w:r>
      <w:r>
        <w:t>not an offer. (</w:t>
      </w:r>
      <w:r>
        <w:rPr>
          <w:highlight w:val="white"/>
        </w:rPr>
        <w:t>Harvey v Facey 1893)</w:t>
      </w:r>
    </w:p>
    <w:p w14:paraId="00000028" w14:textId="00CB44A3" w:rsidR="009F3326" w:rsidRDefault="00586CEF">
      <w:pPr>
        <w:spacing w:before="240" w:after="240"/>
        <w:ind w:left="0"/>
      </w:pPr>
      <w:r>
        <w:t>Advertisements are generally considered to be invitations to treat rather than offers (</w:t>
      </w:r>
      <w:r>
        <w:rPr>
          <w:highlight w:val="white"/>
        </w:rPr>
        <w:t xml:space="preserve">Partridge v </w:t>
      </w:r>
      <w:proofErr w:type="spellStart"/>
      <w:r>
        <w:rPr>
          <w:highlight w:val="white"/>
        </w:rPr>
        <w:t>Critenden</w:t>
      </w:r>
      <w:proofErr w:type="spellEnd"/>
      <w:r>
        <w:rPr>
          <w:highlight w:val="white"/>
        </w:rPr>
        <w:t xml:space="preserve"> 1968). </w:t>
      </w:r>
      <w:r>
        <w:t xml:space="preserve">An invitation to treat indicates that one party is willing to extend an invitation to another. This can </w:t>
      </w:r>
      <w:r>
        <w:t xml:space="preserve">also be interpreted as an invitation to negotiate, but it is not an offer in itself because no contractual responsibilities are anticipated right away(Fisher v bell 1961). Arthur has included a price of £15,000 this is as discussed not an offer but can be </w:t>
      </w:r>
      <w:r>
        <w:t xml:space="preserve">considered a bench line for parties ready to negotiate with </w:t>
      </w:r>
      <w:r w:rsidR="00184AA1">
        <w:t>this</w:t>
      </w:r>
      <w:r>
        <w:t xml:space="preserve"> price.</w:t>
      </w:r>
    </w:p>
    <w:p w14:paraId="00000029" w14:textId="1DE5469B" w:rsidR="009F3326" w:rsidRDefault="00586CEF">
      <w:pPr>
        <w:spacing w:before="240" w:after="240"/>
        <w:ind w:left="0"/>
      </w:pPr>
      <w:r>
        <w:t>Ben sends a letter that he would like to purchase the watch for £15,000 on the 4th of May. As discussed,</w:t>
      </w:r>
      <w:r>
        <w:t xml:space="preserve"> the advertisement is an invitation to treat rather than an offer. Rather than o</w:t>
      </w:r>
      <w:r>
        <w:t>ffers which can be accepted, invitations to treats cannot. Instead,</w:t>
      </w:r>
      <w:r>
        <w:t xml:space="preserve"> only offers can be made, this means Ben's letter is not an acceptance to pay the price but rather an offer to pay £15,000</w:t>
      </w:r>
      <w:r>
        <w:rPr>
          <w:highlight w:val="white"/>
        </w:rPr>
        <w:t>(</w:t>
      </w:r>
      <w:r>
        <w:rPr>
          <w:i/>
          <w:highlight w:val="white"/>
        </w:rPr>
        <w:t>Spencer v Harding</w:t>
      </w:r>
      <w:r>
        <w:rPr>
          <w:highlight w:val="white"/>
        </w:rPr>
        <w:t xml:space="preserve"> 1870)</w:t>
      </w:r>
      <w:r>
        <w:t>.</w:t>
      </w:r>
      <w:r>
        <w:t xml:space="preserve"> This means that there would be no considerable contract between the two until Arthur accepted this offer, otherwise at this point </w:t>
      </w:r>
      <w:r>
        <w:rPr>
          <w:highlight w:val="white"/>
        </w:rPr>
        <w:t>Arthur is not obligated to sell.</w:t>
      </w:r>
    </w:p>
    <w:p w14:paraId="0000002A" w14:textId="65FFA9AE" w:rsidR="009F3326" w:rsidRDefault="00586CEF">
      <w:pPr>
        <w:spacing w:before="240" w:after="240"/>
        <w:ind w:left="0"/>
      </w:pPr>
      <w:r>
        <w:t>Christine emailed Arthur to see if he would accept £11,000 for the watch on the 5th May. Thi</w:t>
      </w:r>
      <w:r>
        <w:t xml:space="preserve">s is considered an offer but there is still no binding contract unless there is acceptance. Arthur sees this email and replies the same day Arthur replies saying the watch is still for sale and he's willing to sell it for £13,000 for it, this is a counter </w:t>
      </w:r>
      <w:r>
        <w:t>offer. If the offeree appears to accept an offer on different terms, there will be no valid contract at that time. This is because the offeree will have made a counter</w:t>
      </w:r>
      <w:r w:rsidR="00184AA1">
        <w:t xml:space="preserve"> </w:t>
      </w:r>
      <w:r>
        <w:t>offer, which, if accepted, will become the contract's terms and conditions. This will al</w:t>
      </w:r>
      <w:r>
        <w:t>so reject the original offer of £11,000 and means it can no longer be accepted(</w:t>
      </w:r>
      <w:r>
        <w:rPr>
          <w:highlight w:val="white"/>
        </w:rPr>
        <w:t>Hyde v Wrench 1840). Christine’s email reflects a counter offer due to the wording of the email. Had this email been presented as a request for information the original offer wo</w:t>
      </w:r>
      <w:r>
        <w:rPr>
          <w:highlight w:val="white"/>
        </w:rPr>
        <w:t>uld not have become void(</w:t>
      </w:r>
      <w:hyperlink r:id="rId6">
        <w:r>
          <w:rPr>
            <w:highlight w:val="white"/>
          </w:rPr>
          <w:t xml:space="preserve">Stevenson </w:t>
        </w:r>
        <w:proofErr w:type="spellStart"/>
        <w:r>
          <w:rPr>
            <w:highlight w:val="white"/>
          </w:rPr>
          <w:t>Jaques</w:t>
        </w:r>
        <w:proofErr w:type="spellEnd"/>
        <w:r>
          <w:rPr>
            <w:highlight w:val="white"/>
          </w:rPr>
          <w:t xml:space="preserve"> &amp; Co. v McLean</w:t>
        </w:r>
      </w:hyperlink>
      <w:r>
        <w:rPr>
          <w:highlight w:val="white"/>
        </w:rPr>
        <w:t xml:space="preserve"> 1880)</w:t>
      </w:r>
      <w:r>
        <w:rPr>
          <w:rFonts w:ascii="Roboto" w:eastAsia="Roboto" w:hAnsi="Roboto" w:cs="Roboto"/>
          <w:sz w:val="24"/>
          <w:szCs w:val="24"/>
          <w:highlight w:val="white"/>
        </w:rPr>
        <w:t xml:space="preserve">. </w:t>
      </w:r>
      <w:r>
        <w:rPr>
          <w:highlight w:val="white"/>
        </w:rPr>
        <w:t>.</w:t>
      </w:r>
    </w:p>
    <w:p w14:paraId="0000002B" w14:textId="5B29EB3D" w:rsidR="009F3326" w:rsidRDefault="00586CEF">
      <w:pPr>
        <w:spacing w:before="240" w:after="240"/>
        <w:ind w:left="0"/>
      </w:pPr>
      <w:r>
        <w:t>Christine replies the same day saying she can pay £11,000 now and £2000 at the end of the month. Since Chri</w:t>
      </w:r>
      <w:r>
        <w:t>stine is attempting to buy the watch under different terms to Arthur's last email this is a counter offer to the counter offer. A counteroffer does not necessarily limit itself to the price alone but can also extend to any terms of the offer, they must all</w:t>
      </w:r>
      <w:r>
        <w:t xml:space="preserve"> be the same with no changes (Reveille Independent LLC v </w:t>
      </w:r>
      <w:proofErr w:type="spellStart"/>
      <w:r>
        <w:t>Anotech</w:t>
      </w:r>
      <w:proofErr w:type="spellEnd"/>
      <w:r>
        <w:t xml:space="preserve"> International 2016). Once </w:t>
      </w:r>
      <w:r w:rsidR="00184AA1">
        <w:t>again,</w:t>
      </w:r>
      <w:r>
        <w:t xml:space="preserve"> a counter offer nullifies the last offer so that it cannot be accepted.</w:t>
      </w:r>
    </w:p>
    <w:p w14:paraId="0000002C" w14:textId="77777777" w:rsidR="009F3326" w:rsidRDefault="00586CEF">
      <w:pPr>
        <w:spacing w:before="240" w:after="240"/>
        <w:ind w:left="0"/>
      </w:pPr>
      <w:r>
        <w:t>6th of May 11am Dennis emailed Arthur showing interest in buying the watch, Arthur repl</w:t>
      </w:r>
      <w:r>
        <w:t>ied stating he wants £13,000 for the antique watch. Arthur’s email is an offer to Dennis, should he accept this they would have a legally binding contract.</w:t>
      </w:r>
    </w:p>
    <w:p w14:paraId="0000002D" w14:textId="37EC2EFA" w:rsidR="009F3326" w:rsidRDefault="00586CEF">
      <w:pPr>
        <w:spacing w:before="240" w:after="240"/>
        <w:ind w:left="0"/>
      </w:pPr>
      <w:r>
        <w:t xml:space="preserve">6th of May 2pm </w:t>
      </w:r>
      <w:proofErr w:type="spellStart"/>
      <w:r>
        <w:t>Chrstine</w:t>
      </w:r>
      <w:proofErr w:type="spellEnd"/>
      <w:r>
        <w:t xml:space="preserve"> emailed Arthur, she has managed to raise the £2,000 and is able to pay the £</w:t>
      </w:r>
      <w:r>
        <w:t>13,000 as discussed. Christine has already made a counter offer. A counter offer serves as both a rejection of a contract offer and a new offer that fundamentally alters the parameters of the original offer(</w:t>
      </w:r>
      <w:r>
        <w:rPr>
          <w:highlight w:val="white"/>
        </w:rPr>
        <w:t>Hyde v Wrench 1840)</w:t>
      </w:r>
      <w:r>
        <w:t xml:space="preserve">. </w:t>
      </w:r>
      <w:r w:rsidR="00184AA1">
        <w:t>Therefore,</w:t>
      </w:r>
      <w:r>
        <w:t xml:space="preserve"> this is not valid </w:t>
      </w:r>
      <w:r>
        <w:t xml:space="preserve">acceptance of Arthur's original offer as this has been made void by </w:t>
      </w:r>
      <w:proofErr w:type="spellStart"/>
      <w:r>
        <w:t>Chritines</w:t>
      </w:r>
      <w:proofErr w:type="spellEnd"/>
      <w:r>
        <w:t xml:space="preserve"> </w:t>
      </w:r>
      <w:proofErr w:type="spellStart"/>
      <w:r>
        <w:t>followup</w:t>
      </w:r>
      <w:proofErr w:type="spellEnd"/>
      <w:r>
        <w:t xml:space="preserve"> counter offer. This email is to be considered another offer as </w:t>
      </w:r>
      <w:proofErr w:type="spellStart"/>
      <w:r>
        <w:t>Chritnes</w:t>
      </w:r>
      <w:proofErr w:type="spellEnd"/>
      <w:r>
        <w:t xml:space="preserve"> is unable to accept the previous offer.</w:t>
      </w:r>
    </w:p>
    <w:p w14:paraId="0000002E" w14:textId="7A1ABD75" w:rsidR="009F3326" w:rsidRDefault="00586CEF">
      <w:pPr>
        <w:spacing w:before="240" w:after="240"/>
        <w:ind w:left="0"/>
        <w:rPr>
          <w:highlight w:val="white"/>
        </w:rPr>
      </w:pPr>
      <w:r>
        <w:t>6th of May at 5pm Dennis replied to Arthur’s</w:t>
      </w:r>
      <w:r>
        <w:t xml:space="preserve"> email agreein</w:t>
      </w:r>
      <w:r>
        <w:t>g to pay the £13,000. This email is an acceptance of the offer made by Arthur</w:t>
      </w:r>
      <w:r>
        <w:t xml:space="preserve">. </w:t>
      </w:r>
      <w:r>
        <w:rPr>
          <w:highlight w:val="white"/>
        </w:rPr>
        <w:t>Acceptance is the complete and unequivocal consent to an offer, namely the acceptance of the offer's specific terms with no variations.(</w:t>
      </w:r>
      <w:proofErr w:type="spellStart"/>
      <w:r>
        <w:fldChar w:fldCharType="begin"/>
      </w:r>
      <w:r>
        <w:instrText xml:space="preserve"> HYPERLINK "https://digestiblenotes.com</w:instrText>
      </w:r>
      <w:r>
        <w:instrText xml:space="preserve">/law/contract_cases/forming_agreements.php" \l "tinn" \h </w:instrText>
      </w:r>
      <w:r>
        <w:fldChar w:fldCharType="separate"/>
      </w:r>
      <w:r>
        <w:rPr>
          <w:i/>
          <w:highlight w:val="white"/>
        </w:rPr>
        <w:t>Tinn</w:t>
      </w:r>
      <w:proofErr w:type="spellEnd"/>
      <w:r>
        <w:rPr>
          <w:i/>
          <w:highlight w:val="white"/>
        </w:rPr>
        <w:t xml:space="preserve"> v Hoffmann &amp; Co 1873)</w:t>
      </w:r>
      <w:r>
        <w:rPr>
          <w:i/>
          <w:highlight w:val="white"/>
        </w:rPr>
        <w:fldChar w:fldCharType="end"/>
      </w:r>
      <w:r>
        <w:rPr>
          <w:highlight w:val="white"/>
        </w:rPr>
        <w:t>.If an offer is accepted, a legally binding contract is made between the offeror and offeree.</w:t>
      </w:r>
    </w:p>
    <w:p w14:paraId="0000002F" w14:textId="3D83C441" w:rsidR="009F3326" w:rsidRDefault="00586CEF">
      <w:pPr>
        <w:spacing w:before="240" w:after="240"/>
        <w:ind w:left="0"/>
      </w:pPr>
      <w:r>
        <w:lastRenderedPageBreak/>
        <w:t>Dennis’s email has arrived in Arthur’s</w:t>
      </w:r>
      <w:r>
        <w:t xml:space="preserve"> inbox and although Arthur has not opened</w:t>
      </w:r>
      <w:r>
        <w:t xml:space="preserve"> it they may already be in a legally binding contract. This is due to the postal rule. The legal principle is that when a contract offer is expected to be accepted by post, the time and location at which the acceptance is posted is regarded to be the time </w:t>
      </w:r>
      <w:r>
        <w:t>and place at which the contract is established (Adams v Lindsell 1818).</w:t>
      </w:r>
    </w:p>
    <w:p w14:paraId="00000030" w14:textId="77777777" w:rsidR="009F3326" w:rsidRDefault="00586CEF">
      <w:pPr>
        <w:spacing w:before="240" w:after="240"/>
        <w:ind w:left="0"/>
      </w:pPr>
      <w:r>
        <w:t>The postal rule does not however always lend itself to instantaneous communication (</w:t>
      </w:r>
      <w:proofErr w:type="spellStart"/>
      <w:r>
        <w:rPr>
          <w:highlight w:val="white"/>
        </w:rPr>
        <w:t>Brinkibon</w:t>
      </w:r>
      <w:proofErr w:type="spellEnd"/>
      <w:r>
        <w:rPr>
          <w:highlight w:val="white"/>
        </w:rPr>
        <w:t xml:space="preserve"> Ltd v </w:t>
      </w:r>
      <w:proofErr w:type="spellStart"/>
      <w:r>
        <w:rPr>
          <w:highlight w:val="white"/>
        </w:rPr>
        <w:t>Stahag</w:t>
      </w:r>
      <w:proofErr w:type="spellEnd"/>
      <w:r>
        <w:rPr>
          <w:highlight w:val="white"/>
        </w:rPr>
        <w:t xml:space="preserve"> Stahl 1983). Whether or not emails are considered instantaneous communication</w:t>
      </w:r>
      <w:r>
        <w:rPr>
          <w:highlight w:val="white"/>
        </w:rPr>
        <w:t xml:space="preserve"> is not clearly defined and therefore use of the postal rule is up for debate.</w:t>
      </w:r>
    </w:p>
    <w:p w14:paraId="00000031" w14:textId="77777777" w:rsidR="009F3326" w:rsidRDefault="00586CEF">
      <w:pPr>
        <w:spacing w:before="240" w:after="240"/>
        <w:ind w:left="0"/>
      </w:pPr>
      <w:r>
        <w:t xml:space="preserve">An exception to this rule comes into play however when we look at the time the email was sent 5pm. The postal rule is valid within reason especially regarding emails. From what </w:t>
      </w:r>
      <w:r>
        <w:t>we know Arthur has only replied to emails in the morning or afternoon and therefore he does not check his email past these times. This means that the acceptance could potentially not be valid until the next morning at which point a contract is formed betwe</w:t>
      </w:r>
      <w:r>
        <w:t>en the two whether Arthur accepts another offer or not Dennis is entitled to the watch(</w:t>
      </w:r>
      <w:r>
        <w:rPr>
          <w:i/>
          <w:highlight w:val="white"/>
        </w:rPr>
        <w:t xml:space="preserve">In The </w:t>
      </w:r>
      <w:proofErr w:type="spellStart"/>
      <w:r>
        <w:rPr>
          <w:i/>
          <w:highlight w:val="white"/>
        </w:rPr>
        <w:t>Brimnes</w:t>
      </w:r>
      <w:proofErr w:type="spellEnd"/>
      <w:r>
        <w:rPr>
          <w:i/>
          <w:highlight w:val="white"/>
        </w:rPr>
        <w:t xml:space="preserve"> 1975)</w:t>
      </w:r>
      <w:r>
        <w:t xml:space="preserve">. </w:t>
      </w:r>
    </w:p>
    <w:p w14:paraId="00000032" w14:textId="1CDC6DC2" w:rsidR="009F3326" w:rsidRDefault="00586CEF">
      <w:pPr>
        <w:spacing w:before="240" w:after="240"/>
        <w:ind w:left="0"/>
        <w:rPr>
          <w:color w:val="333333"/>
        </w:rPr>
      </w:pPr>
      <w:r>
        <w:t>On the morning of the 7th of May morning, the postal rule took effect and Dennis,</w:t>
      </w:r>
      <w:r>
        <w:t xml:space="preserve"> and Arthur are officially in a legally binding contract for the s</w:t>
      </w:r>
      <w:r>
        <w:t>ale of the antique watch for £13,000. Arthur receives Ben's letter offering £15,000, Arthur would be unable to accept this offer however as he is already in a valid contract to sell the watch.</w:t>
      </w:r>
      <w:r>
        <w:rPr>
          <w:color w:val="333333"/>
        </w:rPr>
        <w:t xml:space="preserve"> </w:t>
      </w:r>
    </w:p>
    <w:p w14:paraId="00000033" w14:textId="55F9A405" w:rsidR="009F3326" w:rsidRDefault="00586CEF" w:rsidP="000B469B">
      <w:pPr>
        <w:ind w:left="0"/>
        <w:jc w:val="both"/>
      </w:pPr>
      <w:r>
        <w:t xml:space="preserve">In conclusion, we can see that on the 7th of </w:t>
      </w:r>
      <w:r w:rsidR="00184AA1">
        <w:t>May</w:t>
      </w:r>
      <w:r>
        <w:t xml:space="preserve"> Arthur has fo</w:t>
      </w:r>
      <w:r>
        <w:t>rmed a valid contract with Dennis. Arthur had an invitation to treat, followed by a request for information from Dennis, leading to Arthurs offer, and finally Dennis's email of acceptance</w:t>
      </w:r>
      <w:r w:rsidR="00184AA1">
        <w:t xml:space="preserve"> was se</w:t>
      </w:r>
      <w:r w:rsidR="000B469B">
        <w:t>nt</w:t>
      </w:r>
      <w:r>
        <w:t xml:space="preserve">. No valid contract had been formed </w:t>
      </w:r>
      <w:r w:rsidR="000B469B">
        <w:t xml:space="preserve">with any other party </w:t>
      </w:r>
      <w:r>
        <w:t>up until this point. Ben’s letter</w:t>
      </w:r>
      <w:r>
        <w:t xml:space="preserve"> including an offer arrived after this contract had been formed meaning Arthur is unable to accept it. Christine’s email on the 6th was an offer not acceptance, due to the last email being a counter offer making the original offer to Christine void. Arthur</w:t>
      </w:r>
      <w:r>
        <w:t xml:space="preserve"> must sell the watch at a price of £13,000 to Dennis due to the terms of the contract for which they have both settled on.  </w:t>
      </w:r>
    </w:p>
    <w:p w14:paraId="65162975" w14:textId="77777777" w:rsidR="00586CEF" w:rsidRDefault="00586CEF" w:rsidP="000B469B">
      <w:pPr>
        <w:ind w:left="0"/>
        <w:jc w:val="both"/>
      </w:pPr>
    </w:p>
    <w:p w14:paraId="00000034" w14:textId="77777777" w:rsidR="009F3326" w:rsidRDefault="00586CEF">
      <w:pPr>
        <w:pStyle w:val="Heading1"/>
      </w:pPr>
      <w:bookmarkStart w:id="5" w:name="_6vwh5esoozcd" w:colFirst="0" w:colLast="0"/>
      <w:bookmarkEnd w:id="5"/>
      <w:r>
        <w:t>Reference list cases</w:t>
      </w:r>
    </w:p>
    <w:p w14:paraId="00000035" w14:textId="77777777" w:rsidR="009F3326" w:rsidRDefault="00586CEF">
      <w:pPr>
        <w:spacing w:before="240" w:after="240"/>
        <w:ind w:left="0"/>
        <w:rPr>
          <w:highlight w:val="white"/>
        </w:rPr>
      </w:pPr>
      <w:r>
        <w:rPr>
          <w:rFonts w:ascii="Roboto" w:eastAsia="Roboto" w:hAnsi="Roboto" w:cs="Roboto"/>
          <w:highlight w:val="white"/>
        </w:rPr>
        <w:t xml:space="preserve">Adams v Lindsell (1818) 1 B &amp; </w:t>
      </w:r>
      <w:proofErr w:type="spellStart"/>
      <w:r>
        <w:rPr>
          <w:rFonts w:ascii="Roboto" w:eastAsia="Roboto" w:hAnsi="Roboto" w:cs="Roboto"/>
          <w:highlight w:val="white"/>
        </w:rPr>
        <w:t>Ald</w:t>
      </w:r>
      <w:proofErr w:type="spellEnd"/>
      <w:r>
        <w:rPr>
          <w:rFonts w:ascii="Roboto" w:eastAsia="Roboto" w:hAnsi="Roboto" w:cs="Roboto"/>
          <w:highlight w:val="white"/>
        </w:rPr>
        <w:t xml:space="preserve"> 681</w:t>
      </w:r>
    </w:p>
    <w:p w14:paraId="00000036" w14:textId="77777777" w:rsidR="009F3326" w:rsidRDefault="00586CEF">
      <w:pPr>
        <w:spacing w:before="240" w:after="240"/>
        <w:ind w:left="0"/>
        <w:jc w:val="both"/>
      </w:pPr>
      <w:hyperlink r:id="rId7">
        <w:r>
          <w:t>Bolton v Mahadeva</w:t>
        </w:r>
      </w:hyperlink>
      <w:r>
        <w:t xml:space="preserve"> (1972) 1 WLR 1009</w:t>
      </w:r>
    </w:p>
    <w:p w14:paraId="00000037" w14:textId="77777777" w:rsidR="009F3326" w:rsidRDefault="00586CEF">
      <w:pPr>
        <w:spacing w:before="240" w:after="240"/>
        <w:ind w:left="0"/>
        <w:rPr>
          <w:highlight w:val="white"/>
        </w:rPr>
      </w:pPr>
      <w:proofErr w:type="spellStart"/>
      <w:r>
        <w:rPr>
          <w:highlight w:val="white"/>
        </w:rPr>
        <w:t>Brinkibon</w:t>
      </w:r>
      <w:proofErr w:type="spellEnd"/>
      <w:r>
        <w:rPr>
          <w:highlight w:val="white"/>
        </w:rPr>
        <w:t xml:space="preserve"> Ltd v </w:t>
      </w:r>
      <w:proofErr w:type="spellStart"/>
      <w:r>
        <w:rPr>
          <w:highlight w:val="white"/>
        </w:rPr>
        <w:t>Stahag</w:t>
      </w:r>
      <w:proofErr w:type="spellEnd"/>
      <w:r>
        <w:rPr>
          <w:highlight w:val="white"/>
        </w:rPr>
        <w:t xml:space="preserve"> Stahl (1983)  2 AC 34</w:t>
      </w:r>
    </w:p>
    <w:p w14:paraId="00000038" w14:textId="77777777" w:rsidR="009F3326" w:rsidRDefault="00586CEF">
      <w:pPr>
        <w:ind w:left="0"/>
        <w:rPr>
          <w:highlight w:val="white"/>
        </w:rPr>
      </w:pPr>
      <w:r>
        <w:t>Cutter v Powell (1795) 6 TR 320</w:t>
      </w:r>
    </w:p>
    <w:p w14:paraId="00000039" w14:textId="77777777" w:rsidR="009F3326" w:rsidRDefault="00586CEF">
      <w:pPr>
        <w:spacing w:before="240" w:after="240"/>
        <w:ind w:left="0"/>
        <w:rPr>
          <w:rFonts w:ascii="Roboto" w:eastAsia="Roboto" w:hAnsi="Roboto" w:cs="Roboto"/>
          <w:highlight w:val="white"/>
        </w:rPr>
      </w:pPr>
      <w:r>
        <w:rPr>
          <w:rFonts w:ascii="Roboto" w:eastAsia="Roboto" w:hAnsi="Roboto" w:cs="Roboto"/>
          <w:highlight w:val="white"/>
        </w:rPr>
        <w:t>Dunlop Pneumatic Tyre Co Ltd v Selfridge Ltd (1915) AC 847</w:t>
      </w:r>
    </w:p>
    <w:p w14:paraId="0000003A" w14:textId="77777777" w:rsidR="009F3326" w:rsidRDefault="00586CEF">
      <w:pPr>
        <w:spacing w:before="240" w:after="240"/>
        <w:ind w:left="0"/>
        <w:rPr>
          <w:highlight w:val="white"/>
        </w:rPr>
      </w:pPr>
      <w:r>
        <w:rPr>
          <w:highlight w:val="white"/>
        </w:rPr>
        <w:t>Fisher v Bell (</w:t>
      </w:r>
      <w:r>
        <w:rPr>
          <w:highlight w:val="white"/>
        </w:rPr>
        <w:t xml:space="preserve">1961) 1 </w:t>
      </w:r>
      <w:proofErr w:type="spellStart"/>
      <w:r>
        <w:rPr>
          <w:highlight w:val="white"/>
        </w:rPr>
        <w:t>qb</w:t>
      </w:r>
      <w:proofErr w:type="spellEnd"/>
      <w:r>
        <w:rPr>
          <w:highlight w:val="white"/>
        </w:rPr>
        <w:t xml:space="preserve"> 394</w:t>
      </w:r>
    </w:p>
    <w:p w14:paraId="0000003B" w14:textId="77777777" w:rsidR="009F3326" w:rsidRDefault="00586CEF">
      <w:pPr>
        <w:spacing w:before="240" w:after="240"/>
        <w:ind w:left="0"/>
        <w:rPr>
          <w:highlight w:val="white"/>
        </w:rPr>
      </w:pPr>
      <w:r>
        <w:rPr>
          <w:highlight w:val="white"/>
        </w:rPr>
        <w:t>Harvey v. Facey (1893) AC 552</w:t>
      </w:r>
    </w:p>
    <w:p w14:paraId="0000003C" w14:textId="77777777" w:rsidR="009F3326" w:rsidRDefault="00586CEF">
      <w:pPr>
        <w:spacing w:before="240" w:after="240"/>
        <w:ind w:left="0"/>
        <w:jc w:val="both"/>
      </w:pPr>
      <w:hyperlink r:id="rId8">
        <w:r>
          <w:t>Hoenig v Isaacs</w:t>
        </w:r>
      </w:hyperlink>
      <w:r>
        <w:t xml:space="preserve"> [1952] 2 All ER 176</w:t>
      </w:r>
    </w:p>
    <w:p w14:paraId="0000003D" w14:textId="77777777" w:rsidR="009F3326" w:rsidRDefault="00586CEF">
      <w:pPr>
        <w:spacing w:before="240" w:after="240"/>
        <w:ind w:left="0"/>
        <w:rPr>
          <w:highlight w:val="white"/>
        </w:rPr>
      </w:pPr>
      <w:r>
        <w:rPr>
          <w:highlight w:val="white"/>
        </w:rPr>
        <w:t xml:space="preserve">Hyde v Wrench (1840) </w:t>
      </w:r>
      <w:r>
        <w:rPr>
          <w:rFonts w:ascii="Roboto" w:eastAsia="Roboto" w:hAnsi="Roboto" w:cs="Roboto"/>
          <w:highlight w:val="white"/>
        </w:rPr>
        <w:t>49 ER 132</w:t>
      </w:r>
    </w:p>
    <w:p w14:paraId="0000003E" w14:textId="77777777" w:rsidR="009F3326" w:rsidRDefault="00586CEF">
      <w:pPr>
        <w:spacing w:before="240" w:after="240"/>
        <w:ind w:left="0"/>
        <w:rPr>
          <w:highlight w:val="white"/>
        </w:rPr>
      </w:pPr>
      <w:r>
        <w:rPr>
          <w:highlight w:val="white"/>
        </w:rPr>
        <w:t xml:space="preserve">In The </w:t>
      </w:r>
      <w:proofErr w:type="spellStart"/>
      <w:r>
        <w:rPr>
          <w:highlight w:val="white"/>
        </w:rPr>
        <w:t>Brimnes</w:t>
      </w:r>
      <w:proofErr w:type="spellEnd"/>
      <w:r>
        <w:rPr>
          <w:highlight w:val="white"/>
        </w:rPr>
        <w:t xml:space="preserve"> (1975)</w:t>
      </w:r>
      <w:r>
        <w:rPr>
          <w:shd w:val="clear" w:color="auto" w:fill="FBFBFB"/>
        </w:rPr>
        <w:t xml:space="preserve"> </w:t>
      </w:r>
      <w:hyperlink r:id="rId9">
        <w:r>
          <w:rPr>
            <w:shd w:val="clear" w:color="auto" w:fill="FBFBFB"/>
          </w:rPr>
          <w:t>QB 929</w:t>
        </w:r>
      </w:hyperlink>
    </w:p>
    <w:p w14:paraId="0000003F" w14:textId="77777777" w:rsidR="009F3326" w:rsidRDefault="00586CEF">
      <w:pPr>
        <w:shd w:val="clear" w:color="auto" w:fill="FFFFFF"/>
        <w:spacing w:before="0" w:after="240" w:line="295" w:lineRule="auto"/>
        <w:ind w:left="0"/>
      </w:pPr>
      <w:r>
        <w:t>Partridge v Crittenden (1968) 1 WLR 1204</w:t>
      </w:r>
    </w:p>
    <w:p w14:paraId="00000040" w14:textId="77777777" w:rsidR="009F3326" w:rsidRDefault="00586CEF">
      <w:pPr>
        <w:spacing w:before="240" w:after="240"/>
        <w:ind w:left="0"/>
        <w:rPr>
          <w:highlight w:val="white"/>
        </w:rPr>
      </w:pPr>
      <w:r>
        <w:t xml:space="preserve">Reveille Independent LLC v </w:t>
      </w:r>
      <w:proofErr w:type="spellStart"/>
      <w:r>
        <w:t>Anotech</w:t>
      </w:r>
      <w:proofErr w:type="spellEnd"/>
      <w:r>
        <w:t xml:space="preserve"> International (2016) </w:t>
      </w:r>
      <w:r>
        <w:rPr>
          <w:highlight w:val="white"/>
        </w:rPr>
        <w:t xml:space="preserve">EWCA </w:t>
      </w:r>
      <w:proofErr w:type="spellStart"/>
      <w:r>
        <w:rPr>
          <w:highlight w:val="white"/>
        </w:rPr>
        <w:t>Civ</w:t>
      </w:r>
      <w:proofErr w:type="spellEnd"/>
      <w:r>
        <w:rPr>
          <w:highlight w:val="white"/>
        </w:rPr>
        <w:t xml:space="preserve"> 443</w:t>
      </w:r>
    </w:p>
    <w:p w14:paraId="00000041" w14:textId="77777777" w:rsidR="009F3326" w:rsidRDefault="00586CEF">
      <w:pPr>
        <w:spacing w:before="240" w:after="240"/>
        <w:ind w:left="0"/>
      </w:pPr>
      <w:r>
        <w:lastRenderedPageBreak/>
        <w:t xml:space="preserve">Ritchie v Atkinson (1808) </w:t>
      </w:r>
      <w:r>
        <w:rPr>
          <w:highlight w:val="white"/>
        </w:rPr>
        <w:t>10 East 295</w:t>
      </w:r>
    </w:p>
    <w:p w14:paraId="00000042" w14:textId="77777777" w:rsidR="009F3326" w:rsidRDefault="00586CEF">
      <w:pPr>
        <w:spacing w:before="240" w:after="240"/>
        <w:ind w:left="0"/>
        <w:rPr>
          <w:highlight w:val="white"/>
        </w:rPr>
      </w:pPr>
      <w:r>
        <w:rPr>
          <w:highlight w:val="white"/>
        </w:rPr>
        <w:t>Spencer v Harding (1870) LR 5 CP 561</w:t>
      </w:r>
    </w:p>
    <w:p w14:paraId="00000043" w14:textId="77777777" w:rsidR="009F3326" w:rsidRDefault="00586CEF">
      <w:pPr>
        <w:spacing w:before="240" w:after="240"/>
        <w:ind w:left="0"/>
        <w:rPr>
          <w:highlight w:val="white"/>
        </w:rPr>
      </w:pPr>
      <w:r>
        <w:rPr>
          <w:highlight w:val="white"/>
        </w:rPr>
        <w:t>Steven</w:t>
      </w:r>
      <w:r>
        <w:rPr>
          <w:highlight w:val="white"/>
        </w:rPr>
        <w:t xml:space="preserve">son </w:t>
      </w:r>
      <w:proofErr w:type="spellStart"/>
      <w:r>
        <w:rPr>
          <w:highlight w:val="white"/>
        </w:rPr>
        <w:t>Jaques</w:t>
      </w:r>
      <w:proofErr w:type="spellEnd"/>
      <w:r>
        <w:rPr>
          <w:highlight w:val="white"/>
        </w:rPr>
        <w:t xml:space="preserve"> &amp; Co. v McLean (1880) 5 QBD 346</w:t>
      </w:r>
    </w:p>
    <w:p w14:paraId="00000044" w14:textId="77777777" w:rsidR="009F3326" w:rsidRDefault="00586CEF">
      <w:pPr>
        <w:spacing w:before="240" w:after="240"/>
        <w:ind w:left="0"/>
        <w:rPr>
          <w:highlight w:val="white"/>
        </w:rPr>
      </w:pPr>
      <w:r>
        <w:rPr>
          <w:highlight w:val="white"/>
        </w:rPr>
        <w:t>Sumpter v Hedges (1898) 1 QB 673</w:t>
      </w:r>
    </w:p>
    <w:p w14:paraId="00000045" w14:textId="77777777" w:rsidR="009F3326" w:rsidRDefault="00586CEF">
      <w:pPr>
        <w:spacing w:before="240" w:after="240"/>
        <w:ind w:left="0"/>
        <w:rPr>
          <w:highlight w:val="white"/>
        </w:rPr>
      </w:pPr>
      <w:proofErr w:type="spellStart"/>
      <w:r>
        <w:rPr>
          <w:highlight w:val="white"/>
        </w:rPr>
        <w:t>Tinn</w:t>
      </w:r>
      <w:proofErr w:type="spellEnd"/>
      <w:r>
        <w:rPr>
          <w:highlight w:val="white"/>
        </w:rPr>
        <w:t xml:space="preserve"> v Hoffman &amp; Co (1873) 29 LT 271</w:t>
      </w:r>
    </w:p>
    <w:p w14:paraId="4CE443E7" w14:textId="77777777" w:rsidR="00586CEF" w:rsidRDefault="00586CEF">
      <w:pPr>
        <w:pStyle w:val="Heading1"/>
      </w:pPr>
      <w:bookmarkStart w:id="6" w:name="_kyh25b2labn3" w:colFirst="0" w:colLast="0"/>
      <w:bookmarkEnd w:id="6"/>
    </w:p>
    <w:p w14:paraId="00000046" w14:textId="1E415EF3" w:rsidR="009F3326" w:rsidRDefault="00586CEF">
      <w:pPr>
        <w:pStyle w:val="Heading1"/>
      </w:pPr>
      <w:r>
        <w:t>Academic References</w:t>
      </w:r>
    </w:p>
    <w:p w14:paraId="00000047" w14:textId="77777777" w:rsidR="009F3326" w:rsidRDefault="00586CEF">
      <w:pPr>
        <w:spacing w:before="240" w:after="240"/>
        <w:ind w:left="0"/>
        <w:rPr>
          <w:shd w:val="clear" w:color="auto" w:fill="FBFBFB"/>
        </w:rPr>
      </w:pPr>
      <w:r>
        <w:rPr>
          <w:shd w:val="clear" w:color="auto" w:fill="FBFBFB"/>
        </w:rPr>
        <w:t>Andrews, N. (2001). Strangers to Justice No Longer: The Reversal of the Privity Rule Under the Contracts (Rights of Third P</w:t>
      </w:r>
      <w:r>
        <w:rPr>
          <w:shd w:val="clear" w:color="auto" w:fill="FBFBFB"/>
        </w:rPr>
        <w:t xml:space="preserve">arties) Act 1999. </w:t>
      </w:r>
      <w:r>
        <w:rPr>
          <w:i/>
          <w:shd w:val="clear" w:color="auto" w:fill="FBFBFB"/>
        </w:rPr>
        <w:t>The Cambridge Law Journal,</w:t>
      </w:r>
      <w:r>
        <w:rPr>
          <w:shd w:val="clear" w:color="auto" w:fill="FBFBFB"/>
        </w:rPr>
        <w:t xml:space="preserve"> </w:t>
      </w:r>
      <w:r>
        <w:rPr>
          <w:i/>
          <w:shd w:val="clear" w:color="auto" w:fill="FBFBFB"/>
        </w:rPr>
        <w:t>60</w:t>
      </w:r>
      <w:r>
        <w:rPr>
          <w:shd w:val="clear" w:color="auto" w:fill="FBFBFB"/>
        </w:rPr>
        <w:t>(2), 353-381. doi:10.1017/S0008197301000150</w:t>
      </w:r>
    </w:p>
    <w:p w14:paraId="00000048" w14:textId="77777777" w:rsidR="009F3326" w:rsidRDefault="00586CEF">
      <w:pPr>
        <w:spacing w:before="240" w:after="240"/>
        <w:ind w:left="0"/>
        <w:rPr>
          <w:shd w:val="clear" w:color="auto" w:fill="FBFBFB"/>
        </w:rPr>
      </w:pPr>
      <w:proofErr w:type="spellStart"/>
      <w:r>
        <w:rPr>
          <w:highlight w:val="white"/>
        </w:rPr>
        <w:t>Kronman</w:t>
      </w:r>
      <w:proofErr w:type="spellEnd"/>
      <w:r>
        <w:rPr>
          <w:highlight w:val="white"/>
        </w:rPr>
        <w:t xml:space="preserve">, A. T. (1985). Contract Law and the State of Nature. </w:t>
      </w:r>
      <w:r>
        <w:rPr>
          <w:i/>
          <w:highlight w:val="white"/>
        </w:rPr>
        <w:t>Journal of Law, Economics, &amp; Organization</w:t>
      </w:r>
      <w:r>
        <w:rPr>
          <w:highlight w:val="white"/>
        </w:rPr>
        <w:t xml:space="preserve">, </w:t>
      </w:r>
      <w:r>
        <w:rPr>
          <w:i/>
          <w:highlight w:val="white"/>
        </w:rPr>
        <w:t>1</w:t>
      </w:r>
      <w:r>
        <w:rPr>
          <w:highlight w:val="white"/>
        </w:rPr>
        <w:t>(1), 5–32. http://www.jstor.org/stable/764905</w:t>
      </w:r>
    </w:p>
    <w:p w14:paraId="00000049" w14:textId="77777777" w:rsidR="009F3326" w:rsidRDefault="00586CEF">
      <w:pPr>
        <w:spacing w:before="240" w:after="240"/>
        <w:ind w:left="0"/>
        <w:rPr>
          <w:shd w:val="clear" w:color="auto" w:fill="FBFBFB"/>
        </w:rPr>
      </w:pPr>
      <w:proofErr w:type="spellStart"/>
      <w:r>
        <w:rPr>
          <w:shd w:val="clear" w:color="auto" w:fill="FBFBFB"/>
        </w:rPr>
        <w:t>UpCounsel</w:t>
      </w:r>
      <w:proofErr w:type="spellEnd"/>
      <w:r>
        <w:rPr>
          <w:shd w:val="clear" w:color="auto" w:fill="FBFBFB"/>
        </w:rPr>
        <w:t>. (20</w:t>
      </w:r>
      <w:r>
        <w:rPr>
          <w:shd w:val="clear" w:color="auto" w:fill="FBFBFB"/>
        </w:rPr>
        <w:t xml:space="preserve">19). </w:t>
      </w:r>
      <w:r>
        <w:rPr>
          <w:i/>
          <w:shd w:val="clear" w:color="auto" w:fill="FBFBFB"/>
        </w:rPr>
        <w:t xml:space="preserve">Past Consideration | </w:t>
      </w:r>
      <w:proofErr w:type="spellStart"/>
      <w:r>
        <w:rPr>
          <w:i/>
          <w:shd w:val="clear" w:color="auto" w:fill="FBFBFB"/>
        </w:rPr>
        <w:t>UpCounsel</w:t>
      </w:r>
      <w:proofErr w:type="spellEnd"/>
      <w:r>
        <w:rPr>
          <w:i/>
          <w:shd w:val="clear" w:color="auto" w:fill="FBFBFB"/>
        </w:rPr>
        <w:t xml:space="preserve"> 2019</w:t>
      </w:r>
      <w:r>
        <w:rPr>
          <w:shd w:val="clear" w:color="auto" w:fill="FBFBFB"/>
        </w:rPr>
        <w:t>. Available at: https://www.upcounsel.com/past-consideration.</w:t>
      </w:r>
    </w:p>
    <w:sectPr w:rsidR="009F332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326"/>
    <w:rsid w:val="000B469B"/>
    <w:rsid w:val="00184AA1"/>
    <w:rsid w:val="00586CEF"/>
    <w:rsid w:val="009F3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F3B3F"/>
  <w15:docId w15:val="{CAFB4DC2-D522-4635-86FF-222521A0F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before="280" w:line="216" w:lineRule="auto"/>
        <w:ind w:left="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ind w:left="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sz w:val="60"/>
      <w:szCs w:val="60"/>
    </w:rPr>
  </w:style>
  <w:style w:type="paragraph" w:styleId="Subtitle">
    <w:name w:val="Subtitle"/>
    <w:basedOn w:val="Normal"/>
    <w:next w:val="Normal"/>
    <w:uiPriority w:val="11"/>
    <w:qFormat/>
    <w:pPr>
      <w:keepNext/>
      <w:keepLines/>
      <w:spacing w:before="0"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bailii.org/ew/cases/EWCA/Civ/1952/6.html" TargetMode="External"/><Relationship Id="rId3" Type="http://schemas.openxmlformats.org/officeDocument/2006/relationships/webSettings" Target="webSettings.xml"/><Relationship Id="rId7" Type="http://schemas.openxmlformats.org/officeDocument/2006/relationships/hyperlink" Target="http://www.bailii.org/ew/cases/EWCA/Civ/1972/5.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teacher.net/cases/stevenson-jacques-v-mclean.php" TargetMode="External"/><Relationship Id="rId11" Type="http://schemas.openxmlformats.org/officeDocument/2006/relationships/theme" Target="theme/theme1.xml"/><Relationship Id="rId5" Type="http://schemas.openxmlformats.org/officeDocument/2006/relationships/hyperlink" Target="http://www.bailii.org/ew/cases/EWCA/Civ/1952/6.html" TargetMode="External"/><Relationship Id="rId10" Type="http://schemas.openxmlformats.org/officeDocument/2006/relationships/fontTable" Target="fontTable.xml"/><Relationship Id="rId4" Type="http://schemas.openxmlformats.org/officeDocument/2006/relationships/hyperlink" Target="http://www.bailii.org/ew/cases/EWCA/Civ/1972/5.html" TargetMode="External"/><Relationship Id="rId9" Type="http://schemas.openxmlformats.org/officeDocument/2006/relationships/hyperlink" Target="http://en.wikipedia.org/wiki/The_Brim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1991</Words>
  <Characters>9796</Characters>
  <Application>Microsoft Office Word</Application>
  <DocSecurity>0</DocSecurity>
  <Lines>178</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Ewan Swan (1901543)</cp:lastModifiedBy>
  <cp:revision>3</cp:revision>
  <dcterms:created xsi:type="dcterms:W3CDTF">2022-03-04T22:42:00Z</dcterms:created>
  <dcterms:modified xsi:type="dcterms:W3CDTF">2022-03-04T22:44:00Z</dcterms:modified>
</cp:coreProperties>
</file>