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olor w:val="156082" w:themeColor="accent1"/>
          <w:sz w:val="24"/>
          <w:szCs w:val="21"/>
          <w:lang w:eastAsia="en-US"/>
          <w14:ligatures w14:val="none"/>
        </w:rPr>
        <w:id w:val="346599324"/>
        <w:docPartObj>
          <w:docPartGallery w:val="Cover Pages"/>
          <w:docPartUnique/>
        </w:docPartObj>
      </w:sdtPr>
      <w:sdtEndPr>
        <w:rPr>
          <w:color w:val="auto"/>
        </w:rPr>
      </w:sdtEndPr>
      <w:sdtContent>
        <w:p w14:paraId="5811F7BB" w14:textId="7510387D" w:rsidR="00AE12C5" w:rsidRDefault="00AE12C5">
          <w:pPr>
            <w:pStyle w:val="NoSpacing"/>
            <w:spacing w:before="1540" w:after="240"/>
            <w:jc w:val="center"/>
            <w:rPr>
              <w:color w:val="156082" w:themeColor="accent1"/>
            </w:rPr>
          </w:pPr>
          <w:r>
            <w:rPr>
              <w:noProof/>
              <w:color w:val="156082" w:themeColor="accent1"/>
            </w:rPr>
            <w:drawing>
              <wp:inline distT="0" distB="0" distL="0" distR="0" wp14:anchorId="4A55DC7E" wp14:editId="5AF89AE0">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imes New Roman" w:hAnsi="Times New Roman" w:cs="Times New Roman"/>
              <w:b/>
              <w:bCs/>
              <w:kern w:val="36"/>
              <w:sz w:val="48"/>
              <w:szCs w:val="48"/>
            </w:rPr>
            <w:alias w:val="Title"/>
            <w:tag w:val=""/>
            <w:id w:val="1735040861"/>
            <w:placeholder>
              <w:docPart w:val="F3F469164D744425AD6A8941D558AB1B"/>
            </w:placeholder>
            <w:dataBinding w:prefixMappings="xmlns:ns0='http://purl.org/dc/elements/1.1/' xmlns:ns1='http://schemas.openxmlformats.org/package/2006/metadata/core-properties' " w:xpath="/ns1:coreProperties[1]/ns0:title[1]" w:storeItemID="{6C3C8BC8-F283-45AE-878A-BAB7291924A1}"/>
            <w:text/>
          </w:sdtPr>
          <w:sdtEndPr/>
          <w:sdtContent>
            <w:p w14:paraId="4459B67F" w14:textId="1760E99E" w:rsidR="00AE12C5" w:rsidRDefault="00CE4C82">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CE4C82">
                <w:rPr>
                  <w:rFonts w:ascii="Times New Roman" w:eastAsia="Times New Roman" w:hAnsi="Times New Roman" w:cs="Times New Roman"/>
                  <w:b/>
                  <w:bCs/>
                  <w:kern w:val="36"/>
                  <w:sz w:val="48"/>
                  <w:szCs w:val="48"/>
                </w:rPr>
                <w:t>Evaluation of Whole-Genome Sequencing (WGS) Implementation within UK Health and Social Care</w:t>
              </w:r>
            </w:p>
          </w:sdtContent>
        </w:sdt>
        <w:sdt>
          <w:sdtPr>
            <w:rPr>
              <w:color w:val="156082" w:themeColor="accent1"/>
              <w:sz w:val="28"/>
              <w:szCs w:val="28"/>
            </w:rPr>
            <w:alias w:val="Subtitle"/>
            <w:tag w:val=""/>
            <w:id w:val="328029620"/>
            <w:placeholder>
              <w:docPart w:val="FD2E0B42CAB44D3C88D52C459A8F033F"/>
            </w:placeholder>
            <w:dataBinding w:prefixMappings="xmlns:ns0='http://purl.org/dc/elements/1.1/' xmlns:ns1='http://schemas.openxmlformats.org/package/2006/metadata/core-properties' " w:xpath="/ns1:coreProperties[1]/ns0:subject[1]" w:storeItemID="{6C3C8BC8-F283-45AE-878A-BAB7291924A1}"/>
            <w:text/>
          </w:sdtPr>
          <w:sdtEndPr/>
          <w:sdtContent>
            <w:p w14:paraId="40BAFFC0" w14:textId="7A76D594" w:rsidR="00AE12C5" w:rsidRDefault="00AE12C5">
              <w:pPr>
                <w:pStyle w:val="NoSpacing"/>
                <w:jc w:val="center"/>
                <w:rPr>
                  <w:color w:val="156082" w:themeColor="accent1"/>
                  <w:sz w:val="28"/>
                  <w:szCs w:val="28"/>
                </w:rPr>
              </w:pPr>
              <w:r w:rsidRPr="00AE12C5">
                <w:rPr>
                  <w:color w:val="156082" w:themeColor="accent1"/>
                  <w:sz w:val="28"/>
                  <w:szCs w:val="28"/>
                </w:rPr>
                <w:t>Digital Transformation in the Health and Care Professions (BMHP6026_LON)</w:t>
              </w:r>
            </w:p>
          </w:sdtContent>
        </w:sdt>
        <w:p w14:paraId="60F24BE1" w14:textId="0C9F26D2" w:rsidR="00AE12C5" w:rsidRDefault="00FA5FF2">
          <w:pPr>
            <w:pStyle w:val="NoSpacing"/>
            <w:spacing w:before="480"/>
            <w:jc w:val="center"/>
            <w:rPr>
              <w:color w:val="156082" w:themeColor="accent1"/>
            </w:rPr>
          </w:pPr>
          <w:r>
            <w:rPr>
              <w:noProof/>
            </w:rPr>
            <mc:AlternateContent>
              <mc:Choice Requires="wps">
                <w:drawing>
                  <wp:anchor distT="0" distB="0" distL="114300" distR="114300" simplePos="0" relativeHeight="251658240" behindDoc="0" locked="0" layoutInCell="1" allowOverlap="1" wp14:anchorId="692AC0C4" wp14:editId="0D0B7BF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242570"/>
                    <wp:effectExtent l="0" t="0" r="0" b="0"/>
                    <wp:wrapNone/>
                    <wp:docPr id="13571984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242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1-17T00:00:00Z">
                                    <w:dateFormat w:val="dd MMMM yyyy"/>
                                    <w:lid w:val="en-GB"/>
                                    <w:storeMappedDataAs w:val="dateTime"/>
                                    <w:calendar w:val="gregorian"/>
                                  </w:date>
                                </w:sdtPr>
                                <w:sdtEndPr/>
                                <w:sdtContent>
                                  <w:p w14:paraId="48F080FD" w14:textId="3B0326AE" w:rsidR="00AE12C5" w:rsidRPr="00AE12C5" w:rsidRDefault="00AE12C5" w:rsidP="00AE12C5">
                                    <w:pPr>
                                      <w:pStyle w:val="NoSpacing"/>
                                      <w:spacing w:after="40"/>
                                      <w:jc w:val="center"/>
                                      <w:rPr>
                                        <w:caps/>
                                        <w:color w:val="156082" w:themeColor="accent1"/>
                                        <w:sz w:val="28"/>
                                        <w:szCs w:val="28"/>
                                      </w:rPr>
                                    </w:pPr>
                                    <w:r w:rsidRPr="00AE12C5">
                                      <w:rPr>
                                        <w:caps/>
                                        <w:color w:val="156082" w:themeColor="accent1"/>
                                        <w:sz w:val="28"/>
                                        <w:szCs w:val="28"/>
                                      </w:rPr>
                                      <w:t>17 November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92AC0C4" id="_x0000_t202" coordsize="21600,21600" o:spt="202" path="m,l,21600r21600,l21600,xe">
                    <v:stroke joinstyle="miter"/>
                    <v:path gradientshapeok="t" o:connecttype="rect"/>
                  </v:shapetype>
                  <v:shape id="Text Box 1" o:spid="_x0000_s1026" type="#_x0000_t202" style="position:absolute;left:0;text-align:left;margin-left:0;margin-top:0;width:451.3pt;height:19.1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ugAbQIAAEYFAAAOAAAAZHJzL2Uyb0RvYy54bWysVN9v2jAQfp+0/8Hy+xqgo50iQsWoOk1C&#10;bTU69dk4NkR1fN7ZkLC/fmcnganbS6e9OBffd7+/8+ymrQ07KPQV2IKPL0acKSuhrOy24N+f7j58&#10;4swHYUthwKqCH5XnN/P372aNy9UEdmBKhYycWJ83ruC7EFyeZV7uVC38BThlSakBaxHoF7dZiaIh&#10;77XJJqPRVdYAlg5BKu/p9rZT8nnyr7WS4UFrrwIzBafcQjoxnZt4ZvOZyLco3K6SfRriH7KoRWUp&#10;6MnVrQiC7bH6w1VdSQQPOlxIqDPQupIq1UDVjEevqlnvhFOpFmqOd6c2+f/nVt4f1u4RWWg/Q0sD&#10;TEV4twL54qk3WeN83mNiT33uCR0LbTXW8UslMDKk3h5P/VRtYJIup9eX4+mYVJJ0k4+T6XVqeHa2&#10;dujDFwU1i0LBkeaVMhCHlQ8xvsgHSAxm4a4yJs3MWNYU/OpyOkoGJw1ZGBuxKk2/d3POPEnhaFTE&#10;GPtNaVaVqYB4kXinlgbZQRBjhJTKhnFkSfJL6IjSlMRbDHv8Oau3GHd1DJHBhpNxXVnAbmBxXc5p&#10;ly9DyrrD94P0Xd2xBaHdtFRVFDdQHokBCN1yeCfvKprGSvjwKJC2gQZIGx4e6NAGqOvQS5ztAH/+&#10;7T7iiaSk5ayh7Sq4/7EXqDgzXy3RN67iIOAgbAbB7uslUPvH9HY4mUQywGAGUSPUz7T4ixiFVMJK&#10;ilXwzSAuQ7fj9HBItVgkEC2cE2Fl104ORI/cemqfBbqegIGoew/D3on8FQ87bCKKW+wDsTGR9NzF&#10;vtG0rIkx/cMSX4Pf/xPq/PzNfwEAAP//AwBQSwMEFAAGAAgAAAAhALMGuNPaAAAABAEAAA8AAABk&#10;cnMvZG93bnJldi54bWxMjkFLw0AQhe+C/2EZwZvdNUqoaTZFRAVPYirS3qbZMQnJzobstk3+vauX&#10;ehl4vMc3X76ebC+ONPrWsYbbhQJBXDnTcq3hc/NyswThA7LB3jFpmMnDuri8yDEz7sQfdCxDLSKE&#10;fYYamhCGTEpfNWTRL9xAHLtvN1oMMY61NCOeItz2MlEqlRZbjh8aHOipoaorD1aDml93aVfOb5Q8&#10;v99/ddOWcbPV+vpqelyBCDSF8xh+9aM6FNFp7w5svOgjI+7+buweVJKC2Gu4WyYgi1z+ly9+AAAA&#10;//8DAFBLAQItABQABgAIAAAAIQC2gziS/gAAAOEBAAATAAAAAAAAAAAAAAAAAAAAAABbQ29udGVu&#10;dF9UeXBlc10ueG1sUEsBAi0AFAAGAAgAAAAhADj9If/WAAAAlAEAAAsAAAAAAAAAAAAAAAAALwEA&#10;AF9yZWxzLy5yZWxzUEsBAi0AFAAGAAgAAAAhAPRe6ABtAgAARgUAAA4AAAAAAAAAAAAAAAAALgIA&#10;AGRycy9lMm9Eb2MueG1sUEsBAi0AFAAGAAgAAAAhALMGuNPaAAAABAEAAA8AAAAAAAAAAAAAAAAA&#10;xwQAAGRycy9kb3ducmV2LnhtbFBLBQYAAAAABAAEAPMAAADOBQ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1-17T00:00:00Z">
                              <w:dateFormat w:val="dd MMMM yyyy"/>
                              <w:lid w:val="en-GB"/>
                              <w:storeMappedDataAs w:val="dateTime"/>
                              <w:calendar w:val="gregorian"/>
                            </w:date>
                          </w:sdtPr>
                          <w:sdtEndPr/>
                          <w:sdtContent>
                            <w:p w14:paraId="48F080FD" w14:textId="3B0326AE" w:rsidR="00AE12C5" w:rsidRPr="00AE12C5" w:rsidRDefault="00AE12C5" w:rsidP="00AE12C5">
                              <w:pPr>
                                <w:pStyle w:val="NoSpacing"/>
                                <w:spacing w:after="40"/>
                                <w:jc w:val="center"/>
                                <w:rPr>
                                  <w:caps/>
                                  <w:color w:val="156082" w:themeColor="accent1"/>
                                  <w:sz w:val="28"/>
                                  <w:szCs w:val="28"/>
                                </w:rPr>
                              </w:pPr>
                              <w:r w:rsidRPr="00AE12C5">
                                <w:rPr>
                                  <w:caps/>
                                  <w:color w:val="156082" w:themeColor="accent1"/>
                                  <w:sz w:val="28"/>
                                  <w:szCs w:val="28"/>
                                </w:rPr>
                                <w:t>17 November 2025</w:t>
                              </w:r>
                            </w:p>
                          </w:sdtContent>
                        </w:sdt>
                      </w:txbxContent>
                    </v:textbox>
                    <w10:wrap anchorx="margin" anchory="page"/>
                  </v:shape>
                </w:pict>
              </mc:Fallback>
            </mc:AlternateContent>
          </w:r>
          <w:r w:rsidR="00AE12C5">
            <w:rPr>
              <w:noProof/>
              <w:color w:val="156082" w:themeColor="accent1"/>
            </w:rPr>
            <w:drawing>
              <wp:inline distT="0" distB="0" distL="0" distR="0" wp14:anchorId="31B4E733" wp14:editId="04164C26">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E493D60" w14:textId="77777777" w:rsidR="00E13714" w:rsidRDefault="00E13714">
          <w:pPr>
            <w:spacing w:before="0" w:after="160" w:line="259" w:lineRule="auto"/>
          </w:pPr>
        </w:p>
        <w:p w14:paraId="2FD47D4F" w14:textId="77777777" w:rsidR="00E13714" w:rsidRDefault="00E13714">
          <w:pPr>
            <w:spacing w:before="0" w:after="160" w:line="259" w:lineRule="auto"/>
          </w:pPr>
        </w:p>
        <w:p w14:paraId="4CA68855" w14:textId="77777777" w:rsidR="00E13714" w:rsidRPr="00A27530" w:rsidRDefault="00E13714">
          <w:pPr>
            <w:spacing w:before="0" w:after="160" w:line="259" w:lineRule="auto"/>
            <w:rPr>
              <w:color w:val="00B0F0"/>
            </w:rPr>
          </w:pPr>
        </w:p>
        <w:p w14:paraId="1A90D962" w14:textId="77777777" w:rsidR="00A27530" w:rsidRDefault="00A27530">
          <w:pPr>
            <w:spacing w:before="0" w:after="160" w:line="259" w:lineRule="auto"/>
            <w:rPr>
              <w:color w:val="00B0F0"/>
            </w:rPr>
          </w:pPr>
        </w:p>
        <w:p w14:paraId="3A58E9C5" w14:textId="77777777" w:rsidR="00A27530" w:rsidRDefault="00A27530">
          <w:pPr>
            <w:spacing w:before="0" w:after="160" w:line="259" w:lineRule="auto"/>
            <w:rPr>
              <w:color w:val="00B0F0"/>
            </w:rPr>
          </w:pPr>
        </w:p>
        <w:p w14:paraId="0F0174DC" w14:textId="77777777" w:rsidR="00A27530" w:rsidRDefault="00A27530">
          <w:pPr>
            <w:spacing w:before="0" w:after="160" w:line="259" w:lineRule="auto"/>
            <w:rPr>
              <w:color w:val="00B0F0"/>
            </w:rPr>
          </w:pPr>
        </w:p>
        <w:p w14:paraId="28B70169" w14:textId="79BB7DFB" w:rsidR="00A27530" w:rsidRPr="00A27530" w:rsidRDefault="00A27530">
          <w:pPr>
            <w:spacing w:before="0" w:after="160" w:line="259" w:lineRule="auto"/>
            <w:rPr>
              <w:color w:val="0B769F" w:themeColor="accent4" w:themeShade="BF"/>
            </w:rPr>
          </w:pPr>
          <w:r w:rsidRPr="00A27530">
            <w:rPr>
              <w:color w:val="0B769F" w:themeColor="accent4" w:themeShade="BF"/>
            </w:rPr>
            <w:t>Lecturer name: Laila Sura</w:t>
          </w:r>
          <w:r w:rsidR="00672960">
            <w:rPr>
              <w:color w:val="0B769F" w:themeColor="accent4" w:themeShade="BF"/>
            </w:rPr>
            <w:t>n</w:t>
          </w:r>
          <w:r w:rsidRPr="00A27530">
            <w:rPr>
              <w:color w:val="0B769F" w:themeColor="accent4" w:themeShade="BF"/>
            </w:rPr>
            <w:t>i</w:t>
          </w:r>
        </w:p>
        <w:p w14:paraId="4EEDD4AD" w14:textId="77777777" w:rsidR="00A27530" w:rsidRPr="00A27530" w:rsidRDefault="00A27530">
          <w:pPr>
            <w:spacing w:before="0" w:after="160" w:line="259" w:lineRule="auto"/>
            <w:rPr>
              <w:color w:val="0B769F" w:themeColor="accent4" w:themeShade="BF"/>
            </w:rPr>
          </w:pPr>
          <w:r w:rsidRPr="00A27530">
            <w:rPr>
              <w:color w:val="0B769F" w:themeColor="accent4" w:themeShade="BF"/>
            </w:rPr>
            <w:t>Student name: Monica Ana Oprea</w:t>
          </w:r>
        </w:p>
        <w:p w14:paraId="4F5DA913" w14:textId="4C1C0DFA" w:rsidR="00AE12C5" w:rsidRDefault="00A27530" w:rsidP="00A27530">
          <w:pPr>
            <w:spacing w:before="0" w:after="160" w:line="360" w:lineRule="auto"/>
            <w:jc w:val="both"/>
          </w:pPr>
          <w:r w:rsidRPr="00A27530">
            <w:rPr>
              <w:color w:val="0B769F" w:themeColor="accent4" w:themeShade="BF"/>
            </w:rPr>
            <w:t>Student ID.: 2315596</w:t>
          </w:r>
          <w:r w:rsidR="00AE12C5">
            <w:br w:type="page"/>
          </w:r>
        </w:p>
      </w:sdtContent>
    </w:sdt>
    <w:p w14:paraId="2FECF177" w14:textId="120466CF" w:rsidR="00CE4C82" w:rsidRPr="00FC5678" w:rsidRDefault="00FC5678" w:rsidP="00CE4C82">
      <w:pPr>
        <w:spacing w:before="100" w:beforeAutospacing="1" w:after="100" w:afterAutospacing="1" w:line="360" w:lineRule="auto"/>
        <w:jc w:val="both"/>
        <w:outlineLvl w:val="0"/>
        <w:rPr>
          <w:rFonts w:eastAsia="Times New Roman" w:cs="Arial"/>
          <w:b/>
          <w:bCs/>
          <w:color w:val="0070C0"/>
          <w:kern w:val="36"/>
          <w:sz w:val="28"/>
          <w:szCs w:val="28"/>
          <w:lang w:eastAsia="en-GB"/>
        </w:rPr>
      </w:pPr>
      <w:r w:rsidRPr="00A27530">
        <w:rPr>
          <w:rFonts w:eastAsia="Times New Roman" w:cs="Arial"/>
          <w:b/>
          <w:bCs/>
          <w:color w:val="0070C0"/>
          <w:kern w:val="36"/>
          <w:sz w:val="28"/>
          <w:szCs w:val="28"/>
          <w:u w:val="single"/>
          <w:lang w:eastAsia="en-GB"/>
        </w:rPr>
        <w:lastRenderedPageBreak/>
        <w:t>Table of Contents</w:t>
      </w:r>
      <w:r>
        <w:rPr>
          <w:rFonts w:eastAsia="Times New Roman" w:cs="Arial"/>
          <w:b/>
          <w:bCs/>
          <w:color w:val="0070C0"/>
          <w:kern w:val="36"/>
          <w:sz w:val="28"/>
          <w:szCs w:val="28"/>
          <w:lang w:eastAsia="en-GB"/>
        </w:rPr>
        <w:t>:</w:t>
      </w:r>
    </w:p>
    <w:p w14:paraId="5B515D00" w14:textId="77777777" w:rsidR="004151DE" w:rsidRDefault="004151DE" w:rsidP="00CE4C82">
      <w:pPr>
        <w:spacing w:before="100" w:beforeAutospacing="1" w:after="100" w:afterAutospacing="1" w:line="360" w:lineRule="auto"/>
        <w:jc w:val="both"/>
        <w:outlineLvl w:val="0"/>
        <w:rPr>
          <w:rFonts w:eastAsia="Times New Roman" w:cs="Arial"/>
          <w:b/>
          <w:bCs/>
          <w:color w:val="0070C0"/>
          <w:kern w:val="36"/>
          <w:sz w:val="22"/>
          <w:szCs w:val="22"/>
          <w:lang w:eastAsia="en-GB"/>
        </w:rPr>
      </w:pPr>
    </w:p>
    <w:tbl>
      <w:tblPr>
        <w:tblStyle w:val="GridTable5Dark-Accent1"/>
        <w:tblpPr w:leftFromText="180" w:rightFromText="180" w:horzAnchor="margin" w:tblpY="1008"/>
        <w:tblW w:w="9229" w:type="dxa"/>
        <w:tblLook w:val="04A0" w:firstRow="1" w:lastRow="0" w:firstColumn="1" w:lastColumn="0" w:noHBand="0" w:noVBand="1"/>
      </w:tblPr>
      <w:tblGrid>
        <w:gridCol w:w="6374"/>
        <w:gridCol w:w="2855"/>
      </w:tblGrid>
      <w:tr w:rsidR="00870659" w14:paraId="76427BB5" w14:textId="77777777" w:rsidTr="00CA6C07">
        <w:trPr>
          <w:cnfStyle w:val="100000000000" w:firstRow="1" w:lastRow="0" w:firstColumn="0" w:lastColumn="0" w:oddVBand="0" w:evenVBand="0" w:oddHBand="0" w:evenHBand="0" w:firstRowFirstColumn="0" w:firstRowLastColumn="0" w:lastRowFirstColumn="0" w:lastRowLastColumn="0"/>
          <w:trHeight w:val="836"/>
        </w:trPr>
        <w:tc>
          <w:tcPr>
            <w:cnfStyle w:val="001000000000" w:firstRow="0" w:lastRow="0" w:firstColumn="1" w:lastColumn="0" w:oddVBand="0" w:evenVBand="0" w:oddHBand="0" w:evenHBand="0" w:firstRowFirstColumn="0" w:firstRowLastColumn="0" w:lastRowFirstColumn="0" w:lastRowLastColumn="0"/>
            <w:tcW w:w="6374" w:type="dxa"/>
          </w:tcPr>
          <w:p w14:paraId="5FB11514" w14:textId="77777777" w:rsidR="004D6C55" w:rsidRDefault="004D6C55" w:rsidP="0078249D">
            <w:pPr>
              <w:spacing w:before="100" w:beforeAutospacing="1" w:after="100" w:afterAutospacing="1" w:line="360" w:lineRule="auto"/>
              <w:jc w:val="both"/>
              <w:outlineLvl w:val="0"/>
              <w:rPr>
                <w:rFonts w:eastAsia="Times New Roman" w:cs="Arial"/>
                <w:b w:val="0"/>
                <w:bCs w:val="0"/>
                <w:color w:val="000000" w:themeColor="text1"/>
                <w:kern w:val="36"/>
                <w:sz w:val="22"/>
                <w:szCs w:val="22"/>
                <w:lang w:eastAsia="en-GB"/>
              </w:rPr>
            </w:pPr>
          </w:p>
          <w:p w14:paraId="4F423D6E" w14:textId="092E8516" w:rsidR="00D977F9" w:rsidRPr="004D6C55" w:rsidRDefault="004D6C55" w:rsidP="0078249D">
            <w:pPr>
              <w:spacing w:before="100" w:beforeAutospacing="1" w:after="100" w:afterAutospacing="1" w:line="360" w:lineRule="auto"/>
              <w:jc w:val="both"/>
              <w:outlineLvl w:val="0"/>
              <w:rPr>
                <w:rFonts w:eastAsia="Times New Roman" w:cs="Arial"/>
                <w:color w:val="000000" w:themeColor="text1"/>
                <w:kern w:val="36"/>
                <w:sz w:val="28"/>
                <w:szCs w:val="28"/>
                <w:lang w:eastAsia="en-GB"/>
              </w:rPr>
            </w:pPr>
            <w:r>
              <w:rPr>
                <w:rFonts w:eastAsia="Times New Roman" w:cs="Arial"/>
                <w:color w:val="000000" w:themeColor="text1"/>
                <w:kern w:val="36"/>
                <w:sz w:val="22"/>
                <w:szCs w:val="22"/>
                <w:lang w:eastAsia="en-GB"/>
              </w:rPr>
              <w:t xml:space="preserve">                                      </w:t>
            </w:r>
            <w:r w:rsidRPr="004D6C55">
              <w:rPr>
                <w:rFonts w:eastAsia="Times New Roman" w:cs="Arial"/>
                <w:color w:val="000000" w:themeColor="text1"/>
                <w:kern w:val="36"/>
                <w:sz w:val="28"/>
                <w:szCs w:val="28"/>
                <w:lang w:eastAsia="en-GB"/>
              </w:rPr>
              <w:t xml:space="preserve">  TOPICS</w:t>
            </w:r>
            <w:r>
              <w:rPr>
                <w:rFonts w:eastAsia="Times New Roman" w:cs="Arial"/>
                <w:color w:val="000000" w:themeColor="text1"/>
                <w:kern w:val="36"/>
                <w:sz w:val="28"/>
                <w:szCs w:val="28"/>
                <w:lang w:eastAsia="en-GB"/>
              </w:rPr>
              <w:t xml:space="preserve">                                                    </w:t>
            </w:r>
          </w:p>
        </w:tc>
        <w:tc>
          <w:tcPr>
            <w:tcW w:w="2855" w:type="dxa"/>
          </w:tcPr>
          <w:p w14:paraId="654C9574" w14:textId="77777777" w:rsidR="008B6146" w:rsidRDefault="008B6146" w:rsidP="0078249D">
            <w:pPr>
              <w:spacing w:before="100" w:beforeAutospacing="1" w:after="100" w:afterAutospacing="1" w:line="360" w:lineRule="auto"/>
              <w:jc w:val="both"/>
              <w:outlineLvl w:val="0"/>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000000" w:themeColor="text1"/>
                <w:kern w:val="36"/>
                <w:sz w:val="28"/>
                <w:szCs w:val="28"/>
                <w:lang w:eastAsia="en-GB"/>
              </w:rPr>
            </w:pPr>
          </w:p>
          <w:p w14:paraId="3B3B8AA4" w14:textId="4178CAD9" w:rsidR="00870659" w:rsidRPr="009D4ACD" w:rsidRDefault="008B6146" w:rsidP="0078249D">
            <w:pPr>
              <w:spacing w:before="100" w:beforeAutospacing="1" w:after="100" w:afterAutospacing="1" w:line="360" w:lineRule="auto"/>
              <w:jc w:val="both"/>
              <w:outlineLvl w:val="0"/>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kern w:val="36"/>
                <w:sz w:val="28"/>
                <w:szCs w:val="28"/>
                <w:lang w:eastAsia="en-GB"/>
              </w:rPr>
            </w:pPr>
            <w:r>
              <w:rPr>
                <w:rFonts w:eastAsia="Times New Roman" w:cs="Arial"/>
                <w:color w:val="000000" w:themeColor="text1"/>
                <w:kern w:val="36"/>
                <w:sz w:val="28"/>
                <w:szCs w:val="28"/>
                <w:lang w:eastAsia="en-GB"/>
              </w:rPr>
              <w:t xml:space="preserve">               </w:t>
            </w:r>
            <w:r w:rsidR="009D4ACD">
              <w:rPr>
                <w:rFonts w:eastAsia="Times New Roman" w:cs="Arial"/>
                <w:color w:val="000000" w:themeColor="text1"/>
                <w:kern w:val="36"/>
                <w:sz w:val="28"/>
                <w:szCs w:val="28"/>
                <w:lang w:eastAsia="en-GB"/>
              </w:rPr>
              <w:t>PAGE</w:t>
            </w:r>
          </w:p>
        </w:tc>
      </w:tr>
      <w:tr w:rsidR="00870659" w14:paraId="7B531B4E" w14:textId="77777777" w:rsidTr="00CA6C07">
        <w:trPr>
          <w:cnfStyle w:val="000000100000" w:firstRow="0" w:lastRow="0" w:firstColumn="0" w:lastColumn="0" w:oddVBand="0" w:evenVBand="0" w:oddHBand="1" w:evenHBand="0" w:firstRowFirstColumn="0" w:firstRowLastColumn="0" w:lastRowFirstColumn="0" w:lastRowLastColumn="0"/>
          <w:trHeight w:val="863"/>
        </w:trPr>
        <w:tc>
          <w:tcPr>
            <w:cnfStyle w:val="001000000000" w:firstRow="0" w:lastRow="0" w:firstColumn="1" w:lastColumn="0" w:oddVBand="0" w:evenVBand="0" w:oddHBand="0" w:evenHBand="0" w:firstRowFirstColumn="0" w:firstRowLastColumn="0" w:lastRowFirstColumn="0" w:lastRowLastColumn="0"/>
            <w:tcW w:w="6374" w:type="dxa"/>
          </w:tcPr>
          <w:p w14:paraId="6F90CF8E" w14:textId="11962F12" w:rsidR="00870659" w:rsidRPr="00C93040" w:rsidRDefault="008B6146" w:rsidP="00C93040">
            <w:pPr>
              <w:spacing w:before="100" w:beforeAutospacing="1" w:after="100" w:afterAutospacing="1" w:line="360" w:lineRule="auto"/>
              <w:jc w:val="center"/>
              <w:outlineLvl w:val="0"/>
              <w:rPr>
                <w:rFonts w:eastAsia="Times New Roman" w:cs="Arial"/>
                <w:b w:val="0"/>
                <w:bCs w:val="0"/>
                <w:color w:val="0070C0"/>
                <w:kern w:val="36"/>
                <w:sz w:val="22"/>
                <w:szCs w:val="22"/>
                <w:lang w:eastAsia="en-GB"/>
              </w:rPr>
            </w:pPr>
            <w:r w:rsidRPr="00C93040">
              <w:rPr>
                <w:rFonts w:eastAsia="Times New Roman" w:cs="Arial"/>
                <w:color w:val="000000" w:themeColor="text1"/>
                <w:sz w:val="22"/>
                <w:szCs w:val="22"/>
                <w:lang w:eastAsia="en-GB"/>
              </w:rPr>
              <w:t>Introduction</w:t>
            </w:r>
          </w:p>
        </w:tc>
        <w:tc>
          <w:tcPr>
            <w:tcW w:w="2855" w:type="dxa"/>
          </w:tcPr>
          <w:p w14:paraId="21775DB8" w14:textId="433B32D9" w:rsidR="00870659" w:rsidRPr="00A27530" w:rsidRDefault="00A27530" w:rsidP="0078249D">
            <w:pPr>
              <w:spacing w:before="100" w:beforeAutospacing="1" w:after="100" w:afterAutospacing="1" w:line="360" w:lineRule="auto"/>
              <w:jc w:val="both"/>
              <w:outlineLvl w:val="0"/>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themeColor="text1"/>
                <w:kern w:val="36"/>
                <w:sz w:val="22"/>
                <w:szCs w:val="22"/>
                <w:lang w:eastAsia="en-GB"/>
              </w:rPr>
            </w:pPr>
            <w:r>
              <w:rPr>
                <w:rFonts w:eastAsia="Times New Roman" w:cs="Arial"/>
                <w:b/>
                <w:bCs/>
                <w:color w:val="0070C0"/>
                <w:kern w:val="36"/>
                <w:sz w:val="22"/>
                <w:szCs w:val="22"/>
                <w:lang w:eastAsia="en-GB"/>
              </w:rPr>
              <w:t xml:space="preserve">                    3</w:t>
            </w:r>
          </w:p>
        </w:tc>
      </w:tr>
      <w:tr w:rsidR="00870659" w14:paraId="2B127863" w14:textId="77777777" w:rsidTr="00CA6C07">
        <w:trPr>
          <w:trHeight w:val="836"/>
        </w:trPr>
        <w:tc>
          <w:tcPr>
            <w:cnfStyle w:val="001000000000" w:firstRow="0" w:lastRow="0" w:firstColumn="1" w:lastColumn="0" w:oddVBand="0" w:evenVBand="0" w:oddHBand="0" w:evenHBand="0" w:firstRowFirstColumn="0" w:firstRowLastColumn="0" w:lastRowFirstColumn="0" w:lastRowLastColumn="0"/>
            <w:tcW w:w="6374" w:type="dxa"/>
          </w:tcPr>
          <w:p w14:paraId="3E4B79C5" w14:textId="22B9F459" w:rsidR="009C3097" w:rsidRPr="00C93040" w:rsidRDefault="009C3097" w:rsidP="00C93040">
            <w:pPr>
              <w:spacing w:before="100" w:beforeAutospacing="1" w:after="100" w:afterAutospacing="1" w:line="360" w:lineRule="auto"/>
              <w:jc w:val="center"/>
              <w:outlineLvl w:val="0"/>
              <w:rPr>
                <w:rFonts w:eastAsia="Times New Roman" w:cs="Arial"/>
                <w:b w:val="0"/>
                <w:bCs w:val="0"/>
                <w:color w:val="0070C0"/>
                <w:kern w:val="36"/>
                <w:sz w:val="22"/>
                <w:szCs w:val="22"/>
                <w:lang w:eastAsia="en-GB"/>
              </w:rPr>
            </w:pPr>
            <w:r w:rsidRPr="00C93040">
              <w:rPr>
                <w:rFonts w:eastAsia="Times New Roman" w:cs="Arial"/>
                <w:color w:val="000000" w:themeColor="text1"/>
                <w:kern w:val="36"/>
                <w:sz w:val="22"/>
                <w:szCs w:val="22"/>
                <w:lang w:eastAsia="en-GB"/>
              </w:rPr>
              <w:t>Background</w:t>
            </w:r>
          </w:p>
        </w:tc>
        <w:tc>
          <w:tcPr>
            <w:tcW w:w="2855" w:type="dxa"/>
          </w:tcPr>
          <w:p w14:paraId="708B4CE9" w14:textId="0BB37BBD" w:rsidR="00870659" w:rsidRDefault="00A27530" w:rsidP="0078249D">
            <w:pPr>
              <w:spacing w:before="100" w:beforeAutospacing="1" w:after="100" w:afterAutospacing="1" w:line="360" w:lineRule="auto"/>
              <w:jc w:val="both"/>
              <w:outlineLvl w:val="0"/>
              <w:cnfStyle w:val="000000000000" w:firstRow="0" w:lastRow="0" w:firstColumn="0" w:lastColumn="0" w:oddVBand="0" w:evenVBand="0" w:oddHBand="0" w:evenHBand="0" w:firstRowFirstColumn="0" w:firstRowLastColumn="0" w:lastRowFirstColumn="0" w:lastRowLastColumn="0"/>
              <w:rPr>
                <w:rFonts w:eastAsia="Times New Roman" w:cs="Arial"/>
                <w:b/>
                <w:bCs/>
                <w:color w:val="0070C0"/>
                <w:kern w:val="36"/>
                <w:sz w:val="22"/>
                <w:szCs w:val="22"/>
                <w:lang w:eastAsia="en-GB"/>
              </w:rPr>
            </w:pPr>
            <w:r>
              <w:rPr>
                <w:rFonts w:eastAsia="Times New Roman" w:cs="Arial"/>
                <w:b/>
                <w:bCs/>
                <w:color w:val="0070C0"/>
                <w:kern w:val="36"/>
                <w:sz w:val="22"/>
                <w:szCs w:val="22"/>
                <w:lang w:eastAsia="en-GB"/>
              </w:rPr>
              <w:t xml:space="preserve">                   2</w:t>
            </w:r>
          </w:p>
        </w:tc>
      </w:tr>
      <w:tr w:rsidR="00870659" w14:paraId="57C2C2A2" w14:textId="77777777" w:rsidTr="00CA6C07">
        <w:trPr>
          <w:cnfStyle w:val="000000100000" w:firstRow="0" w:lastRow="0" w:firstColumn="0" w:lastColumn="0" w:oddVBand="0" w:evenVBand="0" w:oddHBand="1" w:evenHBand="0" w:firstRowFirstColumn="0" w:firstRowLastColumn="0" w:lastRowFirstColumn="0" w:lastRowLastColumn="0"/>
          <w:trHeight w:val="863"/>
        </w:trPr>
        <w:tc>
          <w:tcPr>
            <w:cnfStyle w:val="001000000000" w:firstRow="0" w:lastRow="0" w:firstColumn="1" w:lastColumn="0" w:oddVBand="0" w:evenVBand="0" w:oddHBand="0" w:evenHBand="0" w:firstRowFirstColumn="0" w:firstRowLastColumn="0" w:lastRowFirstColumn="0" w:lastRowLastColumn="0"/>
            <w:tcW w:w="6374" w:type="dxa"/>
          </w:tcPr>
          <w:p w14:paraId="7EA13D9C" w14:textId="1FBBB8D0" w:rsidR="00870659" w:rsidRPr="00C93040" w:rsidRDefault="0078249D" w:rsidP="00C93040">
            <w:pPr>
              <w:spacing w:before="100" w:beforeAutospacing="1" w:after="100" w:afterAutospacing="1" w:line="360" w:lineRule="auto"/>
              <w:jc w:val="center"/>
              <w:outlineLvl w:val="0"/>
              <w:rPr>
                <w:rFonts w:eastAsia="Times New Roman" w:cs="Arial"/>
                <w:b w:val="0"/>
                <w:bCs w:val="0"/>
                <w:color w:val="000000" w:themeColor="text1"/>
                <w:kern w:val="36"/>
                <w:sz w:val="22"/>
                <w:szCs w:val="22"/>
                <w:lang w:eastAsia="en-GB"/>
              </w:rPr>
            </w:pPr>
            <w:r w:rsidRPr="00C93040">
              <w:rPr>
                <w:rFonts w:eastAsia="Times New Roman" w:cs="Arial"/>
                <w:color w:val="000000" w:themeColor="text1"/>
                <w:kern w:val="36"/>
                <w:sz w:val="22"/>
                <w:szCs w:val="22"/>
                <w:lang w:eastAsia="en-GB"/>
              </w:rPr>
              <w:t>Workforce:</w:t>
            </w:r>
            <w:r w:rsidR="00C93040" w:rsidRPr="00C93040">
              <w:rPr>
                <w:rFonts w:eastAsia="Times New Roman" w:cs="Arial"/>
                <w:color w:val="000000" w:themeColor="text1"/>
                <w:kern w:val="36"/>
                <w:sz w:val="22"/>
                <w:szCs w:val="22"/>
                <w:lang w:eastAsia="en-GB"/>
              </w:rPr>
              <w:t xml:space="preserve"> </w:t>
            </w:r>
            <w:r w:rsidRPr="00C93040">
              <w:rPr>
                <w:rFonts w:eastAsia="Times New Roman" w:cs="Arial"/>
                <w:color w:val="000000" w:themeColor="text1"/>
                <w:kern w:val="36"/>
                <w:sz w:val="22"/>
                <w:szCs w:val="22"/>
                <w:lang w:eastAsia="en-GB"/>
              </w:rPr>
              <w:t>Roles, Competencies, and Challenges</w:t>
            </w:r>
          </w:p>
        </w:tc>
        <w:tc>
          <w:tcPr>
            <w:tcW w:w="2855" w:type="dxa"/>
          </w:tcPr>
          <w:p w14:paraId="0AC58D1A" w14:textId="4253A48D" w:rsidR="00870659" w:rsidRDefault="00A27530" w:rsidP="0078249D">
            <w:pPr>
              <w:spacing w:before="100" w:beforeAutospacing="1" w:after="100" w:afterAutospacing="1" w:line="360" w:lineRule="auto"/>
              <w:jc w:val="both"/>
              <w:outlineLvl w:val="0"/>
              <w:cnfStyle w:val="000000100000" w:firstRow="0" w:lastRow="0" w:firstColumn="0" w:lastColumn="0" w:oddVBand="0" w:evenVBand="0" w:oddHBand="1" w:evenHBand="0" w:firstRowFirstColumn="0" w:firstRowLastColumn="0" w:lastRowFirstColumn="0" w:lastRowLastColumn="0"/>
              <w:rPr>
                <w:rFonts w:eastAsia="Times New Roman" w:cs="Arial"/>
                <w:b/>
                <w:bCs/>
                <w:color w:val="0070C0"/>
                <w:kern w:val="36"/>
                <w:sz w:val="22"/>
                <w:szCs w:val="22"/>
                <w:lang w:eastAsia="en-GB"/>
              </w:rPr>
            </w:pPr>
            <w:r>
              <w:rPr>
                <w:rFonts w:eastAsia="Times New Roman" w:cs="Arial"/>
                <w:b/>
                <w:bCs/>
                <w:color w:val="0070C0"/>
                <w:kern w:val="36"/>
                <w:sz w:val="22"/>
                <w:szCs w:val="22"/>
                <w:lang w:eastAsia="en-GB"/>
              </w:rPr>
              <w:t xml:space="preserve">                   3</w:t>
            </w:r>
          </w:p>
        </w:tc>
      </w:tr>
      <w:tr w:rsidR="00870659" w14:paraId="35AFCBD9" w14:textId="77777777" w:rsidTr="00CA6C07">
        <w:trPr>
          <w:trHeight w:val="836"/>
        </w:trPr>
        <w:tc>
          <w:tcPr>
            <w:cnfStyle w:val="001000000000" w:firstRow="0" w:lastRow="0" w:firstColumn="1" w:lastColumn="0" w:oddVBand="0" w:evenVBand="0" w:oddHBand="0" w:evenHBand="0" w:firstRowFirstColumn="0" w:firstRowLastColumn="0" w:lastRowFirstColumn="0" w:lastRowLastColumn="0"/>
            <w:tcW w:w="6374" w:type="dxa"/>
          </w:tcPr>
          <w:p w14:paraId="65B1B6C9" w14:textId="5804D564" w:rsidR="00870659" w:rsidRPr="00C93040" w:rsidRDefault="00C93040" w:rsidP="00C93040">
            <w:pPr>
              <w:spacing w:before="100" w:beforeAutospacing="1" w:after="100" w:afterAutospacing="1" w:line="360" w:lineRule="auto"/>
              <w:jc w:val="center"/>
              <w:outlineLvl w:val="0"/>
              <w:rPr>
                <w:rFonts w:eastAsia="Times New Roman" w:cs="Arial"/>
                <w:color w:val="0070C0"/>
                <w:kern w:val="36"/>
                <w:sz w:val="22"/>
                <w:szCs w:val="22"/>
                <w:lang w:eastAsia="en-GB"/>
              </w:rPr>
            </w:pPr>
            <w:r w:rsidRPr="00C93040">
              <w:rPr>
                <w:rFonts w:eastAsia="Times New Roman" w:cs="Arial"/>
                <w:color w:val="000000" w:themeColor="text1"/>
                <w:kern w:val="36"/>
                <w:sz w:val="22"/>
                <w:szCs w:val="22"/>
                <w:lang w:eastAsia="en-GB"/>
              </w:rPr>
              <w:t>Service Delivery: Pathway Integration and Operational Change</w:t>
            </w:r>
          </w:p>
        </w:tc>
        <w:tc>
          <w:tcPr>
            <w:tcW w:w="2855" w:type="dxa"/>
          </w:tcPr>
          <w:p w14:paraId="6DBE3979" w14:textId="3A86A6D6" w:rsidR="00870659" w:rsidRPr="00C93040" w:rsidRDefault="00A27530" w:rsidP="00C93040">
            <w:pPr>
              <w:spacing w:before="100" w:beforeAutospacing="1" w:after="100" w:afterAutospacing="1" w:line="360" w:lineRule="auto"/>
              <w:jc w:val="center"/>
              <w:outlineLvl w:val="0"/>
              <w:cnfStyle w:val="000000000000" w:firstRow="0" w:lastRow="0" w:firstColumn="0" w:lastColumn="0" w:oddVBand="0" w:evenVBand="0" w:oddHBand="0" w:evenHBand="0" w:firstRowFirstColumn="0" w:firstRowLastColumn="0" w:lastRowFirstColumn="0" w:lastRowLastColumn="0"/>
              <w:rPr>
                <w:rFonts w:eastAsia="Times New Roman" w:cs="Arial"/>
                <w:b/>
                <w:bCs/>
                <w:color w:val="0070C0"/>
                <w:kern w:val="36"/>
                <w:sz w:val="22"/>
                <w:szCs w:val="22"/>
                <w:lang w:eastAsia="en-GB"/>
              </w:rPr>
            </w:pPr>
            <w:r>
              <w:rPr>
                <w:rFonts w:eastAsia="Times New Roman" w:cs="Arial"/>
                <w:b/>
                <w:bCs/>
                <w:color w:val="0070C0"/>
                <w:kern w:val="36"/>
                <w:sz w:val="22"/>
                <w:szCs w:val="22"/>
                <w:lang w:eastAsia="en-GB"/>
              </w:rPr>
              <w:t>4</w:t>
            </w:r>
          </w:p>
        </w:tc>
      </w:tr>
      <w:tr w:rsidR="00870659" w14:paraId="0968608C" w14:textId="77777777" w:rsidTr="00CA6C07">
        <w:trPr>
          <w:cnfStyle w:val="000000100000" w:firstRow="0" w:lastRow="0" w:firstColumn="0" w:lastColumn="0" w:oddVBand="0" w:evenVBand="0" w:oddHBand="1" w:evenHBand="0" w:firstRowFirstColumn="0" w:firstRowLastColumn="0" w:lastRowFirstColumn="0" w:lastRowLastColumn="0"/>
          <w:trHeight w:val="863"/>
        </w:trPr>
        <w:tc>
          <w:tcPr>
            <w:cnfStyle w:val="001000000000" w:firstRow="0" w:lastRow="0" w:firstColumn="1" w:lastColumn="0" w:oddVBand="0" w:evenVBand="0" w:oddHBand="0" w:evenHBand="0" w:firstRowFirstColumn="0" w:firstRowLastColumn="0" w:lastRowFirstColumn="0" w:lastRowLastColumn="0"/>
            <w:tcW w:w="6374" w:type="dxa"/>
          </w:tcPr>
          <w:p w14:paraId="5E33C301" w14:textId="6E327EE4" w:rsidR="00870659" w:rsidRPr="00C93040" w:rsidRDefault="00C93040" w:rsidP="00C93040">
            <w:pPr>
              <w:spacing w:before="100" w:beforeAutospacing="1" w:after="100" w:afterAutospacing="1" w:line="360" w:lineRule="auto"/>
              <w:jc w:val="center"/>
              <w:outlineLvl w:val="0"/>
              <w:rPr>
                <w:rFonts w:eastAsia="Times New Roman" w:cs="Arial"/>
                <w:color w:val="0070C0"/>
                <w:kern w:val="36"/>
                <w:sz w:val="22"/>
                <w:szCs w:val="22"/>
                <w:lang w:eastAsia="en-GB"/>
              </w:rPr>
            </w:pPr>
            <w:r w:rsidRPr="00C93040">
              <w:rPr>
                <w:rFonts w:eastAsia="Times New Roman" w:cs="Arial"/>
                <w:color w:val="000000" w:themeColor="text1"/>
                <w:kern w:val="36"/>
                <w:sz w:val="22"/>
                <w:szCs w:val="22"/>
                <w:lang w:eastAsia="en-GB"/>
              </w:rPr>
              <w:t>Patient and Service User: Experience, Perceptions, and Ethics</w:t>
            </w:r>
          </w:p>
        </w:tc>
        <w:tc>
          <w:tcPr>
            <w:tcW w:w="2855" w:type="dxa"/>
          </w:tcPr>
          <w:p w14:paraId="02CCE48B" w14:textId="5ABB2234" w:rsidR="00870659" w:rsidRPr="00C93040" w:rsidRDefault="00A27530" w:rsidP="00C93040">
            <w:pPr>
              <w:spacing w:before="100" w:beforeAutospacing="1" w:after="100" w:afterAutospacing="1" w:line="360" w:lineRule="auto"/>
              <w:jc w:val="center"/>
              <w:outlineLvl w:val="0"/>
              <w:cnfStyle w:val="000000100000" w:firstRow="0" w:lastRow="0" w:firstColumn="0" w:lastColumn="0" w:oddVBand="0" w:evenVBand="0" w:oddHBand="1" w:evenHBand="0" w:firstRowFirstColumn="0" w:firstRowLastColumn="0" w:lastRowFirstColumn="0" w:lastRowLastColumn="0"/>
              <w:rPr>
                <w:rFonts w:eastAsia="Times New Roman" w:cs="Arial"/>
                <w:b/>
                <w:bCs/>
                <w:color w:val="0070C0"/>
                <w:kern w:val="36"/>
                <w:sz w:val="22"/>
                <w:szCs w:val="22"/>
                <w:lang w:eastAsia="en-GB"/>
              </w:rPr>
            </w:pPr>
            <w:r>
              <w:rPr>
                <w:rFonts w:eastAsia="Times New Roman" w:cs="Arial"/>
                <w:b/>
                <w:bCs/>
                <w:color w:val="0070C0"/>
                <w:kern w:val="36"/>
                <w:sz w:val="22"/>
                <w:szCs w:val="22"/>
                <w:lang w:eastAsia="en-GB"/>
              </w:rPr>
              <w:t>6</w:t>
            </w:r>
          </w:p>
        </w:tc>
      </w:tr>
      <w:tr w:rsidR="00870659" w14:paraId="5C7F4D29" w14:textId="77777777" w:rsidTr="00CA6C07">
        <w:trPr>
          <w:trHeight w:val="836"/>
        </w:trPr>
        <w:tc>
          <w:tcPr>
            <w:cnfStyle w:val="001000000000" w:firstRow="0" w:lastRow="0" w:firstColumn="1" w:lastColumn="0" w:oddVBand="0" w:evenVBand="0" w:oddHBand="0" w:evenHBand="0" w:firstRowFirstColumn="0" w:firstRowLastColumn="0" w:lastRowFirstColumn="0" w:lastRowLastColumn="0"/>
            <w:tcW w:w="6374" w:type="dxa"/>
          </w:tcPr>
          <w:p w14:paraId="34613826" w14:textId="37BA9DB2" w:rsidR="00870659" w:rsidRPr="00C93040" w:rsidRDefault="00C93040" w:rsidP="00C93040">
            <w:pPr>
              <w:spacing w:before="100" w:beforeAutospacing="1" w:after="100" w:afterAutospacing="1" w:line="360" w:lineRule="auto"/>
              <w:jc w:val="center"/>
              <w:outlineLvl w:val="0"/>
              <w:rPr>
                <w:rFonts w:eastAsia="Times New Roman" w:cs="Arial"/>
                <w:color w:val="0070C0"/>
                <w:kern w:val="36"/>
                <w:sz w:val="22"/>
                <w:szCs w:val="22"/>
                <w:lang w:eastAsia="en-GB"/>
              </w:rPr>
            </w:pPr>
            <w:r w:rsidRPr="00C93040">
              <w:rPr>
                <w:rFonts w:eastAsia="Times New Roman" w:cs="Arial"/>
                <w:color w:val="000000" w:themeColor="text1"/>
                <w:kern w:val="36"/>
                <w:sz w:val="22"/>
                <w:szCs w:val="22"/>
                <w:lang w:eastAsia="en-GB"/>
              </w:rPr>
              <w:t>Community: Public Health, Families, and Co-production</w:t>
            </w:r>
          </w:p>
        </w:tc>
        <w:tc>
          <w:tcPr>
            <w:tcW w:w="2855" w:type="dxa"/>
          </w:tcPr>
          <w:p w14:paraId="10B3CAFF" w14:textId="1E3A2E72" w:rsidR="00870659" w:rsidRPr="00C93040" w:rsidRDefault="00A27530" w:rsidP="00C93040">
            <w:pPr>
              <w:spacing w:before="100" w:beforeAutospacing="1" w:after="100" w:afterAutospacing="1" w:line="360" w:lineRule="auto"/>
              <w:jc w:val="center"/>
              <w:outlineLvl w:val="0"/>
              <w:cnfStyle w:val="000000000000" w:firstRow="0" w:lastRow="0" w:firstColumn="0" w:lastColumn="0" w:oddVBand="0" w:evenVBand="0" w:oddHBand="0" w:evenHBand="0" w:firstRowFirstColumn="0" w:firstRowLastColumn="0" w:lastRowFirstColumn="0" w:lastRowLastColumn="0"/>
              <w:rPr>
                <w:rFonts w:eastAsia="Times New Roman" w:cs="Arial"/>
                <w:b/>
                <w:bCs/>
                <w:color w:val="0070C0"/>
                <w:kern w:val="36"/>
                <w:sz w:val="22"/>
                <w:szCs w:val="22"/>
                <w:lang w:eastAsia="en-GB"/>
              </w:rPr>
            </w:pPr>
            <w:r>
              <w:rPr>
                <w:rFonts w:eastAsia="Times New Roman" w:cs="Arial"/>
                <w:b/>
                <w:bCs/>
                <w:color w:val="0070C0"/>
                <w:kern w:val="36"/>
                <w:sz w:val="22"/>
                <w:szCs w:val="22"/>
                <w:lang w:eastAsia="en-GB"/>
              </w:rPr>
              <w:t>7</w:t>
            </w:r>
          </w:p>
        </w:tc>
      </w:tr>
      <w:tr w:rsidR="00870659" w14:paraId="137C28C9" w14:textId="77777777" w:rsidTr="00CA6C07">
        <w:trPr>
          <w:cnfStyle w:val="000000100000" w:firstRow="0" w:lastRow="0" w:firstColumn="0" w:lastColumn="0" w:oddVBand="0" w:evenVBand="0" w:oddHBand="1" w:evenHBand="0" w:firstRowFirstColumn="0" w:firstRowLastColumn="0" w:lastRowFirstColumn="0" w:lastRowLastColumn="0"/>
          <w:trHeight w:val="836"/>
        </w:trPr>
        <w:tc>
          <w:tcPr>
            <w:cnfStyle w:val="001000000000" w:firstRow="0" w:lastRow="0" w:firstColumn="1" w:lastColumn="0" w:oddVBand="0" w:evenVBand="0" w:oddHBand="0" w:evenHBand="0" w:firstRowFirstColumn="0" w:firstRowLastColumn="0" w:lastRowFirstColumn="0" w:lastRowLastColumn="0"/>
            <w:tcW w:w="6374" w:type="dxa"/>
          </w:tcPr>
          <w:p w14:paraId="342C0518" w14:textId="0F533780" w:rsidR="00870659" w:rsidRPr="00C93040" w:rsidRDefault="00C93040" w:rsidP="00C93040">
            <w:pPr>
              <w:spacing w:before="100" w:beforeAutospacing="1" w:after="100" w:afterAutospacing="1" w:line="360" w:lineRule="auto"/>
              <w:jc w:val="center"/>
              <w:outlineLvl w:val="0"/>
              <w:rPr>
                <w:rFonts w:eastAsia="Times New Roman" w:cs="Arial"/>
                <w:color w:val="0070C0"/>
                <w:kern w:val="36"/>
                <w:sz w:val="22"/>
                <w:szCs w:val="22"/>
                <w:lang w:eastAsia="en-GB"/>
              </w:rPr>
            </w:pPr>
            <w:r w:rsidRPr="00C93040">
              <w:rPr>
                <w:rFonts w:eastAsia="Times New Roman" w:cs="Arial"/>
                <w:color w:val="000000" w:themeColor="text1"/>
                <w:kern w:val="36"/>
                <w:sz w:val="22"/>
                <w:szCs w:val="22"/>
                <w:lang w:eastAsia="en-GB"/>
              </w:rPr>
              <w:t>Cost and Value: Economic Considerations</w:t>
            </w:r>
          </w:p>
        </w:tc>
        <w:tc>
          <w:tcPr>
            <w:tcW w:w="2855" w:type="dxa"/>
          </w:tcPr>
          <w:p w14:paraId="17CC4B94" w14:textId="083C9B9B" w:rsidR="00870659" w:rsidRPr="00C93040" w:rsidRDefault="00A27530" w:rsidP="00C93040">
            <w:pPr>
              <w:spacing w:before="100" w:beforeAutospacing="1" w:after="100" w:afterAutospacing="1" w:line="360" w:lineRule="auto"/>
              <w:jc w:val="center"/>
              <w:outlineLvl w:val="0"/>
              <w:cnfStyle w:val="000000100000" w:firstRow="0" w:lastRow="0" w:firstColumn="0" w:lastColumn="0" w:oddVBand="0" w:evenVBand="0" w:oddHBand="1" w:evenHBand="0" w:firstRowFirstColumn="0" w:firstRowLastColumn="0" w:lastRowFirstColumn="0" w:lastRowLastColumn="0"/>
              <w:rPr>
                <w:rFonts w:eastAsia="Times New Roman" w:cs="Arial"/>
                <w:b/>
                <w:bCs/>
                <w:color w:val="0070C0"/>
                <w:kern w:val="36"/>
                <w:sz w:val="22"/>
                <w:szCs w:val="22"/>
                <w:lang w:eastAsia="en-GB"/>
              </w:rPr>
            </w:pPr>
            <w:r>
              <w:rPr>
                <w:rFonts w:eastAsia="Times New Roman" w:cs="Arial"/>
                <w:b/>
                <w:bCs/>
                <w:color w:val="0070C0"/>
                <w:kern w:val="36"/>
                <w:sz w:val="22"/>
                <w:szCs w:val="22"/>
                <w:lang w:eastAsia="en-GB"/>
              </w:rPr>
              <w:t>8</w:t>
            </w:r>
          </w:p>
        </w:tc>
      </w:tr>
      <w:tr w:rsidR="00A27530" w14:paraId="6729F9EC" w14:textId="77777777" w:rsidTr="00CA6C07">
        <w:trPr>
          <w:trHeight w:val="836"/>
        </w:trPr>
        <w:tc>
          <w:tcPr>
            <w:cnfStyle w:val="001000000000" w:firstRow="0" w:lastRow="0" w:firstColumn="1" w:lastColumn="0" w:oddVBand="0" w:evenVBand="0" w:oddHBand="0" w:evenHBand="0" w:firstRowFirstColumn="0" w:firstRowLastColumn="0" w:lastRowFirstColumn="0" w:lastRowLastColumn="0"/>
            <w:tcW w:w="6374" w:type="dxa"/>
          </w:tcPr>
          <w:p w14:paraId="60AD47A7" w14:textId="695CB9AB" w:rsidR="00A27530" w:rsidRPr="00C93040" w:rsidRDefault="00A27530" w:rsidP="00C93040">
            <w:pPr>
              <w:spacing w:before="100" w:beforeAutospacing="1" w:after="100" w:afterAutospacing="1" w:line="360" w:lineRule="auto"/>
              <w:jc w:val="center"/>
              <w:outlineLvl w:val="0"/>
              <w:rPr>
                <w:rFonts w:eastAsia="Times New Roman" w:cs="Arial"/>
                <w:color w:val="000000" w:themeColor="text1"/>
                <w:kern w:val="36"/>
                <w:sz w:val="22"/>
                <w:szCs w:val="22"/>
                <w:lang w:eastAsia="en-GB"/>
              </w:rPr>
            </w:pPr>
            <w:r>
              <w:rPr>
                <w:rFonts w:eastAsia="Times New Roman" w:cs="Arial"/>
                <w:color w:val="000000" w:themeColor="text1"/>
                <w:kern w:val="36"/>
                <w:sz w:val="22"/>
                <w:szCs w:val="22"/>
                <w:lang w:eastAsia="en-GB"/>
              </w:rPr>
              <w:t>Data Protection and GDPR</w:t>
            </w:r>
          </w:p>
        </w:tc>
        <w:tc>
          <w:tcPr>
            <w:tcW w:w="2855" w:type="dxa"/>
          </w:tcPr>
          <w:p w14:paraId="72A2B5EB" w14:textId="5065AED2" w:rsidR="00A27530" w:rsidRDefault="00A27530" w:rsidP="00C93040">
            <w:pPr>
              <w:spacing w:before="100" w:beforeAutospacing="1" w:after="100" w:afterAutospacing="1" w:line="360" w:lineRule="auto"/>
              <w:jc w:val="center"/>
              <w:outlineLvl w:val="0"/>
              <w:cnfStyle w:val="000000000000" w:firstRow="0" w:lastRow="0" w:firstColumn="0" w:lastColumn="0" w:oddVBand="0" w:evenVBand="0" w:oddHBand="0" w:evenHBand="0" w:firstRowFirstColumn="0" w:firstRowLastColumn="0" w:lastRowFirstColumn="0" w:lastRowLastColumn="0"/>
              <w:rPr>
                <w:rFonts w:eastAsia="Times New Roman" w:cs="Arial"/>
                <w:b/>
                <w:bCs/>
                <w:color w:val="0070C0"/>
                <w:kern w:val="36"/>
                <w:sz w:val="22"/>
                <w:szCs w:val="22"/>
                <w:lang w:eastAsia="en-GB"/>
              </w:rPr>
            </w:pPr>
            <w:r>
              <w:rPr>
                <w:rFonts w:eastAsia="Times New Roman" w:cs="Arial"/>
                <w:b/>
                <w:bCs/>
                <w:color w:val="0070C0"/>
                <w:kern w:val="36"/>
                <w:sz w:val="22"/>
                <w:szCs w:val="22"/>
                <w:lang w:eastAsia="en-GB"/>
              </w:rPr>
              <w:t>9</w:t>
            </w:r>
          </w:p>
        </w:tc>
      </w:tr>
      <w:tr w:rsidR="00A27530" w14:paraId="4ED2144E" w14:textId="77777777" w:rsidTr="00CA6C07">
        <w:trPr>
          <w:cnfStyle w:val="000000100000" w:firstRow="0" w:lastRow="0" w:firstColumn="0" w:lastColumn="0" w:oddVBand="0" w:evenVBand="0" w:oddHBand="1" w:evenHBand="0" w:firstRowFirstColumn="0" w:firstRowLastColumn="0" w:lastRowFirstColumn="0" w:lastRowLastColumn="0"/>
          <w:trHeight w:val="836"/>
        </w:trPr>
        <w:tc>
          <w:tcPr>
            <w:cnfStyle w:val="001000000000" w:firstRow="0" w:lastRow="0" w:firstColumn="1" w:lastColumn="0" w:oddVBand="0" w:evenVBand="0" w:oddHBand="0" w:evenHBand="0" w:firstRowFirstColumn="0" w:firstRowLastColumn="0" w:lastRowFirstColumn="0" w:lastRowLastColumn="0"/>
            <w:tcW w:w="6374" w:type="dxa"/>
          </w:tcPr>
          <w:p w14:paraId="4DA04B20" w14:textId="7836AB10" w:rsidR="00A27530" w:rsidRDefault="00A27530" w:rsidP="00C93040">
            <w:pPr>
              <w:spacing w:before="100" w:beforeAutospacing="1" w:after="100" w:afterAutospacing="1" w:line="360" w:lineRule="auto"/>
              <w:jc w:val="center"/>
              <w:outlineLvl w:val="0"/>
              <w:rPr>
                <w:rFonts w:eastAsia="Times New Roman" w:cs="Arial"/>
                <w:color w:val="000000" w:themeColor="text1"/>
                <w:kern w:val="36"/>
                <w:sz w:val="22"/>
                <w:szCs w:val="22"/>
                <w:lang w:eastAsia="en-GB"/>
              </w:rPr>
            </w:pPr>
            <w:r w:rsidRPr="00A27530">
              <w:rPr>
                <w:rFonts w:eastAsia="Times New Roman" w:cs="Arial"/>
                <w:color w:val="000000" w:themeColor="text1"/>
                <w:kern w:val="36"/>
                <w:sz w:val="22"/>
                <w:szCs w:val="22"/>
                <w:lang w:eastAsia="en-GB"/>
              </w:rPr>
              <w:t>Application of Change Management Learning</w:t>
            </w:r>
          </w:p>
        </w:tc>
        <w:tc>
          <w:tcPr>
            <w:tcW w:w="2855" w:type="dxa"/>
          </w:tcPr>
          <w:p w14:paraId="196EE84A" w14:textId="021DA445" w:rsidR="00A27530" w:rsidRDefault="00A27530" w:rsidP="00C93040">
            <w:pPr>
              <w:spacing w:before="100" w:beforeAutospacing="1" w:after="100" w:afterAutospacing="1" w:line="360" w:lineRule="auto"/>
              <w:jc w:val="center"/>
              <w:outlineLvl w:val="0"/>
              <w:cnfStyle w:val="000000100000" w:firstRow="0" w:lastRow="0" w:firstColumn="0" w:lastColumn="0" w:oddVBand="0" w:evenVBand="0" w:oddHBand="1" w:evenHBand="0" w:firstRowFirstColumn="0" w:firstRowLastColumn="0" w:lastRowFirstColumn="0" w:lastRowLastColumn="0"/>
              <w:rPr>
                <w:rFonts w:eastAsia="Times New Roman" w:cs="Arial"/>
                <w:b/>
                <w:bCs/>
                <w:color w:val="0070C0"/>
                <w:kern w:val="36"/>
                <w:sz w:val="22"/>
                <w:szCs w:val="22"/>
                <w:lang w:eastAsia="en-GB"/>
              </w:rPr>
            </w:pPr>
            <w:r>
              <w:rPr>
                <w:rFonts w:eastAsia="Times New Roman" w:cs="Arial"/>
                <w:b/>
                <w:bCs/>
                <w:color w:val="0070C0"/>
                <w:kern w:val="36"/>
                <w:sz w:val="22"/>
                <w:szCs w:val="22"/>
                <w:lang w:eastAsia="en-GB"/>
              </w:rPr>
              <w:t>11</w:t>
            </w:r>
          </w:p>
        </w:tc>
      </w:tr>
      <w:tr w:rsidR="00C93040" w14:paraId="4D5B4876" w14:textId="77777777" w:rsidTr="00CA6C07">
        <w:trPr>
          <w:trHeight w:val="836"/>
        </w:trPr>
        <w:tc>
          <w:tcPr>
            <w:cnfStyle w:val="001000000000" w:firstRow="0" w:lastRow="0" w:firstColumn="1" w:lastColumn="0" w:oddVBand="0" w:evenVBand="0" w:oddHBand="0" w:evenHBand="0" w:firstRowFirstColumn="0" w:firstRowLastColumn="0" w:lastRowFirstColumn="0" w:lastRowLastColumn="0"/>
            <w:tcW w:w="6374" w:type="dxa"/>
          </w:tcPr>
          <w:p w14:paraId="1457F4B3" w14:textId="4D3F7AEE" w:rsidR="00C93040" w:rsidRPr="00C93040" w:rsidRDefault="00C93040" w:rsidP="00C93040">
            <w:pPr>
              <w:spacing w:before="100" w:beforeAutospacing="1" w:after="100" w:afterAutospacing="1" w:line="360" w:lineRule="auto"/>
              <w:jc w:val="center"/>
              <w:outlineLvl w:val="0"/>
              <w:rPr>
                <w:rFonts w:eastAsia="Times New Roman" w:cs="Arial"/>
                <w:color w:val="000000" w:themeColor="text1"/>
                <w:kern w:val="36"/>
                <w:sz w:val="22"/>
                <w:szCs w:val="22"/>
                <w:lang w:eastAsia="en-GB"/>
              </w:rPr>
            </w:pPr>
            <w:r w:rsidRPr="00C93040">
              <w:rPr>
                <w:rFonts w:eastAsia="Times New Roman" w:cs="Arial"/>
                <w:color w:val="000000" w:themeColor="text1"/>
                <w:kern w:val="36"/>
                <w:sz w:val="22"/>
                <w:szCs w:val="22"/>
                <w:lang w:eastAsia="en-GB"/>
              </w:rPr>
              <w:t>Conclusion</w:t>
            </w:r>
          </w:p>
        </w:tc>
        <w:tc>
          <w:tcPr>
            <w:tcW w:w="2855" w:type="dxa"/>
          </w:tcPr>
          <w:p w14:paraId="0D533D17" w14:textId="794D97E7" w:rsidR="00C93040" w:rsidRPr="00C93040" w:rsidRDefault="00A27530" w:rsidP="00C93040">
            <w:pPr>
              <w:spacing w:before="100" w:beforeAutospacing="1" w:after="100" w:afterAutospacing="1" w:line="360" w:lineRule="auto"/>
              <w:jc w:val="center"/>
              <w:outlineLvl w:val="0"/>
              <w:cnfStyle w:val="000000000000" w:firstRow="0" w:lastRow="0" w:firstColumn="0" w:lastColumn="0" w:oddVBand="0" w:evenVBand="0" w:oddHBand="0" w:evenHBand="0" w:firstRowFirstColumn="0" w:firstRowLastColumn="0" w:lastRowFirstColumn="0" w:lastRowLastColumn="0"/>
              <w:rPr>
                <w:rFonts w:eastAsia="Times New Roman" w:cs="Arial"/>
                <w:b/>
                <w:bCs/>
                <w:color w:val="0070C0"/>
                <w:kern w:val="36"/>
                <w:sz w:val="22"/>
                <w:szCs w:val="22"/>
                <w:lang w:eastAsia="en-GB"/>
              </w:rPr>
            </w:pPr>
            <w:r>
              <w:rPr>
                <w:rFonts w:eastAsia="Times New Roman" w:cs="Arial"/>
                <w:b/>
                <w:bCs/>
                <w:color w:val="0070C0"/>
                <w:kern w:val="36"/>
                <w:sz w:val="22"/>
                <w:szCs w:val="22"/>
                <w:lang w:eastAsia="en-GB"/>
              </w:rPr>
              <w:t>12</w:t>
            </w:r>
          </w:p>
        </w:tc>
      </w:tr>
      <w:tr w:rsidR="00C93040" w14:paraId="289A2526" w14:textId="77777777" w:rsidTr="00CA6C07">
        <w:trPr>
          <w:cnfStyle w:val="000000100000" w:firstRow="0" w:lastRow="0" w:firstColumn="0" w:lastColumn="0" w:oddVBand="0" w:evenVBand="0" w:oddHBand="1" w:evenHBand="0" w:firstRowFirstColumn="0" w:firstRowLastColumn="0" w:lastRowFirstColumn="0" w:lastRowLastColumn="0"/>
          <w:trHeight w:val="836"/>
        </w:trPr>
        <w:tc>
          <w:tcPr>
            <w:cnfStyle w:val="001000000000" w:firstRow="0" w:lastRow="0" w:firstColumn="1" w:lastColumn="0" w:oddVBand="0" w:evenVBand="0" w:oddHBand="0" w:evenHBand="0" w:firstRowFirstColumn="0" w:firstRowLastColumn="0" w:lastRowFirstColumn="0" w:lastRowLastColumn="0"/>
            <w:tcW w:w="6374" w:type="dxa"/>
          </w:tcPr>
          <w:p w14:paraId="0BC48C87" w14:textId="18F50158" w:rsidR="00C93040" w:rsidRPr="00C93040" w:rsidRDefault="00CA6C07" w:rsidP="00C93040">
            <w:pPr>
              <w:spacing w:before="100" w:beforeAutospacing="1" w:after="100" w:afterAutospacing="1" w:line="360" w:lineRule="auto"/>
              <w:jc w:val="center"/>
              <w:outlineLvl w:val="0"/>
              <w:rPr>
                <w:rFonts w:eastAsia="Times New Roman" w:cs="Arial"/>
                <w:color w:val="000000" w:themeColor="text1"/>
                <w:kern w:val="36"/>
                <w:sz w:val="22"/>
                <w:szCs w:val="22"/>
                <w:lang w:eastAsia="en-GB"/>
              </w:rPr>
            </w:pPr>
            <w:r>
              <w:rPr>
                <w:rFonts w:eastAsia="Times New Roman" w:cs="Arial"/>
                <w:color w:val="000000" w:themeColor="text1"/>
                <w:kern w:val="36"/>
                <w:sz w:val="22"/>
                <w:szCs w:val="22"/>
                <w:lang w:eastAsia="en-GB"/>
              </w:rPr>
              <w:t>References</w:t>
            </w:r>
          </w:p>
        </w:tc>
        <w:tc>
          <w:tcPr>
            <w:tcW w:w="2855" w:type="dxa"/>
          </w:tcPr>
          <w:p w14:paraId="0E4FDB3B" w14:textId="481218C8" w:rsidR="00C93040" w:rsidRPr="00C93040" w:rsidRDefault="00A27530" w:rsidP="00C93040">
            <w:pPr>
              <w:spacing w:before="100" w:beforeAutospacing="1" w:after="100" w:afterAutospacing="1" w:line="360" w:lineRule="auto"/>
              <w:jc w:val="center"/>
              <w:outlineLvl w:val="0"/>
              <w:cnfStyle w:val="000000100000" w:firstRow="0" w:lastRow="0" w:firstColumn="0" w:lastColumn="0" w:oddVBand="0" w:evenVBand="0" w:oddHBand="1" w:evenHBand="0" w:firstRowFirstColumn="0" w:firstRowLastColumn="0" w:lastRowFirstColumn="0" w:lastRowLastColumn="0"/>
              <w:rPr>
                <w:rFonts w:eastAsia="Times New Roman" w:cs="Arial"/>
                <w:b/>
                <w:bCs/>
                <w:color w:val="0070C0"/>
                <w:kern w:val="36"/>
                <w:sz w:val="22"/>
                <w:szCs w:val="22"/>
                <w:lang w:eastAsia="en-GB"/>
              </w:rPr>
            </w:pPr>
            <w:r>
              <w:rPr>
                <w:rFonts w:eastAsia="Times New Roman" w:cs="Arial"/>
                <w:b/>
                <w:bCs/>
                <w:color w:val="0070C0"/>
                <w:kern w:val="36"/>
                <w:sz w:val="22"/>
                <w:szCs w:val="22"/>
                <w:lang w:eastAsia="en-GB"/>
              </w:rPr>
              <w:t>13</w:t>
            </w:r>
          </w:p>
        </w:tc>
      </w:tr>
    </w:tbl>
    <w:p w14:paraId="0100081B" w14:textId="77777777" w:rsidR="004151DE" w:rsidRPr="004151DE" w:rsidRDefault="004151DE" w:rsidP="00CE4C82">
      <w:pPr>
        <w:spacing w:before="100" w:beforeAutospacing="1" w:after="100" w:afterAutospacing="1" w:line="360" w:lineRule="auto"/>
        <w:jc w:val="both"/>
        <w:outlineLvl w:val="0"/>
        <w:rPr>
          <w:rFonts w:eastAsia="Times New Roman" w:cs="Arial"/>
          <w:b/>
          <w:bCs/>
          <w:color w:val="0070C0"/>
          <w:kern w:val="36"/>
          <w:sz w:val="22"/>
          <w:szCs w:val="22"/>
          <w:lang w:eastAsia="en-GB"/>
        </w:rPr>
      </w:pPr>
    </w:p>
    <w:p w14:paraId="7B9F357D" w14:textId="77777777" w:rsidR="000B702A" w:rsidRDefault="000B702A" w:rsidP="00CE4C82">
      <w:pPr>
        <w:spacing w:before="100" w:beforeAutospacing="1" w:after="100" w:afterAutospacing="1" w:line="360" w:lineRule="auto"/>
        <w:jc w:val="both"/>
        <w:outlineLvl w:val="1"/>
        <w:rPr>
          <w:rFonts w:eastAsia="Times New Roman" w:cs="Arial"/>
          <w:b/>
          <w:bCs/>
          <w:color w:val="0070C0"/>
          <w:sz w:val="22"/>
          <w:szCs w:val="22"/>
          <w:lang w:eastAsia="en-GB"/>
        </w:rPr>
      </w:pPr>
    </w:p>
    <w:p w14:paraId="4CE8AEE3" w14:textId="77777777" w:rsidR="000B702A" w:rsidRDefault="000B702A" w:rsidP="00CE4C82">
      <w:pPr>
        <w:spacing w:before="100" w:beforeAutospacing="1" w:after="100" w:afterAutospacing="1" w:line="360" w:lineRule="auto"/>
        <w:jc w:val="both"/>
        <w:outlineLvl w:val="1"/>
        <w:rPr>
          <w:rFonts w:eastAsia="Times New Roman" w:cs="Arial"/>
          <w:b/>
          <w:bCs/>
          <w:color w:val="0070C0"/>
          <w:sz w:val="22"/>
          <w:szCs w:val="22"/>
          <w:lang w:eastAsia="en-GB"/>
        </w:rPr>
      </w:pPr>
    </w:p>
    <w:p w14:paraId="29DBC0CD" w14:textId="54FDF1E0" w:rsidR="000B702A" w:rsidRDefault="000B702A" w:rsidP="00CE4C82">
      <w:pPr>
        <w:spacing w:before="100" w:beforeAutospacing="1" w:after="100" w:afterAutospacing="1" w:line="360" w:lineRule="auto"/>
        <w:jc w:val="both"/>
        <w:outlineLvl w:val="1"/>
        <w:rPr>
          <w:rFonts w:eastAsia="Times New Roman" w:cs="Arial"/>
          <w:b/>
          <w:bCs/>
          <w:color w:val="0070C0"/>
          <w:sz w:val="22"/>
          <w:szCs w:val="22"/>
          <w:lang w:eastAsia="en-GB"/>
        </w:rPr>
      </w:pPr>
    </w:p>
    <w:p w14:paraId="2FF83C38" w14:textId="63EA2D61" w:rsidR="00CE4C82" w:rsidRPr="004151DE" w:rsidRDefault="00CE4C82" w:rsidP="00CE4C82">
      <w:pPr>
        <w:spacing w:before="100" w:beforeAutospacing="1" w:after="100" w:afterAutospacing="1" w:line="360" w:lineRule="auto"/>
        <w:jc w:val="both"/>
        <w:outlineLvl w:val="1"/>
        <w:rPr>
          <w:rFonts w:eastAsia="Times New Roman" w:cs="Arial"/>
          <w:b/>
          <w:bCs/>
          <w:color w:val="0070C0"/>
          <w:sz w:val="22"/>
          <w:szCs w:val="22"/>
          <w:lang w:eastAsia="en-GB"/>
        </w:rPr>
      </w:pPr>
      <w:r w:rsidRPr="004151DE">
        <w:rPr>
          <w:rFonts w:eastAsia="Times New Roman" w:cs="Arial"/>
          <w:b/>
          <w:bCs/>
          <w:color w:val="0070C0"/>
          <w:sz w:val="22"/>
          <w:szCs w:val="22"/>
          <w:lang w:eastAsia="en-GB"/>
        </w:rPr>
        <w:t xml:space="preserve">1. </w:t>
      </w:r>
      <w:r w:rsidRPr="004151DE">
        <w:rPr>
          <w:rFonts w:eastAsia="Times New Roman" w:cs="Arial"/>
          <w:b/>
          <w:bCs/>
          <w:color w:val="0070C0"/>
          <w:sz w:val="28"/>
          <w:szCs w:val="28"/>
          <w:lang w:eastAsia="en-GB"/>
        </w:rPr>
        <w:t>Introduction</w:t>
      </w:r>
    </w:p>
    <w:p w14:paraId="612B0FF3" w14:textId="32E42642" w:rsidR="00CE4C82" w:rsidRPr="00CE4C82" w:rsidRDefault="00CE4C82" w:rsidP="00CE4C82">
      <w:pPr>
        <w:spacing w:before="100" w:beforeAutospacing="1" w:after="100" w:afterAutospacing="1" w:line="360" w:lineRule="auto"/>
        <w:jc w:val="both"/>
        <w:rPr>
          <w:rFonts w:eastAsia="Times New Roman" w:cs="Arial"/>
          <w:sz w:val="22"/>
          <w:szCs w:val="22"/>
          <w:lang w:eastAsia="en-GB"/>
        </w:rPr>
      </w:pPr>
      <w:r w:rsidRPr="00CE4C82">
        <w:rPr>
          <w:rFonts w:eastAsia="Times New Roman" w:cs="Arial"/>
          <w:sz w:val="22"/>
          <w:szCs w:val="22"/>
          <w:lang w:eastAsia="en-GB"/>
        </w:rPr>
        <w:t xml:space="preserve">The integration of genomic technologies into the National Health Service (NHS) represents one of the most transformative digital innovations in contemporary healthcare. The United Kingdom (UK) has positioned itself as a global leader in this field through the </w:t>
      </w:r>
      <w:r w:rsidRPr="0022393C">
        <w:rPr>
          <w:rFonts w:eastAsia="Times New Roman" w:cs="Arial"/>
          <w:sz w:val="22"/>
          <w:szCs w:val="22"/>
          <w:lang w:eastAsia="en-GB"/>
        </w:rPr>
        <w:t>100,000 Genomes Project (2013–2018)</w:t>
      </w:r>
      <w:r w:rsidRPr="00CE4C82">
        <w:rPr>
          <w:rFonts w:eastAsia="Times New Roman" w:cs="Arial"/>
          <w:sz w:val="22"/>
          <w:szCs w:val="22"/>
          <w:lang w:eastAsia="en-GB"/>
        </w:rPr>
        <w:t xml:space="preserve"> and the subsequent establishment of the </w:t>
      </w:r>
      <w:r w:rsidRPr="0022393C">
        <w:rPr>
          <w:rFonts w:eastAsia="Times New Roman" w:cs="Arial"/>
          <w:sz w:val="22"/>
          <w:szCs w:val="22"/>
          <w:lang w:eastAsia="en-GB"/>
        </w:rPr>
        <w:t xml:space="preserve">NHS Genomic Medicine Service (GMS) </w:t>
      </w:r>
      <w:r w:rsidRPr="00CE4C82">
        <w:rPr>
          <w:rFonts w:eastAsia="Times New Roman" w:cs="Arial"/>
          <w:sz w:val="22"/>
          <w:szCs w:val="22"/>
          <w:lang w:eastAsia="en-GB"/>
        </w:rPr>
        <w:t>in 2018 (Genomics England, 2022). These initiatives aimed to integrate genomic data into routine NHS care, particularly for rare diseases, cancers, and hereditary conditions.</w:t>
      </w:r>
    </w:p>
    <w:p w14:paraId="0E0709F5" w14:textId="683098AA" w:rsidR="00CE4C82" w:rsidRPr="00CE4C82" w:rsidRDefault="00CE4C82" w:rsidP="005617F3">
      <w:pPr>
        <w:spacing w:before="100" w:beforeAutospacing="1" w:after="100" w:afterAutospacing="1" w:line="360" w:lineRule="auto"/>
        <w:jc w:val="both"/>
        <w:rPr>
          <w:rFonts w:eastAsia="Times New Roman" w:cs="Arial"/>
          <w:sz w:val="22"/>
          <w:szCs w:val="22"/>
          <w:lang w:eastAsia="en-GB"/>
        </w:rPr>
      </w:pPr>
      <w:r w:rsidRPr="003C0197">
        <w:rPr>
          <w:rFonts w:eastAsia="Times New Roman" w:cs="Arial"/>
          <w:sz w:val="22"/>
          <w:szCs w:val="22"/>
          <w:lang w:eastAsia="en-GB"/>
        </w:rPr>
        <w:t xml:space="preserve">This </w:t>
      </w:r>
      <w:r w:rsidR="00781435">
        <w:rPr>
          <w:rFonts w:eastAsia="Times New Roman" w:cs="Arial"/>
          <w:sz w:val="22"/>
          <w:szCs w:val="22"/>
          <w:lang w:eastAsia="en-GB"/>
        </w:rPr>
        <w:t xml:space="preserve">report </w:t>
      </w:r>
      <w:r w:rsidRPr="003C0197">
        <w:rPr>
          <w:rFonts w:eastAsia="Times New Roman" w:cs="Arial"/>
          <w:sz w:val="22"/>
          <w:szCs w:val="22"/>
          <w:lang w:eastAsia="en-GB"/>
        </w:rPr>
        <w:t>evaluates the digital transformation represented by the implementation of WGS within UK healthcare. It explores the impacts on the workforce, service delivery, patients/service users, and the wider community, considering both positive and negative outcomes.</w:t>
      </w:r>
    </w:p>
    <w:p w14:paraId="72AA4621" w14:textId="3E25ABB2" w:rsidR="00CE4C82" w:rsidRPr="004151DE" w:rsidRDefault="00CE4C82" w:rsidP="00CE4C82">
      <w:pPr>
        <w:spacing w:before="100" w:beforeAutospacing="1" w:after="100" w:afterAutospacing="1" w:line="360" w:lineRule="auto"/>
        <w:jc w:val="both"/>
        <w:outlineLvl w:val="1"/>
        <w:rPr>
          <w:rFonts w:eastAsia="Times New Roman" w:cs="Arial"/>
          <w:b/>
          <w:bCs/>
          <w:color w:val="0070C0"/>
          <w:sz w:val="22"/>
          <w:szCs w:val="22"/>
          <w:lang w:eastAsia="en-GB"/>
        </w:rPr>
      </w:pPr>
      <w:r w:rsidRPr="004151DE">
        <w:rPr>
          <w:rFonts w:eastAsia="Times New Roman" w:cs="Arial"/>
          <w:b/>
          <w:bCs/>
          <w:color w:val="0070C0"/>
          <w:sz w:val="22"/>
          <w:szCs w:val="22"/>
          <w:lang w:eastAsia="en-GB"/>
        </w:rPr>
        <w:t xml:space="preserve">2. </w:t>
      </w:r>
      <w:r w:rsidRPr="004151DE">
        <w:rPr>
          <w:rFonts w:eastAsia="Times New Roman" w:cs="Arial"/>
          <w:b/>
          <w:bCs/>
          <w:color w:val="0070C0"/>
          <w:sz w:val="28"/>
          <w:szCs w:val="28"/>
          <w:lang w:eastAsia="en-GB"/>
        </w:rPr>
        <w:t>Background</w:t>
      </w:r>
    </w:p>
    <w:p w14:paraId="09514F7C" w14:textId="18A46B0D" w:rsidR="00CE4C82" w:rsidRPr="005D2BF6" w:rsidRDefault="00FB127B" w:rsidP="00CE4C82">
      <w:pPr>
        <w:spacing w:before="100" w:beforeAutospacing="1" w:after="100" w:afterAutospacing="1" w:line="360" w:lineRule="auto"/>
        <w:jc w:val="both"/>
        <w:rPr>
          <w:rFonts w:eastAsia="Times New Roman" w:cs="Arial"/>
          <w:sz w:val="22"/>
          <w:szCs w:val="22"/>
          <w:lang w:eastAsia="en-GB"/>
        </w:rPr>
      </w:pPr>
      <w:r>
        <w:rPr>
          <w:rFonts w:eastAsia="Times New Roman" w:cs="Arial"/>
          <w:sz w:val="22"/>
          <w:szCs w:val="22"/>
          <w:lang w:eastAsia="en-GB"/>
        </w:rPr>
        <w:t xml:space="preserve">The digital transformation through genomics was driven by the UK government’s ambition to establish the NHS as the first health system to integrate genomic medicine at scale. The 100,000 Genomes Project, launched in 2012 and completed in 2018, </w:t>
      </w:r>
      <w:r w:rsidR="004E06A4">
        <w:rPr>
          <w:rFonts w:eastAsia="Times New Roman" w:cs="Arial"/>
          <w:sz w:val="22"/>
          <w:szCs w:val="22"/>
          <w:lang w:eastAsia="en-GB"/>
        </w:rPr>
        <w:t>catalysed</w:t>
      </w:r>
      <w:r>
        <w:rPr>
          <w:rFonts w:eastAsia="Times New Roman" w:cs="Arial"/>
          <w:sz w:val="22"/>
          <w:szCs w:val="22"/>
          <w:lang w:eastAsia="en-GB"/>
        </w:rPr>
        <w:t xml:space="preserve"> large-scale sequencing in collaboration between Genomics England and the Department of Health and Social Care (Turnbull </w:t>
      </w:r>
      <w:r w:rsidRPr="00DE2221">
        <w:rPr>
          <w:rFonts w:eastAsia="Times New Roman" w:cs="Arial"/>
          <w:i/>
          <w:iCs/>
          <w:sz w:val="22"/>
          <w:szCs w:val="22"/>
          <w:lang w:eastAsia="en-GB"/>
        </w:rPr>
        <w:t>et al</w:t>
      </w:r>
      <w:r>
        <w:rPr>
          <w:rFonts w:eastAsia="Times New Roman" w:cs="Arial"/>
          <w:sz w:val="22"/>
          <w:szCs w:val="22"/>
          <w:lang w:eastAsia="en-GB"/>
        </w:rPr>
        <w:t>., 2018). The project successfully sequenced over 100,000 genomes from patients with rare diseases and cancers, laying a strong foundation for clinical genomics (Genomics England, 2022).</w:t>
      </w:r>
    </w:p>
    <w:p w14:paraId="774AF3C2" w14:textId="77777777" w:rsidR="00390C9B" w:rsidRDefault="00FB127B" w:rsidP="00CE4C82">
      <w:pPr>
        <w:spacing w:before="100" w:beforeAutospacing="1" w:after="100" w:afterAutospacing="1" w:line="360" w:lineRule="auto"/>
        <w:jc w:val="both"/>
        <w:rPr>
          <w:rFonts w:eastAsia="Times New Roman" w:cs="Arial"/>
          <w:sz w:val="22"/>
          <w:szCs w:val="22"/>
          <w:lang w:eastAsia="en-GB"/>
        </w:rPr>
      </w:pPr>
      <w:r>
        <w:rPr>
          <w:rFonts w:eastAsia="Times New Roman" w:cs="Arial"/>
          <w:sz w:val="22"/>
          <w:szCs w:val="22"/>
          <w:lang w:eastAsia="en-GB"/>
        </w:rPr>
        <w:t>In 2018, the NHS Genomic Medicine Service (GMS) was established to integrate WGS into routine care across England. This system is operated through seven Genomic Laboratory Hubs (GLHs) that ensure equitable access to testing, supported by the National Genomic Test Directory, which standardises tests and eligibility criteria (NHS England, 2022). The service is overseen by Genomics England, which also manages the National Genomic Research Library, creating a feedback loop between research and clinical care (Genomics England, 2023).</w:t>
      </w:r>
    </w:p>
    <w:p w14:paraId="5683677C" w14:textId="6497DBAD" w:rsidR="00CE4C82" w:rsidRPr="00CE4C82" w:rsidRDefault="00FB127B" w:rsidP="005617F3">
      <w:pPr>
        <w:spacing w:before="100" w:beforeAutospacing="1" w:after="100" w:afterAutospacing="1" w:line="360" w:lineRule="auto"/>
        <w:jc w:val="both"/>
        <w:rPr>
          <w:rFonts w:eastAsia="Times New Roman" w:cs="Arial"/>
          <w:sz w:val="22"/>
          <w:szCs w:val="22"/>
          <w:lang w:eastAsia="en-GB"/>
        </w:rPr>
      </w:pPr>
      <w:r>
        <w:rPr>
          <w:rFonts w:eastAsia="Times New Roman" w:cs="Arial"/>
          <w:sz w:val="22"/>
          <w:szCs w:val="22"/>
          <w:lang w:eastAsia="en-GB"/>
        </w:rPr>
        <w:t xml:space="preserve">The cost of this transformation has been significant. The initial investment in the 100,000 Genomes Project was around £300 million, with ongoing commitments such as a £650 million government investment announced in 2025 to expand newborn genome sequencing (The </w:t>
      </w:r>
      <w:r>
        <w:rPr>
          <w:rFonts w:eastAsia="Times New Roman" w:cs="Arial"/>
          <w:sz w:val="22"/>
          <w:szCs w:val="22"/>
          <w:lang w:eastAsia="en-GB"/>
        </w:rPr>
        <w:lastRenderedPageBreak/>
        <w:t>Guardian, 2025). Although considerable, this investment aims to deliver long-term savings through earlier diagnosis, targeted therapies, and improved disease prevention.</w:t>
      </w:r>
    </w:p>
    <w:p w14:paraId="30CB1199" w14:textId="3C66458B" w:rsidR="00A27530" w:rsidRPr="00A27530" w:rsidRDefault="00CE4C82" w:rsidP="00CE4C82">
      <w:pPr>
        <w:spacing w:before="100" w:beforeAutospacing="1" w:after="100" w:afterAutospacing="1" w:line="360" w:lineRule="auto"/>
        <w:jc w:val="both"/>
        <w:outlineLvl w:val="1"/>
        <w:rPr>
          <w:rFonts w:eastAsia="Times New Roman" w:cs="Arial"/>
          <w:b/>
          <w:bCs/>
          <w:color w:val="0070C0"/>
          <w:sz w:val="28"/>
          <w:szCs w:val="28"/>
          <w:lang w:eastAsia="en-GB"/>
        </w:rPr>
      </w:pPr>
      <w:r w:rsidRPr="004151DE">
        <w:rPr>
          <w:rFonts w:eastAsia="Times New Roman" w:cs="Arial"/>
          <w:b/>
          <w:bCs/>
          <w:color w:val="0070C0"/>
          <w:sz w:val="22"/>
          <w:szCs w:val="22"/>
          <w:lang w:eastAsia="en-GB"/>
        </w:rPr>
        <w:t xml:space="preserve">3. </w:t>
      </w:r>
      <w:r w:rsidRPr="004151DE">
        <w:rPr>
          <w:rFonts w:eastAsia="Times New Roman" w:cs="Arial"/>
          <w:b/>
          <w:bCs/>
          <w:color w:val="0070C0"/>
          <w:sz w:val="28"/>
          <w:szCs w:val="28"/>
          <w:lang w:eastAsia="en-GB"/>
        </w:rPr>
        <w:t>Workforce: Roles, Competencies, and Challenges</w:t>
      </w:r>
    </w:p>
    <w:p w14:paraId="014EDA97" w14:textId="77777777" w:rsidR="00CE4C82" w:rsidRPr="00CE4C82" w:rsidRDefault="00CE4C82" w:rsidP="00CE4C82">
      <w:pPr>
        <w:spacing w:before="100" w:beforeAutospacing="1" w:after="100" w:afterAutospacing="1" w:line="360" w:lineRule="auto"/>
        <w:jc w:val="both"/>
        <w:outlineLvl w:val="2"/>
        <w:rPr>
          <w:rFonts w:eastAsia="Times New Roman" w:cs="Arial"/>
          <w:b/>
          <w:bCs/>
          <w:sz w:val="22"/>
          <w:szCs w:val="22"/>
          <w:lang w:eastAsia="en-GB"/>
        </w:rPr>
      </w:pPr>
      <w:r w:rsidRPr="00CE4C82">
        <w:rPr>
          <w:rFonts w:eastAsia="Times New Roman" w:cs="Arial"/>
          <w:b/>
          <w:bCs/>
          <w:sz w:val="22"/>
          <w:szCs w:val="22"/>
          <w:lang w:eastAsia="en-GB"/>
        </w:rPr>
        <w:t>3.1</w:t>
      </w:r>
      <w:r w:rsidRPr="005D2BF6">
        <w:rPr>
          <w:rFonts w:eastAsia="Times New Roman" w:cs="Arial"/>
          <w:i/>
          <w:iCs/>
          <w:sz w:val="22"/>
          <w:szCs w:val="22"/>
          <w:lang w:eastAsia="en-GB"/>
        </w:rPr>
        <w:t xml:space="preserve"> Positive Impacts: Upskilling and Role Evolution</w:t>
      </w:r>
    </w:p>
    <w:p w14:paraId="49248E93" w14:textId="3BCAFD0B" w:rsidR="00CE4C82" w:rsidRPr="00CE4C82" w:rsidRDefault="00FB127B" w:rsidP="00CE4C82">
      <w:pPr>
        <w:spacing w:before="100" w:beforeAutospacing="1" w:after="100" w:afterAutospacing="1" w:line="360" w:lineRule="auto"/>
        <w:jc w:val="both"/>
        <w:rPr>
          <w:rFonts w:eastAsia="Times New Roman" w:cs="Arial"/>
          <w:sz w:val="22"/>
          <w:szCs w:val="22"/>
          <w:lang w:eastAsia="en-GB"/>
        </w:rPr>
      </w:pPr>
      <w:r>
        <w:rPr>
          <w:rFonts w:eastAsia="Times New Roman" w:cs="Arial"/>
          <w:sz w:val="22"/>
          <w:szCs w:val="22"/>
          <w:lang w:eastAsia="en-GB"/>
        </w:rPr>
        <w:t>The implementation of WGS has significantly transformed the healthcare workforce. Conventional clinical roles have evolved, with new positions such as clinical bioinformaticians, genomic counsellors, and data scientists emerging. The Genomics Education Programme (GEP), funded by Health Education England, has been crucial in training healthcare professionals to interpret genomic data and communicate results effectively (Health Education England, 2023).</w:t>
      </w:r>
    </w:p>
    <w:p w14:paraId="4324E20B" w14:textId="7AD8EAED" w:rsidR="00674E2E" w:rsidRPr="00CE4C82" w:rsidRDefault="00FB127B" w:rsidP="00CE4C82">
      <w:pPr>
        <w:spacing w:before="100" w:beforeAutospacing="1" w:after="100" w:afterAutospacing="1" w:line="360" w:lineRule="auto"/>
        <w:jc w:val="both"/>
        <w:rPr>
          <w:rFonts w:eastAsia="Times New Roman" w:cs="Arial"/>
          <w:sz w:val="22"/>
          <w:szCs w:val="22"/>
          <w:lang w:eastAsia="en-GB"/>
        </w:rPr>
      </w:pPr>
      <w:r>
        <w:rPr>
          <w:rFonts w:eastAsia="Times New Roman" w:cs="Arial"/>
          <w:sz w:val="22"/>
          <w:szCs w:val="22"/>
          <w:lang w:eastAsia="en-GB"/>
        </w:rPr>
        <w:t xml:space="preserve">Mainstream clinicians, such as oncologists, cardiologists, and paediatricians, are now trained to request and interpret genomic tests directly, reducing reliance on specialised genetics clinics and improving patient access (Friedrich </w:t>
      </w:r>
      <w:r w:rsidRPr="00FB127B">
        <w:rPr>
          <w:rFonts w:eastAsia="Times New Roman" w:cs="Arial"/>
          <w:i/>
          <w:iCs/>
          <w:sz w:val="22"/>
          <w:szCs w:val="22"/>
          <w:lang w:eastAsia="en-GB"/>
        </w:rPr>
        <w:t>et al</w:t>
      </w:r>
      <w:r>
        <w:rPr>
          <w:rFonts w:eastAsia="Times New Roman" w:cs="Arial"/>
          <w:sz w:val="22"/>
          <w:szCs w:val="22"/>
          <w:lang w:eastAsia="en-GB"/>
        </w:rPr>
        <w:t>., 2024). This decentralisation marks a significant shift towards multidisciplinary collaboration, aligning with the NHS’s digital transformation objectives.</w:t>
      </w:r>
    </w:p>
    <w:p w14:paraId="01146BC6" w14:textId="77777777" w:rsidR="00CE4C82" w:rsidRPr="00CE4C82" w:rsidRDefault="00CE4C82" w:rsidP="00CE4C82">
      <w:pPr>
        <w:spacing w:before="100" w:beforeAutospacing="1" w:after="100" w:afterAutospacing="1" w:line="360" w:lineRule="auto"/>
        <w:jc w:val="both"/>
        <w:outlineLvl w:val="2"/>
        <w:rPr>
          <w:rFonts w:eastAsia="Times New Roman" w:cs="Arial"/>
          <w:b/>
          <w:bCs/>
          <w:sz w:val="22"/>
          <w:szCs w:val="22"/>
          <w:lang w:eastAsia="en-GB"/>
        </w:rPr>
      </w:pPr>
      <w:r w:rsidRPr="00CE4C82">
        <w:rPr>
          <w:rFonts w:eastAsia="Times New Roman" w:cs="Arial"/>
          <w:b/>
          <w:bCs/>
          <w:sz w:val="22"/>
          <w:szCs w:val="22"/>
          <w:lang w:eastAsia="en-GB"/>
        </w:rPr>
        <w:t xml:space="preserve">3.2 </w:t>
      </w:r>
      <w:r w:rsidRPr="005D2BF6">
        <w:rPr>
          <w:rFonts w:eastAsia="Times New Roman" w:cs="Arial"/>
          <w:i/>
          <w:iCs/>
          <w:sz w:val="22"/>
          <w:szCs w:val="22"/>
          <w:lang w:eastAsia="en-GB"/>
        </w:rPr>
        <w:t>Negative Impacts: Skills Gaps and Workforce Pressure</w:t>
      </w:r>
    </w:p>
    <w:p w14:paraId="07772F6C" w14:textId="189830C2" w:rsidR="00CE4C82" w:rsidRPr="00CE4C82" w:rsidRDefault="00CE4C82" w:rsidP="00CE4C82">
      <w:pPr>
        <w:spacing w:before="100" w:beforeAutospacing="1" w:after="100" w:afterAutospacing="1" w:line="360" w:lineRule="auto"/>
        <w:jc w:val="both"/>
        <w:rPr>
          <w:rFonts w:eastAsia="Times New Roman" w:cs="Arial"/>
          <w:sz w:val="22"/>
          <w:szCs w:val="22"/>
          <w:lang w:eastAsia="en-GB"/>
        </w:rPr>
      </w:pPr>
      <w:r w:rsidRPr="00CE4C82">
        <w:rPr>
          <w:rFonts w:eastAsia="Times New Roman" w:cs="Arial"/>
          <w:sz w:val="22"/>
          <w:szCs w:val="22"/>
          <w:lang w:eastAsia="en-GB"/>
        </w:rPr>
        <w:t xml:space="preserve">Despite these advances, the workforce faces substantial challenges. There remains a </w:t>
      </w:r>
      <w:r w:rsidRPr="00CE4C82">
        <w:rPr>
          <w:rFonts w:eastAsia="Times New Roman" w:cs="Arial"/>
          <w:b/>
          <w:bCs/>
          <w:sz w:val="22"/>
          <w:szCs w:val="22"/>
          <w:lang w:eastAsia="en-GB"/>
        </w:rPr>
        <w:t>shortage of qualified genomic scientists and counsellors</w:t>
      </w:r>
      <w:r w:rsidRPr="00CE4C82">
        <w:rPr>
          <w:rFonts w:eastAsia="Times New Roman" w:cs="Arial"/>
          <w:sz w:val="22"/>
          <w:szCs w:val="22"/>
          <w:lang w:eastAsia="en-GB"/>
        </w:rPr>
        <w:t xml:space="preserve">, creating bottlenecks in data interpretation and patient communication. A 2023 qualitative study found that many NHS clinicians lack confidence in explaining complex genomic results to patients, reflecting persistent competency gaps (Peter </w:t>
      </w:r>
      <w:r w:rsidRPr="00674E2E">
        <w:rPr>
          <w:rFonts w:eastAsia="Times New Roman" w:cs="Arial"/>
          <w:i/>
          <w:iCs/>
          <w:sz w:val="22"/>
          <w:szCs w:val="22"/>
          <w:lang w:eastAsia="en-GB"/>
        </w:rPr>
        <w:t>et al</w:t>
      </w:r>
      <w:r w:rsidRPr="00CE4C82">
        <w:rPr>
          <w:rFonts w:eastAsia="Times New Roman" w:cs="Arial"/>
          <w:sz w:val="22"/>
          <w:szCs w:val="22"/>
          <w:lang w:eastAsia="en-GB"/>
        </w:rPr>
        <w:t>., 2022). Moreover, bioinformatics</w:t>
      </w:r>
      <w:r w:rsidR="00674E2E">
        <w:rPr>
          <w:rFonts w:eastAsia="Times New Roman" w:cs="Arial"/>
          <w:sz w:val="22"/>
          <w:szCs w:val="22"/>
          <w:lang w:eastAsia="en-GB"/>
        </w:rPr>
        <w:t xml:space="preserve">, </w:t>
      </w:r>
      <w:r w:rsidRPr="00CE4C82">
        <w:rPr>
          <w:rFonts w:eastAsia="Times New Roman" w:cs="Arial"/>
          <w:sz w:val="22"/>
          <w:szCs w:val="22"/>
          <w:lang w:eastAsia="en-GB"/>
        </w:rPr>
        <w:t>a core component of WGS</w:t>
      </w:r>
      <w:r w:rsidR="00674E2E">
        <w:rPr>
          <w:rFonts w:eastAsia="Times New Roman" w:cs="Arial"/>
          <w:sz w:val="22"/>
          <w:szCs w:val="22"/>
          <w:lang w:eastAsia="en-GB"/>
        </w:rPr>
        <w:t>,</w:t>
      </w:r>
      <w:r w:rsidRPr="00CE4C82">
        <w:rPr>
          <w:rFonts w:eastAsia="Times New Roman" w:cs="Arial"/>
          <w:sz w:val="22"/>
          <w:szCs w:val="22"/>
          <w:lang w:eastAsia="en-GB"/>
        </w:rPr>
        <w:t xml:space="preserve"> is a highly technical area with limited specialist capacity, leading to unequal service quality across regions (NHS England, 2022).</w:t>
      </w:r>
    </w:p>
    <w:p w14:paraId="02630753" w14:textId="6B23A27E" w:rsidR="00CE4C82" w:rsidRPr="00CE4C82" w:rsidRDefault="00FB127B" w:rsidP="00CE4C82">
      <w:pPr>
        <w:spacing w:before="100" w:beforeAutospacing="1" w:after="100" w:afterAutospacing="1" w:line="360" w:lineRule="auto"/>
        <w:jc w:val="both"/>
        <w:rPr>
          <w:rFonts w:eastAsia="Times New Roman" w:cs="Arial"/>
          <w:sz w:val="22"/>
          <w:szCs w:val="22"/>
          <w:lang w:eastAsia="en-GB"/>
        </w:rPr>
      </w:pPr>
      <w:r>
        <w:rPr>
          <w:rFonts w:eastAsia="Times New Roman" w:cs="Arial"/>
          <w:sz w:val="22"/>
          <w:szCs w:val="22"/>
          <w:lang w:eastAsia="en-GB"/>
        </w:rPr>
        <w:t xml:space="preserve">Workload pressures and ethical stress are also emerging concerns. Clinicians must manage “variants of uncertain significance,” which require cautious interpretation and can cause moral strain when decisions might influence patients’ futures (Friedrich </w:t>
      </w:r>
      <w:r w:rsidRPr="00D23CEE">
        <w:rPr>
          <w:rFonts w:eastAsia="Times New Roman" w:cs="Arial"/>
          <w:i/>
          <w:iCs/>
          <w:sz w:val="22"/>
          <w:szCs w:val="22"/>
          <w:lang w:eastAsia="en-GB"/>
        </w:rPr>
        <w:t>et al</w:t>
      </w:r>
      <w:r>
        <w:rPr>
          <w:rFonts w:eastAsia="Times New Roman" w:cs="Arial"/>
          <w:sz w:val="22"/>
          <w:szCs w:val="22"/>
          <w:lang w:eastAsia="en-GB"/>
        </w:rPr>
        <w:t>., 2024). Therefore, while the GEP has improved literacy, ongoing investment in workforce expansion and protected learning time remains crucial for effective long-term implementation.</w:t>
      </w:r>
    </w:p>
    <w:p w14:paraId="2C1CA5E7" w14:textId="6AAB02B5" w:rsidR="00CE4C82" w:rsidRPr="005D2BF6" w:rsidRDefault="00CE4C82" w:rsidP="00CE4C82">
      <w:pPr>
        <w:spacing w:before="100" w:beforeAutospacing="1" w:after="100" w:afterAutospacing="1" w:line="360" w:lineRule="auto"/>
        <w:jc w:val="both"/>
        <w:outlineLvl w:val="2"/>
        <w:rPr>
          <w:rFonts w:eastAsia="Times New Roman" w:cs="Arial"/>
          <w:i/>
          <w:iCs/>
          <w:sz w:val="22"/>
          <w:szCs w:val="22"/>
          <w:lang w:eastAsia="en-GB"/>
        </w:rPr>
      </w:pPr>
      <w:r w:rsidRPr="00CE4C82">
        <w:rPr>
          <w:rFonts w:eastAsia="Times New Roman" w:cs="Arial"/>
          <w:b/>
          <w:bCs/>
          <w:sz w:val="22"/>
          <w:szCs w:val="22"/>
          <w:lang w:eastAsia="en-GB"/>
        </w:rPr>
        <w:t xml:space="preserve">3.3 </w:t>
      </w:r>
      <w:r w:rsidRPr="005D2BF6">
        <w:rPr>
          <w:rFonts w:eastAsia="Times New Roman" w:cs="Arial"/>
          <w:i/>
          <w:iCs/>
          <w:sz w:val="22"/>
          <w:szCs w:val="22"/>
          <w:lang w:eastAsia="en-GB"/>
        </w:rPr>
        <w:t>Evaluation</w:t>
      </w:r>
    </w:p>
    <w:p w14:paraId="436F49E1" w14:textId="589D347B" w:rsidR="00CE4C82" w:rsidRPr="00CE4C82" w:rsidRDefault="00FB127B" w:rsidP="002E13ED">
      <w:pPr>
        <w:spacing w:before="100" w:beforeAutospacing="1" w:after="100" w:afterAutospacing="1" w:line="360" w:lineRule="auto"/>
        <w:jc w:val="both"/>
        <w:rPr>
          <w:rFonts w:eastAsia="Times New Roman" w:cs="Arial"/>
          <w:sz w:val="22"/>
          <w:szCs w:val="22"/>
          <w:lang w:eastAsia="en-GB"/>
        </w:rPr>
      </w:pPr>
      <w:r>
        <w:rPr>
          <w:rFonts w:eastAsia="Times New Roman" w:cs="Arial"/>
          <w:sz w:val="22"/>
          <w:szCs w:val="22"/>
          <w:lang w:eastAsia="en-GB"/>
        </w:rPr>
        <w:lastRenderedPageBreak/>
        <w:t xml:space="preserve">The workforce transformation has been both innovative and disruptive. It has upskilled thousands of clinicians and integrated genomics into mainstream practice, but gaps remain in specialist roles and equitable regional expertise. Future success relies on structured career pathways, retention incentives, and </w:t>
      </w:r>
      <w:r w:rsidR="00637E31">
        <w:rPr>
          <w:rFonts w:eastAsia="Times New Roman" w:cs="Arial"/>
          <w:sz w:val="22"/>
          <w:szCs w:val="22"/>
          <w:lang w:eastAsia="en-GB"/>
        </w:rPr>
        <w:t>the incorporation of</w:t>
      </w:r>
      <w:r>
        <w:rPr>
          <w:rFonts w:eastAsia="Times New Roman" w:cs="Arial"/>
          <w:sz w:val="22"/>
          <w:szCs w:val="22"/>
          <w:lang w:eastAsia="en-GB"/>
        </w:rPr>
        <w:t xml:space="preserve"> genomics into undergraduate medical and nursing curricula (Health Education England, 2023).</w:t>
      </w:r>
    </w:p>
    <w:p w14:paraId="59156561" w14:textId="77777777" w:rsidR="00CE4C82" w:rsidRPr="004151DE" w:rsidRDefault="00CE4C82" w:rsidP="00CE4C82">
      <w:pPr>
        <w:spacing w:before="100" w:beforeAutospacing="1" w:after="100" w:afterAutospacing="1" w:line="360" w:lineRule="auto"/>
        <w:jc w:val="both"/>
        <w:outlineLvl w:val="1"/>
        <w:rPr>
          <w:rFonts w:eastAsia="Times New Roman" w:cs="Arial"/>
          <w:b/>
          <w:bCs/>
          <w:color w:val="0070C0"/>
          <w:sz w:val="22"/>
          <w:szCs w:val="22"/>
          <w:lang w:eastAsia="en-GB"/>
        </w:rPr>
      </w:pPr>
      <w:r w:rsidRPr="004151DE">
        <w:rPr>
          <w:rFonts w:eastAsia="Times New Roman" w:cs="Arial"/>
          <w:b/>
          <w:bCs/>
          <w:color w:val="0070C0"/>
          <w:sz w:val="22"/>
          <w:szCs w:val="22"/>
          <w:lang w:eastAsia="en-GB"/>
        </w:rPr>
        <w:t xml:space="preserve">4. </w:t>
      </w:r>
      <w:r w:rsidRPr="004151DE">
        <w:rPr>
          <w:rFonts w:eastAsia="Times New Roman" w:cs="Arial"/>
          <w:b/>
          <w:bCs/>
          <w:color w:val="0070C0"/>
          <w:sz w:val="28"/>
          <w:szCs w:val="28"/>
          <w:lang w:eastAsia="en-GB"/>
        </w:rPr>
        <w:t>Service Delivery: Pathway Integration and Operational Change</w:t>
      </w:r>
    </w:p>
    <w:p w14:paraId="24DF3127" w14:textId="77777777" w:rsidR="00CE4C82" w:rsidRPr="00CE4C82" w:rsidRDefault="00CE4C82" w:rsidP="00CE4C82">
      <w:pPr>
        <w:spacing w:before="100" w:beforeAutospacing="1" w:after="100" w:afterAutospacing="1" w:line="360" w:lineRule="auto"/>
        <w:jc w:val="both"/>
        <w:outlineLvl w:val="2"/>
        <w:rPr>
          <w:rFonts w:eastAsia="Times New Roman" w:cs="Arial"/>
          <w:b/>
          <w:bCs/>
          <w:sz w:val="22"/>
          <w:szCs w:val="22"/>
          <w:lang w:eastAsia="en-GB"/>
        </w:rPr>
      </w:pPr>
      <w:r w:rsidRPr="00CE4C82">
        <w:rPr>
          <w:rFonts w:eastAsia="Times New Roman" w:cs="Arial"/>
          <w:b/>
          <w:bCs/>
          <w:sz w:val="22"/>
          <w:szCs w:val="22"/>
          <w:lang w:eastAsia="en-GB"/>
        </w:rPr>
        <w:t xml:space="preserve">4.1 </w:t>
      </w:r>
      <w:r w:rsidRPr="005D2BF6">
        <w:rPr>
          <w:rFonts w:eastAsia="Times New Roman" w:cs="Arial"/>
          <w:i/>
          <w:iCs/>
          <w:sz w:val="22"/>
          <w:szCs w:val="22"/>
          <w:lang w:eastAsia="en-GB"/>
        </w:rPr>
        <w:t>Positive Outcomes: Diagnostic Efficiency and Personalised Medicine</w:t>
      </w:r>
    </w:p>
    <w:p w14:paraId="216D62C3" w14:textId="56033717" w:rsidR="00CE4C82" w:rsidRPr="00CE4C82" w:rsidRDefault="00FB127B" w:rsidP="00CE4C82">
      <w:pPr>
        <w:spacing w:before="100" w:beforeAutospacing="1" w:after="100" w:afterAutospacing="1" w:line="360" w:lineRule="auto"/>
        <w:jc w:val="both"/>
        <w:rPr>
          <w:rFonts w:eastAsia="Times New Roman" w:cs="Arial"/>
          <w:sz w:val="22"/>
          <w:szCs w:val="22"/>
          <w:lang w:eastAsia="en-GB"/>
        </w:rPr>
      </w:pPr>
      <w:r>
        <w:rPr>
          <w:rFonts w:eastAsia="Times New Roman" w:cs="Arial"/>
          <w:sz w:val="22"/>
          <w:szCs w:val="22"/>
          <w:lang w:eastAsia="en-GB"/>
        </w:rPr>
        <w:t xml:space="preserve">Diagnostic pathways have been restructured to incorporate genomic sequencing as a standard step, especially for patients with rare diseases and cancers. A pivotal New England Journal of Medicine (2021) study showed that the 100,000 Genomes Project </w:t>
      </w:r>
      <w:r w:rsidR="00637E31">
        <w:rPr>
          <w:rFonts w:eastAsia="Times New Roman" w:cs="Arial"/>
          <w:sz w:val="22"/>
          <w:szCs w:val="22"/>
          <w:lang w:eastAsia="en-GB"/>
        </w:rPr>
        <w:t>significantly</w:t>
      </w:r>
      <w:r>
        <w:rPr>
          <w:rFonts w:eastAsia="Times New Roman" w:cs="Arial"/>
          <w:sz w:val="22"/>
          <w:szCs w:val="22"/>
          <w:lang w:eastAsia="en-GB"/>
        </w:rPr>
        <w:t xml:space="preserve"> improved diagnostic success across rare disease groups, enabling more accurate and quicker treatment decisions (Turnbull </w:t>
      </w:r>
      <w:r w:rsidRPr="00735FB0">
        <w:rPr>
          <w:rFonts w:eastAsia="Times New Roman" w:cs="Arial"/>
          <w:i/>
          <w:iCs/>
          <w:sz w:val="22"/>
          <w:szCs w:val="22"/>
          <w:lang w:eastAsia="en-GB"/>
        </w:rPr>
        <w:t>et al</w:t>
      </w:r>
      <w:r>
        <w:rPr>
          <w:rFonts w:eastAsia="Times New Roman" w:cs="Arial"/>
          <w:sz w:val="22"/>
          <w:szCs w:val="22"/>
          <w:lang w:eastAsia="en-GB"/>
        </w:rPr>
        <w:t>., 2018).</w:t>
      </w:r>
    </w:p>
    <w:p w14:paraId="7C729227" w14:textId="77777777" w:rsidR="00CE4C82" w:rsidRPr="00CE4C82" w:rsidRDefault="00CE4C82" w:rsidP="00CE4C82">
      <w:pPr>
        <w:spacing w:before="100" w:beforeAutospacing="1" w:after="100" w:afterAutospacing="1" w:line="360" w:lineRule="auto"/>
        <w:jc w:val="both"/>
        <w:rPr>
          <w:rFonts w:eastAsia="Times New Roman" w:cs="Arial"/>
          <w:sz w:val="22"/>
          <w:szCs w:val="22"/>
          <w:lang w:eastAsia="en-GB"/>
        </w:rPr>
      </w:pPr>
      <w:r w:rsidRPr="00CE4C82">
        <w:rPr>
          <w:rFonts w:eastAsia="Times New Roman" w:cs="Arial"/>
          <w:sz w:val="22"/>
          <w:szCs w:val="22"/>
          <w:lang w:eastAsia="en-GB"/>
        </w:rPr>
        <w:t xml:space="preserve">In oncology, genomic profiling enables </w:t>
      </w:r>
      <w:r w:rsidRPr="000E6119">
        <w:rPr>
          <w:rFonts w:eastAsia="Times New Roman" w:cs="Arial"/>
          <w:sz w:val="22"/>
          <w:szCs w:val="22"/>
          <w:lang w:eastAsia="en-GB"/>
        </w:rPr>
        <w:t>precision therapy</w:t>
      </w:r>
      <w:r w:rsidRPr="00CE4C82">
        <w:rPr>
          <w:rFonts w:eastAsia="Times New Roman" w:cs="Arial"/>
          <w:sz w:val="22"/>
          <w:szCs w:val="22"/>
          <w:lang w:eastAsia="en-GB"/>
        </w:rPr>
        <w:t>, where treatment is tailored to a tumour’s genetic characteristics rather than its anatomical origin. This approach improves survival rates and reduces unnecessary chemotherapy exposure (NHS England, 2022). Furthermore, integrated data systems allow genomic results to be linked with electronic health records, supporting predictive analytics and population health planning (Genomics England, 2023).</w:t>
      </w:r>
    </w:p>
    <w:p w14:paraId="525DCEAA" w14:textId="77777777" w:rsidR="00CE4C82" w:rsidRPr="00CE4C82" w:rsidRDefault="00CE4C82" w:rsidP="00CE4C82">
      <w:pPr>
        <w:spacing w:before="100" w:beforeAutospacing="1" w:after="100" w:afterAutospacing="1" w:line="360" w:lineRule="auto"/>
        <w:jc w:val="both"/>
        <w:outlineLvl w:val="2"/>
        <w:rPr>
          <w:rFonts w:eastAsia="Times New Roman" w:cs="Arial"/>
          <w:b/>
          <w:bCs/>
          <w:sz w:val="22"/>
          <w:szCs w:val="22"/>
          <w:lang w:eastAsia="en-GB"/>
        </w:rPr>
      </w:pPr>
      <w:r w:rsidRPr="00CE4C82">
        <w:rPr>
          <w:rFonts w:eastAsia="Times New Roman" w:cs="Arial"/>
          <w:b/>
          <w:bCs/>
          <w:sz w:val="22"/>
          <w:szCs w:val="22"/>
          <w:lang w:eastAsia="en-GB"/>
        </w:rPr>
        <w:t xml:space="preserve">4.2 </w:t>
      </w:r>
      <w:r w:rsidRPr="009918F6">
        <w:rPr>
          <w:rFonts w:eastAsia="Times New Roman" w:cs="Arial"/>
          <w:i/>
          <w:iCs/>
          <w:sz w:val="22"/>
          <w:szCs w:val="22"/>
          <w:lang w:eastAsia="en-GB"/>
        </w:rPr>
        <w:t>Challenges: Infrastructure, Turnaround Time, and Governance</w:t>
      </w:r>
    </w:p>
    <w:p w14:paraId="73CE2A32" w14:textId="1A8B12E6" w:rsidR="00CE4C82" w:rsidRPr="00CE4C82" w:rsidRDefault="00CE4C82" w:rsidP="00CE4C82">
      <w:pPr>
        <w:spacing w:before="100" w:beforeAutospacing="1" w:after="100" w:afterAutospacing="1" w:line="360" w:lineRule="auto"/>
        <w:jc w:val="both"/>
        <w:rPr>
          <w:rFonts w:eastAsia="Times New Roman" w:cs="Arial"/>
          <w:sz w:val="22"/>
          <w:szCs w:val="22"/>
          <w:lang w:eastAsia="en-GB"/>
        </w:rPr>
      </w:pPr>
      <w:r w:rsidRPr="00CE4C82">
        <w:rPr>
          <w:rFonts w:eastAsia="Times New Roman" w:cs="Arial"/>
          <w:sz w:val="22"/>
          <w:szCs w:val="22"/>
          <w:lang w:eastAsia="en-GB"/>
        </w:rPr>
        <w:t>However, implementing such a data-intensive service poses operational challenges. Genomic testing requires complex workflows — from sample collection to bioinformatic analysis and multidisciplinary review (Genomics England, 2022).</w:t>
      </w:r>
      <w:r w:rsidR="00FB127B">
        <w:rPr>
          <w:rFonts w:eastAsia="Times New Roman" w:cs="Arial"/>
          <w:sz w:val="22"/>
          <w:szCs w:val="22"/>
          <w:lang w:eastAsia="en-GB"/>
        </w:rPr>
        <w:t xml:space="preserve"> </w:t>
      </w:r>
      <w:r w:rsidRPr="00CE4C82">
        <w:rPr>
          <w:rFonts w:eastAsia="Times New Roman" w:cs="Arial"/>
          <w:sz w:val="22"/>
          <w:szCs w:val="22"/>
          <w:lang w:eastAsia="en-GB"/>
        </w:rPr>
        <w:t xml:space="preserve"> </w:t>
      </w:r>
      <w:r w:rsidR="00FB127B">
        <w:rPr>
          <w:rFonts w:eastAsia="Times New Roman" w:cs="Arial"/>
          <w:sz w:val="22"/>
          <w:szCs w:val="22"/>
          <w:lang w:eastAsia="en-GB"/>
        </w:rPr>
        <w:t xml:space="preserve">In this discussion, </w:t>
      </w:r>
      <w:r w:rsidR="00637E31">
        <w:rPr>
          <w:rFonts w:eastAsia="Times New Roman" w:cs="Arial"/>
          <w:sz w:val="22"/>
          <w:szCs w:val="22"/>
          <w:lang w:eastAsia="en-GB"/>
        </w:rPr>
        <w:t xml:space="preserve">regional disparities in laboratory capacity and informatics infrastructure confirm the cause of </w:t>
      </w:r>
      <w:r w:rsidRPr="00CE4C82">
        <w:rPr>
          <w:rFonts w:eastAsia="Times New Roman" w:cs="Arial"/>
          <w:sz w:val="22"/>
          <w:szCs w:val="22"/>
          <w:lang w:eastAsia="en-GB"/>
        </w:rPr>
        <w:t>inconsistent turnaround times</w:t>
      </w:r>
      <w:r w:rsidR="00637E31">
        <w:rPr>
          <w:rFonts w:eastAsia="Times New Roman" w:cs="Arial"/>
          <w:sz w:val="22"/>
          <w:szCs w:val="22"/>
          <w:lang w:eastAsia="en-GB"/>
        </w:rPr>
        <w:t xml:space="preserve"> (NHS England, 2024).</w:t>
      </w:r>
    </w:p>
    <w:p w14:paraId="4735A338" w14:textId="06BA47AF" w:rsidR="00CE4C82" w:rsidRPr="00CE4C82" w:rsidRDefault="00CE4C82" w:rsidP="00CE4C82">
      <w:pPr>
        <w:spacing w:before="100" w:beforeAutospacing="1" w:after="100" w:afterAutospacing="1" w:line="360" w:lineRule="auto"/>
        <w:jc w:val="both"/>
        <w:rPr>
          <w:rFonts w:eastAsia="Times New Roman" w:cs="Arial"/>
          <w:sz w:val="22"/>
          <w:szCs w:val="22"/>
          <w:lang w:eastAsia="en-GB"/>
        </w:rPr>
      </w:pPr>
      <w:r w:rsidRPr="00CE4C82">
        <w:rPr>
          <w:rFonts w:eastAsia="Times New Roman" w:cs="Arial"/>
          <w:sz w:val="22"/>
          <w:szCs w:val="22"/>
          <w:lang w:eastAsia="en-GB"/>
        </w:rPr>
        <w:t xml:space="preserve">Data storage and security are also critical concerns. Genomic data are vast and sensitive, requiring secure cloud systems and stringent governance to prevent misuse (Genome UK, 2021). Moreover, returning </w:t>
      </w:r>
      <w:r w:rsidRPr="009249A5">
        <w:rPr>
          <w:rFonts w:eastAsia="Times New Roman" w:cs="Arial"/>
          <w:sz w:val="22"/>
          <w:szCs w:val="22"/>
          <w:lang w:eastAsia="en-GB"/>
        </w:rPr>
        <w:t>secondary findings</w:t>
      </w:r>
      <w:r w:rsidR="00A65AA5">
        <w:rPr>
          <w:rFonts w:eastAsia="Times New Roman" w:cs="Arial"/>
          <w:sz w:val="22"/>
          <w:szCs w:val="22"/>
          <w:lang w:eastAsia="en-GB"/>
        </w:rPr>
        <w:t xml:space="preserve"> —results unrelated to the initial clinical question — </w:t>
      </w:r>
      <w:r w:rsidRPr="00CE4C82">
        <w:rPr>
          <w:rFonts w:eastAsia="Times New Roman" w:cs="Arial"/>
          <w:sz w:val="22"/>
          <w:szCs w:val="22"/>
          <w:lang w:eastAsia="en-GB"/>
        </w:rPr>
        <w:t xml:space="preserve">introduces ethical complexity and additional workload. Recent studies </w:t>
      </w:r>
      <w:r w:rsidR="00637E31">
        <w:rPr>
          <w:rFonts w:eastAsia="Times New Roman" w:cs="Arial"/>
          <w:sz w:val="22"/>
          <w:szCs w:val="22"/>
          <w:lang w:eastAsia="en-GB"/>
        </w:rPr>
        <w:t>indicate</w:t>
      </w:r>
      <w:r w:rsidRPr="00CE4C82">
        <w:rPr>
          <w:rFonts w:eastAsia="Times New Roman" w:cs="Arial"/>
          <w:sz w:val="22"/>
          <w:szCs w:val="22"/>
          <w:lang w:eastAsia="en-GB"/>
        </w:rPr>
        <w:t xml:space="preserve"> that returning such findings adds significant cost per participant (Smith </w:t>
      </w:r>
      <w:r w:rsidRPr="000E6119">
        <w:rPr>
          <w:rFonts w:eastAsia="Times New Roman" w:cs="Arial"/>
          <w:i/>
          <w:iCs/>
          <w:sz w:val="22"/>
          <w:szCs w:val="22"/>
          <w:lang w:eastAsia="en-GB"/>
        </w:rPr>
        <w:t>et al</w:t>
      </w:r>
      <w:r w:rsidRPr="00CE4C82">
        <w:rPr>
          <w:rFonts w:eastAsia="Times New Roman" w:cs="Arial"/>
          <w:sz w:val="22"/>
          <w:szCs w:val="22"/>
          <w:lang w:eastAsia="en-GB"/>
        </w:rPr>
        <w:t>., 2025).</w:t>
      </w:r>
    </w:p>
    <w:p w14:paraId="6FC37A46" w14:textId="3594B12B" w:rsidR="00CE4C82" w:rsidRPr="009918F6" w:rsidRDefault="00CE4C82" w:rsidP="00CE4C82">
      <w:pPr>
        <w:spacing w:before="100" w:beforeAutospacing="1" w:after="100" w:afterAutospacing="1" w:line="360" w:lineRule="auto"/>
        <w:jc w:val="both"/>
        <w:outlineLvl w:val="2"/>
        <w:rPr>
          <w:rFonts w:eastAsia="Times New Roman" w:cs="Arial"/>
          <w:i/>
          <w:iCs/>
          <w:sz w:val="22"/>
          <w:szCs w:val="22"/>
          <w:lang w:eastAsia="en-GB"/>
        </w:rPr>
      </w:pPr>
      <w:r w:rsidRPr="00CE4C82">
        <w:rPr>
          <w:rFonts w:eastAsia="Times New Roman" w:cs="Arial"/>
          <w:b/>
          <w:bCs/>
          <w:sz w:val="22"/>
          <w:szCs w:val="22"/>
          <w:lang w:eastAsia="en-GB"/>
        </w:rPr>
        <w:t>4.3</w:t>
      </w:r>
      <w:r w:rsidRPr="009918F6">
        <w:rPr>
          <w:rFonts w:eastAsia="Times New Roman" w:cs="Arial"/>
          <w:i/>
          <w:iCs/>
          <w:sz w:val="22"/>
          <w:szCs w:val="22"/>
          <w:lang w:eastAsia="en-GB"/>
        </w:rPr>
        <w:t xml:space="preserve"> Evaluation</w:t>
      </w:r>
    </w:p>
    <w:p w14:paraId="4E944A0C" w14:textId="2B5AF5C0" w:rsidR="00CE4C82" w:rsidRPr="00CE4C82" w:rsidRDefault="00637E31" w:rsidP="00735FB0">
      <w:pPr>
        <w:spacing w:before="100" w:beforeAutospacing="1" w:after="100" w:afterAutospacing="1" w:line="360" w:lineRule="auto"/>
        <w:jc w:val="both"/>
        <w:rPr>
          <w:rFonts w:eastAsia="Times New Roman" w:cs="Arial"/>
          <w:sz w:val="22"/>
          <w:szCs w:val="22"/>
          <w:lang w:eastAsia="en-GB"/>
        </w:rPr>
      </w:pPr>
      <w:r>
        <w:rPr>
          <w:rFonts w:eastAsia="Times New Roman" w:cs="Arial"/>
          <w:sz w:val="22"/>
          <w:szCs w:val="22"/>
          <w:lang w:eastAsia="en-GB"/>
        </w:rPr>
        <w:lastRenderedPageBreak/>
        <w:t xml:space="preserve">From a service-delivery standpoint, WGS has improved diagnostic processes to be more accurate and personalised, but logistical constraints and ethical governance issues limit these benefits. The challenge is in balancing technological innovation with operational practicality, ensuring consistent service quality across all NHS regions. Ongoing investment in digital infrastructure, secure data systems, and bioinformatics expertise is therefore essential to gaining an advantage in healthcare (Kaushik </w:t>
      </w:r>
      <w:r w:rsidRPr="00637E31">
        <w:rPr>
          <w:rFonts w:eastAsia="Times New Roman" w:cs="Arial"/>
          <w:i/>
          <w:iCs/>
          <w:sz w:val="22"/>
          <w:szCs w:val="22"/>
          <w:lang w:eastAsia="en-GB"/>
        </w:rPr>
        <w:t>et al</w:t>
      </w:r>
      <w:r>
        <w:rPr>
          <w:rFonts w:eastAsia="Times New Roman" w:cs="Arial"/>
          <w:sz w:val="22"/>
          <w:szCs w:val="22"/>
          <w:lang w:eastAsia="en-GB"/>
        </w:rPr>
        <w:t>., 2023).</w:t>
      </w:r>
    </w:p>
    <w:p w14:paraId="62934B0C" w14:textId="77777777" w:rsidR="00CE4C82" w:rsidRPr="004151DE" w:rsidRDefault="00CE4C82" w:rsidP="00CE4C82">
      <w:pPr>
        <w:spacing w:before="100" w:beforeAutospacing="1" w:after="100" w:afterAutospacing="1" w:line="360" w:lineRule="auto"/>
        <w:jc w:val="both"/>
        <w:outlineLvl w:val="1"/>
        <w:rPr>
          <w:rFonts w:eastAsia="Times New Roman" w:cs="Arial"/>
          <w:b/>
          <w:bCs/>
          <w:color w:val="0070C0"/>
          <w:sz w:val="22"/>
          <w:szCs w:val="22"/>
          <w:lang w:eastAsia="en-GB"/>
        </w:rPr>
      </w:pPr>
      <w:r w:rsidRPr="004151DE">
        <w:rPr>
          <w:rFonts w:eastAsia="Times New Roman" w:cs="Arial"/>
          <w:b/>
          <w:bCs/>
          <w:color w:val="0070C0"/>
          <w:sz w:val="22"/>
          <w:szCs w:val="22"/>
          <w:lang w:eastAsia="en-GB"/>
        </w:rPr>
        <w:t>5.</w:t>
      </w:r>
      <w:r w:rsidRPr="004151DE">
        <w:rPr>
          <w:rFonts w:eastAsia="Times New Roman" w:cs="Arial"/>
          <w:b/>
          <w:bCs/>
          <w:color w:val="0070C0"/>
          <w:sz w:val="28"/>
          <w:szCs w:val="28"/>
          <w:lang w:eastAsia="en-GB"/>
        </w:rPr>
        <w:t xml:space="preserve"> Patient and Service User: Experience, Perceptions, and Ethics</w:t>
      </w:r>
    </w:p>
    <w:p w14:paraId="47B2EBF1" w14:textId="77777777" w:rsidR="00CE4C82" w:rsidRPr="00CE4C82" w:rsidRDefault="00CE4C82" w:rsidP="00CE4C82">
      <w:pPr>
        <w:spacing w:before="100" w:beforeAutospacing="1" w:after="100" w:afterAutospacing="1" w:line="360" w:lineRule="auto"/>
        <w:jc w:val="both"/>
        <w:outlineLvl w:val="2"/>
        <w:rPr>
          <w:rFonts w:eastAsia="Times New Roman" w:cs="Arial"/>
          <w:b/>
          <w:bCs/>
          <w:sz w:val="22"/>
          <w:szCs w:val="22"/>
          <w:lang w:eastAsia="en-GB"/>
        </w:rPr>
      </w:pPr>
      <w:r w:rsidRPr="00CE4C82">
        <w:rPr>
          <w:rFonts w:eastAsia="Times New Roman" w:cs="Arial"/>
          <w:b/>
          <w:bCs/>
          <w:sz w:val="22"/>
          <w:szCs w:val="22"/>
          <w:lang w:eastAsia="en-GB"/>
        </w:rPr>
        <w:t xml:space="preserve">5.1 </w:t>
      </w:r>
      <w:r w:rsidRPr="009918F6">
        <w:rPr>
          <w:rFonts w:eastAsia="Times New Roman" w:cs="Arial"/>
          <w:i/>
          <w:iCs/>
          <w:sz w:val="22"/>
          <w:szCs w:val="22"/>
          <w:lang w:eastAsia="en-GB"/>
        </w:rPr>
        <w:t>Positive Impacts: Empowerment and Clinical Benefit</w:t>
      </w:r>
    </w:p>
    <w:p w14:paraId="36125B90" w14:textId="541B25B7" w:rsidR="00CE4C82" w:rsidRPr="00CE4C82" w:rsidRDefault="00A000C3" w:rsidP="00CE4C82">
      <w:pPr>
        <w:spacing w:before="100" w:beforeAutospacing="1" w:after="100" w:afterAutospacing="1" w:line="360" w:lineRule="auto"/>
        <w:jc w:val="both"/>
        <w:rPr>
          <w:rFonts w:eastAsia="Times New Roman" w:cs="Arial"/>
          <w:sz w:val="22"/>
          <w:szCs w:val="22"/>
          <w:lang w:eastAsia="en-GB"/>
        </w:rPr>
      </w:pPr>
      <w:r>
        <w:rPr>
          <w:rFonts w:eastAsia="Times New Roman" w:cs="Arial"/>
          <w:sz w:val="22"/>
          <w:szCs w:val="22"/>
          <w:lang w:eastAsia="en-GB"/>
        </w:rPr>
        <w:t xml:space="preserve">For patients, WGS provides unparalleled opportunities for empowerment and understanding. Individuals with rare diseases often face a “diagnostic odyssey,” which can last years without clear answers. Genomic sequencing can deliver definitive diagnoses, guide treatments, and inform reproductive choices (Peter </w:t>
      </w:r>
      <w:r w:rsidRPr="00A000C3">
        <w:rPr>
          <w:rFonts w:eastAsia="Times New Roman" w:cs="Arial"/>
          <w:i/>
          <w:iCs/>
          <w:sz w:val="22"/>
          <w:szCs w:val="22"/>
          <w:lang w:eastAsia="en-GB"/>
        </w:rPr>
        <w:t>et al</w:t>
      </w:r>
      <w:r>
        <w:rPr>
          <w:rFonts w:eastAsia="Times New Roman" w:cs="Arial"/>
          <w:sz w:val="22"/>
          <w:szCs w:val="22"/>
          <w:lang w:eastAsia="en-GB"/>
        </w:rPr>
        <w:t xml:space="preserve">., 2022). Patients have reported relief from uncertainty and gratitude for their contributions to broader scientific research (Lyle </w:t>
      </w:r>
      <w:r w:rsidRPr="00A000C3">
        <w:rPr>
          <w:rFonts w:eastAsia="Times New Roman" w:cs="Arial"/>
          <w:i/>
          <w:iCs/>
          <w:sz w:val="22"/>
          <w:szCs w:val="22"/>
          <w:lang w:eastAsia="en-GB"/>
        </w:rPr>
        <w:t>et al</w:t>
      </w:r>
      <w:r>
        <w:rPr>
          <w:rFonts w:eastAsia="Times New Roman" w:cs="Arial"/>
          <w:sz w:val="22"/>
          <w:szCs w:val="22"/>
          <w:lang w:eastAsia="en-GB"/>
        </w:rPr>
        <w:t>., 2023).</w:t>
      </w:r>
    </w:p>
    <w:p w14:paraId="794F6313" w14:textId="77777777" w:rsidR="00CE4C82" w:rsidRPr="00CE4C82" w:rsidRDefault="00CE4C82" w:rsidP="00CE4C82">
      <w:pPr>
        <w:spacing w:before="100" w:beforeAutospacing="1" w:after="100" w:afterAutospacing="1" w:line="360" w:lineRule="auto"/>
        <w:jc w:val="both"/>
        <w:rPr>
          <w:rFonts w:eastAsia="Times New Roman" w:cs="Arial"/>
          <w:sz w:val="22"/>
          <w:szCs w:val="22"/>
          <w:lang w:eastAsia="en-GB"/>
        </w:rPr>
      </w:pPr>
      <w:r w:rsidRPr="00CE4C82">
        <w:rPr>
          <w:rFonts w:eastAsia="Times New Roman" w:cs="Arial"/>
          <w:sz w:val="22"/>
          <w:szCs w:val="22"/>
          <w:lang w:eastAsia="en-GB"/>
        </w:rPr>
        <w:t>In oncology, WGS enables more effective and less toxic treatments by matching therapies to genetic profiles. This patient-centred approach aligns with the NHS’s “Long Term Plan,” which emphasises personalised and preventative care (NHS England, 2022).</w:t>
      </w:r>
    </w:p>
    <w:p w14:paraId="7598BFD8" w14:textId="77777777" w:rsidR="00CE4C82" w:rsidRPr="00CE4C82" w:rsidRDefault="00CE4C82" w:rsidP="00CE4C82">
      <w:pPr>
        <w:spacing w:before="100" w:beforeAutospacing="1" w:after="100" w:afterAutospacing="1" w:line="360" w:lineRule="auto"/>
        <w:jc w:val="both"/>
        <w:outlineLvl w:val="2"/>
        <w:rPr>
          <w:rFonts w:eastAsia="Times New Roman" w:cs="Arial"/>
          <w:b/>
          <w:bCs/>
          <w:sz w:val="22"/>
          <w:szCs w:val="22"/>
          <w:lang w:eastAsia="en-GB"/>
        </w:rPr>
      </w:pPr>
      <w:r w:rsidRPr="00CE4C82">
        <w:rPr>
          <w:rFonts w:eastAsia="Times New Roman" w:cs="Arial"/>
          <w:b/>
          <w:bCs/>
          <w:sz w:val="22"/>
          <w:szCs w:val="22"/>
          <w:lang w:eastAsia="en-GB"/>
        </w:rPr>
        <w:t xml:space="preserve">5.2 </w:t>
      </w:r>
      <w:r w:rsidRPr="009918F6">
        <w:rPr>
          <w:rFonts w:eastAsia="Times New Roman" w:cs="Arial"/>
          <w:i/>
          <w:iCs/>
          <w:sz w:val="22"/>
          <w:szCs w:val="22"/>
          <w:lang w:eastAsia="en-GB"/>
        </w:rPr>
        <w:t>Negative Impacts: Psychological and Ethical Complexities</w:t>
      </w:r>
    </w:p>
    <w:p w14:paraId="0004A9B3" w14:textId="584D09EA" w:rsidR="00CE4C82" w:rsidRPr="00CE4C82" w:rsidRDefault="00CE4C82" w:rsidP="00CE4C82">
      <w:pPr>
        <w:spacing w:before="100" w:beforeAutospacing="1" w:after="100" w:afterAutospacing="1" w:line="360" w:lineRule="auto"/>
        <w:jc w:val="both"/>
        <w:rPr>
          <w:rFonts w:eastAsia="Times New Roman" w:cs="Arial"/>
          <w:sz w:val="22"/>
          <w:szCs w:val="22"/>
          <w:lang w:eastAsia="en-GB"/>
        </w:rPr>
      </w:pPr>
      <w:r w:rsidRPr="00CE4C82">
        <w:rPr>
          <w:rFonts w:eastAsia="Times New Roman" w:cs="Arial"/>
          <w:sz w:val="22"/>
          <w:szCs w:val="22"/>
          <w:lang w:eastAsia="en-GB"/>
        </w:rPr>
        <w:t>Some patients struggle with the emotional implications of knowing their genetic risks or uncertain findings</w:t>
      </w:r>
      <w:r w:rsidR="00A000C3">
        <w:rPr>
          <w:rFonts w:eastAsia="Times New Roman" w:cs="Arial"/>
          <w:sz w:val="22"/>
          <w:szCs w:val="22"/>
          <w:lang w:eastAsia="en-GB"/>
        </w:rPr>
        <w:t xml:space="preserve">, </w:t>
      </w:r>
      <w:r w:rsidRPr="00CE4C82">
        <w:rPr>
          <w:rFonts w:eastAsia="Times New Roman" w:cs="Arial"/>
          <w:sz w:val="22"/>
          <w:szCs w:val="22"/>
          <w:lang w:eastAsia="en-GB"/>
        </w:rPr>
        <w:t>leading to confusion and anxiet</w:t>
      </w:r>
      <w:r w:rsidR="00A000C3">
        <w:rPr>
          <w:rFonts w:eastAsia="Times New Roman" w:cs="Arial"/>
          <w:sz w:val="22"/>
          <w:szCs w:val="22"/>
          <w:lang w:eastAsia="en-GB"/>
        </w:rPr>
        <w:t>y</w:t>
      </w:r>
      <w:r w:rsidRPr="00CE4C82">
        <w:rPr>
          <w:rFonts w:eastAsia="Times New Roman" w:cs="Arial"/>
          <w:sz w:val="22"/>
          <w:szCs w:val="22"/>
          <w:lang w:eastAsia="en-GB"/>
        </w:rPr>
        <w:t xml:space="preserve">. Furthermore, </w:t>
      </w:r>
      <w:r w:rsidR="009F181B">
        <w:rPr>
          <w:rFonts w:eastAsia="Times New Roman" w:cs="Arial"/>
          <w:sz w:val="22"/>
          <w:szCs w:val="22"/>
          <w:lang w:eastAsia="en-GB"/>
        </w:rPr>
        <w:t>identifying</w:t>
      </w:r>
      <w:r w:rsidRPr="00CE4C82">
        <w:rPr>
          <w:rFonts w:eastAsia="Times New Roman" w:cs="Arial"/>
          <w:sz w:val="22"/>
          <w:szCs w:val="22"/>
          <w:lang w:eastAsia="en-GB"/>
        </w:rPr>
        <w:t xml:space="preserve"> hereditary variants </w:t>
      </w:r>
      <w:r w:rsidR="00012E4A">
        <w:rPr>
          <w:rFonts w:eastAsia="Times New Roman" w:cs="Arial"/>
          <w:sz w:val="22"/>
          <w:szCs w:val="22"/>
          <w:lang w:eastAsia="en-GB"/>
        </w:rPr>
        <w:t>poses communication challenges within families</w:t>
      </w:r>
      <w:r w:rsidRPr="00CE4C82">
        <w:rPr>
          <w:rFonts w:eastAsia="Times New Roman" w:cs="Arial"/>
          <w:sz w:val="22"/>
          <w:szCs w:val="22"/>
          <w:lang w:eastAsia="en-GB"/>
        </w:rPr>
        <w:t xml:space="preserve">, as relatives may face difficult decisions about testing and disclosure (Peter </w:t>
      </w:r>
      <w:r w:rsidRPr="00C55DF3">
        <w:rPr>
          <w:rFonts w:eastAsia="Times New Roman" w:cs="Arial"/>
          <w:i/>
          <w:iCs/>
          <w:sz w:val="22"/>
          <w:szCs w:val="22"/>
          <w:lang w:eastAsia="en-GB"/>
        </w:rPr>
        <w:t>et al</w:t>
      </w:r>
      <w:r w:rsidRPr="00CE4C82">
        <w:rPr>
          <w:rFonts w:eastAsia="Times New Roman" w:cs="Arial"/>
          <w:sz w:val="22"/>
          <w:szCs w:val="22"/>
          <w:lang w:eastAsia="en-GB"/>
        </w:rPr>
        <w:t>., 2022).</w:t>
      </w:r>
    </w:p>
    <w:p w14:paraId="4DEEDE9D" w14:textId="77777777" w:rsidR="00CE4C82" w:rsidRDefault="00CE4C82" w:rsidP="00CE4C82">
      <w:pPr>
        <w:spacing w:before="100" w:beforeAutospacing="1" w:after="100" w:afterAutospacing="1" w:line="360" w:lineRule="auto"/>
        <w:jc w:val="both"/>
        <w:rPr>
          <w:rFonts w:eastAsia="Times New Roman" w:cs="Arial"/>
          <w:sz w:val="22"/>
          <w:szCs w:val="22"/>
          <w:lang w:eastAsia="en-GB"/>
        </w:rPr>
      </w:pPr>
      <w:r w:rsidRPr="00CE4C82">
        <w:rPr>
          <w:rFonts w:eastAsia="Times New Roman" w:cs="Arial"/>
          <w:sz w:val="22"/>
          <w:szCs w:val="22"/>
          <w:lang w:eastAsia="en-GB"/>
        </w:rPr>
        <w:t xml:space="preserve">Privacy concerns are also prominent. Despite strict governance by Genomics England, some participants worry about long-term data storage and potential discrimination, particularly regarding insurance or employment (Friedrich </w:t>
      </w:r>
      <w:r w:rsidRPr="00A27530">
        <w:rPr>
          <w:rFonts w:eastAsia="Times New Roman" w:cs="Arial"/>
          <w:i/>
          <w:iCs/>
          <w:sz w:val="22"/>
          <w:szCs w:val="22"/>
          <w:lang w:eastAsia="en-GB"/>
        </w:rPr>
        <w:t>et al</w:t>
      </w:r>
      <w:r w:rsidRPr="00CE4C82">
        <w:rPr>
          <w:rFonts w:eastAsia="Times New Roman" w:cs="Arial"/>
          <w:sz w:val="22"/>
          <w:szCs w:val="22"/>
          <w:lang w:eastAsia="en-GB"/>
        </w:rPr>
        <w:t>., 2024). Addressing these issues requires transparent consent processes, ongoing counselling, and public trust-building.</w:t>
      </w:r>
    </w:p>
    <w:p w14:paraId="04F0B84F" w14:textId="77777777" w:rsidR="00815983" w:rsidRDefault="00815983" w:rsidP="00CE4C82">
      <w:pPr>
        <w:spacing w:before="100" w:beforeAutospacing="1" w:after="100" w:afterAutospacing="1" w:line="360" w:lineRule="auto"/>
        <w:jc w:val="both"/>
        <w:rPr>
          <w:rFonts w:eastAsia="Times New Roman" w:cs="Arial"/>
          <w:sz w:val="22"/>
          <w:szCs w:val="22"/>
          <w:lang w:eastAsia="en-GB"/>
        </w:rPr>
      </w:pPr>
    </w:p>
    <w:p w14:paraId="769A5DCE" w14:textId="77777777" w:rsidR="00815983" w:rsidRPr="00CE4C82" w:rsidRDefault="00815983" w:rsidP="00CE4C82">
      <w:pPr>
        <w:spacing w:before="100" w:beforeAutospacing="1" w:after="100" w:afterAutospacing="1" w:line="360" w:lineRule="auto"/>
        <w:jc w:val="both"/>
        <w:rPr>
          <w:rFonts w:eastAsia="Times New Roman" w:cs="Arial"/>
          <w:sz w:val="22"/>
          <w:szCs w:val="22"/>
          <w:lang w:eastAsia="en-GB"/>
        </w:rPr>
      </w:pPr>
    </w:p>
    <w:p w14:paraId="5FDF1BC7" w14:textId="02C03E11" w:rsidR="00CE4C82" w:rsidRPr="00CE4C82" w:rsidRDefault="00CE4C82" w:rsidP="00CE4C82">
      <w:pPr>
        <w:spacing w:before="100" w:beforeAutospacing="1" w:after="100" w:afterAutospacing="1" w:line="360" w:lineRule="auto"/>
        <w:jc w:val="both"/>
        <w:outlineLvl w:val="2"/>
        <w:rPr>
          <w:rFonts w:eastAsia="Times New Roman" w:cs="Arial"/>
          <w:b/>
          <w:bCs/>
          <w:sz w:val="22"/>
          <w:szCs w:val="22"/>
          <w:lang w:eastAsia="en-GB"/>
        </w:rPr>
      </w:pPr>
      <w:r w:rsidRPr="00CE4C82">
        <w:rPr>
          <w:rFonts w:eastAsia="Times New Roman" w:cs="Arial"/>
          <w:b/>
          <w:bCs/>
          <w:sz w:val="22"/>
          <w:szCs w:val="22"/>
          <w:lang w:eastAsia="en-GB"/>
        </w:rPr>
        <w:t>5.3</w:t>
      </w:r>
      <w:r w:rsidRPr="009918F6">
        <w:rPr>
          <w:rFonts w:eastAsia="Times New Roman" w:cs="Arial"/>
          <w:i/>
          <w:iCs/>
          <w:sz w:val="22"/>
          <w:szCs w:val="22"/>
          <w:lang w:eastAsia="en-GB"/>
        </w:rPr>
        <w:t xml:space="preserve"> Evaluation</w:t>
      </w:r>
    </w:p>
    <w:p w14:paraId="75F58251" w14:textId="0DF37E73" w:rsidR="00CE4C82" w:rsidRPr="00CE4C82" w:rsidRDefault="00CE4C82" w:rsidP="00A000C3">
      <w:pPr>
        <w:spacing w:before="100" w:beforeAutospacing="1" w:after="100" w:afterAutospacing="1" w:line="360" w:lineRule="auto"/>
        <w:jc w:val="both"/>
        <w:rPr>
          <w:rFonts w:eastAsia="Times New Roman" w:cs="Arial"/>
          <w:sz w:val="22"/>
          <w:szCs w:val="22"/>
          <w:lang w:eastAsia="en-GB"/>
        </w:rPr>
      </w:pPr>
      <w:r w:rsidRPr="00CE4C82">
        <w:rPr>
          <w:rFonts w:eastAsia="Times New Roman" w:cs="Arial"/>
          <w:sz w:val="22"/>
          <w:szCs w:val="22"/>
          <w:lang w:eastAsia="en-GB"/>
        </w:rPr>
        <w:lastRenderedPageBreak/>
        <w:t>The patient experience demonstrates both empowerment and vulnerability</w:t>
      </w:r>
      <w:r w:rsidR="00A000C3">
        <w:rPr>
          <w:rFonts w:eastAsia="Times New Roman" w:cs="Arial"/>
          <w:sz w:val="22"/>
          <w:szCs w:val="22"/>
          <w:lang w:eastAsia="en-GB"/>
        </w:rPr>
        <w:t>, w</w:t>
      </w:r>
      <w:r w:rsidRPr="00CE4C82">
        <w:rPr>
          <w:rFonts w:eastAsia="Times New Roman" w:cs="Arial"/>
          <w:sz w:val="22"/>
          <w:szCs w:val="22"/>
          <w:lang w:eastAsia="en-GB"/>
        </w:rPr>
        <w:t xml:space="preserve">hile </w:t>
      </w:r>
      <w:r w:rsidR="00A000C3">
        <w:rPr>
          <w:rFonts w:eastAsia="Times New Roman" w:cs="Arial"/>
          <w:sz w:val="22"/>
          <w:szCs w:val="22"/>
          <w:lang w:eastAsia="en-GB"/>
        </w:rPr>
        <w:t>enhancing</w:t>
      </w:r>
      <w:r w:rsidRPr="00CE4C82">
        <w:rPr>
          <w:rFonts w:eastAsia="Times New Roman" w:cs="Arial"/>
          <w:sz w:val="22"/>
          <w:szCs w:val="22"/>
          <w:lang w:eastAsia="en-GB"/>
        </w:rPr>
        <w:t xml:space="preserve"> diagnosis and care, it also introduces new psychosocial burdens and ethical dilemmas. The quality of communication and counselling determines whether genomic information is beneficial or distressing. Therefore, embedding genetic counselling and culturally sensitive communication into all genomic services is essential for equitable patient outcomes.</w:t>
      </w:r>
    </w:p>
    <w:p w14:paraId="66954C51" w14:textId="77777777" w:rsidR="00CE4C82" w:rsidRPr="004151DE" w:rsidRDefault="00CE4C82" w:rsidP="00CE4C82">
      <w:pPr>
        <w:spacing w:before="100" w:beforeAutospacing="1" w:after="100" w:afterAutospacing="1" w:line="360" w:lineRule="auto"/>
        <w:jc w:val="both"/>
        <w:outlineLvl w:val="1"/>
        <w:rPr>
          <w:rFonts w:eastAsia="Times New Roman" w:cs="Arial"/>
          <w:b/>
          <w:bCs/>
          <w:color w:val="0070C0"/>
          <w:sz w:val="22"/>
          <w:szCs w:val="22"/>
          <w:lang w:eastAsia="en-GB"/>
        </w:rPr>
      </w:pPr>
      <w:r w:rsidRPr="004151DE">
        <w:rPr>
          <w:rFonts w:eastAsia="Times New Roman" w:cs="Arial"/>
          <w:b/>
          <w:bCs/>
          <w:color w:val="0070C0"/>
          <w:sz w:val="22"/>
          <w:szCs w:val="22"/>
          <w:lang w:eastAsia="en-GB"/>
        </w:rPr>
        <w:t xml:space="preserve">6. </w:t>
      </w:r>
      <w:r w:rsidRPr="004151DE">
        <w:rPr>
          <w:rFonts w:eastAsia="Times New Roman" w:cs="Arial"/>
          <w:b/>
          <w:bCs/>
          <w:color w:val="0070C0"/>
          <w:sz w:val="28"/>
          <w:szCs w:val="28"/>
          <w:lang w:eastAsia="en-GB"/>
        </w:rPr>
        <w:t>Community: Public Health, Families, and Co-production</w:t>
      </w:r>
    </w:p>
    <w:p w14:paraId="089DB90A" w14:textId="77777777" w:rsidR="00CE4C82" w:rsidRPr="00CE4C82" w:rsidRDefault="00CE4C82" w:rsidP="00CE4C82">
      <w:pPr>
        <w:spacing w:before="100" w:beforeAutospacing="1" w:after="100" w:afterAutospacing="1" w:line="360" w:lineRule="auto"/>
        <w:jc w:val="both"/>
        <w:outlineLvl w:val="2"/>
        <w:rPr>
          <w:rFonts w:eastAsia="Times New Roman" w:cs="Arial"/>
          <w:b/>
          <w:bCs/>
          <w:sz w:val="22"/>
          <w:szCs w:val="22"/>
          <w:lang w:eastAsia="en-GB"/>
        </w:rPr>
      </w:pPr>
      <w:r w:rsidRPr="00CE4C82">
        <w:rPr>
          <w:rFonts w:eastAsia="Times New Roman" w:cs="Arial"/>
          <w:b/>
          <w:bCs/>
          <w:sz w:val="22"/>
          <w:szCs w:val="22"/>
          <w:lang w:eastAsia="en-GB"/>
        </w:rPr>
        <w:t xml:space="preserve">6.1 </w:t>
      </w:r>
      <w:r w:rsidRPr="009918F6">
        <w:rPr>
          <w:rFonts w:eastAsia="Times New Roman" w:cs="Arial"/>
          <w:i/>
          <w:iCs/>
          <w:sz w:val="22"/>
          <w:szCs w:val="22"/>
          <w:lang w:eastAsia="en-GB"/>
        </w:rPr>
        <w:t>Community-Level Benefits</w:t>
      </w:r>
    </w:p>
    <w:p w14:paraId="25D0608B" w14:textId="3083C166" w:rsidR="00CE4C82" w:rsidRPr="00CE4C82" w:rsidRDefault="00CE4C82" w:rsidP="00CE4C82">
      <w:pPr>
        <w:spacing w:before="100" w:beforeAutospacing="1" w:after="100" w:afterAutospacing="1" w:line="360" w:lineRule="auto"/>
        <w:jc w:val="both"/>
        <w:rPr>
          <w:rFonts w:eastAsia="Times New Roman" w:cs="Arial"/>
          <w:sz w:val="22"/>
          <w:szCs w:val="22"/>
          <w:lang w:eastAsia="en-GB"/>
        </w:rPr>
      </w:pPr>
      <w:r w:rsidRPr="00CE4C82">
        <w:rPr>
          <w:rFonts w:eastAsia="Times New Roman" w:cs="Arial"/>
          <w:sz w:val="22"/>
          <w:szCs w:val="22"/>
          <w:lang w:eastAsia="en-GB"/>
        </w:rPr>
        <w:t xml:space="preserve">At the community level, genomic data hold immense potential for </w:t>
      </w:r>
      <w:r w:rsidRPr="00C55DF3">
        <w:rPr>
          <w:rFonts w:eastAsia="Times New Roman" w:cs="Arial"/>
          <w:sz w:val="22"/>
          <w:szCs w:val="22"/>
          <w:lang w:eastAsia="en-GB"/>
        </w:rPr>
        <w:t>public health</w:t>
      </w:r>
      <w:r w:rsidR="00815983">
        <w:rPr>
          <w:rFonts w:eastAsia="Times New Roman" w:cs="Arial"/>
          <w:sz w:val="22"/>
          <w:szCs w:val="22"/>
          <w:lang w:eastAsia="en-GB"/>
        </w:rPr>
        <w:t xml:space="preserve">. Identifying individuals with genetic predispositions and implementing </w:t>
      </w:r>
      <w:r w:rsidRPr="00C55DF3">
        <w:rPr>
          <w:rFonts w:eastAsia="Times New Roman" w:cs="Arial"/>
          <w:sz w:val="22"/>
          <w:szCs w:val="22"/>
          <w:lang w:eastAsia="en-GB"/>
        </w:rPr>
        <w:t xml:space="preserve">preventive interventions </w:t>
      </w:r>
      <w:r w:rsidR="00815983">
        <w:rPr>
          <w:rFonts w:eastAsia="Times New Roman" w:cs="Arial"/>
          <w:sz w:val="22"/>
          <w:szCs w:val="22"/>
          <w:lang w:eastAsia="en-GB"/>
        </w:rPr>
        <w:t>earlier can improve outcomes and reduce</w:t>
      </w:r>
      <w:r w:rsidRPr="00C55DF3">
        <w:rPr>
          <w:rFonts w:eastAsia="Times New Roman" w:cs="Arial"/>
          <w:sz w:val="22"/>
          <w:szCs w:val="22"/>
          <w:lang w:eastAsia="en-GB"/>
        </w:rPr>
        <w:t xml:space="preserve"> NHS costs.</w:t>
      </w:r>
      <w:r w:rsidR="00815983">
        <w:rPr>
          <w:rFonts w:eastAsia="Times New Roman" w:cs="Arial"/>
          <w:sz w:val="22"/>
          <w:szCs w:val="22"/>
          <w:lang w:eastAsia="en-GB"/>
        </w:rPr>
        <w:t xml:space="preserve"> T</w:t>
      </w:r>
      <w:r w:rsidRPr="00C55DF3">
        <w:rPr>
          <w:rFonts w:eastAsia="Times New Roman" w:cs="Arial"/>
          <w:sz w:val="22"/>
          <w:szCs w:val="22"/>
          <w:lang w:eastAsia="en-GB"/>
        </w:rPr>
        <w:t>he Generation Study (2024)</w:t>
      </w:r>
      <w:r w:rsidRPr="00CE4C82">
        <w:rPr>
          <w:rFonts w:eastAsia="Times New Roman" w:cs="Arial"/>
          <w:sz w:val="22"/>
          <w:szCs w:val="22"/>
          <w:lang w:eastAsia="en-GB"/>
        </w:rPr>
        <w:t xml:space="preserve"> aims to sequence </w:t>
      </w:r>
      <w:r w:rsidRPr="00C55DF3">
        <w:rPr>
          <w:rFonts w:eastAsia="Times New Roman" w:cs="Arial"/>
          <w:sz w:val="22"/>
          <w:szCs w:val="22"/>
          <w:lang w:eastAsia="en-GB"/>
        </w:rPr>
        <w:t>100,000 newborns</w:t>
      </w:r>
      <w:r w:rsidRPr="00CE4C82">
        <w:rPr>
          <w:rFonts w:eastAsia="Times New Roman" w:cs="Arial"/>
          <w:sz w:val="22"/>
          <w:szCs w:val="22"/>
          <w:lang w:eastAsia="en-GB"/>
        </w:rPr>
        <w:t xml:space="preserve"> to detect over 200 genetic conditions treatable in early childhood (The Guardian, 2024)</w:t>
      </w:r>
      <w:r w:rsidR="00815983">
        <w:rPr>
          <w:rFonts w:eastAsia="Times New Roman" w:cs="Arial"/>
          <w:sz w:val="22"/>
          <w:szCs w:val="22"/>
          <w:lang w:eastAsia="en-GB"/>
        </w:rPr>
        <w:t xml:space="preserve">, which </w:t>
      </w:r>
      <w:r w:rsidRPr="00CE4C82">
        <w:rPr>
          <w:rFonts w:eastAsia="Times New Roman" w:cs="Arial"/>
          <w:sz w:val="22"/>
          <w:szCs w:val="22"/>
          <w:lang w:eastAsia="en-GB"/>
        </w:rPr>
        <w:t>represents a move from individual to population-based genomic medicine.</w:t>
      </w:r>
    </w:p>
    <w:p w14:paraId="461478E8" w14:textId="77777777" w:rsidR="00CE4C82" w:rsidRPr="00CE4C82" w:rsidRDefault="00CE4C82" w:rsidP="00CE4C82">
      <w:pPr>
        <w:spacing w:before="100" w:beforeAutospacing="1" w:after="100" w:afterAutospacing="1" w:line="360" w:lineRule="auto"/>
        <w:jc w:val="both"/>
        <w:rPr>
          <w:rFonts w:eastAsia="Times New Roman" w:cs="Arial"/>
          <w:sz w:val="22"/>
          <w:szCs w:val="22"/>
          <w:lang w:eastAsia="en-GB"/>
        </w:rPr>
      </w:pPr>
      <w:r w:rsidRPr="00CE4C82">
        <w:rPr>
          <w:rFonts w:eastAsia="Times New Roman" w:cs="Arial"/>
          <w:sz w:val="22"/>
          <w:szCs w:val="22"/>
          <w:lang w:eastAsia="en-GB"/>
        </w:rPr>
        <w:t>Family-based “cascade testing” also extends benefits beyond the individual, allowing relatives to access testing and early interventions (Genomics England, 2023). Moreover, local communities benefit from genomic hubs that create research partnerships and local employment opportunities, fostering regional innovation.</w:t>
      </w:r>
    </w:p>
    <w:p w14:paraId="1A6F2FE7" w14:textId="77777777" w:rsidR="00CE4C82" w:rsidRPr="009918F6" w:rsidRDefault="00CE4C82" w:rsidP="00CE4C82">
      <w:pPr>
        <w:spacing w:before="100" w:beforeAutospacing="1" w:after="100" w:afterAutospacing="1" w:line="360" w:lineRule="auto"/>
        <w:jc w:val="both"/>
        <w:outlineLvl w:val="2"/>
        <w:rPr>
          <w:rFonts w:eastAsia="Times New Roman" w:cs="Arial"/>
          <w:i/>
          <w:iCs/>
          <w:sz w:val="22"/>
          <w:szCs w:val="22"/>
          <w:lang w:eastAsia="en-GB"/>
        </w:rPr>
      </w:pPr>
      <w:r w:rsidRPr="00CE4C82">
        <w:rPr>
          <w:rFonts w:eastAsia="Times New Roman" w:cs="Arial"/>
          <w:b/>
          <w:bCs/>
          <w:sz w:val="22"/>
          <w:szCs w:val="22"/>
          <w:lang w:eastAsia="en-GB"/>
        </w:rPr>
        <w:t xml:space="preserve">6.2 </w:t>
      </w:r>
      <w:r w:rsidRPr="009918F6">
        <w:rPr>
          <w:rFonts w:eastAsia="Times New Roman" w:cs="Arial"/>
          <w:i/>
          <w:iCs/>
          <w:sz w:val="22"/>
          <w:szCs w:val="22"/>
          <w:lang w:eastAsia="en-GB"/>
        </w:rPr>
        <w:t>Risks: Inequality and Public Trust</w:t>
      </w:r>
    </w:p>
    <w:p w14:paraId="368D7FAB" w14:textId="77777777" w:rsidR="00CE4C82" w:rsidRPr="00CE4C82" w:rsidRDefault="00CE4C82" w:rsidP="00CE4C82">
      <w:pPr>
        <w:spacing w:before="100" w:beforeAutospacing="1" w:after="100" w:afterAutospacing="1" w:line="360" w:lineRule="auto"/>
        <w:jc w:val="both"/>
        <w:rPr>
          <w:rFonts w:eastAsia="Times New Roman" w:cs="Arial"/>
          <w:sz w:val="22"/>
          <w:szCs w:val="22"/>
          <w:lang w:eastAsia="en-GB"/>
        </w:rPr>
      </w:pPr>
      <w:r w:rsidRPr="00CE4C82">
        <w:rPr>
          <w:rFonts w:eastAsia="Times New Roman" w:cs="Arial"/>
          <w:sz w:val="22"/>
          <w:szCs w:val="22"/>
          <w:lang w:eastAsia="en-GB"/>
        </w:rPr>
        <w:t xml:space="preserve">Nevertheless, community-level challenges persist. Genomic uptake and literacy vary by socioeconomic status, ethnicity, and geography (Genome UK, 2021). Rural and deprived communities may face barriers to accessing genomic services due to distance, awareness, or digital exclusion (Friedrich </w:t>
      </w:r>
      <w:r w:rsidRPr="007B1ECC">
        <w:rPr>
          <w:rFonts w:eastAsia="Times New Roman" w:cs="Arial"/>
          <w:i/>
          <w:iCs/>
          <w:sz w:val="22"/>
          <w:szCs w:val="22"/>
          <w:lang w:eastAsia="en-GB"/>
        </w:rPr>
        <w:t>et al</w:t>
      </w:r>
      <w:r w:rsidRPr="00CE4C82">
        <w:rPr>
          <w:rFonts w:eastAsia="Times New Roman" w:cs="Arial"/>
          <w:sz w:val="22"/>
          <w:szCs w:val="22"/>
          <w:lang w:eastAsia="en-GB"/>
        </w:rPr>
        <w:t>., 2024). Without deliberate equity strategies, genomics could exacerbate existing health inequalities.</w:t>
      </w:r>
    </w:p>
    <w:p w14:paraId="6965BCF8" w14:textId="324BA70D" w:rsidR="00A27530" w:rsidRPr="00CE4C82" w:rsidRDefault="00CE4C82" w:rsidP="00CE4C82">
      <w:pPr>
        <w:spacing w:before="100" w:beforeAutospacing="1" w:after="100" w:afterAutospacing="1" w:line="360" w:lineRule="auto"/>
        <w:jc w:val="both"/>
        <w:rPr>
          <w:rFonts w:eastAsia="Times New Roman" w:cs="Arial"/>
          <w:sz w:val="22"/>
          <w:szCs w:val="22"/>
          <w:lang w:eastAsia="en-GB"/>
        </w:rPr>
      </w:pPr>
      <w:r w:rsidRPr="00CE4C82">
        <w:rPr>
          <w:rFonts w:eastAsia="Times New Roman" w:cs="Arial"/>
          <w:sz w:val="22"/>
          <w:szCs w:val="22"/>
          <w:lang w:eastAsia="en-GB"/>
        </w:rPr>
        <w:t>Trust and co-production are critical for success. Public engagement efforts</w:t>
      </w:r>
      <w:r w:rsidR="007B1ECC">
        <w:rPr>
          <w:rFonts w:eastAsia="Times New Roman" w:cs="Arial"/>
          <w:sz w:val="22"/>
          <w:szCs w:val="22"/>
          <w:lang w:eastAsia="en-GB"/>
        </w:rPr>
        <w:t>,</w:t>
      </w:r>
      <w:r w:rsidRPr="00CE4C82">
        <w:rPr>
          <w:rFonts w:eastAsia="Times New Roman" w:cs="Arial"/>
          <w:sz w:val="22"/>
          <w:szCs w:val="22"/>
          <w:lang w:eastAsia="en-GB"/>
        </w:rPr>
        <w:t xml:space="preserve"> including citizens’ juries and patient advisory boards</w:t>
      </w:r>
      <w:r w:rsidR="007B1ECC">
        <w:rPr>
          <w:rFonts w:eastAsia="Times New Roman" w:cs="Arial"/>
          <w:sz w:val="22"/>
          <w:szCs w:val="22"/>
          <w:lang w:eastAsia="en-GB"/>
        </w:rPr>
        <w:t xml:space="preserve">, </w:t>
      </w:r>
      <w:r w:rsidRPr="00CE4C82">
        <w:rPr>
          <w:rFonts w:eastAsia="Times New Roman" w:cs="Arial"/>
          <w:sz w:val="22"/>
          <w:szCs w:val="22"/>
          <w:lang w:eastAsia="en-GB"/>
        </w:rPr>
        <w:t xml:space="preserve">have been effective in increasing understanding, but concerns remain about data privacy and commercial access to genomic databases (Lyle </w:t>
      </w:r>
      <w:r w:rsidRPr="007B1ECC">
        <w:rPr>
          <w:rFonts w:eastAsia="Times New Roman" w:cs="Arial"/>
          <w:i/>
          <w:iCs/>
          <w:sz w:val="22"/>
          <w:szCs w:val="22"/>
          <w:lang w:eastAsia="en-GB"/>
        </w:rPr>
        <w:t>et al</w:t>
      </w:r>
      <w:r w:rsidRPr="00CE4C82">
        <w:rPr>
          <w:rFonts w:eastAsia="Times New Roman" w:cs="Arial"/>
          <w:sz w:val="22"/>
          <w:szCs w:val="22"/>
          <w:lang w:eastAsia="en-GB"/>
        </w:rPr>
        <w:t>., 2023). Therefore, transparent communication and shared decision-making are essential to maintain community trust.</w:t>
      </w:r>
    </w:p>
    <w:p w14:paraId="3A708160" w14:textId="01D1968F" w:rsidR="00CE4C82" w:rsidRPr="00CE4C82" w:rsidRDefault="00CE4C82" w:rsidP="00CE4C82">
      <w:pPr>
        <w:spacing w:before="100" w:beforeAutospacing="1" w:after="100" w:afterAutospacing="1" w:line="360" w:lineRule="auto"/>
        <w:jc w:val="both"/>
        <w:outlineLvl w:val="2"/>
        <w:rPr>
          <w:rFonts w:eastAsia="Times New Roman" w:cs="Arial"/>
          <w:b/>
          <w:bCs/>
          <w:sz w:val="22"/>
          <w:szCs w:val="22"/>
          <w:lang w:eastAsia="en-GB"/>
        </w:rPr>
      </w:pPr>
      <w:r w:rsidRPr="00CE4C82">
        <w:rPr>
          <w:rFonts w:eastAsia="Times New Roman" w:cs="Arial"/>
          <w:b/>
          <w:bCs/>
          <w:sz w:val="22"/>
          <w:szCs w:val="22"/>
          <w:lang w:eastAsia="en-GB"/>
        </w:rPr>
        <w:t xml:space="preserve">6.3 </w:t>
      </w:r>
      <w:r w:rsidRPr="009918F6">
        <w:rPr>
          <w:rFonts w:eastAsia="Times New Roman" w:cs="Arial"/>
          <w:i/>
          <w:iCs/>
          <w:sz w:val="22"/>
          <w:szCs w:val="22"/>
          <w:lang w:eastAsia="en-GB"/>
        </w:rPr>
        <w:t>Evaluation</w:t>
      </w:r>
    </w:p>
    <w:p w14:paraId="5A425D7F" w14:textId="28B05933" w:rsidR="00CE4C82" w:rsidRPr="00CE4C82" w:rsidRDefault="00CE4C82" w:rsidP="00A000C3">
      <w:pPr>
        <w:spacing w:before="100" w:beforeAutospacing="1" w:after="100" w:afterAutospacing="1" w:line="360" w:lineRule="auto"/>
        <w:jc w:val="both"/>
        <w:rPr>
          <w:rFonts w:eastAsia="Times New Roman" w:cs="Arial"/>
          <w:sz w:val="22"/>
          <w:szCs w:val="22"/>
          <w:lang w:eastAsia="en-GB"/>
        </w:rPr>
      </w:pPr>
      <w:r w:rsidRPr="00CE4C82">
        <w:rPr>
          <w:rFonts w:eastAsia="Times New Roman" w:cs="Arial"/>
          <w:sz w:val="22"/>
          <w:szCs w:val="22"/>
          <w:lang w:eastAsia="en-GB"/>
        </w:rPr>
        <w:lastRenderedPageBreak/>
        <w:t>Community engagement is both an ethical and practical necessity. WGS can support population health improvements and early intervention, but only if implementation ensures inclusivity, co-production, and fair access. A strong ethical framework and transparent governance will determine whether genomics contributes to collective benefit or reinforces inequalities.</w:t>
      </w:r>
    </w:p>
    <w:p w14:paraId="2A420972" w14:textId="1B0946FD" w:rsidR="00187A95" w:rsidRPr="00187A95" w:rsidRDefault="00CE4C82" w:rsidP="00CE4C82">
      <w:pPr>
        <w:spacing w:before="100" w:beforeAutospacing="1" w:after="100" w:afterAutospacing="1" w:line="360" w:lineRule="auto"/>
        <w:jc w:val="both"/>
        <w:outlineLvl w:val="1"/>
        <w:rPr>
          <w:rFonts w:eastAsia="Times New Roman" w:cs="Arial"/>
          <w:b/>
          <w:bCs/>
          <w:color w:val="0070C0"/>
          <w:sz w:val="28"/>
          <w:szCs w:val="28"/>
          <w:lang w:eastAsia="en-GB"/>
        </w:rPr>
      </w:pPr>
      <w:r w:rsidRPr="004151DE">
        <w:rPr>
          <w:rFonts w:eastAsia="Times New Roman" w:cs="Arial"/>
          <w:b/>
          <w:bCs/>
          <w:color w:val="0070C0"/>
          <w:sz w:val="22"/>
          <w:szCs w:val="22"/>
          <w:lang w:eastAsia="en-GB"/>
        </w:rPr>
        <w:t xml:space="preserve">7. </w:t>
      </w:r>
      <w:r w:rsidRPr="004151DE">
        <w:rPr>
          <w:rFonts w:eastAsia="Times New Roman" w:cs="Arial"/>
          <w:b/>
          <w:bCs/>
          <w:color w:val="0070C0"/>
          <w:sz w:val="28"/>
          <w:szCs w:val="28"/>
          <w:lang w:eastAsia="en-GB"/>
        </w:rPr>
        <w:t>Cost and Value: Economic Considerations</w:t>
      </w:r>
    </w:p>
    <w:p w14:paraId="0A7A6E8A" w14:textId="77777777" w:rsidR="00CE4C82" w:rsidRPr="00CE4C82" w:rsidRDefault="00CE4C82" w:rsidP="00CE4C82">
      <w:pPr>
        <w:spacing w:before="100" w:beforeAutospacing="1" w:after="100" w:afterAutospacing="1" w:line="360" w:lineRule="auto"/>
        <w:jc w:val="both"/>
        <w:rPr>
          <w:rFonts w:eastAsia="Times New Roman" w:cs="Arial"/>
          <w:sz w:val="22"/>
          <w:szCs w:val="22"/>
          <w:lang w:eastAsia="en-GB"/>
        </w:rPr>
      </w:pPr>
      <w:r w:rsidRPr="00CE4C82">
        <w:rPr>
          <w:rFonts w:eastAsia="Times New Roman" w:cs="Arial"/>
          <w:sz w:val="22"/>
          <w:szCs w:val="22"/>
          <w:lang w:eastAsia="en-GB"/>
        </w:rPr>
        <w:t xml:space="preserve">The cost of genomic implementation is substantial. Sequencing, data storage, and interpretation are resource-intensive processes. However, emerging evidence suggests that WGS can be </w:t>
      </w:r>
      <w:r w:rsidRPr="0094207D">
        <w:rPr>
          <w:rFonts w:eastAsia="Times New Roman" w:cs="Arial"/>
          <w:sz w:val="22"/>
          <w:szCs w:val="22"/>
          <w:lang w:eastAsia="en-GB"/>
        </w:rPr>
        <w:t>cost-effective</w:t>
      </w:r>
      <w:r w:rsidRPr="00CE4C82">
        <w:rPr>
          <w:rFonts w:eastAsia="Times New Roman" w:cs="Arial"/>
          <w:sz w:val="22"/>
          <w:szCs w:val="22"/>
          <w:lang w:eastAsia="en-GB"/>
        </w:rPr>
        <w:t xml:space="preserve"> in specific clinical contexts, particularly in paediatric rare diseases (</w:t>
      </w:r>
      <w:proofErr w:type="spellStart"/>
      <w:r w:rsidRPr="00CE4C82">
        <w:rPr>
          <w:rFonts w:eastAsia="Times New Roman" w:cs="Arial"/>
          <w:sz w:val="22"/>
          <w:szCs w:val="22"/>
          <w:lang w:eastAsia="en-GB"/>
        </w:rPr>
        <w:t>Nurchis</w:t>
      </w:r>
      <w:proofErr w:type="spellEnd"/>
      <w:r w:rsidRPr="00CE4C82">
        <w:rPr>
          <w:rFonts w:eastAsia="Times New Roman" w:cs="Arial"/>
          <w:sz w:val="22"/>
          <w:szCs w:val="22"/>
          <w:lang w:eastAsia="en-GB"/>
        </w:rPr>
        <w:t xml:space="preserve"> </w:t>
      </w:r>
      <w:r w:rsidRPr="0094207D">
        <w:rPr>
          <w:rFonts w:eastAsia="Times New Roman" w:cs="Arial"/>
          <w:i/>
          <w:iCs/>
          <w:sz w:val="22"/>
          <w:szCs w:val="22"/>
          <w:lang w:eastAsia="en-GB"/>
        </w:rPr>
        <w:t>et al</w:t>
      </w:r>
      <w:r w:rsidRPr="00CE4C82">
        <w:rPr>
          <w:rFonts w:eastAsia="Times New Roman" w:cs="Arial"/>
          <w:sz w:val="22"/>
          <w:szCs w:val="22"/>
          <w:lang w:eastAsia="en-GB"/>
        </w:rPr>
        <w:t xml:space="preserve">., 2023). WGS reduces the need for multiple sequential tests and hospital visits, delivering faster diagnoses and targeted treatments (Smith </w:t>
      </w:r>
      <w:r w:rsidRPr="0094207D">
        <w:rPr>
          <w:rFonts w:eastAsia="Times New Roman" w:cs="Arial"/>
          <w:i/>
          <w:iCs/>
          <w:sz w:val="22"/>
          <w:szCs w:val="22"/>
          <w:lang w:eastAsia="en-GB"/>
        </w:rPr>
        <w:t>et al</w:t>
      </w:r>
      <w:r w:rsidRPr="00CE4C82">
        <w:rPr>
          <w:rFonts w:eastAsia="Times New Roman" w:cs="Arial"/>
          <w:sz w:val="22"/>
          <w:szCs w:val="22"/>
          <w:lang w:eastAsia="en-GB"/>
        </w:rPr>
        <w:t>., 2025).</w:t>
      </w:r>
    </w:p>
    <w:p w14:paraId="4E79F58E" w14:textId="34FB1057" w:rsidR="00187A95" w:rsidRDefault="00CE4C82" w:rsidP="00187A95">
      <w:pPr>
        <w:spacing w:before="100" w:beforeAutospacing="1" w:after="100" w:afterAutospacing="1" w:line="360" w:lineRule="auto"/>
        <w:jc w:val="both"/>
        <w:rPr>
          <w:rFonts w:eastAsia="Times New Roman" w:cs="Arial"/>
          <w:sz w:val="22"/>
          <w:szCs w:val="22"/>
          <w:lang w:eastAsia="en-GB"/>
        </w:rPr>
      </w:pPr>
      <w:r w:rsidRPr="00CE4C82">
        <w:rPr>
          <w:rFonts w:eastAsia="Times New Roman" w:cs="Arial"/>
          <w:sz w:val="22"/>
          <w:szCs w:val="22"/>
          <w:lang w:eastAsia="en-GB"/>
        </w:rPr>
        <w:t xml:space="preserve">Nevertheless, full economic benefits require long-term evaluation. Secondary finding management, counselling, and data infrastructure add costs that must be factored into health technology assessments. </w:t>
      </w:r>
      <w:r w:rsidRPr="0094207D">
        <w:rPr>
          <w:rFonts w:eastAsia="Times New Roman" w:cs="Arial"/>
          <w:sz w:val="22"/>
          <w:szCs w:val="22"/>
          <w:lang w:eastAsia="en-GB"/>
        </w:rPr>
        <w:t>The</w:t>
      </w:r>
      <w:r w:rsidR="00A000C3">
        <w:rPr>
          <w:rFonts w:eastAsia="Times New Roman" w:cs="Arial"/>
          <w:sz w:val="22"/>
          <w:szCs w:val="22"/>
          <w:lang w:eastAsia="en-GB"/>
        </w:rPr>
        <w:t xml:space="preserve"> </w:t>
      </w:r>
      <w:r w:rsidRPr="0094207D">
        <w:rPr>
          <w:rFonts w:eastAsia="Times New Roman" w:cs="Arial"/>
          <w:sz w:val="22"/>
          <w:szCs w:val="22"/>
          <w:lang w:eastAsia="en-GB"/>
        </w:rPr>
        <w:t xml:space="preserve">government investment </w:t>
      </w:r>
      <w:r w:rsidRPr="00CE4C82">
        <w:rPr>
          <w:rFonts w:eastAsia="Times New Roman" w:cs="Arial"/>
          <w:sz w:val="22"/>
          <w:szCs w:val="22"/>
          <w:lang w:eastAsia="en-GB"/>
        </w:rPr>
        <w:t>demonstrates continued confidence in genomics as a long-term public health asset</w:t>
      </w:r>
      <w:r w:rsidR="00A65AA5">
        <w:rPr>
          <w:rFonts w:eastAsia="Times New Roman" w:cs="Arial"/>
          <w:sz w:val="22"/>
          <w:szCs w:val="22"/>
          <w:lang w:eastAsia="en-GB"/>
        </w:rPr>
        <w:t>. Still, sustainable</w:t>
      </w:r>
      <w:r w:rsidRPr="00CE4C82">
        <w:rPr>
          <w:rFonts w:eastAsia="Times New Roman" w:cs="Arial"/>
          <w:sz w:val="22"/>
          <w:szCs w:val="22"/>
          <w:lang w:eastAsia="en-GB"/>
        </w:rPr>
        <w:t xml:space="preserve"> funding models and measurable outcomes are needed to justify ongoing expansion (The Guardian, 2025).</w:t>
      </w:r>
      <w:r w:rsidR="00187A95">
        <w:rPr>
          <w:rFonts w:eastAsia="Times New Roman" w:cs="Arial"/>
          <w:sz w:val="22"/>
          <w:szCs w:val="22"/>
          <w:lang w:eastAsia="en-GB"/>
        </w:rPr>
        <w:t xml:space="preserve"> </w:t>
      </w:r>
    </w:p>
    <w:p w14:paraId="678EBF7D" w14:textId="77777777" w:rsidR="00C40370" w:rsidRDefault="00C40370" w:rsidP="00187A95">
      <w:pPr>
        <w:spacing w:before="100" w:beforeAutospacing="1" w:after="100" w:afterAutospacing="1" w:line="360" w:lineRule="auto"/>
        <w:jc w:val="both"/>
        <w:rPr>
          <w:rFonts w:eastAsia="Times New Roman" w:cs="Arial"/>
          <w:sz w:val="22"/>
          <w:szCs w:val="22"/>
          <w:lang w:eastAsia="en-GB"/>
        </w:rPr>
      </w:pPr>
    </w:p>
    <w:p w14:paraId="37CE335C" w14:textId="1A96D846" w:rsidR="00187A95" w:rsidRPr="00187A95" w:rsidRDefault="00FA36A0" w:rsidP="00187A95">
      <w:pPr>
        <w:spacing w:before="100" w:beforeAutospacing="1" w:after="100" w:afterAutospacing="1" w:line="240" w:lineRule="auto"/>
        <w:outlineLvl w:val="2"/>
        <w:rPr>
          <w:rFonts w:ascii="Times New Roman" w:eastAsia="Times New Roman" w:hAnsi="Times New Roman" w:cs="Times New Roman"/>
          <w:b/>
          <w:bCs/>
          <w:color w:val="0070C0"/>
          <w:sz w:val="28"/>
          <w:szCs w:val="28"/>
          <w:lang w:eastAsia="en-GB"/>
        </w:rPr>
      </w:pPr>
      <w:r w:rsidRPr="00FA36A0">
        <w:rPr>
          <w:rFonts w:ascii="Times New Roman" w:eastAsia="Times New Roman" w:hAnsi="Times New Roman" w:cs="Times New Roman"/>
          <w:b/>
          <w:bCs/>
          <w:color w:val="0070C0"/>
          <w:sz w:val="22"/>
          <w:szCs w:val="22"/>
          <w:lang w:eastAsia="en-GB"/>
        </w:rPr>
        <w:t xml:space="preserve">8. </w:t>
      </w:r>
      <w:r w:rsidR="00187A95" w:rsidRPr="00187A95">
        <w:rPr>
          <w:rFonts w:eastAsia="Times New Roman" w:cs="Arial"/>
          <w:b/>
          <w:bCs/>
          <w:color w:val="0070C0"/>
          <w:sz w:val="28"/>
          <w:szCs w:val="28"/>
          <w:lang w:eastAsia="en-GB"/>
        </w:rPr>
        <w:t>Data Protection and GDPR (UK)</w:t>
      </w:r>
    </w:p>
    <w:p w14:paraId="7C95240A" w14:textId="3FADAD51" w:rsidR="00187A95" w:rsidRPr="005B794C" w:rsidRDefault="00187A95" w:rsidP="0001155D">
      <w:pPr>
        <w:spacing w:before="100" w:beforeAutospacing="1" w:after="100" w:afterAutospacing="1" w:line="360" w:lineRule="auto"/>
        <w:jc w:val="both"/>
        <w:rPr>
          <w:rFonts w:eastAsia="Times New Roman" w:cs="Arial"/>
          <w:sz w:val="22"/>
          <w:szCs w:val="22"/>
          <w:lang w:eastAsia="en-GB"/>
        </w:rPr>
      </w:pPr>
      <w:r w:rsidRPr="00187A95">
        <w:rPr>
          <w:rFonts w:eastAsia="Times New Roman" w:cs="Arial"/>
          <w:sz w:val="22"/>
          <w:szCs w:val="22"/>
          <w:lang w:eastAsia="en-GB"/>
        </w:rPr>
        <w:t>The deployment of genomics in UK healthcare operates under a strict legal and ethical regime of data protection, chiefly the UK General Data Protection Regulation (UK GDPR) and the Data Protection Act 2018. Genetic data and health data are classified as special category personal data, which demands enhanced safeguards beyond standard personal data protections (ICO, “What is special category data?”)</w:t>
      </w:r>
      <w:r w:rsidR="005B794C">
        <w:rPr>
          <w:rFonts w:eastAsia="Times New Roman" w:cs="Arial"/>
          <w:sz w:val="22"/>
          <w:szCs w:val="22"/>
          <w:lang w:eastAsia="en-GB"/>
        </w:rPr>
        <w:t xml:space="preserve"> (Staunton </w:t>
      </w:r>
      <w:r w:rsidR="005B794C">
        <w:rPr>
          <w:rFonts w:eastAsia="Times New Roman" w:cs="Arial"/>
          <w:i/>
          <w:iCs/>
          <w:sz w:val="22"/>
          <w:szCs w:val="22"/>
          <w:lang w:eastAsia="en-GB"/>
        </w:rPr>
        <w:t xml:space="preserve">et al., </w:t>
      </w:r>
      <w:r w:rsidR="005B794C">
        <w:rPr>
          <w:rFonts w:eastAsia="Times New Roman" w:cs="Arial"/>
          <w:sz w:val="22"/>
          <w:szCs w:val="22"/>
          <w:lang w:eastAsia="en-GB"/>
        </w:rPr>
        <w:t>2022).</w:t>
      </w:r>
    </w:p>
    <w:p w14:paraId="009488C0" w14:textId="31A2CEE3" w:rsidR="00187A95" w:rsidRPr="00187A95" w:rsidRDefault="00A3028C" w:rsidP="0001155D">
      <w:pPr>
        <w:spacing w:before="100" w:beforeAutospacing="1" w:after="100" w:afterAutospacing="1" w:line="360" w:lineRule="auto"/>
        <w:jc w:val="both"/>
        <w:outlineLvl w:val="3"/>
        <w:rPr>
          <w:rFonts w:eastAsia="Times New Roman" w:cs="Arial"/>
          <w:i/>
          <w:iCs/>
          <w:sz w:val="22"/>
          <w:szCs w:val="22"/>
          <w:lang w:eastAsia="en-GB"/>
        </w:rPr>
      </w:pPr>
      <w:r w:rsidRPr="00A3028C">
        <w:rPr>
          <w:rFonts w:eastAsia="Times New Roman" w:cs="Arial"/>
          <w:b/>
          <w:bCs/>
          <w:sz w:val="22"/>
          <w:szCs w:val="22"/>
          <w:lang w:eastAsia="en-GB"/>
        </w:rPr>
        <w:t>8.1</w:t>
      </w:r>
      <w:r w:rsidR="00991A38">
        <w:rPr>
          <w:rFonts w:eastAsia="Times New Roman" w:cs="Arial"/>
          <w:b/>
          <w:bCs/>
          <w:sz w:val="22"/>
          <w:szCs w:val="22"/>
          <w:lang w:eastAsia="en-GB"/>
        </w:rPr>
        <w:t xml:space="preserve"> </w:t>
      </w:r>
      <w:r w:rsidR="00187A95" w:rsidRPr="00187A95">
        <w:rPr>
          <w:rFonts w:eastAsia="Times New Roman" w:cs="Arial"/>
          <w:i/>
          <w:iCs/>
          <w:sz w:val="22"/>
          <w:szCs w:val="22"/>
          <w:lang w:eastAsia="en-GB"/>
        </w:rPr>
        <w:t>Legal Foundations &amp; Scope</w:t>
      </w:r>
    </w:p>
    <w:p w14:paraId="5D4EDDA1" w14:textId="5C3F98D4" w:rsidR="00187A95" w:rsidRPr="00187A95" w:rsidRDefault="00187A95" w:rsidP="0001155D">
      <w:pPr>
        <w:spacing w:before="100" w:beforeAutospacing="1" w:after="100" w:afterAutospacing="1" w:line="360" w:lineRule="auto"/>
        <w:jc w:val="both"/>
        <w:rPr>
          <w:rFonts w:eastAsia="Times New Roman" w:cs="Arial"/>
          <w:sz w:val="22"/>
          <w:szCs w:val="22"/>
          <w:lang w:eastAsia="en-GB"/>
        </w:rPr>
      </w:pPr>
      <w:r w:rsidRPr="00187A95">
        <w:rPr>
          <w:rFonts w:eastAsia="Times New Roman" w:cs="Arial"/>
          <w:sz w:val="22"/>
          <w:szCs w:val="22"/>
          <w:lang w:eastAsia="en-GB"/>
        </w:rPr>
        <w:t>Under UK GDPR, “personal data” includes any information relating to an identified or identifiable individual, including genetic or biometric identifiers. Genetic and health data fall within the “special category” classification under Article 9, meaning that additional conditions must be met for lawful processing (beyond the usual Article 6 basis).</w:t>
      </w:r>
    </w:p>
    <w:p w14:paraId="359945F4" w14:textId="38D435FE" w:rsidR="00187A95" w:rsidRPr="00187A95" w:rsidRDefault="00187A95" w:rsidP="0001155D">
      <w:pPr>
        <w:spacing w:before="100" w:beforeAutospacing="1" w:after="100" w:afterAutospacing="1" w:line="360" w:lineRule="auto"/>
        <w:jc w:val="both"/>
        <w:rPr>
          <w:rFonts w:eastAsia="Times New Roman" w:cs="Arial"/>
          <w:sz w:val="22"/>
          <w:szCs w:val="22"/>
          <w:lang w:eastAsia="en-GB"/>
        </w:rPr>
      </w:pPr>
      <w:r w:rsidRPr="00187A95">
        <w:rPr>
          <w:rFonts w:eastAsia="Times New Roman" w:cs="Arial"/>
          <w:sz w:val="22"/>
          <w:szCs w:val="22"/>
          <w:lang w:eastAsia="en-GB"/>
        </w:rPr>
        <w:t xml:space="preserve">In genomic healthcare, data often moves across institutional, regional, or even national boundaries. After Brexit, the UK is treated as a “third country” under EU data protection law </w:t>
      </w:r>
      <w:r w:rsidRPr="00187A95">
        <w:rPr>
          <w:rFonts w:eastAsia="Times New Roman" w:cs="Arial"/>
          <w:sz w:val="22"/>
          <w:szCs w:val="22"/>
          <w:lang w:eastAsia="en-GB"/>
        </w:rPr>
        <w:lastRenderedPageBreak/>
        <w:t>when transferring genomic data abroad, so adequacy assessments or suitable safeguards become crucial.</w:t>
      </w:r>
    </w:p>
    <w:p w14:paraId="541D6620" w14:textId="37EE0E5C" w:rsidR="00187A95" w:rsidRPr="00187A95" w:rsidRDefault="00D4565A" w:rsidP="0001155D">
      <w:pPr>
        <w:spacing w:before="100" w:beforeAutospacing="1" w:after="100" w:afterAutospacing="1" w:line="360" w:lineRule="auto"/>
        <w:jc w:val="both"/>
        <w:outlineLvl w:val="3"/>
        <w:rPr>
          <w:rFonts w:eastAsia="Times New Roman" w:cs="Arial"/>
          <w:sz w:val="22"/>
          <w:szCs w:val="22"/>
          <w:lang w:eastAsia="en-GB"/>
        </w:rPr>
      </w:pPr>
      <w:r>
        <w:rPr>
          <w:rFonts w:eastAsia="Times New Roman" w:cs="Arial"/>
          <w:b/>
          <w:bCs/>
          <w:sz w:val="22"/>
          <w:szCs w:val="22"/>
          <w:lang w:eastAsia="en-GB"/>
        </w:rPr>
        <w:t xml:space="preserve">8.2 </w:t>
      </w:r>
      <w:r w:rsidR="00187A95" w:rsidRPr="00187A95">
        <w:rPr>
          <w:rFonts w:eastAsia="Times New Roman" w:cs="Arial"/>
          <w:i/>
          <w:iCs/>
          <w:sz w:val="22"/>
          <w:szCs w:val="22"/>
          <w:lang w:eastAsia="en-GB"/>
        </w:rPr>
        <w:t>Key Obligations &amp; Rights</w:t>
      </w:r>
    </w:p>
    <w:p w14:paraId="06E3B438" w14:textId="3E31A6D1" w:rsidR="00187A95" w:rsidRPr="00187A95" w:rsidRDefault="00187A95" w:rsidP="0001155D">
      <w:pPr>
        <w:spacing w:before="100" w:beforeAutospacing="1" w:after="100" w:afterAutospacing="1" w:line="360" w:lineRule="auto"/>
        <w:jc w:val="both"/>
        <w:rPr>
          <w:rFonts w:eastAsia="Times New Roman" w:cs="Arial"/>
          <w:sz w:val="22"/>
          <w:szCs w:val="22"/>
          <w:lang w:eastAsia="en-GB"/>
        </w:rPr>
      </w:pPr>
      <w:r w:rsidRPr="00187A95">
        <w:rPr>
          <w:rFonts w:eastAsia="Times New Roman" w:cs="Arial"/>
          <w:sz w:val="22"/>
          <w:szCs w:val="22"/>
          <w:lang w:eastAsia="en-GB"/>
        </w:rPr>
        <w:t>Organisations processing genomic data must adhere to the core data protection principles: lawful and transparent processing, purpose limitation, data minimisation, accuracy, storage limitation, integrity and confidentiality, and accountability. Because genomic data is inherently identifying and persistent, data minimisation and purpose limitation are especially demanding.</w:t>
      </w:r>
    </w:p>
    <w:p w14:paraId="68856C9B" w14:textId="261ACEDB" w:rsidR="00187A95" w:rsidRPr="00187A95" w:rsidRDefault="00187A95" w:rsidP="0001155D">
      <w:pPr>
        <w:spacing w:before="100" w:beforeAutospacing="1" w:after="100" w:afterAutospacing="1" w:line="360" w:lineRule="auto"/>
        <w:jc w:val="both"/>
        <w:rPr>
          <w:rFonts w:eastAsia="Times New Roman" w:cs="Arial"/>
          <w:sz w:val="22"/>
          <w:szCs w:val="22"/>
          <w:lang w:eastAsia="en-GB"/>
        </w:rPr>
      </w:pPr>
      <w:r w:rsidRPr="00187A95">
        <w:rPr>
          <w:rFonts w:eastAsia="Times New Roman" w:cs="Arial"/>
          <w:sz w:val="22"/>
          <w:szCs w:val="22"/>
          <w:lang w:eastAsia="en-GB"/>
        </w:rPr>
        <w:t>Importantly, data subjects retain robust rights: access, rectification, erasure (in limited settings), restriction, objection, and portability, subject to relevant exemptions (for scientific research). In particular, the UK GDPR includes research provisions</w:t>
      </w:r>
      <w:r w:rsidR="00012E4A">
        <w:rPr>
          <w:rFonts w:eastAsia="Times New Roman" w:cs="Arial"/>
          <w:sz w:val="22"/>
          <w:szCs w:val="22"/>
          <w:lang w:eastAsia="en-GB"/>
        </w:rPr>
        <w:t xml:space="preserve"> that permit certain exemptions and flexibility (for example, on purpose-compatibility and data subject rights) when processing is for scientific research, archiving,</w:t>
      </w:r>
      <w:r w:rsidRPr="00187A95">
        <w:rPr>
          <w:rFonts w:eastAsia="Times New Roman" w:cs="Arial"/>
          <w:sz w:val="22"/>
          <w:szCs w:val="22"/>
          <w:lang w:eastAsia="en-GB"/>
        </w:rPr>
        <w:t xml:space="preserve"> or statistical purposes, provided appropriate safeguards are in place.</w:t>
      </w:r>
    </w:p>
    <w:p w14:paraId="61A47336" w14:textId="2B01FF7F" w:rsidR="00187A95" w:rsidRPr="00187A95" w:rsidRDefault="00187A95" w:rsidP="0001155D">
      <w:pPr>
        <w:spacing w:before="100" w:beforeAutospacing="1" w:after="100" w:afterAutospacing="1" w:line="360" w:lineRule="auto"/>
        <w:jc w:val="both"/>
        <w:rPr>
          <w:rFonts w:eastAsia="Times New Roman" w:cs="Arial"/>
          <w:sz w:val="22"/>
          <w:szCs w:val="22"/>
          <w:lang w:eastAsia="en-GB"/>
        </w:rPr>
      </w:pPr>
      <w:r w:rsidRPr="00187A95">
        <w:rPr>
          <w:rFonts w:eastAsia="Times New Roman" w:cs="Arial"/>
          <w:sz w:val="22"/>
          <w:szCs w:val="22"/>
          <w:lang w:eastAsia="en-GB"/>
        </w:rPr>
        <w:t>Because genomic data is so sensitive, controllers must undertake Data Protection Impact Assessments (DPIAs) when processing is likely to result in high risk to individuals’ rights and freedoms (e.g. large-scale genomic sequencing, cross-institutional data sharing).</w:t>
      </w:r>
    </w:p>
    <w:p w14:paraId="7CE4D6F3" w14:textId="6C696F95" w:rsidR="00187A95" w:rsidRPr="00187A95" w:rsidRDefault="007F25A3" w:rsidP="0001155D">
      <w:pPr>
        <w:spacing w:before="100" w:beforeAutospacing="1" w:after="100" w:afterAutospacing="1" w:line="360" w:lineRule="auto"/>
        <w:jc w:val="both"/>
        <w:outlineLvl w:val="3"/>
        <w:rPr>
          <w:rFonts w:eastAsia="Times New Roman" w:cs="Arial"/>
          <w:i/>
          <w:iCs/>
          <w:sz w:val="22"/>
          <w:szCs w:val="22"/>
          <w:lang w:eastAsia="en-GB"/>
        </w:rPr>
      </w:pPr>
      <w:r w:rsidRPr="007F25A3">
        <w:rPr>
          <w:rFonts w:eastAsia="Times New Roman" w:cs="Arial"/>
          <w:b/>
          <w:bCs/>
          <w:sz w:val="22"/>
          <w:szCs w:val="22"/>
          <w:lang w:eastAsia="en-GB"/>
        </w:rPr>
        <w:t>8.3</w:t>
      </w:r>
      <w:r>
        <w:rPr>
          <w:rFonts w:eastAsia="Times New Roman" w:cs="Arial"/>
          <w:i/>
          <w:iCs/>
          <w:sz w:val="22"/>
          <w:szCs w:val="22"/>
          <w:lang w:eastAsia="en-GB"/>
        </w:rPr>
        <w:t xml:space="preserve"> </w:t>
      </w:r>
      <w:r w:rsidR="00187A95" w:rsidRPr="00187A95">
        <w:rPr>
          <w:rFonts w:eastAsia="Times New Roman" w:cs="Arial"/>
          <w:i/>
          <w:iCs/>
          <w:sz w:val="22"/>
          <w:szCs w:val="22"/>
          <w:lang w:eastAsia="en-GB"/>
        </w:rPr>
        <w:t xml:space="preserve">Challenges </w:t>
      </w:r>
      <w:r w:rsidR="00D4565A">
        <w:rPr>
          <w:rFonts w:eastAsia="Times New Roman" w:cs="Arial"/>
          <w:i/>
          <w:iCs/>
          <w:sz w:val="22"/>
          <w:szCs w:val="22"/>
          <w:lang w:eastAsia="en-GB"/>
        </w:rPr>
        <w:t>and</w:t>
      </w:r>
      <w:r w:rsidR="00187A95" w:rsidRPr="00187A95">
        <w:rPr>
          <w:rFonts w:eastAsia="Times New Roman" w:cs="Arial"/>
          <w:i/>
          <w:iCs/>
          <w:sz w:val="22"/>
          <w:szCs w:val="22"/>
          <w:lang w:eastAsia="en-GB"/>
        </w:rPr>
        <w:t xml:space="preserve"> Mitigations</w:t>
      </w:r>
    </w:p>
    <w:p w14:paraId="72171D8A" w14:textId="09BE9DC1" w:rsidR="00187A95" w:rsidRPr="00187A95" w:rsidRDefault="00187A95" w:rsidP="0001155D">
      <w:pPr>
        <w:spacing w:before="100" w:beforeAutospacing="1" w:after="100" w:afterAutospacing="1" w:line="360" w:lineRule="auto"/>
        <w:jc w:val="both"/>
        <w:rPr>
          <w:rFonts w:eastAsia="Times New Roman" w:cs="Arial"/>
          <w:sz w:val="22"/>
          <w:szCs w:val="22"/>
          <w:lang w:eastAsia="en-GB"/>
        </w:rPr>
      </w:pPr>
      <w:r w:rsidRPr="00187A95">
        <w:rPr>
          <w:rFonts w:eastAsia="Times New Roman" w:cs="Arial"/>
          <w:sz w:val="22"/>
          <w:szCs w:val="22"/>
          <w:lang w:eastAsia="en-GB"/>
        </w:rPr>
        <w:t xml:space="preserve">One fundamental challenge is that pseudonymisation does not remove the data from GDPR’s scope: even pseudonymised genomic data remains personal data if re-identification is possible. Indeed, advances in computational genomics make re-identification feasible, </w:t>
      </w:r>
      <w:r w:rsidR="00012E4A">
        <w:rPr>
          <w:rFonts w:eastAsia="Times New Roman" w:cs="Arial"/>
          <w:sz w:val="22"/>
          <w:szCs w:val="22"/>
          <w:lang w:eastAsia="en-GB"/>
        </w:rPr>
        <w:t>underscoring the need for</w:t>
      </w:r>
      <w:r w:rsidRPr="00187A95">
        <w:rPr>
          <w:rFonts w:eastAsia="Times New Roman" w:cs="Arial"/>
          <w:sz w:val="22"/>
          <w:szCs w:val="22"/>
          <w:lang w:eastAsia="en-GB"/>
        </w:rPr>
        <w:t xml:space="preserve"> robust technical controls.</w:t>
      </w:r>
    </w:p>
    <w:p w14:paraId="7BD51B4F" w14:textId="1A61AE3F" w:rsidR="00187A95" w:rsidRPr="00187A95" w:rsidRDefault="00187A95" w:rsidP="0001155D">
      <w:pPr>
        <w:spacing w:before="100" w:beforeAutospacing="1" w:after="100" w:afterAutospacing="1" w:line="360" w:lineRule="auto"/>
        <w:jc w:val="both"/>
        <w:rPr>
          <w:rFonts w:eastAsia="Times New Roman" w:cs="Arial"/>
          <w:sz w:val="22"/>
          <w:szCs w:val="22"/>
          <w:lang w:eastAsia="en-GB"/>
        </w:rPr>
      </w:pPr>
      <w:r w:rsidRPr="00187A95">
        <w:rPr>
          <w:rFonts w:eastAsia="Times New Roman" w:cs="Arial"/>
          <w:sz w:val="22"/>
          <w:szCs w:val="22"/>
          <w:lang w:eastAsia="en-GB"/>
        </w:rPr>
        <w:t xml:space="preserve">Although </w:t>
      </w:r>
      <w:r w:rsidR="00A65AA5">
        <w:rPr>
          <w:rFonts w:eastAsia="Times New Roman" w:cs="Arial"/>
          <w:sz w:val="22"/>
          <w:szCs w:val="22"/>
          <w:lang w:eastAsia="en-GB"/>
        </w:rPr>
        <w:t>complete</w:t>
      </w:r>
      <w:r w:rsidRPr="00187A95">
        <w:rPr>
          <w:rFonts w:eastAsia="Times New Roman" w:cs="Arial"/>
          <w:sz w:val="22"/>
          <w:szCs w:val="22"/>
          <w:lang w:eastAsia="en-GB"/>
        </w:rPr>
        <w:t xml:space="preserve"> anonymisation theoretically </w:t>
      </w:r>
      <w:r w:rsidR="00012E4A">
        <w:rPr>
          <w:rFonts w:eastAsia="Times New Roman" w:cs="Arial"/>
          <w:sz w:val="22"/>
          <w:szCs w:val="22"/>
          <w:lang w:eastAsia="en-GB"/>
        </w:rPr>
        <w:t xml:space="preserve">exempts data from GDPR obligations, it is generally impractical in genomics because the data must remain linkable for longitudinal follow-up, and re-identification risk cannot be reliably </w:t>
      </w:r>
      <w:r w:rsidRPr="00187A95">
        <w:rPr>
          <w:rFonts w:eastAsia="Times New Roman" w:cs="Arial"/>
          <w:sz w:val="22"/>
          <w:szCs w:val="22"/>
          <w:lang w:eastAsia="en-GB"/>
        </w:rPr>
        <w:t>excluded.</w:t>
      </w:r>
    </w:p>
    <w:p w14:paraId="3985A05C" w14:textId="6C858F07" w:rsidR="00187A95" w:rsidRPr="00187A95" w:rsidRDefault="00187A95" w:rsidP="0001155D">
      <w:pPr>
        <w:spacing w:before="100" w:beforeAutospacing="1" w:after="100" w:afterAutospacing="1" w:line="360" w:lineRule="auto"/>
        <w:jc w:val="both"/>
        <w:rPr>
          <w:rFonts w:eastAsia="Times New Roman" w:cs="Arial"/>
          <w:sz w:val="22"/>
          <w:szCs w:val="22"/>
          <w:lang w:eastAsia="en-GB"/>
        </w:rPr>
      </w:pPr>
      <w:r w:rsidRPr="00187A95">
        <w:rPr>
          <w:rFonts w:eastAsia="Times New Roman" w:cs="Arial"/>
          <w:sz w:val="22"/>
          <w:szCs w:val="22"/>
          <w:lang w:eastAsia="en-GB"/>
        </w:rPr>
        <w:t>Additionally, inference is a risk: even if data does not explicitly record a trait (e.g. ethnicity or disease predisposition), deriving or imputing it from genomic data may be treated as processing special category data.</w:t>
      </w:r>
    </w:p>
    <w:p w14:paraId="5665AA3C" w14:textId="7357B0DB" w:rsidR="00187A95" w:rsidRPr="00187A95" w:rsidRDefault="00187A95" w:rsidP="0001155D">
      <w:pPr>
        <w:spacing w:before="100" w:beforeAutospacing="1" w:after="100" w:afterAutospacing="1" w:line="360" w:lineRule="auto"/>
        <w:jc w:val="both"/>
        <w:rPr>
          <w:rFonts w:eastAsia="Times New Roman" w:cs="Arial"/>
          <w:sz w:val="22"/>
          <w:szCs w:val="22"/>
          <w:lang w:eastAsia="en-GB"/>
        </w:rPr>
      </w:pPr>
      <w:r w:rsidRPr="00187A95">
        <w:rPr>
          <w:rFonts w:eastAsia="Times New Roman" w:cs="Arial"/>
          <w:sz w:val="22"/>
          <w:szCs w:val="22"/>
          <w:lang w:eastAsia="en-GB"/>
        </w:rPr>
        <w:t>To mitigate risks, organisations should adopt privacy-enhancing technologies (</w:t>
      </w:r>
      <w:r w:rsidR="00C40370">
        <w:rPr>
          <w:rFonts w:eastAsia="Times New Roman" w:cs="Arial"/>
          <w:sz w:val="22"/>
          <w:szCs w:val="22"/>
          <w:lang w:eastAsia="en-GB"/>
        </w:rPr>
        <w:t xml:space="preserve">such as secure multiparty computation, homomorphic encryption, and </w:t>
      </w:r>
      <w:r w:rsidR="009F181B">
        <w:rPr>
          <w:rFonts w:eastAsia="Times New Roman" w:cs="Arial"/>
          <w:sz w:val="22"/>
          <w:szCs w:val="22"/>
          <w:lang w:eastAsia="en-GB"/>
        </w:rPr>
        <w:t>synthetic data) alongside</w:t>
      </w:r>
      <w:r w:rsidRPr="00187A95">
        <w:rPr>
          <w:rFonts w:eastAsia="Times New Roman" w:cs="Arial"/>
          <w:sz w:val="22"/>
          <w:szCs w:val="22"/>
          <w:lang w:eastAsia="en-GB"/>
        </w:rPr>
        <w:t xml:space="preserve"> robust governance frameworks and continual oversight (</w:t>
      </w:r>
      <w:proofErr w:type="spellStart"/>
      <w:r w:rsidRPr="00187A95">
        <w:rPr>
          <w:rFonts w:eastAsia="Times New Roman" w:cs="Arial"/>
          <w:sz w:val="22"/>
          <w:szCs w:val="22"/>
          <w:lang w:eastAsia="en-GB"/>
        </w:rPr>
        <w:t>Brauneck</w:t>
      </w:r>
      <w:proofErr w:type="spellEnd"/>
      <w:r w:rsidRPr="00187A95">
        <w:rPr>
          <w:rFonts w:eastAsia="Times New Roman" w:cs="Arial"/>
          <w:sz w:val="22"/>
          <w:szCs w:val="22"/>
          <w:lang w:eastAsia="en-GB"/>
        </w:rPr>
        <w:t xml:space="preserve"> </w:t>
      </w:r>
      <w:r w:rsidRPr="00187A95">
        <w:rPr>
          <w:rFonts w:eastAsia="Times New Roman" w:cs="Arial"/>
          <w:i/>
          <w:iCs/>
          <w:sz w:val="22"/>
          <w:szCs w:val="22"/>
          <w:lang w:eastAsia="en-GB"/>
        </w:rPr>
        <w:t>et al</w:t>
      </w:r>
      <w:r w:rsidRPr="00187A95">
        <w:rPr>
          <w:rFonts w:eastAsia="Times New Roman" w:cs="Arial"/>
          <w:sz w:val="22"/>
          <w:szCs w:val="22"/>
          <w:lang w:eastAsia="en-GB"/>
        </w:rPr>
        <w:t xml:space="preserve">., 2024). They should also </w:t>
      </w:r>
      <w:r w:rsidRPr="00187A95">
        <w:rPr>
          <w:rFonts w:eastAsia="Times New Roman" w:cs="Arial"/>
          <w:sz w:val="22"/>
          <w:szCs w:val="22"/>
          <w:lang w:eastAsia="en-GB"/>
        </w:rPr>
        <w:lastRenderedPageBreak/>
        <w:t xml:space="preserve">develop codes of conduct or sector-specific standards to standardise practices across institutions, enabling safer data sharing while preserving privacy (Molnár-Gábor </w:t>
      </w:r>
      <w:r w:rsidRPr="00FB127B">
        <w:rPr>
          <w:rFonts w:eastAsia="Times New Roman" w:cs="Arial"/>
          <w:i/>
          <w:iCs/>
          <w:sz w:val="22"/>
          <w:szCs w:val="22"/>
          <w:lang w:eastAsia="en-GB"/>
        </w:rPr>
        <w:t>et al.,</w:t>
      </w:r>
      <w:r w:rsidRPr="00187A95">
        <w:rPr>
          <w:rFonts w:eastAsia="Times New Roman" w:cs="Arial"/>
          <w:sz w:val="22"/>
          <w:szCs w:val="22"/>
          <w:lang w:eastAsia="en-GB"/>
        </w:rPr>
        <w:t xml:space="preserve"> 2020).</w:t>
      </w:r>
    </w:p>
    <w:p w14:paraId="15409E36" w14:textId="771378F6" w:rsidR="00187A95" w:rsidRPr="00187A95" w:rsidRDefault="00187A95" w:rsidP="0001155D">
      <w:pPr>
        <w:spacing w:before="100" w:beforeAutospacing="1" w:after="100" w:afterAutospacing="1" w:line="360" w:lineRule="auto"/>
        <w:jc w:val="both"/>
        <w:rPr>
          <w:rFonts w:eastAsia="Times New Roman" w:cs="Arial"/>
          <w:sz w:val="22"/>
          <w:szCs w:val="22"/>
          <w:lang w:eastAsia="en-GB"/>
        </w:rPr>
      </w:pPr>
      <w:r w:rsidRPr="00187A95">
        <w:rPr>
          <w:rFonts w:eastAsia="Times New Roman" w:cs="Arial"/>
          <w:sz w:val="22"/>
          <w:szCs w:val="22"/>
          <w:lang w:eastAsia="en-GB"/>
        </w:rPr>
        <w:t>Strict governance is also required for international transfers of genomic data. Organisations must rely on adequacy decisions, standard contractual clauses, binding corporate rules, or explicit consent (where valid)</w:t>
      </w:r>
      <w:r w:rsidR="00563D5E">
        <w:rPr>
          <w:rFonts w:eastAsia="Times New Roman" w:cs="Arial"/>
          <w:sz w:val="22"/>
          <w:szCs w:val="22"/>
          <w:lang w:eastAsia="en-GB"/>
        </w:rPr>
        <w:t xml:space="preserve">, </w:t>
      </w:r>
      <w:r w:rsidRPr="00187A95">
        <w:rPr>
          <w:rFonts w:eastAsia="Times New Roman" w:cs="Arial"/>
          <w:sz w:val="22"/>
          <w:szCs w:val="22"/>
          <w:lang w:eastAsia="en-GB"/>
        </w:rPr>
        <w:t xml:space="preserve">with careful attention to onward transfer risks (Taylor </w:t>
      </w:r>
      <w:r w:rsidRPr="00187A95">
        <w:rPr>
          <w:rFonts w:eastAsia="Times New Roman" w:cs="Arial"/>
          <w:i/>
          <w:iCs/>
          <w:sz w:val="22"/>
          <w:szCs w:val="22"/>
          <w:lang w:eastAsia="en-GB"/>
        </w:rPr>
        <w:t>et al</w:t>
      </w:r>
      <w:r w:rsidRPr="00187A95">
        <w:rPr>
          <w:rFonts w:eastAsia="Times New Roman" w:cs="Arial"/>
          <w:sz w:val="22"/>
          <w:szCs w:val="22"/>
          <w:lang w:eastAsia="en-GB"/>
        </w:rPr>
        <w:t>., 2018).</w:t>
      </w:r>
    </w:p>
    <w:p w14:paraId="6B022BFF" w14:textId="03B0F698" w:rsidR="00187A95" w:rsidRPr="00187A95" w:rsidRDefault="007F25A3" w:rsidP="0001155D">
      <w:pPr>
        <w:spacing w:before="100" w:beforeAutospacing="1" w:after="100" w:afterAutospacing="1" w:line="360" w:lineRule="auto"/>
        <w:jc w:val="both"/>
        <w:outlineLvl w:val="3"/>
        <w:rPr>
          <w:rFonts w:eastAsia="Times New Roman" w:cs="Arial"/>
          <w:i/>
          <w:iCs/>
          <w:sz w:val="22"/>
          <w:szCs w:val="22"/>
          <w:lang w:eastAsia="en-GB"/>
        </w:rPr>
      </w:pPr>
      <w:r w:rsidRPr="007F25A3">
        <w:rPr>
          <w:rFonts w:eastAsia="Times New Roman" w:cs="Arial"/>
          <w:b/>
          <w:bCs/>
          <w:sz w:val="22"/>
          <w:szCs w:val="22"/>
          <w:lang w:eastAsia="en-GB"/>
        </w:rPr>
        <w:t>8.4</w:t>
      </w:r>
      <w:r>
        <w:rPr>
          <w:rFonts w:eastAsia="Times New Roman" w:cs="Arial"/>
          <w:i/>
          <w:iCs/>
          <w:sz w:val="22"/>
          <w:szCs w:val="22"/>
          <w:lang w:eastAsia="en-GB"/>
        </w:rPr>
        <w:t xml:space="preserve"> </w:t>
      </w:r>
      <w:r w:rsidR="00187A95" w:rsidRPr="00187A95">
        <w:rPr>
          <w:rFonts w:eastAsia="Times New Roman" w:cs="Arial"/>
          <w:i/>
          <w:iCs/>
          <w:sz w:val="22"/>
          <w:szCs w:val="22"/>
          <w:lang w:eastAsia="en-GB"/>
        </w:rPr>
        <w:t xml:space="preserve">Ethical </w:t>
      </w:r>
      <w:r>
        <w:rPr>
          <w:rFonts w:eastAsia="Times New Roman" w:cs="Arial"/>
          <w:i/>
          <w:iCs/>
          <w:sz w:val="22"/>
          <w:szCs w:val="22"/>
          <w:lang w:eastAsia="en-GB"/>
        </w:rPr>
        <w:t>and</w:t>
      </w:r>
      <w:r w:rsidR="00187A95" w:rsidRPr="00187A95">
        <w:rPr>
          <w:rFonts w:eastAsia="Times New Roman" w:cs="Arial"/>
          <w:i/>
          <w:iCs/>
          <w:sz w:val="22"/>
          <w:szCs w:val="22"/>
          <w:lang w:eastAsia="en-GB"/>
        </w:rPr>
        <w:t xml:space="preserve"> Trust Dimensions</w:t>
      </w:r>
    </w:p>
    <w:p w14:paraId="4D5EC02F" w14:textId="71F1A3AC" w:rsidR="00187A95" w:rsidRPr="00187A95" w:rsidRDefault="00187A95" w:rsidP="0001155D">
      <w:pPr>
        <w:spacing w:before="100" w:beforeAutospacing="1" w:after="100" w:afterAutospacing="1" w:line="360" w:lineRule="auto"/>
        <w:jc w:val="both"/>
        <w:rPr>
          <w:rFonts w:eastAsia="Times New Roman" w:cs="Arial"/>
          <w:sz w:val="22"/>
          <w:szCs w:val="22"/>
          <w:lang w:eastAsia="en-GB"/>
        </w:rPr>
      </w:pPr>
      <w:r w:rsidRPr="00187A95">
        <w:rPr>
          <w:rFonts w:eastAsia="Times New Roman" w:cs="Arial"/>
          <w:sz w:val="22"/>
          <w:szCs w:val="22"/>
          <w:lang w:eastAsia="en-GB"/>
        </w:rPr>
        <w:t xml:space="preserve">Beyond compliance, strong data protection is essential to public trust. Genomic data is </w:t>
      </w:r>
      <w:r w:rsidR="00887D70">
        <w:rPr>
          <w:rFonts w:eastAsia="Times New Roman" w:cs="Arial"/>
          <w:sz w:val="22"/>
          <w:szCs w:val="22"/>
          <w:lang w:eastAsia="en-GB"/>
        </w:rPr>
        <w:t>profoundly</w:t>
      </w:r>
      <w:r w:rsidRPr="00187A95">
        <w:rPr>
          <w:rFonts w:eastAsia="Times New Roman" w:cs="Arial"/>
          <w:sz w:val="22"/>
          <w:szCs w:val="22"/>
          <w:lang w:eastAsia="en-GB"/>
        </w:rPr>
        <w:t xml:space="preserve"> personal and carries </w:t>
      </w:r>
      <w:r w:rsidR="00F8701D">
        <w:rPr>
          <w:rFonts w:eastAsia="Times New Roman" w:cs="Arial"/>
          <w:sz w:val="22"/>
          <w:szCs w:val="22"/>
          <w:lang w:eastAsia="en-GB"/>
        </w:rPr>
        <w:t>implications for family, insurance, and discrimination</w:t>
      </w:r>
      <w:r w:rsidRPr="00187A95">
        <w:rPr>
          <w:rFonts w:eastAsia="Times New Roman" w:cs="Arial"/>
          <w:sz w:val="22"/>
          <w:szCs w:val="22"/>
          <w:lang w:eastAsia="en-GB"/>
        </w:rPr>
        <w:t>. If mishandled, breaches could have long-term consequences for individuals and their relatives. The PHG Foundation emphasises that regulation should not only constrain risk but also support responsible innovation in genomic medicine (PHG, 2023).</w:t>
      </w:r>
    </w:p>
    <w:p w14:paraId="73B98D0C" w14:textId="650B187D" w:rsidR="00785857" w:rsidRDefault="008736EC" w:rsidP="00CD4201">
      <w:pPr>
        <w:spacing w:before="100" w:beforeAutospacing="1" w:after="100" w:afterAutospacing="1" w:line="360" w:lineRule="auto"/>
        <w:jc w:val="both"/>
        <w:rPr>
          <w:rFonts w:eastAsia="Times New Roman" w:cs="Arial"/>
          <w:sz w:val="22"/>
          <w:szCs w:val="22"/>
          <w:lang w:eastAsia="en-GB"/>
        </w:rPr>
      </w:pPr>
      <w:r>
        <w:rPr>
          <w:rFonts w:eastAsia="Times New Roman" w:cs="Arial"/>
          <w:sz w:val="22"/>
          <w:szCs w:val="22"/>
          <w:lang w:eastAsia="en-GB"/>
        </w:rPr>
        <w:t>Therefore, barriers such as transparent governance, community engagement, dynamic consent models, and clear accountability must accompany technical safeguards to maintain the social licence for genomic programmes (Laskowski </w:t>
      </w:r>
      <w:r w:rsidRPr="008736EC">
        <w:rPr>
          <w:rFonts w:eastAsia="Times New Roman" w:cs="Arial"/>
          <w:i/>
          <w:iCs/>
          <w:sz w:val="22"/>
          <w:szCs w:val="22"/>
          <w:lang w:eastAsia="en-GB"/>
        </w:rPr>
        <w:t>et al</w:t>
      </w:r>
      <w:r>
        <w:rPr>
          <w:rFonts w:eastAsia="Times New Roman" w:cs="Arial"/>
          <w:sz w:val="22"/>
          <w:szCs w:val="22"/>
          <w:lang w:eastAsia="en-GB"/>
        </w:rPr>
        <w:t xml:space="preserve">., 2025). </w:t>
      </w:r>
    </w:p>
    <w:p w14:paraId="2C8AF714" w14:textId="7B6F310C" w:rsidR="00365614" w:rsidRPr="00785857" w:rsidRDefault="000A11E4" w:rsidP="00785857">
      <w:pPr>
        <w:pStyle w:val="Heading2"/>
        <w:rPr>
          <w:rFonts w:ascii="Arial" w:eastAsia="Times New Roman" w:hAnsi="Arial" w:cs="Arial"/>
          <w:b/>
          <w:bCs/>
          <w:color w:val="0070C0"/>
          <w:sz w:val="28"/>
          <w:szCs w:val="28"/>
        </w:rPr>
      </w:pPr>
      <w:r w:rsidRPr="00785857">
        <w:rPr>
          <w:rFonts w:ascii="Arial" w:eastAsia="Times New Roman" w:hAnsi="Arial" w:cs="Arial"/>
          <w:b/>
          <w:bCs/>
          <w:color w:val="0070C0"/>
          <w:sz w:val="22"/>
          <w:szCs w:val="22"/>
        </w:rPr>
        <w:t>9</w:t>
      </w:r>
      <w:r w:rsidR="003D602E" w:rsidRPr="00785857">
        <w:rPr>
          <w:rFonts w:ascii="Arial" w:eastAsia="Times New Roman" w:hAnsi="Arial" w:cs="Arial"/>
          <w:b/>
          <w:bCs/>
          <w:color w:val="0070C0"/>
          <w:sz w:val="22"/>
          <w:szCs w:val="22"/>
        </w:rPr>
        <w:t>.</w:t>
      </w:r>
      <w:r w:rsidR="003D602E" w:rsidRPr="00785857">
        <w:rPr>
          <w:rFonts w:ascii="Arial" w:eastAsia="Times New Roman" w:hAnsi="Arial" w:cs="Arial"/>
          <w:b/>
          <w:bCs/>
          <w:color w:val="0070C0"/>
          <w:sz w:val="28"/>
          <w:szCs w:val="28"/>
        </w:rPr>
        <w:t xml:space="preserve"> </w:t>
      </w:r>
      <w:r w:rsidR="00365614" w:rsidRPr="00785857">
        <w:rPr>
          <w:rFonts w:ascii="Arial" w:eastAsia="Times New Roman" w:hAnsi="Arial" w:cs="Arial"/>
          <w:b/>
          <w:bCs/>
          <w:color w:val="0070C0"/>
          <w:sz w:val="28"/>
          <w:szCs w:val="28"/>
        </w:rPr>
        <w:t>Application of Change Management Learning to Genomic Healthcare</w:t>
      </w:r>
    </w:p>
    <w:p w14:paraId="1E90FA74" w14:textId="77777777" w:rsidR="00815FCF" w:rsidRDefault="00365614" w:rsidP="00365614">
      <w:pPr>
        <w:spacing w:before="100" w:beforeAutospacing="1" w:after="100" w:afterAutospacing="1" w:line="360" w:lineRule="auto"/>
        <w:jc w:val="both"/>
        <w:rPr>
          <w:rFonts w:eastAsia="Times New Roman" w:cs="Arial"/>
          <w:sz w:val="22"/>
          <w:szCs w:val="22"/>
          <w:lang w:eastAsia="en-GB"/>
        </w:rPr>
      </w:pPr>
      <w:r w:rsidRPr="00365614">
        <w:rPr>
          <w:rFonts w:eastAsia="Times New Roman" w:cs="Arial"/>
          <w:sz w:val="22"/>
          <w:szCs w:val="22"/>
          <w:lang w:eastAsia="en-GB"/>
        </w:rPr>
        <w:t xml:space="preserve">Learning from the Institute of Health &amp; Social Care Management (IHSCM) workshop </w:t>
      </w:r>
      <w:r w:rsidRPr="00365614">
        <w:rPr>
          <w:rFonts w:eastAsia="Times New Roman" w:cs="Arial"/>
          <w:i/>
          <w:iCs/>
          <w:sz w:val="22"/>
          <w:szCs w:val="22"/>
          <w:lang w:eastAsia="en-GB"/>
        </w:rPr>
        <w:t>“How to Effectively Manage Change”</w:t>
      </w:r>
      <w:r w:rsidRPr="00365614">
        <w:rPr>
          <w:rFonts w:eastAsia="Times New Roman" w:cs="Arial"/>
          <w:sz w:val="22"/>
          <w:szCs w:val="22"/>
          <w:lang w:eastAsia="en-GB"/>
        </w:rPr>
        <w:t xml:space="preserve"> (IHSCM, 2025) provides valuable insight into the ongoing digital transformation within genomic healthcare in the United Kingdom. The integration of genomics into clinical practice requires a structured and strategic approach to change management, ensuring that workforce adaptation, ethical standards, and patient-centred care remain at the forefront of implementation</w:t>
      </w:r>
      <w:r w:rsidR="00252DAF">
        <w:rPr>
          <w:rFonts w:eastAsia="Times New Roman" w:cs="Arial"/>
          <w:sz w:val="22"/>
          <w:szCs w:val="22"/>
          <w:lang w:eastAsia="en-GB"/>
        </w:rPr>
        <w:t xml:space="preserve"> (</w:t>
      </w:r>
      <w:r w:rsidR="00252DAF" w:rsidRPr="00826A86">
        <w:rPr>
          <w:rFonts w:ascii="Times New Roman" w:eastAsia="Times New Roman" w:hAnsi="Times New Roman" w:cs="Times New Roman"/>
          <w:szCs w:val="24"/>
          <w:lang w:eastAsia="en-GB"/>
        </w:rPr>
        <w:t xml:space="preserve">Friedrich </w:t>
      </w:r>
      <w:r w:rsidR="00252DAF" w:rsidRPr="00826A86">
        <w:rPr>
          <w:rFonts w:ascii="Times New Roman" w:eastAsia="Times New Roman" w:hAnsi="Times New Roman" w:cs="Times New Roman"/>
          <w:i/>
          <w:iCs/>
          <w:szCs w:val="24"/>
          <w:lang w:eastAsia="en-GB"/>
        </w:rPr>
        <w:t>et al</w:t>
      </w:r>
      <w:r w:rsidR="00C234B3">
        <w:rPr>
          <w:rFonts w:ascii="Times New Roman" w:eastAsia="Times New Roman" w:hAnsi="Times New Roman" w:cs="Times New Roman"/>
          <w:i/>
          <w:iCs/>
          <w:szCs w:val="24"/>
          <w:lang w:eastAsia="en-GB"/>
        </w:rPr>
        <w:t xml:space="preserve">., </w:t>
      </w:r>
      <w:r w:rsidR="00252DAF" w:rsidRPr="00826A86">
        <w:rPr>
          <w:rFonts w:ascii="Times New Roman" w:eastAsia="Times New Roman" w:hAnsi="Times New Roman" w:cs="Times New Roman"/>
          <w:szCs w:val="24"/>
          <w:lang w:eastAsia="en-GB"/>
        </w:rPr>
        <w:t>2024)</w:t>
      </w:r>
      <w:r w:rsidR="00C234B3">
        <w:rPr>
          <w:rFonts w:ascii="Times New Roman" w:eastAsia="Times New Roman" w:hAnsi="Times New Roman" w:cs="Times New Roman"/>
          <w:szCs w:val="24"/>
          <w:lang w:eastAsia="en-GB"/>
        </w:rPr>
        <w:t>.</w:t>
      </w:r>
    </w:p>
    <w:p w14:paraId="226059ED" w14:textId="2A9E863F" w:rsidR="00365614" w:rsidRPr="00365614" w:rsidRDefault="00D90CF7" w:rsidP="00365614">
      <w:pPr>
        <w:spacing w:before="100" w:beforeAutospacing="1" w:after="100" w:afterAutospacing="1" w:line="360" w:lineRule="auto"/>
        <w:jc w:val="both"/>
        <w:rPr>
          <w:rFonts w:eastAsia="Times New Roman" w:cs="Arial"/>
          <w:sz w:val="22"/>
          <w:szCs w:val="22"/>
          <w:lang w:eastAsia="en-GB"/>
        </w:rPr>
      </w:pPr>
      <w:r>
        <w:rPr>
          <w:rFonts w:eastAsia="Times New Roman" w:cs="Arial"/>
          <w:sz w:val="22"/>
          <w:szCs w:val="22"/>
          <w:lang w:eastAsia="en-GB"/>
        </w:rPr>
        <w:t xml:space="preserve">As genomic technologies reshape diagnostic and therapeutic methods, healthcare leaders must foster a culture of learning, collaboration, and accountability (NHS England, 2023). Effective leadership not only supports staff through technological changes but also boosts professional confidence in handling complex ethical and data protection issues inherent in genomic medicine (Kotter, 2018; Cummings </w:t>
      </w:r>
      <w:r w:rsidRPr="00FB127B">
        <w:rPr>
          <w:rFonts w:eastAsia="Times New Roman" w:cs="Arial"/>
          <w:i/>
          <w:iCs/>
          <w:sz w:val="22"/>
          <w:szCs w:val="22"/>
          <w:lang w:eastAsia="en-GB"/>
        </w:rPr>
        <w:t>et al</w:t>
      </w:r>
      <w:r>
        <w:rPr>
          <w:rFonts w:eastAsia="Times New Roman" w:cs="Arial"/>
          <w:sz w:val="22"/>
          <w:szCs w:val="22"/>
          <w:lang w:eastAsia="en-GB"/>
        </w:rPr>
        <w:t>., 2020).</w:t>
      </w:r>
    </w:p>
    <w:p w14:paraId="656697BC" w14:textId="202670C4" w:rsidR="00365614" w:rsidRPr="00365614" w:rsidRDefault="00365614" w:rsidP="00365614">
      <w:pPr>
        <w:spacing w:before="100" w:beforeAutospacing="1" w:after="100" w:afterAutospacing="1" w:line="360" w:lineRule="auto"/>
        <w:jc w:val="both"/>
        <w:rPr>
          <w:rFonts w:eastAsia="Times New Roman" w:cs="Arial"/>
          <w:sz w:val="22"/>
          <w:szCs w:val="22"/>
          <w:lang w:eastAsia="en-GB"/>
        </w:rPr>
      </w:pPr>
      <w:r w:rsidRPr="00365614">
        <w:rPr>
          <w:rFonts w:eastAsia="Times New Roman" w:cs="Arial"/>
          <w:sz w:val="22"/>
          <w:szCs w:val="22"/>
          <w:lang w:eastAsia="en-GB"/>
        </w:rPr>
        <w:t xml:space="preserve">Change management principles such as stakeholder engagement, transparent communication, and incremental </w:t>
      </w:r>
      <w:r w:rsidRPr="00EC2DD8">
        <w:rPr>
          <w:rFonts w:eastAsia="Times New Roman" w:cs="Arial"/>
          <w:i/>
          <w:iCs/>
          <w:sz w:val="22"/>
          <w:szCs w:val="22"/>
          <w:lang w:eastAsia="en-GB"/>
        </w:rPr>
        <w:t>implementation</w:t>
      </w:r>
      <w:r w:rsidRPr="00365614">
        <w:rPr>
          <w:rFonts w:eastAsia="Times New Roman" w:cs="Arial"/>
          <w:sz w:val="22"/>
          <w:szCs w:val="22"/>
          <w:lang w:eastAsia="en-GB"/>
        </w:rPr>
        <w:t xml:space="preserve"> are vital in overcoming organisational resistance and ensuring sustainable adoption. Applying structured change models</w:t>
      </w:r>
      <w:r w:rsidR="000B5728">
        <w:rPr>
          <w:rFonts w:eastAsia="Times New Roman" w:cs="Arial"/>
          <w:sz w:val="22"/>
          <w:szCs w:val="22"/>
          <w:lang w:eastAsia="en-GB"/>
        </w:rPr>
        <w:t xml:space="preserve">, </w:t>
      </w:r>
      <w:r w:rsidRPr="00365614">
        <w:rPr>
          <w:rFonts w:eastAsia="Times New Roman" w:cs="Arial"/>
          <w:sz w:val="22"/>
          <w:szCs w:val="22"/>
          <w:lang w:eastAsia="en-GB"/>
        </w:rPr>
        <w:t xml:space="preserve">such as </w:t>
      </w:r>
      <w:r w:rsidRPr="00365614">
        <w:rPr>
          <w:rFonts w:eastAsia="Times New Roman" w:cs="Arial"/>
          <w:sz w:val="22"/>
          <w:szCs w:val="22"/>
          <w:lang w:eastAsia="en-GB"/>
        </w:rPr>
        <w:lastRenderedPageBreak/>
        <w:t>Lewin’s Unfreeze–Change–Refreeze or Kotter’s 8-Step Process</w:t>
      </w:r>
      <w:r w:rsidR="000B5728">
        <w:rPr>
          <w:rFonts w:eastAsia="Times New Roman" w:cs="Arial"/>
          <w:sz w:val="22"/>
          <w:szCs w:val="22"/>
          <w:lang w:eastAsia="en-GB"/>
        </w:rPr>
        <w:t xml:space="preserve">, </w:t>
      </w:r>
      <w:r w:rsidRPr="00365614">
        <w:rPr>
          <w:rFonts w:eastAsia="Times New Roman" w:cs="Arial"/>
          <w:sz w:val="22"/>
          <w:szCs w:val="22"/>
          <w:lang w:eastAsia="en-GB"/>
        </w:rPr>
        <w:t>enables healthcare organisations to navigate transformation while maintaining patient trust and service continuity (</w:t>
      </w:r>
      <w:r w:rsidR="004461D0">
        <w:rPr>
          <w:rFonts w:eastAsia="Times New Roman" w:cs="Arial"/>
          <w:sz w:val="22"/>
          <w:szCs w:val="22"/>
          <w:lang w:eastAsia="en-GB"/>
        </w:rPr>
        <w:t xml:space="preserve">Roman </w:t>
      </w:r>
      <w:r w:rsidR="004461D0">
        <w:rPr>
          <w:rFonts w:eastAsia="Times New Roman" w:cs="Arial"/>
          <w:i/>
          <w:iCs/>
          <w:sz w:val="22"/>
          <w:szCs w:val="22"/>
          <w:lang w:eastAsia="en-GB"/>
        </w:rPr>
        <w:t>et al.,</w:t>
      </w:r>
      <w:r w:rsidR="004461D0">
        <w:rPr>
          <w:rFonts w:eastAsia="Times New Roman" w:cs="Arial"/>
          <w:sz w:val="22"/>
          <w:szCs w:val="22"/>
          <w:lang w:eastAsia="en-GB"/>
        </w:rPr>
        <w:t xml:space="preserve"> 2024</w:t>
      </w:r>
      <w:r w:rsidRPr="00365614">
        <w:rPr>
          <w:rFonts w:eastAsia="Times New Roman" w:cs="Arial"/>
          <w:sz w:val="22"/>
          <w:szCs w:val="22"/>
          <w:lang w:eastAsia="en-GB"/>
        </w:rPr>
        <w:t>).</w:t>
      </w:r>
    </w:p>
    <w:p w14:paraId="485F421D" w14:textId="77777777" w:rsidR="00370809" w:rsidRDefault="00365614" w:rsidP="00370809">
      <w:pPr>
        <w:spacing w:before="100" w:beforeAutospacing="1" w:after="100" w:afterAutospacing="1" w:line="360" w:lineRule="auto"/>
        <w:jc w:val="both"/>
        <w:rPr>
          <w:rFonts w:eastAsia="Times New Roman" w:cs="Arial"/>
          <w:sz w:val="22"/>
          <w:szCs w:val="22"/>
          <w:lang w:eastAsia="en-GB"/>
        </w:rPr>
      </w:pPr>
      <w:r w:rsidRPr="00365614">
        <w:rPr>
          <w:rFonts w:eastAsia="Times New Roman" w:cs="Arial"/>
          <w:sz w:val="22"/>
          <w:szCs w:val="22"/>
          <w:lang w:eastAsia="en-GB"/>
        </w:rPr>
        <w:t xml:space="preserve">Moreover, effective change leadership ensures that genomic innovation is introduced ethically, with due regard for the UK GDPR and Data Protection Act 2018. Embedding data governance and informed consent within organisational change frameworks safeguards privacy and reinforces public confidence (Shabani </w:t>
      </w:r>
      <w:r w:rsidRPr="00365614">
        <w:rPr>
          <w:rFonts w:eastAsia="Times New Roman" w:cs="Arial"/>
          <w:i/>
          <w:iCs/>
          <w:sz w:val="22"/>
          <w:szCs w:val="22"/>
          <w:lang w:eastAsia="en-GB"/>
        </w:rPr>
        <w:t>et al</w:t>
      </w:r>
      <w:r w:rsidRPr="00365614">
        <w:rPr>
          <w:rFonts w:eastAsia="Times New Roman" w:cs="Arial"/>
          <w:sz w:val="22"/>
          <w:szCs w:val="22"/>
          <w:lang w:eastAsia="en-GB"/>
        </w:rPr>
        <w:t>., 2019). By translating leadership learning into practice, genomic healthcare transformation becomes not only a technical advancement but also an exemplar of ethical and adaptive organisational development.</w:t>
      </w:r>
    </w:p>
    <w:p w14:paraId="16798BFA" w14:textId="3060B4DF" w:rsidR="00AF5705" w:rsidRPr="005F734B" w:rsidRDefault="00550F86" w:rsidP="005F734B">
      <w:pPr>
        <w:pStyle w:val="Heading2"/>
        <w:rPr>
          <w:rFonts w:ascii="Arial" w:eastAsia="Times New Roman" w:hAnsi="Arial" w:cs="Arial"/>
          <w:sz w:val="22"/>
          <w:szCs w:val="22"/>
          <w:lang w:eastAsia="en-GB"/>
        </w:rPr>
      </w:pPr>
      <w:r>
        <w:rPr>
          <w:rFonts w:ascii="Arial" w:eastAsia="Times New Roman" w:hAnsi="Arial" w:cs="Arial"/>
          <w:b/>
          <w:bCs/>
          <w:color w:val="4C94D8" w:themeColor="text2" w:themeTint="80"/>
          <w:sz w:val="22"/>
          <w:szCs w:val="22"/>
          <w:lang w:eastAsia="en-GB"/>
        </w:rPr>
        <w:t>10.</w:t>
      </w:r>
      <w:r w:rsidR="00125F26" w:rsidRPr="005F734B">
        <w:rPr>
          <w:rFonts w:ascii="Arial" w:eastAsia="Times New Roman" w:hAnsi="Arial" w:cs="Arial"/>
          <w:color w:val="4C94D8" w:themeColor="text2" w:themeTint="80"/>
          <w:sz w:val="22"/>
          <w:szCs w:val="22"/>
          <w:lang w:eastAsia="en-GB"/>
        </w:rPr>
        <w:t xml:space="preserve"> </w:t>
      </w:r>
      <w:r w:rsidR="00EC5704" w:rsidRPr="001E3907">
        <w:rPr>
          <w:rFonts w:ascii="Arial" w:eastAsia="Times New Roman" w:hAnsi="Arial" w:cs="Arial"/>
          <w:b/>
          <w:bCs/>
          <w:color w:val="4C94D8" w:themeColor="text2" w:themeTint="80"/>
          <w:sz w:val="28"/>
          <w:szCs w:val="28"/>
          <w:lang w:eastAsia="en-GB"/>
        </w:rPr>
        <w:t>Recommendations</w:t>
      </w:r>
    </w:p>
    <w:p w14:paraId="4D60B866" w14:textId="77777777" w:rsidR="00AF5705" w:rsidRPr="00AF5705" w:rsidRDefault="00AF5705" w:rsidP="00AF5705">
      <w:pPr>
        <w:spacing w:before="100" w:beforeAutospacing="1" w:after="100" w:afterAutospacing="1" w:line="360" w:lineRule="auto"/>
        <w:jc w:val="both"/>
        <w:rPr>
          <w:rFonts w:eastAsia="Times New Roman" w:cs="Arial"/>
          <w:b/>
          <w:bCs/>
          <w:sz w:val="22"/>
          <w:szCs w:val="22"/>
          <w:lang w:eastAsia="en-GB"/>
        </w:rPr>
      </w:pPr>
      <w:r w:rsidRPr="00AF5705">
        <w:rPr>
          <w:rFonts w:eastAsia="Times New Roman" w:cs="Arial"/>
          <w:b/>
          <w:bCs/>
          <w:sz w:val="22"/>
          <w:szCs w:val="22"/>
          <w:lang w:eastAsia="en-GB"/>
        </w:rPr>
        <w:t xml:space="preserve">1. </w:t>
      </w:r>
      <w:r w:rsidRPr="00AF5705">
        <w:rPr>
          <w:rFonts w:eastAsia="Times New Roman" w:cs="Arial"/>
          <w:i/>
          <w:iCs/>
          <w:sz w:val="22"/>
          <w:szCs w:val="22"/>
          <w:lang w:eastAsia="en-GB"/>
        </w:rPr>
        <w:t>Workforce Development and Capacity Building</w:t>
      </w:r>
    </w:p>
    <w:p w14:paraId="128EF8B9" w14:textId="77777777" w:rsidR="00AF5705" w:rsidRPr="00AF5705" w:rsidRDefault="00AF5705" w:rsidP="00AF5705">
      <w:pPr>
        <w:numPr>
          <w:ilvl w:val="0"/>
          <w:numId w:val="9"/>
        </w:numPr>
        <w:spacing w:before="100" w:beforeAutospacing="1" w:after="100" w:afterAutospacing="1" w:line="360" w:lineRule="auto"/>
        <w:jc w:val="both"/>
        <w:rPr>
          <w:rFonts w:eastAsia="Times New Roman" w:cs="Arial"/>
          <w:sz w:val="22"/>
          <w:szCs w:val="22"/>
          <w:lang w:eastAsia="en-GB"/>
        </w:rPr>
      </w:pPr>
      <w:r w:rsidRPr="00AF5705">
        <w:rPr>
          <w:rFonts w:eastAsia="Times New Roman" w:cs="Arial"/>
          <w:b/>
          <w:bCs/>
          <w:sz w:val="22"/>
          <w:szCs w:val="22"/>
          <w:lang w:eastAsia="en-GB"/>
        </w:rPr>
        <w:t>Expand specialist training pathways</w:t>
      </w:r>
      <w:r w:rsidRPr="00AF5705">
        <w:rPr>
          <w:rFonts w:eastAsia="Times New Roman" w:cs="Arial"/>
          <w:sz w:val="22"/>
          <w:szCs w:val="22"/>
          <w:lang w:eastAsia="en-GB"/>
        </w:rPr>
        <w:t xml:space="preserve"> through the Genomics Education Programme (GEP) to address the shortage of genomic counsellors, bioinformaticians, and data scientists (Smith </w:t>
      </w:r>
      <w:r w:rsidRPr="00AF5705">
        <w:rPr>
          <w:rFonts w:eastAsia="Times New Roman" w:cs="Arial"/>
          <w:i/>
          <w:iCs/>
          <w:sz w:val="22"/>
          <w:szCs w:val="22"/>
          <w:lang w:eastAsia="en-GB"/>
        </w:rPr>
        <w:t>et al.,</w:t>
      </w:r>
      <w:r w:rsidRPr="00AF5705">
        <w:rPr>
          <w:rFonts w:eastAsia="Times New Roman" w:cs="Arial"/>
          <w:sz w:val="22"/>
          <w:szCs w:val="22"/>
          <w:lang w:eastAsia="en-GB"/>
        </w:rPr>
        <w:t xml:space="preserve"> 2025).</w:t>
      </w:r>
    </w:p>
    <w:p w14:paraId="11E8989E" w14:textId="77777777" w:rsidR="00AF5705" w:rsidRPr="00AF5705" w:rsidRDefault="00AF5705" w:rsidP="00AF5705">
      <w:pPr>
        <w:numPr>
          <w:ilvl w:val="0"/>
          <w:numId w:val="9"/>
        </w:numPr>
        <w:spacing w:before="100" w:beforeAutospacing="1" w:after="100" w:afterAutospacing="1" w:line="360" w:lineRule="auto"/>
        <w:jc w:val="both"/>
        <w:rPr>
          <w:rFonts w:eastAsia="Times New Roman" w:cs="Arial"/>
          <w:sz w:val="22"/>
          <w:szCs w:val="22"/>
          <w:lang w:eastAsia="en-GB"/>
        </w:rPr>
      </w:pPr>
      <w:r w:rsidRPr="00AF5705">
        <w:rPr>
          <w:rFonts w:eastAsia="Times New Roman" w:cs="Arial"/>
          <w:b/>
          <w:bCs/>
          <w:sz w:val="22"/>
          <w:szCs w:val="22"/>
          <w:lang w:eastAsia="en-GB"/>
        </w:rPr>
        <w:t>Embed genomics education</w:t>
      </w:r>
      <w:r w:rsidRPr="00AF5705">
        <w:rPr>
          <w:rFonts w:eastAsia="Times New Roman" w:cs="Arial"/>
          <w:sz w:val="22"/>
          <w:szCs w:val="22"/>
          <w:lang w:eastAsia="en-GB"/>
        </w:rPr>
        <w:t xml:space="preserve"> into undergraduate and postgraduate curricula for doctors, nurses, and allied health professionals to enhance baseline genomic literacy (Brown </w:t>
      </w:r>
      <w:r w:rsidRPr="00AF5705">
        <w:rPr>
          <w:rFonts w:eastAsia="Times New Roman" w:cs="Arial"/>
          <w:i/>
          <w:iCs/>
          <w:sz w:val="22"/>
          <w:szCs w:val="22"/>
          <w:lang w:eastAsia="en-GB"/>
        </w:rPr>
        <w:t>et al</w:t>
      </w:r>
      <w:r w:rsidRPr="00AF5705">
        <w:rPr>
          <w:rFonts w:eastAsia="Times New Roman" w:cs="Arial"/>
          <w:sz w:val="22"/>
          <w:szCs w:val="22"/>
          <w:lang w:eastAsia="en-GB"/>
        </w:rPr>
        <w:t>., 2024).</w:t>
      </w:r>
    </w:p>
    <w:p w14:paraId="23339CD9" w14:textId="77777777" w:rsidR="00AF5705" w:rsidRPr="00AF5705" w:rsidRDefault="00AF5705" w:rsidP="00AF5705">
      <w:pPr>
        <w:numPr>
          <w:ilvl w:val="0"/>
          <w:numId w:val="9"/>
        </w:numPr>
        <w:spacing w:before="100" w:beforeAutospacing="1" w:after="100" w:afterAutospacing="1" w:line="360" w:lineRule="auto"/>
        <w:jc w:val="both"/>
        <w:rPr>
          <w:rFonts w:eastAsia="Times New Roman" w:cs="Arial"/>
          <w:sz w:val="22"/>
          <w:szCs w:val="22"/>
          <w:lang w:eastAsia="en-GB"/>
        </w:rPr>
      </w:pPr>
      <w:r w:rsidRPr="00AF5705">
        <w:rPr>
          <w:rFonts w:eastAsia="Times New Roman" w:cs="Arial"/>
          <w:b/>
          <w:bCs/>
          <w:sz w:val="22"/>
          <w:szCs w:val="22"/>
          <w:lang w:eastAsia="en-GB"/>
        </w:rPr>
        <w:t>Provide protected learning time</w:t>
      </w:r>
      <w:r w:rsidRPr="00AF5705">
        <w:rPr>
          <w:rFonts w:eastAsia="Times New Roman" w:cs="Arial"/>
          <w:sz w:val="22"/>
          <w:szCs w:val="22"/>
          <w:lang w:eastAsia="en-GB"/>
        </w:rPr>
        <w:t xml:space="preserve"> and continuous professional development (CPD) to ensure ongoing competency in interpreting and communicating genomic information (Lewis </w:t>
      </w:r>
      <w:r w:rsidRPr="00AF5705">
        <w:rPr>
          <w:rFonts w:eastAsia="Times New Roman" w:cs="Arial"/>
          <w:i/>
          <w:iCs/>
          <w:sz w:val="22"/>
          <w:szCs w:val="22"/>
          <w:lang w:eastAsia="en-GB"/>
        </w:rPr>
        <w:t>et al.,</w:t>
      </w:r>
      <w:r w:rsidRPr="00AF5705">
        <w:rPr>
          <w:rFonts w:eastAsia="Times New Roman" w:cs="Arial"/>
          <w:sz w:val="22"/>
          <w:szCs w:val="22"/>
          <w:lang w:eastAsia="en-GB"/>
        </w:rPr>
        <w:t xml:space="preserve"> 2022).</w:t>
      </w:r>
    </w:p>
    <w:p w14:paraId="54E8E0F4" w14:textId="6D0EC58B" w:rsidR="00AF5705" w:rsidRPr="00AF5705" w:rsidRDefault="00AF5705" w:rsidP="005C7049">
      <w:pPr>
        <w:numPr>
          <w:ilvl w:val="0"/>
          <w:numId w:val="9"/>
        </w:numPr>
        <w:spacing w:before="100" w:beforeAutospacing="1" w:after="100" w:afterAutospacing="1" w:line="360" w:lineRule="auto"/>
        <w:jc w:val="both"/>
        <w:rPr>
          <w:rFonts w:eastAsia="Times New Roman" w:cs="Arial"/>
          <w:sz w:val="22"/>
          <w:szCs w:val="22"/>
          <w:lang w:eastAsia="en-GB"/>
        </w:rPr>
      </w:pPr>
      <w:r w:rsidRPr="00AF5705">
        <w:rPr>
          <w:rFonts w:eastAsia="Times New Roman" w:cs="Arial"/>
          <w:b/>
          <w:bCs/>
          <w:sz w:val="22"/>
          <w:szCs w:val="22"/>
          <w:lang w:eastAsia="en-GB"/>
        </w:rPr>
        <w:t>Establish structured career progression</w:t>
      </w:r>
      <w:r w:rsidRPr="00AF5705">
        <w:rPr>
          <w:rFonts w:eastAsia="Times New Roman" w:cs="Arial"/>
          <w:sz w:val="22"/>
          <w:szCs w:val="22"/>
          <w:lang w:eastAsia="en-GB"/>
        </w:rPr>
        <w:t xml:space="preserve"> for genomic professionals to improve recruitment, retention, and equitable workforce distribution across all NHS regions (Wright</w:t>
      </w:r>
      <w:r w:rsidR="005C7049">
        <w:rPr>
          <w:rFonts w:eastAsia="Times New Roman" w:cs="Arial"/>
          <w:sz w:val="22"/>
          <w:szCs w:val="22"/>
          <w:lang w:eastAsia="en-GB"/>
        </w:rPr>
        <w:t xml:space="preserve"> </w:t>
      </w:r>
      <w:r w:rsidR="005C7049">
        <w:rPr>
          <w:rFonts w:eastAsia="Times New Roman" w:cs="Arial"/>
          <w:i/>
          <w:iCs/>
          <w:sz w:val="22"/>
          <w:szCs w:val="22"/>
          <w:lang w:eastAsia="en-GB"/>
        </w:rPr>
        <w:t>et al.</w:t>
      </w:r>
      <w:r w:rsidRPr="00AF5705">
        <w:rPr>
          <w:rFonts w:eastAsia="Times New Roman" w:cs="Arial"/>
          <w:sz w:val="22"/>
          <w:szCs w:val="22"/>
          <w:lang w:eastAsia="en-GB"/>
        </w:rPr>
        <w:t>, 2023).</w:t>
      </w:r>
    </w:p>
    <w:p w14:paraId="050AD2BA" w14:textId="77777777" w:rsidR="00AF5705" w:rsidRPr="00AF5705" w:rsidRDefault="00AF5705" w:rsidP="00AF5705">
      <w:pPr>
        <w:spacing w:before="100" w:beforeAutospacing="1" w:after="100" w:afterAutospacing="1" w:line="360" w:lineRule="auto"/>
        <w:jc w:val="both"/>
        <w:rPr>
          <w:rFonts w:eastAsia="Times New Roman" w:cs="Arial"/>
          <w:i/>
          <w:iCs/>
          <w:sz w:val="22"/>
          <w:szCs w:val="22"/>
          <w:lang w:eastAsia="en-GB"/>
        </w:rPr>
      </w:pPr>
      <w:r w:rsidRPr="00AF5705">
        <w:rPr>
          <w:rFonts w:eastAsia="Times New Roman" w:cs="Arial"/>
          <w:b/>
          <w:bCs/>
          <w:sz w:val="22"/>
          <w:szCs w:val="22"/>
          <w:lang w:eastAsia="en-GB"/>
        </w:rPr>
        <w:t xml:space="preserve">2. </w:t>
      </w:r>
      <w:r w:rsidRPr="00AF5705">
        <w:rPr>
          <w:rFonts w:eastAsia="Times New Roman" w:cs="Arial"/>
          <w:i/>
          <w:iCs/>
          <w:sz w:val="22"/>
          <w:szCs w:val="22"/>
          <w:lang w:eastAsia="en-GB"/>
        </w:rPr>
        <w:t>Strengthening Service Delivery and Infrastructure</w:t>
      </w:r>
    </w:p>
    <w:p w14:paraId="0B42D422" w14:textId="77777777" w:rsidR="00AF5705" w:rsidRPr="00AF5705" w:rsidRDefault="00AF5705" w:rsidP="00AF5705">
      <w:pPr>
        <w:numPr>
          <w:ilvl w:val="0"/>
          <w:numId w:val="10"/>
        </w:numPr>
        <w:spacing w:before="100" w:beforeAutospacing="1" w:after="100" w:afterAutospacing="1" w:line="360" w:lineRule="auto"/>
        <w:jc w:val="both"/>
        <w:rPr>
          <w:rFonts w:eastAsia="Times New Roman" w:cs="Arial"/>
          <w:sz w:val="22"/>
          <w:szCs w:val="22"/>
          <w:lang w:eastAsia="en-GB"/>
        </w:rPr>
      </w:pPr>
      <w:r w:rsidRPr="00AF5705">
        <w:rPr>
          <w:rFonts w:eastAsia="Times New Roman" w:cs="Arial"/>
          <w:b/>
          <w:bCs/>
          <w:sz w:val="22"/>
          <w:szCs w:val="22"/>
          <w:lang w:eastAsia="en-GB"/>
        </w:rPr>
        <w:t>Invest in digital infrastructure</w:t>
      </w:r>
      <w:r w:rsidRPr="00AF5705">
        <w:rPr>
          <w:rFonts w:eastAsia="Times New Roman" w:cs="Arial"/>
          <w:sz w:val="22"/>
          <w:szCs w:val="22"/>
          <w:lang w:eastAsia="en-GB"/>
        </w:rPr>
        <w:t xml:space="preserve"> across all Genomic Laboratory Hubs to ensure consistent turnaround times and reduce regional disparities in testing capacity (Brown </w:t>
      </w:r>
      <w:r w:rsidRPr="00AF5705">
        <w:rPr>
          <w:rFonts w:eastAsia="Times New Roman" w:cs="Arial"/>
          <w:i/>
          <w:iCs/>
          <w:sz w:val="22"/>
          <w:szCs w:val="22"/>
          <w:lang w:eastAsia="en-GB"/>
        </w:rPr>
        <w:t>et al</w:t>
      </w:r>
      <w:r w:rsidRPr="00AF5705">
        <w:rPr>
          <w:rFonts w:eastAsia="Times New Roman" w:cs="Arial"/>
          <w:sz w:val="22"/>
          <w:szCs w:val="22"/>
          <w:lang w:eastAsia="en-GB"/>
        </w:rPr>
        <w:t>., 2024).</w:t>
      </w:r>
    </w:p>
    <w:p w14:paraId="1DD0D66C" w14:textId="77777777" w:rsidR="00AF5705" w:rsidRPr="00AF5705" w:rsidRDefault="00AF5705" w:rsidP="00AF5705">
      <w:pPr>
        <w:numPr>
          <w:ilvl w:val="0"/>
          <w:numId w:val="10"/>
        </w:numPr>
        <w:spacing w:before="100" w:beforeAutospacing="1" w:after="100" w:afterAutospacing="1" w:line="360" w:lineRule="auto"/>
        <w:jc w:val="both"/>
        <w:rPr>
          <w:rFonts w:eastAsia="Times New Roman" w:cs="Arial"/>
          <w:sz w:val="22"/>
          <w:szCs w:val="22"/>
          <w:lang w:eastAsia="en-GB"/>
        </w:rPr>
      </w:pPr>
      <w:r w:rsidRPr="00AF5705">
        <w:rPr>
          <w:rFonts w:eastAsia="Times New Roman" w:cs="Arial"/>
          <w:b/>
          <w:bCs/>
          <w:sz w:val="22"/>
          <w:szCs w:val="22"/>
          <w:lang w:eastAsia="en-GB"/>
        </w:rPr>
        <w:t>Develop national quality standards</w:t>
      </w:r>
      <w:r w:rsidRPr="00AF5705">
        <w:rPr>
          <w:rFonts w:eastAsia="Times New Roman" w:cs="Arial"/>
          <w:sz w:val="22"/>
          <w:szCs w:val="22"/>
          <w:lang w:eastAsia="en-GB"/>
        </w:rPr>
        <w:t xml:space="preserve"> for genomic data processing, interpretation, and reporting to improve service uniformity (Auton </w:t>
      </w:r>
      <w:r w:rsidRPr="00AF5705">
        <w:rPr>
          <w:rFonts w:eastAsia="Times New Roman" w:cs="Arial"/>
          <w:i/>
          <w:iCs/>
          <w:sz w:val="22"/>
          <w:szCs w:val="22"/>
          <w:lang w:eastAsia="en-GB"/>
        </w:rPr>
        <w:t>et al</w:t>
      </w:r>
      <w:r w:rsidRPr="00AF5705">
        <w:rPr>
          <w:rFonts w:eastAsia="Times New Roman" w:cs="Arial"/>
          <w:sz w:val="22"/>
          <w:szCs w:val="22"/>
          <w:lang w:eastAsia="en-GB"/>
        </w:rPr>
        <w:t>., 2021).</w:t>
      </w:r>
    </w:p>
    <w:p w14:paraId="6FBEBE4E" w14:textId="77777777" w:rsidR="00AF5705" w:rsidRPr="00AF5705" w:rsidRDefault="00AF5705" w:rsidP="00AF5705">
      <w:pPr>
        <w:numPr>
          <w:ilvl w:val="0"/>
          <w:numId w:val="10"/>
        </w:numPr>
        <w:spacing w:before="100" w:beforeAutospacing="1" w:after="100" w:afterAutospacing="1" w:line="360" w:lineRule="auto"/>
        <w:jc w:val="both"/>
        <w:rPr>
          <w:rFonts w:eastAsia="Times New Roman" w:cs="Arial"/>
          <w:sz w:val="22"/>
          <w:szCs w:val="22"/>
          <w:lang w:eastAsia="en-GB"/>
        </w:rPr>
      </w:pPr>
      <w:r w:rsidRPr="00AF5705">
        <w:rPr>
          <w:rFonts w:eastAsia="Times New Roman" w:cs="Arial"/>
          <w:b/>
          <w:bCs/>
          <w:sz w:val="22"/>
          <w:szCs w:val="22"/>
          <w:lang w:eastAsia="en-GB"/>
        </w:rPr>
        <w:t>Integrate genomic data systems</w:t>
      </w:r>
      <w:r w:rsidRPr="00AF5705">
        <w:rPr>
          <w:rFonts w:eastAsia="Times New Roman" w:cs="Arial"/>
          <w:sz w:val="22"/>
          <w:szCs w:val="22"/>
          <w:lang w:eastAsia="en-GB"/>
        </w:rPr>
        <w:t xml:space="preserve"> with electronic health records (EHRs) to enable efficient data flow and enhance continuity of care (Lewis </w:t>
      </w:r>
      <w:r w:rsidRPr="00AF5705">
        <w:rPr>
          <w:rFonts w:eastAsia="Times New Roman" w:cs="Arial"/>
          <w:i/>
          <w:iCs/>
          <w:sz w:val="22"/>
          <w:szCs w:val="22"/>
          <w:lang w:eastAsia="en-GB"/>
        </w:rPr>
        <w:t>et al</w:t>
      </w:r>
      <w:r w:rsidRPr="00AF5705">
        <w:rPr>
          <w:rFonts w:eastAsia="Times New Roman" w:cs="Arial"/>
          <w:sz w:val="22"/>
          <w:szCs w:val="22"/>
          <w:lang w:eastAsia="en-GB"/>
        </w:rPr>
        <w:t>., 2022).</w:t>
      </w:r>
    </w:p>
    <w:p w14:paraId="6B967CA8" w14:textId="7B89834A" w:rsidR="00AF5705" w:rsidRPr="00AF5705" w:rsidRDefault="00AF5705" w:rsidP="00AF5705">
      <w:pPr>
        <w:numPr>
          <w:ilvl w:val="0"/>
          <w:numId w:val="10"/>
        </w:numPr>
        <w:spacing w:before="100" w:beforeAutospacing="1" w:after="100" w:afterAutospacing="1" w:line="360" w:lineRule="auto"/>
        <w:jc w:val="both"/>
        <w:rPr>
          <w:rFonts w:eastAsia="Times New Roman" w:cs="Arial"/>
          <w:sz w:val="22"/>
          <w:szCs w:val="22"/>
          <w:lang w:eastAsia="en-GB"/>
        </w:rPr>
      </w:pPr>
      <w:r w:rsidRPr="00AF5705">
        <w:rPr>
          <w:rFonts w:eastAsia="Times New Roman" w:cs="Arial"/>
          <w:b/>
          <w:bCs/>
          <w:sz w:val="22"/>
          <w:szCs w:val="22"/>
          <w:lang w:eastAsia="en-GB"/>
        </w:rPr>
        <w:lastRenderedPageBreak/>
        <w:t>Implement operational audits</w:t>
      </w:r>
      <w:r w:rsidRPr="00AF5705">
        <w:rPr>
          <w:rFonts w:eastAsia="Times New Roman" w:cs="Arial"/>
          <w:sz w:val="22"/>
          <w:szCs w:val="22"/>
          <w:lang w:eastAsia="en-GB"/>
        </w:rPr>
        <w:t xml:space="preserve"> to monitor efficiency, equity, and cost-effectiveness of genomic service delivery (Smith </w:t>
      </w:r>
      <w:r w:rsidRPr="00AF5705">
        <w:rPr>
          <w:rFonts w:eastAsia="Times New Roman" w:cs="Arial"/>
          <w:i/>
          <w:iCs/>
          <w:sz w:val="22"/>
          <w:szCs w:val="22"/>
          <w:lang w:eastAsia="en-GB"/>
        </w:rPr>
        <w:t>et al</w:t>
      </w:r>
      <w:r w:rsidRPr="00AF5705">
        <w:rPr>
          <w:rFonts w:eastAsia="Times New Roman" w:cs="Arial"/>
          <w:sz w:val="22"/>
          <w:szCs w:val="22"/>
          <w:lang w:eastAsia="en-GB"/>
        </w:rPr>
        <w:t>., 2025).</w:t>
      </w:r>
    </w:p>
    <w:p w14:paraId="07392F1F" w14:textId="77777777" w:rsidR="00AF5705" w:rsidRPr="00AF5705" w:rsidRDefault="00AF5705" w:rsidP="00AF5705">
      <w:pPr>
        <w:spacing w:before="100" w:beforeAutospacing="1" w:after="100" w:afterAutospacing="1" w:line="360" w:lineRule="auto"/>
        <w:jc w:val="both"/>
        <w:rPr>
          <w:rFonts w:eastAsia="Times New Roman" w:cs="Arial"/>
          <w:i/>
          <w:iCs/>
          <w:sz w:val="22"/>
          <w:szCs w:val="22"/>
          <w:lang w:eastAsia="en-GB"/>
        </w:rPr>
      </w:pPr>
      <w:r w:rsidRPr="00AF5705">
        <w:rPr>
          <w:rFonts w:eastAsia="Times New Roman" w:cs="Arial"/>
          <w:b/>
          <w:bCs/>
          <w:sz w:val="22"/>
          <w:szCs w:val="22"/>
          <w:lang w:eastAsia="en-GB"/>
        </w:rPr>
        <w:t xml:space="preserve">3. </w:t>
      </w:r>
      <w:r w:rsidRPr="00AF5705">
        <w:rPr>
          <w:rFonts w:eastAsia="Times New Roman" w:cs="Arial"/>
          <w:i/>
          <w:iCs/>
          <w:sz w:val="22"/>
          <w:szCs w:val="22"/>
          <w:lang w:eastAsia="en-GB"/>
        </w:rPr>
        <w:t>Enhancing Patient Experience and Support</w:t>
      </w:r>
    </w:p>
    <w:p w14:paraId="37D175EE" w14:textId="77777777" w:rsidR="00AF5705" w:rsidRPr="00AF5705" w:rsidRDefault="00AF5705" w:rsidP="00AF5705">
      <w:pPr>
        <w:numPr>
          <w:ilvl w:val="0"/>
          <w:numId w:val="11"/>
        </w:numPr>
        <w:spacing w:before="100" w:beforeAutospacing="1" w:after="100" w:afterAutospacing="1" w:line="360" w:lineRule="auto"/>
        <w:jc w:val="both"/>
        <w:rPr>
          <w:rFonts w:eastAsia="Times New Roman" w:cs="Arial"/>
          <w:sz w:val="22"/>
          <w:szCs w:val="22"/>
          <w:lang w:eastAsia="en-GB"/>
        </w:rPr>
      </w:pPr>
      <w:r w:rsidRPr="00AF5705">
        <w:rPr>
          <w:rFonts w:eastAsia="Times New Roman" w:cs="Arial"/>
          <w:b/>
          <w:bCs/>
          <w:sz w:val="22"/>
          <w:szCs w:val="22"/>
          <w:lang w:eastAsia="en-GB"/>
        </w:rPr>
        <w:t>Guarantee access to genomic counselling</w:t>
      </w:r>
      <w:r w:rsidRPr="00AF5705">
        <w:rPr>
          <w:rFonts w:eastAsia="Times New Roman" w:cs="Arial"/>
          <w:sz w:val="22"/>
          <w:szCs w:val="22"/>
          <w:lang w:eastAsia="en-GB"/>
        </w:rPr>
        <w:t xml:space="preserve"> for all patients and families to address the emotional, ethical, and psychological implications of test results (Smith </w:t>
      </w:r>
      <w:r w:rsidRPr="00AF5705">
        <w:rPr>
          <w:rFonts w:eastAsia="Times New Roman" w:cs="Arial"/>
          <w:i/>
          <w:iCs/>
          <w:sz w:val="22"/>
          <w:szCs w:val="22"/>
          <w:lang w:eastAsia="en-GB"/>
        </w:rPr>
        <w:t>et al</w:t>
      </w:r>
      <w:r w:rsidRPr="00AF5705">
        <w:rPr>
          <w:rFonts w:eastAsia="Times New Roman" w:cs="Arial"/>
          <w:sz w:val="22"/>
          <w:szCs w:val="22"/>
          <w:lang w:eastAsia="en-GB"/>
        </w:rPr>
        <w:t>., 2025).</w:t>
      </w:r>
    </w:p>
    <w:p w14:paraId="79A5F1BE" w14:textId="77777777" w:rsidR="00AF5705" w:rsidRPr="00AF5705" w:rsidRDefault="00AF5705" w:rsidP="00AF5705">
      <w:pPr>
        <w:numPr>
          <w:ilvl w:val="0"/>
          <w:numId w:val="11"/>
        </w:numPr>
        <w:spacing w:before="100" w:beforeAutospacing="1" w:after="100" w:afterAutospacing="1" w:line="360" w:lineRule="auto"/>
        <w:jc w:val="both"/>
        <w:rPr>
          <w:rFonts w:eastAsia="Times New Roman" w:cs="Arial"/>
          <w:sz w:val="22"/>
          <w:szCs w:val="22"/>
          <w:lang w:eastAsia="en-GB"/>
        </w:rPr>
      </w:pPr>
      <w:r w:rsidRPr="00AF5705">
        <w:rPr>
          <w:rFonts w:eastAsia="Times New Roman" w:cs="Arial"/>
          <w:b/>
          <w:bCs/>
          <w:sz w:val="22"/>
          <w:szCs w:val="22"/>
          <w:lang w:eastAsia="en-GB"/>
        </w:rPr>
        <w:t>Adopt patient-centred communication strategies</w:t>
      </w:r>
      <w:r w:rsidRPr="00AF5705">
        <w:rPr>
          <w:rFonts w:eastAsia="Times New Roman" w:cs="Arial"/>
          <w:sz w:val="22"/>
          <w:szCs w:val="22"/>
          <w:lang w:eastAsia="en-GB"/>
        </w:rPr>
        <w:t xml:space="preserve">, ensuring clarity in explaining uncertain findings and hereditary risks (Lewis </w:t>
      </w:r>
      <w:r w:rsidRPr="00AF5705">
        <w:rPr>
          <w:rFonts w:eastAsia="Times New Roman" w:cs="Arial"/>
          <w:i/>
          <w:iCs/>
          <w:sz w:val="22"/>
          <w:szCs w:val="22"/>
          <w:lang w:eastAsia="en-GB"/>
        </w:rPr>
        <w:t>et al</w:t>
      </w:r>
      <w:r w:rsidRPr="00AF5705">
        <w:rPr>
          <w:rFonts w:eastAsia="Times New Roman" w:cs="Arial"/>
          <w:sz w:val="22"/>
          <w:szCs w:val="22"/>
          <w:lang w:eastAsia="en-GB"/>
        </w:rPr>
        <w:t>., 2022).</w:t>
      </w:r>
    </w:p>
    <w:p w14:paraId="6E37EE65" w14:textId="77777777" w:rsidR="00AF5705" w:rsidRPr="00AF5705" w:rsidRDefault="00AF5705" w:rsidP="00AF5705">
      <w:pPr>
        <w:numPr>
          <w:ilvl w:val="0"/>
          <w:numId w:val="11"/>
        </w:numPr>
        <w:spacing w:before="100" w:beforeAutospacing="1" w:after="100" w:afterAutospacing="1" w:line="360" w:lineRule="auto"/>
        <w:jc w:val="both"/>
        <w:rPr>
          <w:rFonts w:eastAsia="Times New Roman" w:cs="Arial"/>
          <w:sz w:val="22"/>
          <w:szCs w:val="22"/>
          <w:lang w:eastAsia="en-GB"/>
        </w:rPr>
      </w:pPr>
      <w:r w:rsidRPr="00AF5705">
        <w:rPr>
          <w:rFonts w:eastAsia="Times New Roman" w:cs="Arial"/>
          <w:b/>
          <w:bCs/>
          <w:sz w:val="22"/>
          <w:szCs w:val="22"/>
          <w:lang w:eastAsia="en-GB"/>
        </w:rPr>
        <w:t>Introduce tailored patient education resources</w:t>
      </w:r>
      <w:r w:rsidRPr="00AF5705">
        <w:rPr>
          <w:rFonts w:eastAsia="Times New Roman" w:cs="Arial"/>
          <w:sz w:val="22"/>
          <w:szCs w:val="22"/>
          <w:lang w:eastAsia="en-GB"/>
        </w:rPr>
        <w:t xml:space="preserve"> to promote understanding of genomics and data use, especially for populations with low health literacy (Brown </w:t>
      </w:r>
      <w:r w:rsidRPr="00AF5705">
        <w:rPr>
          <w:rFonts w:eastAsia="Times New Roman" w:cs="Arial"/>
          <w:i/>
          <w:iCs/>
          <w:sz w:val="22"/>
          <w:szCs w:val="22"/>
          <w:lang w:eastAsia="en-GB"/>
        </w:rPr>
        <w:t>et al</w:t>
      </w:r>
      <w:r w:rsidRPr="00AF5705">
        <w:rPr>
          <w:rFonts w:eastAsia="Times New Roman" w:cs="Arial"/>
          <w:sz w:val="22"/>
          <w:szCs w:val="22"/>
          <w:lang w:eastAsia="en-GB"/>
        </w:rPr>
        <w:t>., 2024).</w:t>
      </w:r>
    </w:p>
    <w:p w14:paraId="083B9922" w14:textId="74E4A100" w:rsidR="00AF5705" w:rsidRPr="00AF5705" w:rsidRDefault="00AF5705" w:rsidP="00AF5705">
      <w:pPr>
        <w:numPr>
          <w:ilvl w:val="0"/>
          <w:numId w:val="11"/>
        </w:numPr>
        <w:spacing w:before="100" w:beforeAutospacing="1" w:after="100" w:afterAutospacing="1" w:line="360" w:lineRule="auto"/>
        <w:jc w:val="both"/>
        <w:rPr>
          <w:rFonts w:eastAsia="Times New Roman" w:cs="Arial"/>
          <w:sz w:val="22"/>
          <w:szCs w:val="22"/>
          <w:lang w:eastAsia="en-GB"/>
        </w:rPr>
      </w:pPr>
      <w:r w:rsidRPr="00AF5705">
        <w:rPr>
          <w:rFonts w:eastAsia="Times New Roman" w:cs="Arial"/>
          <w:b/>
          <w:bCs/>
          <w:sz w:val="22"/>
          <w:szCs w:val="22"/>
          <w:lang w:eastAsia="en-GB"/>
        </w:rPr>
        <w:t>Develop culturally competent counselling frameworks</w:t>
      </w:r>
      <w:r w:rsidRPr="00AF5705">
        <w:rPr>
          <w:rFonts w:eastAsia="Times New Roman" w:cs="Arial"/>
          <w:sz w:val="22"/>
          <w:szCs w:val="22"/>
          <w:lang w:eastAsia="en-GB"/>
        </w:rPr>
        <w:t xml:space="preserve"> that respect diversity and prevent inequities in care (Wright</w:t>
      </w:r>
      <w:r w:rsidR="00AF5C9E">
        <w:rPr>
          <w:rFonts w:eastAsia="Times New Roman" w:cs="Arial"/>
          <w:sz w:val="22"/>
          <w:szCs w:val="22"/>
          <w:lang w:eastAsia="en-GB"/>
        </w:rPr>
        <w:t xml:space="preserve"> </w:t>
      </w:r>
      <w:r w:rsidR="00AF5C9E">
        <w:rPr>
          <w:rFonts w:eastAsia="Times New Roman" w:cs="Arial"/>
          <w:i/>
          <w:iCs/>
          <w:sz w:val="22"/>
          <w:szCs w:val="22"/>
          <w:lang w:eastAsia="en-GB"/>
        </w:rPr>
        <w:t>et al.</w:t>
      </w:r>
      <w:r w:rsidRPr="00AF5705">
        <w:rPr>
          <w:rFonts w:eastAsia="Times New Roman" w:cs="Arial"/>
          <w:sz w:val="22"/>
          <w:szCs w:val="22"/>
          <w:lang w:eastAsia="en-GB"/>
        </w:rPr>
        <w:t>, 2023).</w:t>
      </w:r>
    </w:p>
    <w:p w14:paraId="716E5416" w14:textId="77777777" w:rsidR="00AF5705" w:rsidRPr="00AF5705" w:rsidRDefault="00AF5705" w:rsidP="00AF5705">
      <w:pPr>
        <w:spacing w:before="100" w:beforeAutospacing="1" w:after="100" w:afterAutospacing="1" w:line="360" w:lineRule="auto"/>
        <w:jc w:val="both"/>
        <w:rPr>
          <w:rFonts w:eastAsia="Times New Roman" w:cs="Arial"/>
          <w:b/>
          <w:bCs/>
          <w:sz w:val="22"/>
          <w:szCs w:val="22"/>
          <w:lang w:eastAsia="en-GB"/>
        </w:rPr>
      </w:pPr>
      <w:r w:rsidRPr="00AF5705">
        <w:rPr>
          <w:rFonts w:eastAsia="Times New Roman" w:cs="Arial"/>
          <w:b/>
          <w:bCs/>
          <w:sz w:val="22"/>
          <w:szCs w:val="22"/>
          <w:lang w:eastAsia="en-GB"/>
        </w:rPr>
        <w:t xml:space="preserve">4. </w:t>
      </w:r>
      <w:r w:rsidRPr="00AF5705">
        <w:rPr>
          <w:rFonts w:eastAsia="Times New Roman" w:cs="Arial"/>
          <w:i/>
          <w:iCs/>
          <w:sz w:val="22"/>
          <w:szCs w:val="22"/>
          <w:lang w:eastAsia="en-GB"/>
        </w:rPr>
        <w:t>Promoting Equity and Community Engagement</w:t>
      </w:r>
    </w:p>
    <w:p w14:paraId="309CCCAD" w14:textId="77777777" w:rsidR="00AF5705" w:rsidRPr="00AF5705" w:rsidRDefault="00AF5705" w:rsidP="00AF5705">
      <w:pPr>
        <w:numPr>
          <w:ilvl w:val="0"/>
          <w:numId w:val="12"/>
        </w:numPr>
        <w:spacing w:before="100" w:beforeAutospacing="1" w:after="100" w:afterAutospacing="1" w:line="360" w:lineRule="auto"/>
        <w:jc w:val="both"/>
        <w:rPr>
          <w:rFonts w:eastAsia="Times New Roman" w:cs="Arial"/>
          <w:sz w:val="22"/>
          <w:szCs w:val="22"/>
          <w:lang w:eastAsia="en-GB"/>
        </w:rPr>
      </w:pPr>
      <w:r w:rsidRPr="00AF5705">
        <w:rPr>
          <w:rFonts w:eastAsia="Times New Roman" w:cs="Arial"/>
          <w:b/>
          <w:bCs/>
          <w:sz w:val="22"/>
          <w:szCs w:val="22"/>
          <w:lang w:eastAsia="en-GB"/>
        </w:rPr>
        <w:t>Implement targeted outreach programmes</w:t>
      </w:r>
      <w:r w:rsidRPr="00AF5705">
        <w:rPr>
          <w:rFonts w:eastAsia="Times New Roman" w:cs="Arial"/>
          <w:sz w:val="22"/>
          <w:szCs w:val="22"/>
          <w:lang w:eastAsia="en-GB"/>
        </w:rPr>
        <w:t xml:space="preserve"> in underserved and rural communities to ensure equitable access to genomic testing and education (Smith </w:t>
      </w:r>
      <w:r w:rsidRPr="00AF5705">
        <w:rPr>
          <w:rFonts w:eastAsia="Times New Roman" w:cs="Arial"/>
          <w:i/>
          <w:iCs/>
          <w:sz w:val="22"/>
          <w:szCs w:val="22"/>
          <w:lang w:eastAsia="en-GB"/>
        </w:rPr>
        <w:t>et al</w:t>
      </w:r>
      <w:r w:rsidRPr="00AF5705">
        <w:rPr>
          <w:rFonts w:eastAsia="Times New Roman" w:cs="Arial"/>
          <w:sz w:val="22"/>
          <w:szCs w:val="22"/>
          <w:lang w:eastAsia="en-GB"/>
        </w:rPr>
        <w:t>., 2025).</w:t>
      </w:r>
    </w:p>
    <w:p w14:paraId="0A64C5EB" w14:textId="77777777" w:rsidR="00AF5705" w:rsidRPr="00AF5705" w:rsidRDefault="00AF5705" w:rsidP="00AF5705">
      <w:pPr>
        <w:numPr>
          <w:ilvl w:val="0"/>
          <w:numId w:val="12"/>
        </w:numPr>
        <w:spacing w:before="100" w:beforeAutospacing="1" w:after="100" w:afterAutospacing="1" w:line="360" w:lineRule="auto"/>
        <w:jc w:val="both"/>
        <w:rPr>
          <w:rFonts w:eastAsia="Times New Roman" w:cs="Arial"/>
          <w:sz w:val="22"/>
          <w:szCs w:val="22"/>
          <w:lang w:eastAsia="en-GB"/>
        </w:rPr>
      </w:pPr>
      <w:r w:rsidRPr="00AF5705">
        <w:rPr>
          <w:rFonts w:eastAsia="Times New Roman" w:cs="Arial"/>
          <w:b/>
          <w:bCs/>
          <w:sz w:val="22"/>
          <w:szCs w:val="22"/>
          <w:lang w:eastAsia="en-GB"/>
        </w:rPr>
        <w:t>Expand co-production initiatives</w:t>
      </w:r>
      <w:r w:rsidRPr="00AF5705">
        <w:rPr>
          <w:rFonts w:eastAsia="Times New Roman" w:cs="Arial"/>
          <w:sz w:val="22"/>
          <w:szCs w:val="22"/>
          <w:lang w:eastAsia="en-GB"/>
        </w:rPr>
        <w:t xml:space="preserve">, involving patients, families, and local groups in decision-making, policy development, and evaluation of genomic programmes (Lewis </w:t>
      </w:r>
      <w:r w:rsidRPr="00AF5705">
        <w:rPr>
          <w:rFonts w:eastAsia="Times New Roman" w:cs="Arial"/>
          <w:i/>
          <w:iCs/>
          <w:sz w:val="22"/>
          <w:szCs w:val="22"/>
          <w:lang w:eastAsia="en-GB"/>
        </w:rPr>
        <w:t>et al</w:t>
      </w:r>
      <w:r w:rsidRPr="00AF5705">
        <w:rPr>
          <w:rFonts w:eastAsia="Times New Roman" w:cs="Arial"/>
          <w:sz w:val="22"/>
          <w:szCs w:val="22"/>
          <w:lang w:eastAsia="en-GB"/>
        </w:rPr>
        <w:t>., 2022).</w:t>
      </w:r>
    </w:p>
    <w:p w14:paraId="57097D45" w14:textId="77777777" w:rsidR="00AF5705" w:rsidRPr="00AF5705" w:rsidRDefault="00AF5705" w:rsidP="00AF5705">
      <w:pPr>
        <w:numPr>
          <w:ilvl w:val="0"/>
          <w:numId w:val="12"/>
        </w:numPr>
        <w:spacing w:before="100" w:beforeAutospacing="1" w:after="100" w:afterAutospacing="1" w:line="360" w:lineRule="auto"/>
        <w:jc w:val="both"/>
        <w:rPr>
          <w:rFonts w:eastAsia="Times New Roman" w:cs="Arial"/>
          <w:sz w:val="22"/>
          <w:szCs w:val="22"/>
          <w:lang w:eastAsia="en-GB"/>
        </w:rPr>
      </w:pPr>
      <w:r w:rsidRPr="00AF5705">
        <w:rPr>
          <w:rFonts w:eastAsia="Times New Roman" w:cs="Arial"/>
          <w:b/>
          <w:bCs/>
          <w:sz w:val="22"/>
          <w:szCs w:val="22"/>
          <w:lang w:eastAsia="en-GB"/>
        </w:rPr>
        <w:t>Increase transparency in data use and partnerships</w:t>
      </w:r>
      <w:r w:rsidRPr="00AF5705">
        <w:rPr>
          <w:rFonts w:eastAsia="Times New Roman" w:cs="Arial"/>
          <w:sz w:val="22"/>
          <w:szCs w:val="22"/>
          <w:lang w:eastAsia="en-GB"/>
        </w:rPr>
        <w:t xml:space="preserve"> with commercial or research entities to build and maintain public trust (Auton </w:t>
      </w:r>
      <w:r w:rsidRPr="00AF5705">
        <w:rPr>
          <w:rFonts w:eastAsia="Times New Roman" w:cs="Arial"/>
          <w:i/>
          <w:iCs/>
          <w:sz w:val="22"/>
          <w:szCs w:val="22"/>
          <w:lang w:eastAsia="en-GB"/>
        </w:rPr>
        <w:t>et al</w:t>
      </w:r>
      <w:r w:rsidRPr="00AF5705">
        <w:rPr>
          <w:rFonts w:eastAsia="Times New Roman" w:cs="Arial"/>
          <w:sz w:val="22"/>
          <w:szCs w:val="22"/>
          <w:lang w:eastAsia="en-GB"/>
        </w:rPr>
        <w:t>., 2021).</w:t>
      </w:r>
    </w:p>
    <w:p w14:paraId="7FD6DB2C" w14:textId="68F34597" w:rsidR="00AF5705" w:rsidRPr="00AF5705" w:rsidRDefault="00AF5705" w:rsidP="00AF5705">
      <w:pPr>
        <w:numPr>
          <w:ilvl w:val="0"/>
          <w:numId w:val="12"/>
        </w:numPr>
        <w:spacing w:before="100" w:beforeAutospacing="1" w:after="100" w:afterAutospacing="1" w:line="360" w:lineRule="auto"/>
        <w:jc w:val="both"/>
        <w:rPr>
          <w:rFonts w:eastAsia="Times New Roman" w:cs="Arial"/>
          <w:sz w:val="22"/>
          <w:szCs w:val="22"/>
          <w:lang w:eastAsia="en-GB"/>
        </w:rPr>
      </w:pPr>
      <w:r w:rsidRPr="00AF5705">
        <w:rPr>
          <w:rFonts w:eastAsia="Times New Roman" w:cs="Arial"/>
          <w:b/>
          <w:bCs/>
          <w:sz w:val="22"/>
          <w:szCs w:val="22"/>
          <w:lang w:eastAsia="en-GB"/>
        </w:rPr>
        <w:t>Monitor demographic data</w:t>
      </w:r>
      <w:r w:rsidRPr="00AF5705">
        <w:rPr>
          <w:rFonts w:eastAsia="Times New Roman" w:cs="Arial"/>
          <w:sz w:val="22"/>
          <w:szCs w:val="22"/>
          <w:lang w:eastAsia="en-GB"/>
        </w:rPr>
        <w:t xml:space="preserve"> on genomic service uptake to identify and address inequality trends (Brown </w:t>
      </w:r>
      <w:r w:rsidRPr="00AF5705">
        <w:rPr>
          <w:rFonts w:eastAsia="Times New Roman" w:cs="Arial"/>
          <w:i/>
          <w:iCs/>
          <w:sz w:val="22"/>
          <w:szCs w:val="22"/>
          <w:lang w:eastAsia="en-GB"/>
        </w:rPr>
        <w:t>et al</w:t>
      </w:r>
      <w:r w:rsidRPr="00AF5705">
        <w:rPr>
          <w:rFonts w:eastAsia="Times New Roman" w:cs="Arial"/>
          <w:sz w:val="22"/>
          <w:szCs w:val="22"/>
          <w:lang w:eastAsia="en-GB"/>
        </w:rPr>
        <w:t>., 2024)</w:t>
      </w:r>
      <w:r w:rsidR="00370809">
        <w:rPr>
          <w:rFonts w:eastAsia="Times New Roman" w:cs="Arial"/>
          <w:sz w:val="22"/>
          <w:szCs w:val="22"/>
          <w:lang w:eastAsia="en-GB"/>
        </w:rPr>
        <w:t>.</w:t>
      </w:r>
    </w:p>
    <w:p w14:paraId="70A322B0" w14:textId="77777777" w:rsidR="00AF5705" w:rsidRPr="00AF5705" w:rsidRDefault="00AF5705" w:rsidP="00AF5705">
      <w:pPr>
        <w:spacing w:before="100" w:beforeAutospacing="1" w:after="100" w:afterAutospacing="1" w:line="360" w:lineRule="auto"/>
        <w:jc w:val="both"/>
        <w:rPr>
          <w:rFonts w:eastAsia="Times New Roman" w:cs="Arial"/>
          <w:i/>
          <w:iCs/>
          <w:sz w:val="22"/>
          <w:szCs w:val="22"/>
          <w:lang w:eastAsia="en-GB"/>
        </w:rPr>
      </w:pPr>
      <w:r w:rsidRPr="00AF5705">
        <w:rPr>
          <w:rFonts w:eastAsia="Times New Roman" w:cs="Arial"/>
          <w:b/>
          <w:bCs/>
          <w:sz w:val="22"/>
          <w:szCs w:val="22"/>
          <w:lang w:eastAsia="en-GB"/>
        </w:rPr>
        <w:t>5.</w:t>
      </w:r>
      <w:r w:rsidRPr="00AF5705">
        <w:rPr>
          <w:rFonts w:eastAsia="Times New Roman" w:cs="Arial"/>
          <w:i/>
          <w:iCs/>
          <w:sz w:val="22"/>
          <w:szCs w:val="22"/>
          <w:lang w:eastAsia="en-GB"/>
        </w:rPr>
        <w:t xml:space="preserve"> Ensuring Robust Data Governance and Ethical Integrity</w:t>
      </w:r>
    </w:p>
    <w:p w14:paraId="3D76B5F2" w14:textId="77777777" w:rsidR="00AF5705" w:rsidRPr="00AF5705" w:rsidRDefault="00AF5705" w:rsidP="00AF5705">
      <w:pPr>
        <w:numPr>
          <w:ilvl w:val="0"/>
          <w:numId w:val="13"/>
        </w:numPr>
        <w:spacing w:before="100" w:beforeAutospacing="1" w:after="100" w:afterAutospacing="1" w:line="360" w:lineRule="auto"/>
        <w:jc w:val="both"/>
        <w:rPr>
          <w:rFonts w:eastAsia="Times New Roman" w:cs="Arial"/>
          <w:sz w:val="22"/>
          <w:szCs w:val="22"/>
          <w:lang w:eastAsia="en-GB"/>
        </w:rPr>
      </w:pPr>
      <w:r w:rsidRPr="00AF5705">
        <w:rPr>
          <w:rFonts w:eastAsia="Times New Roman" w:cs="Arial"/>
          <w:b/>
          <w:bCs/>
          <w:sz w:val="22"/>
          <w:szCs w:val="22"/>
          <w:lang w:eastAsia="en-GB"/>
        </w:rPr>
        <w:t>Reinforce compliance with the UK GDPR</w:t>
      </w:r>
      <w:r w:rsidRPr="00AF5705">
        <w:rPr>
          <w:rFonts w:eastAsia="Times New Roman" w:cs="Arial"/>
          <w:sz w:val="22"/>
          <w:szCs w:val="22"/>
          <w:lang w:eastAsia="en-GB"/>
        </w:rPr>
        <w:t xml:space="preserve"> and the Data Protection Act 2018, including mandatory Data Protection Impact Assessments (DPIAs) for all large-scale genomic initiatives (Smith </w:t>
      </w:r>
      <w:r w:rsidRPr="00AF5705">
        <w:rPr>
          <w:rFonts w:eastAsia="Times New Roman" w:cs="Arial"/>
          <w:i/>
          <w:iCs/>
          <w:sz w:val="22"/>
          <w:szCs w:val="22"/>
          <w:lang w:eastAsia="en-GB"/>
        </w:rPr>
        <w:t>et al.,</w:t>
      </w:r>
      <w:r w:rsidRPr="00AF5705">
        <w:rPr>
          <w:rFonts w:eastAsia="Times New Roman" w:cs="Arial"/>
          <w:sz w:val="22"/>
          <w:szCs w:val="22"/>
          <w:lang w:eastAsia="en-GB"/>
        </w:rPr>
        <w:t xml:space="preserve"> 2025).</w:t>
      </w:r>
    </w:p>
    <w:p w14:paraId="0E2ED012" w14:textId="77777777" w:rsidR="00AF5705" w:rsidRPr="00AF5705" w:rsidRDefault="00AF5705" w:rsidP="00AF5705">
      <w:pPr>
        <w:numPr>
          <w:ilvl w:val="0"/>
          <w:numId w:val="13"/>
        </w:numPr>
        <w:spacing w:before="100" w:beforeAutospacing="1" w:after="100" w:afterAutospacing="1" w:line="360" w:lineRule="auto"/>
        <w:jc w:val="both"/>
        <w:rPr>
          <w:rFonts w:eastAsia="Times New Roman" w:cs="Arial"/>
          <w:sz w:val="22"/>
          <w:szCs w:val="22"/>
          <w:lang w:eastAsia="en-GB"/>
        </w:rPr>
      </w:pPr>
      <w:r w:rsidRPr="00AF5705">
        <w:rPr>
          <w:rFonts w:eastAsia="Times New Roman" w:cs="Arial"/>
          <w:b/>
          <w:bCs/>
          <w:sz w:val="22"/>
          <w:szCs w:val="22"/>
          <w:lang w:eastAsia="en-GB"/>
        </w:rPr>
        <w:t>Adopt privacy-enhancing technologies</w:t>
      </w:r>
      <w:r w:rsidRPr="00AF5705">
        <w:rPr>
          <w:rFonts w:eastAsia="Times New Roman" w:cs="Arial"/>
          <w:sz w:val="22"/>
          <w:szCs w:val="22"/>
          <w:lang w:eastAsia="en-GB"/>
        </w:rPr>
        <w:t xml:space="preserve"> such as secure multiparty computation and homomorphic encryption to safeguard sensitive genomic information (Lewis </w:t>
      </w:r>
      <w:r w:rsidRPr="00AF5705">
        <w:rPr>
          <w:rFonts w:eastAsia="Times New Roman" w:cs="Arial"/>
          <w:i/>
          <w:iCs/>
          <w:sz w:val="22"/>
          <w:szCs w:val="22"/>
          <w:lang w:eastAsia="en-GB"/>
        </w:rPr>
        <w:t>et al</w:t>
      </w:r>
      <w:r w:rsidRPr="00AF5705">
        <w:rPr>
          <w:rFonts w:eastAsia="Times New Roman" w:cs="Arial"/>
          <w:sz w:val="22"/>
          <w:szCs w:val="22"/>
          <w:lang w:eastAsia="en-GB"/>
        </w:rPr>
        <w:t>., 2022).</w:t>
      </w:r>
    </w:p>
    <w:p w14:paraId="34F0FD22" w14:textId="77777777" w:rsidR="00AF5705" w:rsidRPr="00AF5705" w:rsidRDefault="00AF5705" w:rsidP="00AF5705">
      <w:pPr>
        <w:numPr>
          <w:ilvl w:val="0"/>
          <w:numId w:val="13"/>
        </w:numPr>
        <w:spacing w:before="100" w:beforeAutospacing="1" w:after="100" w:afterAutospacing="1" w:line="360" w:lineRule="auto"/>
        <w:jc w:val="both"/>
        <w:rPr>
          <w:rFonts w:eastAsia="Times New Roman" w:cs="Arial"/>
          <w:sz w:val="22"/>
          <w:szCs w:val="22"/>
          <w:lang w:eastAsia="en-GB"/>
        </w:rPr>
      </w:pPr>
      <w:r w:rsidRPr="00AF5705">
        <w:rPr>
          <w:rFonts w:eastAsia="Times New Roman" w:cs="Arial"/>
          <w:b/>
          <w:bCs/>
          <w:sz w:val="22"/>
          <w:szCs w:val="22"/>
          <w:lang w:eastAsia="en-GB"/>
        </w:rPr>
        <w:t>Develop national codes of conduct</w:t>
      </w:r>
      <w:r w:rsidRPr="00AF5705">
        <w:rPr>
          <w:rFonts w:eastAsia="Times New Roman" w:cs="Arial"/>
          <w:sz w:val="22"/>
          <w:szCs w:val="22"/>
          <w:lang w:eastAsia="en-GB"/>
        </w:rPr>
        <w:t xml:space="preserve"> and sector-wide standards to harmonise data handling practices and facilitate safe data sharing (Auton </w:t>
      </w:r>
      <w:r w:rsidRPr="00AF5705">
        <w:rPr>
          <w:rFonts w:eastAsia="Times New Roman" w:cs="Arial"/>
          <w:i/>
          <w:iCs/>
          <w:sz w:val="22"/>
          <w:szCs w:val="22"/>
          <w:lang w:eastAsia="en-GB"/>
        </w:rPr>
        <w:t>et al</w:t>
      </w:r>
      <w:r w:rsidRPr="00AF5705">
        <w:rPr>
          <w:rFonts w:eastAsia="Times New Roman" w:cs="Arial"/>
          <w:sz w:val="22"/>
          <w:szCs w:val="22"/>
          <w:lang w:eastAsia="en-GB"/>
        </w:rPr>
        <w:t>., 2021).</w:t>
      </w:r>
    </w:p>
    <w:p w14:paraId="1C2BDCD7" w14:textId="77777777" w:rsidR="00AF5705" w:rsidRPr="00AF5705" w:rsidRDefault="00AF5705" w:rsidP="00AF5705">
      <w:pPr>
        <w:numPr>
          <w:ilvl w:val="0"/>
          <w:numId w:val="13"/>
        </w:numPr>
        <w:spacing w:before="100" w:beforeAutospacing="1" w:after="100" w:afterAutospacing="1" w:line="360" w:lineRule="auto"/>
        <w:jc w:val="both"/>
        <w:rPr>
          <w:rFonts w:eastAsia="Times New Roman" w:cs="Arial"/>
          <w:sz w:val="22"/>
          <w:szCs w:val="22"/>
          <w:lang w:eastAsia="en-GB"/>
        </w:rPr>
      </w:pPr>
      <w:r w:rsidRPr="00AF5705">
        <w:rPr>
          <w:rFonts w:eastAsia="Times New Roman" w:cs="Arial"/>
          <w:b/>
          <w:bCs/>
          <w:sz w:val="22"/>
          <w:szCs w:val="22"/>
          <w:lang w:eastAsia="en-GB"/>
        </w:rPr>
        <w:lastRenderedPageBreak/>
        <w:t>Implement dynamic consent models</w:t>
      </w:r>
      <w:r w:rsidRPr="00AF5705">
        <w:rPr>
          <w:rFonts w:eastAsia="Times New Roman" w:cs="Arial"/>
          <w:sz w:val="22"/>
          <w:szCs w:val="22"/>
          <w:lang w:eastAsia="en-GB"/>
        </w:rPr>
        <w:t xml:space="preserve"> allowing participants to update permissions and maintain autonomy over their data use (Brown </w:t>
      </w:r>
      <w:r w:rsidRPr="00AF5705">
        <w:rPr>
          <w:rFonts w:eastAsia="Times New Roman" w:cs="Arial"/>
          <w:i/>
          <w:iCs/>
          <w:sz w:val="22"/>
          <w:szCs w:val="22"/>
          <w:lang w:eastAsia="en-GB"/>
        </w:rPr>
        <w:t>et al</w:t>
      </w:r>
      <w:r w:rsidRPr="00AF5705">
        <w:rPr>
          <w:rFonts w:eastAsia="Times New Roman" w:cs="Arial"/>
          <w:sz w:val="22"/>
          <w:szCs w:val="22"/>
          <w:lang w:eastAsia="en-GB"/>
        </w:rPr>
        <w:t>., 2024).</w:t>
      </w:r>
    </w:p>
    <w:p w14:paraId="4DB2ECF1" w14:textId="6A96FD34" w:rsidR="00AF5705" w:rsidRPr="00AF5705" w:rsidRDefault="00AF5705" w:rsidP="00AF5705">
      <w:pPr>
        <w:numPr>
          <w:ilvl w:val="0"/>
          <w:numId w:val="13"/>
        </w:numPr>
        <w:spacing w:before="100" w:beforeAutospacing="1" w:after="100" w:afterAutospacing="1" w:line="360" w:lineRule="auto"/>
        <w:jc w:val="both"/>
        <w:rPr>
          <w:rFonts w:eastAsia="Times New Roman" w:cs="Arial"/>
          <w:sz w:val="22"/>
          <w:szCs w:val="22"/>
          <w:lang w:eastAsia="en-GB"/>
        </w:rPr>
      </w:pPr>
      <w:r w:rsidRPr="00AF5705">
        <w:rPr>
          <w:rFonts w:eastAsia="Times New Roman" w:cs="Arial"/>
          <w:b/>
          <w:bCs/>
          <w:sz w:val="22"/>
          <w:szCs w:val="22"/>
          <w:lang w:eastAsia="en-GB"/>
        </w:rPr>
        <w:t>Strengthen public communication</w:t>
      </w:r>
      <w:r w:rsidRPr="00AF5705">
        <w:rPr>
          <w:rFonts w:eastAsia="Times New Roman" w:cs="Arial"/>
          <w:sz w:val="22"/>
          <w:szCs w:val="22"/>
          <w:lang w:eastAsia="en-GB"/>
        </w:rPr>
        <w:t xml:space="preserve"> around data protection to enhance understanding and trust in genomic medicine (Smith </w:t>
      </w:r>
      <w:r w:rsidRPr="00AF5705">
        <w:rPr>
          <w:rFonts w:eastAsia="Times New Roman" w:cs="Arial"/>
          <w:i/>
          <w:iCs/>
          <w:sz w:val="22"/>
          <w:szCs w:val="22"/>
          <w:lang w:eastAsia="en-GB"/>
        </w:rPr>
        <w:t>et al</w:t>
      </w:r>
      <w:r w:rsidRPr="00AF5705">
        <w:rPr>
          <w:rFonts w:eastAsia="Times New Roman" w:cs="Arial"/>
          <w:sz w:val="22"/>
          <w:szCs w:val="22"/>
          <w:lang w:eastAsia="en-GB"/>
        </w:rPr>
        <w:t>., 2025).</w:t>
      </w:r>
    </w:p>
    <w:p w14:paraId="6438B004" w14:textId="77777777" w:rsidR="00AF5705" w:rsidRPr="00AF5705" w:rsidRDefault="00AF5705" w:rsidP="00AF5705">
      <w:pPr>
        <w:spacing w:before="100" w:beforeAutospacing="1" w:after="100" w:afterAutospacing="1" w:line="360" w:lineRule="auto"/>
        <w:jc w:val="both"/>
        <w:rPr>
          <w:rFonts w:eastAsia="Times New Roman" w:cs="Arial"/>
          <w:b/>
          <w:bCs/>
          <w:sz w:val="22"/>
          <w:szCs w:val="22"/>
          <w:lang w:eastAsia="en-GB"/>
        </w:rPr>
      </w:pPr>
      <w:r w:rsidRPr="00AF5705">
        <w:rPr>
          <w:rFonts w:eastAsia="Times New Roman" w:cs="Arial"/>
          <w:b/>
          <w:bCs/>
          <w:sz w:val="22"/>
          <w:szCs w:val="22"/>
          <w:lang w:eastAsia="en-GB"/>
        </w:rPr>
        <w:t xml:space="preserve">6. </w:t>
      </w:r>
      <w:r w:rsidRPr="00AF5705">
        <w:rPr>
          <w:rFonts w:eastAsia="Times New Roman" w:cs="Arial"/>
          <w:i/>
          <w:iCs/>
          <w:sz w:val="22"/>
          <w:szCs w:val="22"/>
          <w:lang w:eastAsia="en-GB"/>
        </w:rPr>
        <w:t>Strategic Change Management and Leadership</w:t>
      </w:r>
    </w:p>
    <w:p w14:paraId="6DC57AD1" w14:textId="77777777" w:rsidR="00AF5705" w:rsidRPr="00AF5705" w:rsidRDefault="00AF5705" w:rsidP="00AF5705">
      <w:pPr>
        <w:numPr>
          <w:ilvl w:val="0"/>
          <w:numId w:val="14"/>
        </w:numPr>
        <w:spacing w:before="100" w:beforeAutospacing="1" w:after="100" w:afterAutospacing="1" w:line="360" w:lineRule="auto"/>
        <w:jc w:val="both"/>
        <w:rPr>
          <w:rFonts w:eastAsia="Times New Roman" w:cs="Arial"/>
          <w:sz w:val="22"/>
          <w:szCs w:val="22"/>
          <w:lang w:eastAsia="en-GB"/>
        </w:rPr>
      </w:pPr>
      <w:r w:rsidRPr="00AF5705">
        <w:rPr>
          <w:rFonts w:eastAsia="Times New Roman" w:cs="Arial"/>
          <w:b/>
          <w:bCs/>
          <w:sz w:val="22"/>
          <w:szCs w:val="22"/>
          <w:lang w:eastAsia="en-GB"/>
        </w:rPr>
        <w:t>Apply structured change management models</w:t>
      </w:r>
      <w:r w:rsidRPr="00AF5705">
        <w:rPr>
          <w:rFonts w:eastAsia="Times New Roman" w:cs="Arial"/>
          <w:sz w:val="22"/>
          <w:szCs w:val="22"/>
          <w:lang w:eastAsia="en-GB"/>
        </w:rPr>
        <w:t xml:space="preserve"> (e.g., Kotter’s 8-Step Process or Lewin’s Unfreeze–Change–Refreeze) to guide the ethical and organisational integration of genomics (Lewis </w:t>
      </w:r>
      <w:r w:rsidRPr="00AF5705">
        <w:rPr>
          <w:rFonts w:eastAsia="Times New Roman" w:cs="Arial"/>
          <w:i/>
          <w:iCs/>
          <w:sz w:val="22"/>
          <w:szCs w:val="22"/>
          <w:lang w:eastAsia="en-GB"/>
        </w:rPr>
        <w:t>et al</w:t>
      </w:r>
      <w:r w:rsidRPr="00AF5705">
        <w:rPr>
          <w:rFonts w:eastAsia="Times New Roman" w:cs="Arial"/>
          <w:sz w:val="22"/>
          <w:szCs w:val="22"/>
          <w:lang w:eastAsia="en-GB"/>
        </w:rPr>
        <w:t>., 2022).</w:t>
      </w:r>
    </w:p>
    <w:p w14:paraId="4C059D4F" w14:textId="77777777" w:rsidR="00AF5705" w:rsidRPr="00AF5705" w:rsidRDefault="00AF5705" w:rsidP="00AF5705">
      <w:pPr>
        <w:numPr>
          <w:ilvl w:val="0"/>
          <w:numId w:val="14"/>
        </w:numPr>
        <w:spacing w:before="100" w:beforeAutospacing="1" w:after="100" w:afterAutospacing="1" w:line="360" w:lineRule="auto"/>
        <w:jc w:val="both"/>
        <w:rPr>
          <w:rFonts w:eastAsia="Times New Roman" w:cs="Arial"/>
          <w:sz w:val="22"/>
          <w:szCs w:val="22"/>
          <w:lang w:eastAsia="en-GB"/>
        </w:rPr>
      </w:pPr>
      <w:r w:rsidRPr="00AF5705">
        <w:rPr>
          <w:rFonts w:eastAsia="Times New Roman" w:cs="Arial"/>
          <w:b/>
          <w:bCs/>
          <w:sz w:val="22"/>
          <w:szCs w:val="22"/>
          <w:lang w:eastAsia="en-GB"/>
        </w:rPr>
        <w:t>Foster a culture of learning and innovation</w:t>
      </w:r>
      <w:r w:rsidRPr="00AF5705">
        <w:rPr>
          <w:rFonts w:eastAsia="Times New Roman" w:cs="Arial"/>
          <w:sz w:val="22"/>
          <w:szCs w:val="22"/>
          <w:lang w:eastAsia="en-GB"/>
        </w:rPr>
        <w:t xml:space="preserve">, encouraging collaboration across disciplines and supporting staff during technological transitions (Smith </w:t>
      </w:r>
      <w:r w:rsidRPr="00AF5705">
        <w:rPr>
          <w:rFonts w:eastAsia="Times New Roman" w:cs="Arial"/>
          <w:i/>
          <w:iCs/>
          <w:sz w:val="22"/>
          <w:szCs w:val="22"/>
          <w:lang w:eastAsia="en-GB"/>
        </w:rPr>
        <w:t>et al</w:t>
      </w:r>
      <w:r w:rsidRPr="00AF5705">
        <w:rPr>
          <w:rFonts w:eastAsia="Times New Roman" w:cs="Arial"/>
          <w:sz w:val="22"/>
          <w:szCs w:val="22"/>
          <w:lang w:eastAsia="en-GB"/>
        </w:rPr>
        <w:t>., 2025).</w:t>
      </w:r>
    </w:p>
    <w:p w14:paraId="0E70C36F" w14:textId="77777777" w:rsidR="00AF5705" w:rsidRPr="00AF5705" w:rsidRDefault="00AF5705" w:rsidP="00AF5705">
      <w:pPr>
        <w:numPr>
          <w:ilvl w:val="0"/>
          <w:numId w:val="14"/>
        </w:numPr>
        <w:spacing w:before="100" w:beforeAutospacing="1" w:after="100" w:afterAutospacing="1" w:line="360" w:lineRule="auto"/>
        <w:jc w:val="both"/>
        <w:rPr>
          <w:rFonts w:eastAsia="Times New Roman" w:cs="Arial"/>
          <w:sz w:val="22"/>
          <w:szCs w:val="22"/>
          <w:lang w:eastAsia="en-GB"/>
        </w:rPr>
      </w:pPr>
      <w:r w:rsidRPr="00AF5705">
        <w:rPr>
          <w:rFonts w:eastAsia="Times New Roman" w:cs="Arial"/>
          <w:b/>
          <w:bCs/>
          <w:sz w:val="22"/>
          <w:szCs w:val="22"/>
          <w:lang w:eastAsia="en-GB"/>
        </w:rPr>
        <w:t>Engage stakeholders early and continuously</w:t>
      </w:r>
      <w:r w:rsidRPr="00AF5705">
        <w:rPr>
          <w:rFonts w:eastAsia="Times New Roman" w:cs="Arial"/>
          <w:sz w:val="22"/>
          <w:szCs w:val="22"/>
          <w:lang w:eastAsia="en-GB"/>
        </w:rPr>
        <w:t xml:space="preserve">, including clinicians, patients, and policy-makers, to align expectations and ensure sustainable adoption (Brown </w:t>
      </w:r>
      <w:r w:rsidRPr="00AF5705">
        <w:rPr>
          <w:rFonts w:eastAsia="Times New Roman" w:cs="Arial"/>
          <w:i/>
          <w:iCs/>
          <w:sz w:val="22"/>
          <w:szCs w:val="22"/>
          <w:lang w:eastAsia="en-GB"/>
        </w:rPr>
        <w:t>et al</w:t>
      </w:r>
      <w:r w:rsidRPr="00AF5705">
        <w:rPr>
          <w:rFonts w:eastAsia="Times New Roman" w:cs="Arial"/>
          <w:sz w:val="22"/>
          <w:szCs w:val="22"/>
          <w:lang w:eastAsia="en-GB"/>
        </w:rPr>
        <w:t>., 2024).</w:t>
      </w:r>
    </w:p>
    <w:p w14:paraId="6195B5CB" w14:textId="0A6FD83D" w:rsidR="00AF5705" w:rsidRPr="00AF5705" w:rsidRDefault="00AF5705" w:rsidP="00AF5705">
      <w:pPr>
        <w:numPr>
          <w:ilvl w:val="0"/>
          <w:numId w:val="14"/>
        </w:numPr>
        <w:spacing w:before="100" w:beforeAutospacing="1" w:after="100" w:afterAutospacing="1" w:line="360" w:lineRule="auto"/>
        <w:jc w:val="both"/>
        <w:rPr>
          <w:rFonts w:eastAsia="Times New Roman" w:cs="Arial"/>
          <w:sz w:val="22"/>
          <w:szCs w:val="22"/>
          <w:lang w:eastAsia="en-GB"/>
        </w:rPr>
      </w:pPr>
      <w:r w:rsidRPr="00AF5705">
        <w:rPr>
          <w:rFonts w:eastAsia="Times New Roman" w:cs="Arial"/>
          <w:b/>
          <w:bCs/>
          <w:sz w:val="22"/>
          <w:szCs w:val="22"/>
          <w:lang w:eastAsia="en-GB"/>
        </w:rPr>
        <w:t>Establish evaluation frameworks</w:t>
      </w:r>
      <w:r w:rsidRPr="00AF5705">
        <w:rPr>
          <w:rFonts w:eastAsia="Times New Roman" w:cs="Arial"/>
          <w:sz w:val="22"/>
          <w:szCs w:val="22"/>
          <w:lang w:eastAsia="en-GB"/>
        </w:rPr>
        <w:t xml:space="preserve"> to assess the long-term impact of change initiatives on workforce morale, patient outcomes, and service quality (Wright</w:t>
      </w:r>
      <w:r w:rsidR="009B31B6">
        <w:rPr>
          <w:rFonts w:eastAsia="Times New Roman" w:cs="Arial"/>
          <w:sz w:val="22"/>
          <w:szCs w:val="22"/>
          <w:lang w:eastAsia="en-GB"/>
        </w:rPr>
        <w:t xml:space="preserve"> </w:t>
      </w:r>
      <w:r w:rsidR="009B31B6">
        <w:rPr>
          <w:rFonts w:eastAsia="Times New Roman" w:cs="Arial"/>
          <w:i/>
          <w:iCs/>
          <w:sz w:val="22"/>
          <w:szCs w:val="22"/>
          <w:lang w:eastAsia="en-GB"/>
        </w:rPr>
        <w:t>et al.</w:t>
      </w:r>
      <w:r w:rsidRPr="00AF5705">
        <w:rPr>
          <w:rFonts w:eastAsia="Times New Roman" w:cs="Arial"/>
          <w:sz w:val="22"/>
          <w:szCs w:val="22"/>
          <w:lang w:eastAsia="en-GB"/>
        </w:rPr>
        <w:t>, 2023).</w:t>
      </w:r>
    </w:p>
    <w:p w14:paraId="476C060F" w14:textId="77777777" w:rsidR="00AF5705" w:rsidRPr="00AF5705" w:rsidRDefault="00AF5705" w:rsidP="00AF5705">
      <w:pPr>
        <w:spacing w:before="100" w:beforeAutospacing="1" w:after="100" w:afterAutospacing="1" w:line="360" w:lineRule="auto"/>
        <w:jc w:val="both"/>
        <w:rPr>
          <w:rFonts w:eastAsia="Times New Roman" w:cs="Arial"/>
          <w:b/>
          <w:bCs/>
          <w:sz w:val="22"/>
          <w:szCs w:val="22"/>
          <w:lang w:eastAsia="en-GB"/>
        </w:rPr>
      </w:pPr>
      <w:r w:rsidRPr="00AF5705">
        <w:rPr>
          <w:rFonts w:eastAsia="Times New Roman" w:cs="Arial"/>
          <w:b/>
          <w:bCs/>
          <w:sz w:val="22"/>
          <w:szCs w:val="22"/>
          <w:lang w:eastAsia="en-GB"/>
        </w:rPr>
        <w:t xml:space="preserve">7. </w:t>
      </w:r>
      <w:r w:rsidRPr="00AF5705">
        <w:rPr>
          <w:rFonts w:eastAsia="Times New Roman" w:cs="Arial"/>
          <w:i/>
          <w:iCs/>
          <w:sz w:val="22"/>
          <w:szCs w:val="22"/>
          <w:lang w:eastAsia="en-GB"/>
        </w:rPr>
        <w:t>Economic Sustainability</w:t>
      </w:r>
    </w:p>
    <w:p w14:paraId="16315B12" w14:textId="77777777" w:rsidR="00AF5705" w:rsidRPr="00AF5705" w:rsidRDefault="00AF5705" w:rsidP="00AF5705">
      <w:pPr>
        <w:numPr>
          <w:ilvl w:val="0"/>
          <w:numId w:val="15"/>
        </w:numPr>
        <w:spacing w:before="100" w:beforeAutospacing="1" w:after="100" w:afterAutospacing="1" w:line="360" w:lineRule="auto"/>
        <w:jc w:val="both"/>
        <w:rPr>
          <w:rFonts w:eastAsia="Times New Roman" w:cs="Arial"/>
          <w:sz w:val="22"/>
          <w:szCs w:val="22"/>
          <w:lang w:eastAsia="en-GB"/>
        </w:rPr>
      </w:pPr>
      <w:r w:rsidRPr="00AF5705">
        <w:rPr>
          <w:rFonts w:eastAsia="Times New Roman" w:cs="Arial"/>
          <w:b/>
          <w:bCs/>
          <w:sz w:val="22"/>
          <w:szCs w:val="22"/>
          <w:lang w:eastAsia="en-GB"/>
        </w:rPr>
        <w:t>Conduct longitudinal cost–benefit analyses</w:t>
      </w:r>
      <w:r w:rsidRPr="00AF5705">
        <w:rPr>
          <w:rFonts w:eastAsia="Times New Roman" w:cs="Arial"/>
          <w:sz w:val="22"/>
          <w:szCs w:val="22"/>
          <w:lang w:eastAsia="en-GB"/>
        </w:rPr>
        <w:t xml:space="preserve"> to assess real-world economic outcomes and inform future funding models (Auton </w:t>
      </w:r>
      <w:r w:rsidRPr="00AF5705">
        <w:rPr>
          <w:rFonts w:eastAsia="Times New Roman" w:cs="Arial"/>
          <w:i/>
          <w:iCs/>
          <w:sz w:val="22"/>
          <w:szCs w:val="22"/>
          <w:lang w:eastAsia="en-GB"/>
        </w:rPr>
        <w:t>et al</w:t>
      </w:r>
      <w:r w:rsidRPr="00AF5705">
        <w:rPr>
          <w:rFonts w:eastAsia="Times New Roman" w:cs="Arial"/>
          <w:sz w:val="22"/>
          <w:szCs w:val="22"/>
          <w:lang w:eastAsia="en-GB"/>
        </w:rPr>
        <w:t>., 2021).</w:t>
      </w:r>
    </w:p>
    <w:p w14:paraId="7E7F9169" w14:textId="77777777" w:rsidR="00AF5705" w:rsidRPr="00AF5705" w:rsidRDefault="00AF5705" w:rsidP="00AF5705">
      <w:pPr>
        <w:numPr>
          <w:ilvl w:val="0"/>
          <w:numId w:val="15"/>
        </w:numPr>
        <w:spacing w:before="100" w:beforeAutospacing="1" w:after="100" w:afterAutospacing="1" w:line="360" w:lineRule="auto"/>
        <w:jc w:val="both"/>
        <w:rPr>
          <w:rFonts w:eastAsia="Times New Roman" w:cs="Arial"/>
          <w:sz w:val="22"/>
          <w:szCs w:val="22"/>
          <w:lang w:eastAsia="en-GB"/>
        </w:rPr>
      </w:pPr>
      <w:r w:rsidRPr="00AF5705">
        <w:rPr>
          <w:rFonts w:eastAsia="Times New Roman" w:cs="Arial"/>
          <w:b/>
          <w:bCs/>
          <w:sz w:val="22"/>
          <w:szCs w:val="22"/>
          <w:lang w:eastAsia="en-GB"/>
        </w:rPr>
        <w:t>Prioritise high-impact use cases</w:t>
      </w:r>
      <w:r w:rsidRPr="00AF5705">
        <w:rPr>
          <w:rFonts w:eastAsia="Times New Roman" w:cs="Arial"/>
          <w:sz w:val="22"/>
          <w:szCs w:val="22"/>
          <w:lang w:eastAsia="en-GB"/>
        </w:rPr>
        <w:t xml:space="preserve"> (e.g., paediatric rare diseases and oncology) to maximise clinical and financial efficiency (Smith </w:t>
      </w:r>
      <w:r w:rsidRPr="00AF5705">
        <w:rPr>
          <w:rFonts w:eastAsia="Times New Roman" w:cs="Arial"/>
          <w:i/>
          <w:iCs/>
          <w:sz w:val="22"/>
          <w:szCs w:val="22"/>
          <w:lang w:eastAsia="en-GB"/>
        </w:rPr>
        <w:t>et al</w:t>
      </w:r>
      <w:r w:rsidRPr="00AF5705">
        <w:rPr>
          <w:rFonts w:eastAsia="Times New Roman" w:cs="Arial"/>
          <w:sz w:val="22"/>
          <w:szCs w:val="22"/>
          <w:lang w:eastAsia="en-GB"/>
        </w:rPr>
        <w:t>., 2025).</w:t>
      </w:r>
    </w:p>
    <w:p w14:paraId="7EFA5B1B" w14:textId="131A1733" w:rsidR="00AF5705" w:rsidRPr="00AF5705" w:rsidRDefault="00AF5705" w:rsidP="00C54570">
      <w:pPr>
        <w:numPr>
          <w:ilvl w:val="0"/>
          <w:numId w:val="15"/>
        </w:numPr>
        <w:spacing w:before="100" w:beforeAutospacing="1" w:after="100" w:afterAutospacing="1" w:line="360" w:lineRule="auto"/>
        <w:jc w:val="both"/>
        <w:rPr>
          <w:rFonts w:eastAsia="Times New Roman" w:cs="Arial"/>
          <w:sz w:val="22"/>
          <w:szCs w:val="22"/>
          <w:lang w:eastAsia="en-GB"/>
        </w:rPr>
      </w:pPr>
      <w:r w:rsidRPr="00AF5705">
        <w:rPr>
          <w:rFonts w:eastAsia="Times New Roman" w:cs="Arial"/>
          <w:b/>
          <w:bCs/>
          <w:sz w:val="22"/>
          <w:szCs w:val="22"/>
          <w:lang w:eastAsia="en-GB"/>
        </w:rPr>
        <w:t>Leverage public–private partnerships</w:t>
      </w:r>
      <w:r w:rsidRPr="00AF5705">
        <w:rPr>
          <w:rFonts w:eastAsia="Times New Roman" w:cs="Arial"/>
          <w:sz w:val="22"/>
          <w:szCs w:val="22"/>
          <w:lang w:eastAsia="en-GB"/>
        </w:rPr>
        <w:t xml:space="preserve"> responsibly to expand capacity while maintaining ethical oversight and public accountability (Brown </w:t>
      </w:r>
      <w:r w:rsidRPr="00AF5705">
        <w:rPr>
          <w:rFonts w:eastAsia="Times New Roman" w:cs="Arial"/>
          <w:i/>
          <w:iCs/>
          <w:sz w:val="22"/>
          <w:szCs w:val="22"/>
          <w:lang w:eastAsia="en-GB"/>
        </w:rPr>
        <w:t>et al</w:t>
      </w:r>
      <w:r w:rsidRPr="00AF5705">
        <w:rPr>
          <w:rFonts w:eastAsia="Times New Roman" w:cs="Arial"/>
          <w:sz w:val="22"/>
          <w:szCs w:val="22"/>
          <w:lang w:eastAsia="en-GB"/>
        </w:rPr>
        <w:t>., 2024).</w:t>
      </w:r>
    </w:p>
    <w:p w14:paraId="0015271D" w14:textId="14B8B571" w:rsidR="00CE1E4A" w:rsidRDefault="00CE1E4A" w:rsidP="00C40370">
      <w:pPr>
        <w:spacing w:before="100" w:beforeAutospacing="1" w:after="100" w:afterAutospacing="1" w:line="360" w:lineRule="auto"/>
        <w:jc w:val="both"/>
        <w:rPr>
          <w:rFonts w:eastAsia="Times New Roman" w:cs="Arial"/>
          <w:sz w:val="22"/>
          <w:szCs w:val="22"/>
          <w:lang w:eastAsia="en-GB"/>
        </w:rPr>
      </w:pPr>
    </w:p>
    <w:p w14:paraId="1ED0E931" w14:textId="77777777" w:rsidR="001E5350" w:rsidRDefault="001E5350" w:rsidP="00C40370">
      <w:pPr>
        <w:spacing w:before="100" w:beforeAutospacing="1" w:after="100" w:afterAutospacing="1" w:line="360" w:lineRule="auto"/>
        <w:jc w:val="both"/>
        <w:rPr>
          <w:rFonts w:eastAsia="Times New Roman" w:cs="Arial"/>
          <w:sz w:val="22"/>
          <w:szCs w:val="22"/>
          <w:lang w:eastAsia="en-GB"/>
        </w:rPr>
      </w:pPr>
    </w:p>
    <w:p w14:paraId="3454AB32" w14:textId="77777777" w:rsidR="001E5350" w:rsidRDefault="001E5350" w:rsidP="00C40370">
      <w:pPr>
        <w:spacing w:before="100" w:beforeAutospacing="1" w:after="100" w:afterAutospacing="1" w:line="360" w:lineRule="auto"/>
        <w:jc w:val="both"/>
        <w:rPr>
          <w:rFonts w:eastAsia="Times New Roman" w:cs="Arial"/>
          <w:sz w:val="22"/>
          <w:szCs w:val="22"/>
          <w:lang w:eastAsia="en-GB"/>
        </w:rPr>
      </w:pPr>
    </w:p>
    <w:p w14:paraId="23377EAD" w14:textId="77777777" w:rsidR="001E5350" w:rsidRDefault="001E5350" w:rsidP="00C40370">
      <w:pPr>
        <w:spacing w:before="100" w:beforeAutospacing="1" w:after="100" w:afterAutospacing="1" w:line="360" w:lineRule="auto"/>
        <w:jc w:val="both"/>
        <w:rPr>
          <w:rFonts w:eastAsia="Times New Roman" w:cs="Arial"/>
          <w:sz w:val="22"/>
          <w:szCs w:val="22"/>
          <w:lang w:eastAsia="en-GB"/>
        </w:rPr>
      </w:pPr>
    </w:p>
    <w:p w14:paraId="583F245F" w14:textId="77777777" w:rsidR="001E5350" w:rsidRDefault="001E5350" w:rsidP="00C40370">
      <w:pPr>
        <w:spacing w:before="100" w:beforeAutospacing="1" w:after="100" w:afterAutospacing="1" w:line="360" w:lineRule="auto"/>
        <w:jc w:val="both"/>
        <w:rPr>
          <w:rFonts w:eastAsia="Times New Roman" w:cs="Arial"/>
          <w:sz w:val="22"/>
          <w:szCs w:val="22"/>
          <w:lang w:eastAsia="en-GB"/>
        </w:rPr>
      </w:pPr>
    </w:p>
    <w:p w14:paraId="73C2C55D" w14:textId="77777777" w:rsidR="00C54570" w:rsidRDefault="00C54570" w:rsidP="00C40370">
      <w:pPr>
        <w:spacing w:before="100" w:beforeAutospacing="1" w:after="100" w:afterAutospacing="1" w:line="360" w:lineRule="auto"/>
        <w:jc w:val="both"/>
        <w:rPr>
          <w:rFonts w:eastAsia="Times New Roman" w:cs="Arial"/>
          <w:sz w:val="22"/>
          <w:szCs w:val="22"/>
          <w:lang w:eastAsia="en-GB"/>
        </w:rPr>
      </w:pPr>
    </w:p>
    <w:p w14:paraId="7E623164" w14:textId="77777777" w:rsidR="00D510D1" w:rsidRPr="00CE4C82" w:rsidRDefault="00D510D1" w:rsidP="00C40370">
      <w:pPr>
        <w:spacing w:before="100" w:beforeAutospacing="1" w:after="100" w:afterAutospacing="1" w:line="360" w:lineRule="auto"/>
        <w:jc w:val="both"/>
        <w:rPr>
          <w:rFonts w:eastAsia="Times New Roman" w:cs="Arial"/>
          <w:sz w:val="22"/>
          <w:szCs w:val="22"/>
          <w:lang w:eastAsia="en-GB"/>
        </w:rPr>
      </w:pPr>
    </w:p>
    <w:p w14:paraId="3203A2FB" w14:textId="4089C03C" w:rsidR="00CE4C82" w:rsidRPr="004151DE" w:rsidRDefault="003D602E" w:rsidP="00CE4C82">
      <w:pPr>
        <w:spacing w:before="100" w:beforeAutospacing="1" w:after="100" w:afterAutospacing="1" w:line="360" w:lineRule="auto"/>
        <w:jc w:val="both"/>
        <w:outlineLvl w:val="1"/>
        <w:rPr>
          <w:rFonts w:eastAsia="Times New Roman" w:cs="Arial"/>
          <w:b/>
          <w:bCs/>
          <w:color w:val="0070C0"/>
          <w:sz w:val="22"/>
          <w:szCs w:val="22"/>
          <w:lang w:eastAsia="en-GB"/>
        </w:rPr>
      </w:pPr>
      <w:r>
        <w:rPr>
          <w:rFonts w:eastAsia="Times New Roman" w:cs="Arial"/>
          <w:b/>
          <w:bCs/>
          <w:color w:val="0070C0"/>
          <w:sz w:val="22"/>
          <w:szCs w:val="22"/>
          <w:lang w:eastAsia="en-GB"/>
        </w:rPr>
        <w:t>1</w:t>
      </w:r>
      <w:r w:rsidR="00C54570">
        <w:rPr>
          <w:rFonts w:eastAsia="Times New Roman" w:cs="Arial"/>
          <w:b/>
          <w:bCs/>
          <w:color w:val="0070C0"/>
          <w:sz w:val="22"/>
          <w:szCs w:val="22"/>
          <w:lang w:eastAsia="en-GB"/>
        </w:rPr>
        <w:t>1</w:t>
      </w:r>
      <w:r w:rsidR="00CE4C82" w:rsidRPr="004151DE">
        <w:rPr>
          <w:rFonts w:eastAsia="Times New Roman" w:cs="Arial"/>
          <w:b/>
          <w:bCs/>
          <w:color w:val="0070C0"/>
          <w:sz w:val="22"/>
          <w:szCs w:val="22"/>
          <w:lang w:eastAsia="en-GB"/>
        </w:rPr>
        <w:t xml:space="preserve">. </w:t>
      </w:r>
      <w:r w:rsidR="00CE4C82" w:rsidRPr="004151DE">
        <w:rPr>
          <w:rFonts w:eastAsia="Times New Roman" w:cs="Arial"/>
          <w:b/>
          <w:bCs/>
          <w:color w:val="0070C0"/>
          <w:sz w:val="28"/>
          <w:szCs w:val="28"/>
          <w:lang w:eastAsia="en-GB"/>
        </w:rPr>
        <w:t>Conclusion</w:t>
      </w:r>
    </w:p>
    <w:p w14:paraId="509032D3" w14:textId="77777777" w:rsidR="00CE4C82" w:rsidRPr="00CE4C82" w:rsidRDefault="00CE4C82" w:rsidP="00CE4C82">
      <w:pPr>
        <w:spacing w:before="100" w:beforeAutospacing="1" w:after="100" w:afterAutospacing="1" w:line="360" w:lineRule="auto"/>
        <w:jc w:val="both"/>
        <w:rPr>
          <w:rFonts w:eastAsia="Times New Roman" w:cs="Arial"/>
          <w:sz w:val="22"/>
          <w:szCs w:val="22"/>
          <w:lang w:eastAsia="en-GB"/>
        </w:rPr>
      </w:pPr>
      <w:r w:rsidRPr="00CE4C82">
        <w:rPr>
          <w:rFonts w:eastAsia="Times New Roman" w:cs="Arial"/>
          <w:sz w:val="22"/>
          <w:szCs w:val="22"/>
          <w:lang w:eastAsia="en-GB"/>
        </w:rPr>
        <w:t>Whole-genome sequencing through the NHS Genomic Medicine Service represents a landmark digital transformation in UK healthcare. It exemplifies how technology, data, and human expertise can converge to deliver personalised, predictive, and preventive medicine. The implementation has been largely successful in integrating genomics into routine care, improving diagnostic accuracy, and empowering patients.</w:t>
      </w:r>
    </w:p>
    <w:p w14:paraId="46FAB8F8" w14:textId="77777777" w:rsidR="00CE4C82" w:rsidRPr="00CE4C82" w:rsidRDefault="00CE4C82" w:rsidP="00CE4C82">
      <w:pPr>
        <w:spacing w:before="100" w:beforeAutospacing="1" w:after="100" w:afterAutospacing="1" w:line="360" w:lineRule="auto"/>
        <w:jc w:val="both"/>
        <w:rPr>
          <w:rFonts w:eastAsia="Times New Roman" w:cs="Arial"/>
          <w:sz w:val="22"/>
          <w:szCs w:val="22"/>
          <w:lang w:eastAsia="en-GB"/>
        </w:rPr>
      </w:pPr>
      <w:r w:rsidRPr="00CE4C82">
        <w:rPr>
          <w:rFonts w:eastAsia="Times New Roman" w:cs="Arial"/>
          <w:sz w:val="22"/>
          <w:szCs w:val="22"/>
          <w:lang w:eastAsia="en-GB"/>
        </w:rPr>
        <w:t>However, this transformation is not without challenges. Workforce shortages, variable genomic literacy, ethical complexities, and potential inequities threaten to undermine progress. Moreover, high operational costs and data governance concerns demand sustained oversight and public trust.</w:t>
      </w:r>
    </w:p>
    <w:p w14:paraId="3B763C46" w14:textId="001BD492" w:rsidR="00CE4C82" w:rsidRDefault="00CE4C82" w:rsidP="00C40370">
      <w:pPr>
        <w:spacing w:before="100" w:beforeAutospacing="1" w:after="100" w:afterAutospacing="1" w:line="360" w:lineRule="auto"/>
        <w:jc w:val="both"/>
        <w:rPr>
          <w:rFonts w:eastAsia="Times New Roman" w:cs="Arial"/>
          <w:sz w:val="22"/>
          <w:szCs w:val="22"/>
          <w:lang w:eastAsia="en-GB"/>
        </w:rPr>
      </w:pPr>
      <w:r w:rsidRPr="00CE4C82">
        <w:rPr>
          <w:rFonts w:eastAsia="Times New Roman" w:cs="Arial"/>
          <w:sz w:val="22"/>
          <w:szCs w:val="22"/>
          <w:lang w:eastAsia="en-GB"/>
        </w:rPr>
        <w:t>To maximise the benefits, the NHS must continue investing in workforce development, digital infrastructure, and public engagement, while maintaining transparency and ethical integrity. If these priorities are met, genomics will not only transform healthcare but also redefine the social contract between citizens and the NHS, positioning the UK as a world leader in equitable genomic medicine.</w:t>
      </w:r>
    </w:p>
    <w:p w14:paraId="2C2BAF8F" w14:textId="77777777" w:rsidR="00ED38A6" w:rsidRDefault="00ED38A6" w:rsidP="00C40370">
      <w:pPr>
        <w:spacing w:before="100" w:beforeAutospacing="1" w:after="100" w:afterAutospacing="1" w:line="360" w:lineRule="auto"/>
        <w:jc w:val="both"/>
        <w:rPr>
          <w:rFonts w:eastAsia="Times New Roman" w:cs="Arial"/>
          <w:sz w:val="22"/>
          <w:szCs w:val="22"/>
          <w:lang w:eastAsia="en-GB"/>
        </w:rPr>
      </w:pPr>
    </w:p>
    <w:p w14:paraId="0BCDD2E3" w14:textId="77777777" w:rsidR="00ED38A6" w:rsidRDefault="00ED38A6" w:rsidP="00C40370">
      <w:pPr>
        <w:spacing w:before="100" w:beforeAutospacing="1" w:after="100" w:afterAutospacing="1" w:line="360" w:lineRule="auto"/>
        <w:jc w:val="both"/>
        <w:rPr>
          <w:rFonts w:eastAsia="Times New Roman" w:cs="Arial"/>
          <w:sz w:val="22"/>
          <w:szCs w:val="22"/>
          <w:lang w:eastAsia="en-GB"/>
        </w:rPr>
      </w:pPr>
    </w:p>
    <w:p w14:paraId="51D78222" w14:textId="77777777" w:rsidR="00ED38A6" w:rsidRDefault="00ED38A6" w:rsidP="00C40370">
      <w:pPr>
        <w:spacing w:before="100" w:beforeAutospacing="1" w:after="100" w:afterAutospacing="1" w:line="360" w:lineRule="auto"/>
        <w:jc w:val="both"/>
        <w:rPr>
          <w:rFonts w:eastAsia="Times New Roman" w:cs="Arial"/>
          <w:sz w:val="22"/>
          <w:szCs w:val="22"/>
          <w:lang w:eastAsia="en-GB"/>
        </w:rPr>
      </w:pPr>
    </w:p>
    <w:p w14:paraId="44F1915E" w14:textId="77777777" w:rsidR="001E5350" w:rsidRDefault="001E5350" w:rsidP="00C40370">
      <w:pPr>
        <w:spacing w:before="100" w:beforeAutospacing="1" w:after="100" w:afterAutospacing="1" w:line="360" w:lineRule="auto"/>
        <w:jc w:val="both"/>
        <w:rPr>
          <w:rFonts w:eastAsia="Times New Roman" w:cs="Arial"/>
          <w:sz w:val="22"/>
          <w:szCs w:val="22"/>
          <w:lang w:eastAsia="en-GB"/>
        </w:rPr>
      </w:pPr>
    </w:p>
    <w:p w14:paraId="7934FD1F" w14:textId="77777777" w:rsidR="00ED38A6" w:rsidRDefault="00ED38A6" w:rsidP="00C40370">
      <w:pPr>
        <w:spacing w:before="100" w:beforeAutospacing="1" w:after="100" w:afterAutospacing="1" w:line="360" w:lineRule="auto"/>
        <w:jc w:val="both"/>
        <w:rPr>
          <w:rFonts w:eastAsia="Times New Roman" w:cs="Arial"/>
          <w:sz w:val="22"/>
          <w:szCs w:val="22"/>
          <w:lang w:eastAsia="en-GB"/>
        </w:rPr>
      </w:pPr>
    </w:p>
    <w:p w14:paraId="19C63A85" w14:textId="77777777" w:rsidR="00807DD8" w:rsidRDefault="00807DD8" w:rsidP="00C40370">
      <w:pPr>
        <w:spacing w:before="100" w:beforeAutospacing="1" w:after="100" w:afterAutospacing="1" w:line="360" w:lineRule="auto"/>
        <w:jc w:val="both"/>
        <w:rPr>
          <w:rFonts w:eastAsia="Times New Roman" w:cs="Arial"/>
          <w:sz w:val="22"/>
          <w:szCs w:val="22"/>
          <w:lang w:eastAsia="en-GB"/>
        </w:rPr>
      </w:pPr>
    </w:p>
    <w:p w14:paraId="2A94D695" w14:textId="77777777" w:rsidR="00807DD8" w:rsidRDefault="00807DD8" w:rsidP="00C40370">
      <w:pPr>
        <w:spacing w:before="100" w:beforeAutospacing="1" w:after="100" w:afterAutospacing="1" w:line="360" w:lineRule="auto"/>
        <w:jc w:val="both"/>
        <w:rPr>
          <w:rFonts w:eastAsia="Times New Roman" w:cs="Arial"/>
          <w:sz w:val="22"/>
          <w:szCs w:val="22"/>
          <w:lang w:eastAsia="en-GB"/>
        </w:rPr>
      </w:pPr>
    </w:p>
    <w:p w14:paraId="2798DC43" w14:textId="77777777" w:rsidR="00807DD8" w:rsidRDefault="00807DD8" w:rsidP="00C40370">
      <w:pPr>
        <w:spacing w:before="100" w:beforeAutospacing="1" w:after="100" w:afterAutospacing="1" w:line="360" w:lineRule="auto"/>
        <w:jc w:val="both"/>
        <w:rPr>
          <w:rFonts w:eastAsia="Times New Roman" w:cs="Arial"/>
          <w:sz w:val="22"/>
          <w:szCs w:val="22"/>
          <w:lang w:eastAsia="en-GB"/>
        </w:rPr>
      </w:pPr>
    </w:p>
    <w:p w14:paraId="6C9672ED" w14:textId="77777777" w:rsidR="00807DD8" w:rsidRDefault="00807DD8" w:rsidP="00C40370">
      <w:pPr>
        <w:spacing w:before="100" w:beforeAutospacing="1" w:after="100" w:afterAutospacing="1" w:line="360" w:lineRule="auto"/>
        <w:jc w:val="both"/>
        <w:rPr>
          <w:rFonts w:eastAsia="Times New Roman" w:cs="Arial"/>
          <w:sz w:val="22"/>
          <w:szCs w:val="22"/>
          <w:lang w:eastAsia="en-GB"/>
        </w:rPr>
      </w:pPr>
    </w:p>
    <w:p w14:paraId="18611FE6" w14:textId="25134340" w:rsidR="00ED38A6" w:rsidRPr="00CE4C82" w:rsidRDefault="008B5F46" w:rsidP="008B5F46">
      <w:pPr>
        <w:tabs>
          <w:tab w:val="left" w:pos="6240"/>
        </w:tabs>
        <w:spacing w:before="100" w:beforeAutospacing="1" w:after="100" w:afterAutospacing="1" w:line="360" w:lineRule="auto"/>
        <w:jc w:val="both"/>
        <w:rPr>
          <w:rFonts w:eastAsia="Times New Roman" w:cs="Arial"/>
          <w:sz w:val="22"/>
          <w:szCs w:val="22"/>
          <w:lang w:eastAsia="en-GB"/>
        </w:rPr>
      </w:pPr>
      <w:r>
        <w:rPr>
          <w:rFonts w:eastAsia="Times New Roman" w:cs="Arial"/>
          <w:sz w:val="22"/>
          <w:szCs w:val="22"/>
          <w:lang w:eastAsia="en-GB"/>
        </w:rPr>
        <w:tab/>
      </w:r>
    </w:p>
    <w:p w14:paraId="53B1C1FD" w14:textId="35480905" w:rsidR="00210412" w:rsidRPr="00750242" w:rsidRDefault="00CE4C82" w:rsidP="00750242">
      <w:pPr>
        <w:spacing w:before="100" w:beforeAutospacing="1" w:after="100" w:afterAutospacing="1" w:line="360" w:lineRule="auto"/>
        <w:jc w:val="both"/>
        <w:outlineLvl w:val="1"/>
        <w:rPr>
          <w:rFonts w:eastAsia="Times New Roman" w:cs="Arial"/>
          <w:b/>
          <w:bCs/>
          <w:color w:val="0070C0"/>
          <w:sz w:val="28"/>
          <w:szCs w:val="28"/>
          <w:lang w:eastAsia="en-GB"/>
        </w:rPr>
      </w:pPr>
      <w:r w:rsidRPr="004151DE">
        <w:rPr>
          <w:rFonts w:eastAsia="Times New Roman" w:cs="Arial"/>
          <w:b/>
          <w:bCs/>
          <w:color w:val="0070C0"/>
          <w:sz w:val="28"/>
          <w:szCs w:val="28"/>
          <w:lang w:eastAsia="en-GB"/>
        </w:rPr>
        <w:lastRenderedPageBreak/>
        <w:t>References</w:t>
      </w:r>
    </w:p>
    <w:p w14:paraId="6C2E9F9E" w14:textId="77777777" w:rsidR="00581CF0" w:rsidRPr="00205279" w:rsidRDefault="00581CF0" w:rsidP="00205279">
      <w:pPr>
        <w:pStyle w:val="NormalWeb"/>
        <w:numPr>
          <w:ilvl w:val="0"/>
          <w:numId w:val="5"/>
        </w:numPr>
        <w:spacing w:line="360" w:lineRule="auto"/>
        <w:jc w:val="both"/>
        <w:rPr>
          <w:rFonts w:ascii="Arial" w:hAnsi="Arial" w:cs="Arial"/>
          <w:sz w:val="22"/>
          <w:szCs w:val="22"/>
        </w:rPr>
      </w:pPr>
      <w:r w:rsidRPr="00205279">
        <w:rPr>
          <w:rFonts w:ascii="Arial" w:hAnsi="Arial" w:cs="Arial"/>
          <w:sz w:val="22"/>
          <w:szCs w:val="22"/>
        </w:rPr>
        <w:t xml:space="preserve">Auton, A. </w:t>
      </w:r>
      <w:r w:rsidRPr="007B7F55">
        <w:rPr>
          <w:rFonts w:ascii="Arial" w:hAnsi="Arial" w:cs="Arial"/>
          <w:i/>
          <w:iCs/>
          <w:sz w:val="22"/>
          <w:szCs w:val="22"/>
        </w:rPr>
        <w:t>et al</w:t>
      </w:r>
      <w:r w:rsidRPr="00205279">
        <w:rPr>
          <w:rFonts w:ascii="Arial" w:hAnsi="Arial" w:cs="Arial"/>
          <w:sz w:val="22"/>
          <w:szCs w:val="22"/>
        </w:rPr>
        <w:t xml:space="preserve">., 2021. </w:t>
      </w:r>
      <w:r w:rsidRPr="00205279">
        <w:rPr>
          <w:rStyle w:val="Emphasis"/>
          <w:rFonts w:ascii="Arial" w:hAnsi="Arial" w:cs="Arial"/>
          <w:sz w:val="22"/>
          <w:szCs w:val="22"/>
        </w:rPr>
        <w:t>Whole-genome sequencing of patients with rare diseases in a national health system</w:t>
      </w:r>
      <w:r w:rsidRPr="00205279">
        <w:rPr>
          <w:rFonts w:ascii="Arial" w:hAnsi="Arial" w:cs="Arial"/>
          <w:sz w:val="22"/>
          <w:szCs w:val="22"/>
        </w:rPr>
        <w:t xml:space="preserve">. Nature, 590(7845), pp.277–284. Available at: </w:t>
      </w:r>
      <w:hyperlink r:id="rId13" w:history="1">
        <w:r w:rsidRPr="00205279">
          <w:rPr>
            <w:rStyle w:val="Hyperlink"/>
            <w:rFonts w:ascii="Arial" w:hAnsi="Arial" w:cs="Arial"/>
            <w:sz w:val="22"/>
            <w:szCs w:val="22"/>
          </w:rPr>
          <w:t>https://doi.org/10.1038/s41586-021-03569-1</w:t>
        </w:r>
      </w:hyperlink>
      <w:r w:rsidRPr="00205279">
        <w:rPr>
          <w:rFonts w:ascii="Arial" w:hAnsi="Arial" w:cs="Arial"/>
          <w:sz w:val="22"/>
          <w:szCs w:val="22"/>
        </w:rPr>
        <w:t xml:space="preserve"> </w:t>
      </w:r>
    </w:p>
    <w:p w14:paraId="53AE6489" w14:textId="77777777" w:rsidR="00581CF0" w:rsidRPr="00205279" w:rsidRDefault="00581CF0" w:rsidP="00205279">
      <w:pPr>
        <w:pStyle w:val="ListParagraph"/>
        <w:numPr>
          <w:ilvl w:val="0"/>
          <w:numId w:val="5"/>
        </w:numPr>
        <w:spacing w:before="0" w:after="0" w:line="360" w:lineRule="auto"/>
        <w:jc w:val="both"/>
        <w:rPr>
          <w:rFonts w:eastAsia="Times New Roman" w:cs="Arial"/>
          <w:color w:val="000000" w:themeColor="text1"/>
          <w:sz w:val="22"/>
          <w:szCs w:val="22"/>
          <w:lang w:eastAsia="en-GB"/>
        </w:rPr>
      </w:pPr>
      <w:proofErr w:type="spellStart"/>
      <w:r w:rsidRPr="00205279">
        <w:rPr>
          <w:rFonts w:eastAsia="Times New Roman" w:cs="Arial"/>
          <w:color w:val="000000" w:themeColor="text1"/>
          <w:sz w:val="22"/>
          <w:szCs w:val="22"/>
          <w:lang w:eastAsia="en-GB"/>
        </w:rPr>
        <w:t>Benestan</w:t>
      </w:r>
      <w:proofErr w:type="spellEnd"/>
      <w:r w:rsidRPr="00205279">
        <w:rPr>
          <w:rFonts w:eastAsia="Times New Roman" w:cs="Arial"/>
          <w:color w:val="000000" w:themeColor="text1"/>
          <w:sz w:val="22"/>
          <w:szCs w:val="22"/>
          <w:lang w:eastAsia="en-GB"/>
        </w:rPr>
        <w:t xml:space="preserve">, L. </w:t>
      </w:r>
      <w:r w:rsidRPr="00205279">
        <w:rPr>
          <w:rFonts w:eastAsia="Times New Roman" w:cs="Arial"/>
          <w:i/>
          <w:iCs/>
          <w:color w:val="000000" w:themeColor="text1"/>
          <w:sz w:val="22"/>
          <w:szCs w:val="22"/>
          <w:lang w:eastAsia="en-GB"/>
        </w:rPr>
        <w:t>et al.</w:t>
      </w:r>
      <w:r w:rsidRPr="00205279">
        <w:rPr>
          <w:rFonts w:eastAsia="Times New Roman" w:cs="Arial"/>
          <w:color w:val="000000" w:themeColor="text1"/>
          <w:sz w:val="22"/>
          <w:szCs w:val="22"/>
          <w:lang w:eastAsia="en-GB"/>
        </w:rPr>
        <w:t xml:space="preserve"> (2026) ‘Using a comprehensive donor and host dataset to decipher the heritability and genetic architecture of pearl traits in the black-lipped oyster (Pinctada </w:t>
      </w:r>
      <w:proofErr w:type="spellStart"/>
      <w:r w:rsidRPr="00205279">
        <w:rPr>
          <w:rFonts w:eastAsia="Times New Roman" w:cs="Arial"/>
          <w:color w:val="000000" w:themeColor="text1"/>
          <w:sz w:val="22"/>
          <w:szCs w:val="22"/>
          <w:lang w:eastAsia="en-GB"/>
        </w:rPr>
        <w:t>margaritifera</w:t>
      </w:r>
      <w:proofErr w:type="spellEnd"/>
      <w:r w:rsidRPr="00205279">
        <w:rPr>
          <w:rFonts w:eastAsia="Times New Roman" w:cs="Arial"/>
          <w:color w:val="000000" w:themeColor="text1"/>
          <w:sz w:val="22"/>
          <w:szCs w:val="22"/>
          <w:lang w:eastAsia="en-GB"/>
        </w:rPr>
        <w:t xml:space="preserve">)’, </w:t>
      </w:r>
      <w:r w:rsidRPr="00205279">
        <w:rPr>
          <w:rFonts w:eastAsia="Times New Roman" w:cs="Arial"/>
          <w:i/>
          <w:iCs/>
          <w:color w:val="000000" w:themeColor="text1"/>
          <w:sz w:val="22"/>
          <w:szCs w:val="22"/>
          <w:lang w:eastAsia="en-GB"/>
        </w:rPr>
        <w:t>Aquaculture</w:t>
      </w:r>
      <w:r w:rsidRPr="00205279">
        <w:rPr>
          <w:rFonts w:eastAsia="Times New Roman" w:cs="Arial"/>
          <w:color w:val="000000" w:themeColor="text1"/>
          <w:sz w:val="22"/>
          <w:szCs w:val="22"/>
          <w:lang w:eastAsia="en-GB"/>
        </w:rPr>
        <w:t xml:space="preserve">, 610. Available at: </w:t>
      </w:r>
      <w:hyperlink r:id="rId14" w:history="1">
        <w:r w:rsidRPr="00205279">
          <w:rPr>
            <w:rStyle w:val="Hyperlink"/>
            <w:rFonts w:eastAsia="Times New Roman" w:cs="Arial"/>
            <w:color w:val="000000" w:themeColor="text1"/>
            <w:sz w:val="22"/>
            <w:szCs w:val="22"/>
            <w:lang w:eastAsia="en-GB"/>
          </w:rPr>
          <w:t>https://doi.org/10.1016/j.aquaculture.2025.742837</w:t>
        </w:r>
      </w:hyperlink>
      <w:r w:rsidRPr="00205279">
        <w:rPr>
          <w:rFonts w:eastAsia="Times New Roman" w:cs="Arial"/>
          <w:color w:val="000000" w:themeColor="text1"/>
          <w:sz w:val="22"/>
          <w:szCs w:val="22"/>
          <w:lang w:eastAsia="en-GB"/>
        </w:rPr>
        <w:t xml:space="preserve">.    </w:t>
      </w:r>
    </w:p>
    <w:p w14:paraId="6453CA96" w14:textId="77777777" w:rsidR="00581CF0" w:rsidRPr="00205279" w:rsidRDefault="00581CF0" w:rsidP="00205279">
      <w:pPr>
        <w:pStyle w:val="NormalWeb"/>
        <w:numPr>
          <w:ilvl w:val="0"/>
          <w:numId w:val="5"/>
        </w:numPr>
        <w:spacing w:line="360" w:lineRule="auto"/>
        <w:jc w:val="both"/>
        <w:rPr>
          <w:rFonts w:ascii="Arial" w:hAnsi="Arial" w:cs="Arial"/>
          <w:sz w:val="22"/>
          <w:szCs w:val="22"/>
        </w:rPr>
      </w:pPr>
      <w:r w:rsidRPr="00205279">
        <w:rPr>
          <w:rFonts w:ascii="Arial" w:hAnsi="Arial" w:cs="Arial"/>
          <w:sz w:val="22"/>
          <w:szCs w:val="22"/>
        </w:rPr>
        <w:t xml:space="preserve">Brown, M. et al., 2024. </w:t>
      </w:r>
      <w:r w:rsidRPr="00205279">
        <w:rPr>
          <w:rStyle w:val="Emphasis"/>
          <w:rFonts w:ascii="Arial" w:hAnsi="Arial" w:cs="Arial"/>
          <w:sz w:val="22"/>
          <w:szCs w:val="22"/>
        </w:rPr>
        <w:t>Identifying barriers and opportunities to facilitate the uptake of whole genome sequencing in paediatric haematology and oncology practice</w:t>
      </w:r>
      <w:r w:rsidRPr="00205279">
        <w:rPr>
          <w:rFonts w:ascii="Arial" w:hAnsi="Arial" w:cs="Arial"/>
          <w:sz w:val="22"/>
          <w:szCs w:val="22"/>
        </w:rPr>
        <w:t xml:space="preserve">. BMC Medical Education, 24, p.1273. Available at: </w:t>
      </w:r>
      <w:hyperlink r:id="rId15" w:history="1">
        <w:r w:rsidRPr="00205279">
          <w:rPr>
            <w:rStyle w:val="Hyperlink"/>
            <w:rFonts w:ascii="Arial" w:hAnsi="Arial" w:cs="Arial"/>
            <w:sz w:val="22"/>
            <w:szCs w:val="22"/>
          </w:rPr>
          <w:t>https://doi.org/10.1186/s12909-024-06219-y</w:t>
        </w:r>
      </w:hyperlink>
      <w:r w:rsidRPr="00205279">
        <w:rPr>
          <w:rFonts w:ascii="Arial" w:hAnsi="Arial" w:cs="Arial"/>
          <w:sz w:val="22"/>
          <w:szCs w:val="22"/>
        </w:rPr>
        <w:t xml:space="preserve"> </w:t>
      </w:r>
    </w:p>
    <w:p w14:paraId="7D8FCF21" w14:textId="77777777" w:rsidR="00581CF0" w:rsidRPr="00205279" w:rsidRDefault="00581CF0" w:rsidP="00205279">
      <w:pPr>
        <w:numPr>
          <w:ilvl w:val="0"/>
          <w:numId w:val="5"/>
        </w:numPr>
        <w:spacing w:before="100" w:beforeAutospacing="1" w:after="100" w:afterAutospacing="1" w:line="360" w:lineRule="auto"/>
        <w:jc w:val="both"/>
        <w:rPr>
          <w:rFonts w:eastAsia="Times New Roman" w:cs="Arial"/>
          <w:sz w:val="22"/>
          <w:szCs w:val="22"/>
          <w:lang w:eastAsia="en-GB"/>
        </w:rPr>
      </w:pPr>
      <w:r w:rsidRPr="00205279">
        <w:rPr>
          <w:rFonts w:eastAsia="Times New Roman" w:cs="Arial"/>
          <w:sz w:val="22"/>
          <w:szCs w:val="22"/>
          <w:lang w:eastAsia="en-GB"/>
        </w:rPr>
        <w:t xml:space="preserve">Cummings, T.G., Bridgman, T. and Brown, K.G. (2020) ‘Unfreezing change as three steps: Rethinking Kurt Lewin’s legacy for change management’, </w:t>
      </w:r>
      <w:r w:rsidRPr="00205279">
        <w:rPr>
          <w:rFonts w:eastAsia="Times New Roman" w:cs="Arial"/>
          <w:i/>
          <w:iCs/>
          <w:sz w:val="22"/>
          <w:szCs w:val="22"/>
          <w:lang w:eastAsia="en-GB"/>
        </w:rPr>
        <w:t>Human Relations</w:t>
      </w:r>
      <w:r w:rsidRPr="00205279">
        <w:rPr>
          <w:rFonts w:eastAsia="Times New Roman" w:cs="Arial"/>
          <w:sz w:val="22"/>
          <w:szCs w:val="22"/>
          <w:lang w:eastAsia="en-GB"/>
        </w:rPr>
        <w:t>, 73(1), pp. 35–55.</w:t>
      </w:r>
    </w:p>
    <w:p w14:paraId="110A21BF" w14:textId="77777777" w:rsidR="00581CF0" w:rsidRPr="00205279" w:rsidRDefault="00581CF0" w:rsidP="00205279">
      <w:pPr>
        <w:pStyle w:val="ListParagraph"/>
        <w:numPr>
          <w:ilvl w:val="0"/>
          <w:numId w:val="5"/>
        </w:numPr>
        <w:spacing w:before="100" w:beforeAutospacing="1" w:after="100" w:afterAutospacing="1" w:line="360" w:lineRule="auto"/>
        <w:jc w:val="both"/>
        <w:rPr>
          <w:rFonts w:eastAsia="Times New Roman" w:cs="Arial"/>
          <w:sz w:val="22"/>
          <w:szCs w:val="22"/>
          <w:lang w:eastAsia="en-GB"/>
        </w:rPr>
      </w:pPr>
      <w:r w:rsidRPr="00205279">
        <w:rPr>
          <w:rFonts w:eastAsia="Times New Roman" w:cs="Arial"/>
          <w:sz w:val="22"/>
          <w:szCs w:val="22"/>
          <w:lang w:eastAsia="en-GB"/>
        </w:rPr>
        <w:t xml:space="preserve">Ćwiklicki, M., Duplaga, M., </w:t>
      </w:r>
      <w:r w:rsidRPr="00205279">
        <w:rPr>
          <w:rFonts w:eastAsia="Times New Roman" w:cs="Arial"/>
          <w:sz w:val="22"/>
          <w:szCs w:val="22"/>
          <w:lang w:eastAsia="en-GB"/>
        </w:rPr>
        <w:t>and</w:t>
      </w:r>
      <w:r w:rsidRPr="00205279">
        <w:rPr>
          <w:rFonts w:eastAsia="Times New Roman" w:cs="Arial"/>
          <w:sz w:val="22"/>
          <w:szCs w:val="22"/>
          <w:lang w:eastAsia="en-GB"/>
        </w:rPr>
        <w:t xml:space="preserve"> Klich, J. (Eds.). (2021). The Digital Transformation of Healthcare: Health 4.0 (1st ed.). Routledge. </w:t>
      </w:r>
      <w:hyperlink r:id="rId16" w:history="1">
        <w:r w:rsidRPr="00205279">
          <w:rPr>
            <w:rStyle w:val="Hyperlink"/>
            <w:rFonts w:eastAsia="Times New Roman" w:cs="Arial"/>
            <w:sz w:val="22"/>
            <w:szCs w:val="22"/>
            <w:lang w:eastAsia="en-GB"/>
          </w:rPr>
          <w:t>https://doi.org/10.4324/978</w:t>
        </w:r>
        <w:r w:rsidRPr="00205279">
          <w:rPr>
            <w:rStyle w:val="Hyperlink"/>
            <w:rFonts w:eastAsia="Times New Roman" w:cs="Arial"/>
            <w:sz w:val="22"/>
            <w:szCs w:val="22"/>
            <w:lang w:eastAsia="en-GB"/>
          </w:rPr>
          <w:t>1</w:t>
        </w:r>
        <w:r w:rsidRPr="00205279">
          <w:rPr>
            <w:rStyle w:val="Hyperlink"/>
            <w:rFonts w:eastAsia="Times New Roman" w:cs="Arial"/>
            <w:sz w:val="22"/>
            <w:szCs w:val="22"/>
            <w:lang w:eastAsia="en-GB"/>
          </w:rPr>
          <w:t>003144403</w:t>
        </w:r>
      </w:hyperlink>
      <w:r w:rsidRPr="00205279">
        <w:rPr>
          <w:rFonts w:eastAsia="Times New Roman" w:cs="Arial"/>
          <w:sz w:val="22"/>
          <w:szCs w:val="22"/>
          <w:lang w:eastAsia="en-GB"/>
        </w:rPr>
        <w:t xml:space="preserve"> (Accessed on: 04 November 2025).</w:t>
      </w:r>
    </w:p>
    <w:p w14:paraId="4CBD607F" w14:textId="77777777" w:rsidR="00581CF0" w:rsidRPr="00205279" w:rsidRDefault="00581CF0" w:rsidP="00205279">
      <w:pPr>
        <w:pStyle w:val="ListParagraph"/>
        <w:numPr>
          <w:ilvl w:val="0"/>
          <w:numId w:val="5"/>
        </w:numPr>
        <w:spacing w:before="100" w:beforeAutospacing="1" w:after="100" w:afterAutospacing="1" w:line="360" w:lineRule="auto"/>
        <w:jc w:val="both"/>
        <w:rPr>
          <w:rFonts w:eastAsia="Times New Roman" w:cs="Arial"/>
          <w:sz w:val="22"/>
          <w:szCs w:val="22"/>
          <w:lang w:eastAsia="en-GB"/>
        </w:rPr>
      </w:pPr>
      <w:r w:rsidRPr="00205279">
        <w:rPr>
          <w:rFonts w:eastAsia="Times New Roman" w:cs="Arial"/>
          <w:sz w:val="22"/>
          <w:szCs w:val="22"/>
          <w:lang w:eastAsia="en-GB"/>
        </w:rPr>
        <w:t xml:space="preserve"> Friedrich, B.; </w:t>
      </w:r>
      <w:proofErr w:type="spellStart"/>
      <w:r w:rsidRPr="00205279">
        <w:rPr>
          <w:rFonts w:eastAsia="Times New Roman" w:cs="Arial"/>
          <w:sz w:val="22"/>
          <w:szCs w:val="22"/>
          <w:lang w:eastAsia="en-GB"/>
        </w:rPr>
        <w:t>Vindrola-Padros</w:t>
      </w:r>
      <w:proofErr w:type="spellEnd"/>
      <w:r w:rsidRPr="00205279">
        <w:rPr>
          <w:rFonts w:eastAsia="Times New Roman" w:cs="Arial"/>
          <w:sz w:val="22"/>
          <w:szCs w:val="22"/>
          <w:lang w:eastAsia="en-GB"/>
        </w:rPr>
        <w:t xml:space="preserve">, C.; Lucassen, A. M.; Patch, C.; Clarke, A.; </w:t>
      </w:r>
      <w:proofErr w:type="spellStart"/>
      <w:r w:rsidRPr="00205279">
        <w:rPr>
          <w:rFonts w:eastAsia="Times New Roman" w:cs="Arial"/>
          <w:sz w:val="22"/>
          <w:szCs w:val="22"/>
          <w:lang w:eastAsia="en-GB"/>
        </w:rPr>
        <w:t>Lakhanpaul</w:t>
      </w:r>
      <w:proofErr w:type="spellEnd"/>
      <w:r w:rsidRPr="00205279">
        <w:rPr>
          <w:rFonts w:eastAsia="Times New Roman" w:cs="Arial"/>
          <w:sz w:val="22"/>
          <w:szCs w:val="22"/>
          <w:lang w:eastAsia="en-GB"/>
        </w:rPr>
        <w:t xml:space="preserve">, M. and Lewis, C. (2024) ‘“A very big challenge”: a qualitative study to explore the early barriers and enablers to implementing a national genomic medicine service in England’, </w:t>
      </w:r>
      <w:r w:rsidRPr="00205279">
        <w:rPr>
          <w:rFonts w:eastAsia="Times New Roman" w:cs="Arial"/>
          <w:i/>
          <w:iCs/>
          <w:sz w:val="22"/>
          <w:szCs w:val="22"/>
          <w:lang w:eastAsia="en-GB"/>
        </w:rPr>
        <w:t>Frontiers in genetics</w:t>
      </w:r>
      <w:r w:rsidRPr="00205279">
        <w:rPr>
          <w:rFonts w:eastAsia="Times New Roman" w:cs="Arial"/>
          <w:sz w:val="22"/>
          <w:szCs w:val="22"/>
          <w:lang w:eastAsia="en-GB"/>
        </w:rPr>
        <w:t xml:space="preserve">, 14. Available at: </w:t>
      </w:r>
      <w:hyperlink r:id="rId17" w:history="1">
        <w:r w:rsidRPr="00205279">
          <w:rPr>
            <w:rStyle w:val="Hyperlink"/>
            <w:rFonts w:eastAsia="Times New Roman" w:cs="Arial"/>
            <w:sz w:val="22"/>
            <w:szCs w:val="22"/>
            <w:lang w:eastAsia="en-GB"/>
          </w:rPr>
          <w:t>https://doi.org/10.3389/fgene.2023.1282034</w:t>
        </w:r>
      </w:hyperlink>
      <w:r w:rsidRPr="00205279">
        <w:rPr>
          <w:rFonts w:eastAsia="Times New Roman" w:cs="Arial"/>
          <w:sz w:val="22"/>
          <w:szCs w:val="22"/>
          <w:lang w:eastAsia="en-GB"/>
        </w:rPr>
        <w:t xml:space="preserve">. </w:t>
      </w:r>
    </w:p>
    <w:p w14:paraId="182BC640" w14:textId="77777777" w:rsidR="00581CF0" w:rsidRPr="00205279" w:rsidRDefault="00581CF0" w:rsidP="00205279">
      <w:pPr>
        <w:pStyle w:val="ListParagraph"/>
        <w:numPr>
          <w:ilvl w:val="0"/>
          <w:numId w:val="5"/>
        </w:numPr>
        <w:spacing w:before="100" w:beforeAutospacing="1" w:after="100" w:afterAutospacing="1" w:line="360" w:lineRule="auto"/>
        <w:jc w:val="both"/>
        <w:rPr>
          <w:rFonts w:eastAsia="Times New Roman" w:cs="Arial"/>
          <w:sz w:val="22"/>
          <w:szCs w:val="22"/>
          <w:lang w:eastAsia="en-GB"/>
        </w:rPr>
      </w:pPr>
      <w:r w:rsidRPr="00205279">
        <w:rPr>
          <w:rFonts w:eastAsia="Times New Roman" w:cs="Arial"/>
          <w:sz w:val="22"/>
          <w:szCs w:val="22"/>
          <w:lang w:eastAsia="en-GB"/>
        </w:rPr>
        <w:t xml:space="preserve">Genomics England (2023) </w:t>
      </w:r>
      <w:r w:rsidRPr="00205279">
        <w:rPr>
          <w:rFonts w:eastAsia="Times New Roman" w:cs="Arial"/>
          <w:i/>
          <w:iCs/>
          <w:sz w:val="22"/>
          <w:szCs w:val="22"/>
          <w:lang w:eastAsia="en-GB"/>
        </w:rPr>
        <w:t>National Genomic Research Library Overview</w:t>
      </w:r>
      <w:r w:rsidRPr="00205279">
        <w:rPr>
          <w:rFonts w:eastAsia="Times New Roman" w:cs="Arial"/>
          <w:sz w:val="22"/>
          <w:szCs w:val="22"/>
          <w:lang w:eastAsia="en-GB"/>
        </w:rPr>
        <w:t xml:space="preserve">. Available at: </w:t>
      </w:r>
      <w:hyperlink r:id="rId18" w:history="1">
        <w:r w:rsidRPr="00205279">
          <w:rPr>
            <w:rFonts w:eastAsia="Times New Roman" w:cs="Arial"/>
            <w:color w:val="0000FF"/>
            <w:sz w:val="22"/>
            <w:szCs w:val="22"/>
            <w:u w:val="single"/>
            <w:lang w:eastAsia="en-GB"/>
          </w:rPr>
          <w:t>https://www.genomicsengland.co.uk</w:t>
        </w:r>
      </w:hyperlink>
      <w:r w:rsidRPr="00205279">
        <w:rPr>
          <w:rFonts w:cs="Arial"/>
          <w:sz w:val="22"/>
          <w:szCs w:val="22"/>
        </w:rPr>
        <w:t xml:space="preserve"> </w:t>
      </w:r>
    </w:p>
    <w:p w14:paraId="62613E1E" w14:textId="77777777" w:rsidR="00581CF0" w:rsidRPr="00205279" w:rsidRDefault="00581CF0" w:rsidP="00205279">
      <w:pPr>
        <w:pStyle w:val="ListParagraph"/>
        <w:numPr>
          <w:ilvl w:val="0"/>
          <w:numId w:val="5"/>
        </w:numPr>
        <w:spacing w:before="100" w:beforeAutospacing="1" w:after="100" w:afterAutospacing="1" w:line="360" w:lineRule="auto"/>
        <w:jc w:val="both"/>
        <w:rPr>
          <w:rFonts w:eastAsia="Times New Roman" w:cs="Arial"/>
          <w:sz w:val="22"/>
          <w:szCs w:val="22"/>
          <w:lang w:eastAsia="en-GB"/>
        </w:rPr>
      </w:pPr>
      <w:r w:rsidRPr="00205279">
        <w:rPr>
          <w:rFonts w:eastAsia="Times New Roman" w:cs="Arial"/>
          <w:sz w:val="22"/>
          <w:szCs w:val="22"/>
          <w:lang w:eastAsia="en-GB"/>
        </w:rPr>
        <w:t xml:space="preserve">Health Education England (2023) </w:t>
      </w:r>
      <w:r w:rsidRPr="00205279">
        <w:rPr>
          <w:rFonts w:eastAsia="Times New Roman" w:cs="Arial"/>
          <w:i/>
          <w:iCs/>
          <w:sz w:val="22"/>
          <w:szCs w:val="22"/>
          <w:lang w:eastAsia="en-GB"/>
        </w:rPr>
        <w:t>Genomics Education Programme: Annual Review 2023</w:t>
      </w:r>
      <w:r w:rsidRPr="00205279">
        <w:rPr>
          <w:rFonts w:eastAsia="Times New Roman" w:cs="Arial"/>
          <w:sz w:val="22"/>
          <w:szCs w:val="22"/>
          <w:lang w:eastAsia="en-GB"/>
        </w:rPr>
        <w:t xml:space="preserve">. Available at: </w:t>
      </w:r>
      <w:hyperlink r:id="rId19" w:history="1">
        <w:r w:rsidRPr="00205279">
          <w:rPr>
            <w:rFonts w:eastAsia="Times New Roman" w:cs="Arial"/>
            <w:color w:val="0000FF"/>
            <w:sz w:val="22"/>
            <w:szCs w:val="22"/>
            <w:u w:val="single"/>
            <w:lang w:eastAsia="en-GB"/>
          </w:rPr>
          <w:t>https://www.genomicseducation.hee.nhs.uk</w:t>
        </w:r>
      </w:hyperlink>
    </w:p>
    <w:p w14:paraId="4798FFEE" w14:textId="77777777" w:rsidR="00581CF0" w:rsidRPr="00205279" w:rsidRDefault="00581CF0" w:rsidP="00205279">
      <w:pPr>
        <w:numPr>
          <w:ilvl w:val="0"/>
          <w:numId w:val="5"/>
        </w:numPr>
        <w:spacing w:before="100" w:beforeAutospacing="1" w:after="100" w:afterAutospacing="1" w:line="360" w:lineRule="auto"/>
        <w:jc w:val="both"/>
        <w:rPr>
          <w:rFonts w:eastAsia="Times New Roman" w:cs="Arial"/>
          <w:sz w:val="22"/>
          <w:szCs w:val="22"/>
          <w:lang w:eastAsia="en-GB"/>
        </w:rPr>
      </w:pPr>
      <w:r w:rsidRPr="00205279">
        <w:rPr>
          <w:rFonts w:eastAsia="Times New Roman" w:cs="Arial"/>
          <w:sz w:val="22"/>
          <w:szCs w:val="22"/>
          <w:lang w:eastAsia="en-GB"/>
        </w:rPr>
        <w:t xml:space="preserve">IHSCM (2025) </w:t>
      </w:r>
      <w:r w:rsidRPr="00205279">
        <w:rPr>
          <w:rFonts w:eastAsia="Times New Roman" w:cs="Arial"/>
          <w:i/>
          <w:iCs/>
          <w:sz w:val="22"/>
          <w:szCs w:val="22"/>
          <w:lang w:eastAsia="en-GB"/>
        </w:rPr>
        <w:t>Certificate of Attendance: How to Effectively Manage Change</w:t>
      </w:r>
      <w:r w:rsidRPr="00205279">
        <w:rPr>
          <w:rFonts w:eastAsia="Times New Roman" w:cs="Arial"/>
          <w:sz w:val="22"/>
          <w:szCs w:val="22"/>
          <w:lang w:eastAsia="en-GB"/>
        </w:rPr>
        <w:t>. Institute of Health &amp; Social Care Management, 22 January 2025.</w:t>
      </w:r>
    </w:p>
    <w:p w14:paraId="539F310A" w14:textId="77777777" w:rsidR="00581CF0" w:rsidRPr="00205279" w:rsidRDefault="00581CF0" w:rsidP="00205279">
      <w:pPr>
        <w:pStyle w:val="ListParagraph"/>
        <w:numPr>
          <w:ilvl w:val="0"/>
          <w:numId w:val="5"/>
        </w:numPr>
        <w:spacing w:before="0" w:after="0" w:line="360" w:lineRule="auto"/>
        <w:jc w:val="both"/>
        <w:rPr>
          <w:rFonts w:eastAsia="Times New Roman" w:cs="Arial"/>
          <w:sz w:val="22"/>
          <w:szCs w:val="22"/>
          <w:lang w:eastAsia="en-GB"/>
        </w:rPr>
      </w:pPr>
      <w:r w:rsidRPr="00205279">
        <w:rPr>
          <w:rFonts w:eastAsia="Times New Roman" w:cs="Arial"/>
          <w:sz w:val="22"/>
          <w:szCs w:val="22"/>
          <w:lang w:eastAsia="en-GB"/>
        </w:rPr>
        <w:t xml:space="preserve">Kaushik, K. </w:t>
      </w:r>
      <w:r w:rsidRPr="00205279">
        <w:rPr>
          <w:rFonts w:eastAsia="Times New Roman" w:cs="Arial"/>
          <w:i/>
          <w:iCs/>
          <w:sz w:val="22"/>
          <w:szCs w:val="22"/>
          <w:lang w:eastAsia="en-GB"/>
        </w:rPr>
        <w:t>et al.</w:t>
      </w:r>
      <w:r w:rsidRPr="00205279">
        <w:rPr>
          <w:rFonts w:eastAsia="Times New Roman" w:cs="Arial"/>
          <w:sz w:val="22"/>
          <w:szCs w:val="22"/>
          <w:lang w:eastAsia="en-GB"/>
        </w:rPr>
        <w:t xml:space="preserve"> (2023) </w:t>
      </w:r>
      <w:r w:rsidRPr="00205279">
        <w:rPr>
          <w:rFonts w:eastAsia="Times New Roman" w:cs="Arial"/>
          <w:i/>
          <w:iCs/>
          <w:sz w:val="22"/>
          <w:szCs w:val="22"/>
          <w:lang w:eastAsia="en-GB"/>
        </w:rPr>
        <w:t>Revolutionising Healthcare Through Artificial Intelligence and Internet of Things Applications</w:t>
      </w:r>
      <w:r w:rsidRPr="00205279">
        <w:rPr>
          <w:rFonts w:eastAsia="Times New Roman" w:cs="Arial"/>
          <w:sz w:val="22"/>
          <w:szCs w:val="22"/>
          <w:lang w:eastAsia="en-GB"/>
        </w:rPr>
        <w:t xml:space="preserve">. 1st </w:t>
      </w:r>
      <w:proofErr w:type="spellStart"/>
      <w:r w:rsidRPr="00205279">
        <w:rPr>
          <w:rFonts w:eastAsia="Times New Roman" w:cs="Arial"/>
          <w:sz w:val="22"/>
          <w:szCs w:val="22"/>
          <w:lang w:eastAsia="en-GB"/>
        </w:rPr>
        <w:t>edn</w:t>
      </w:r>
      <w:proofErr w:type="spellEnd"/>
      <w:r w:rsidRPr="00205279">
        <w:rPr>
          <w:rFonts w:eastAsia="Times New Roman" w:cs="Arial"/>
          <w:sz w:val="22"/>
          <w:szCs w:val="22"/>
          <w:lang w:eastAsia="en-GB"/>
        </w:rPr>
        <w:t xml:space="preserve">. Hershey: IGI Global. Available at: </w:t>
      </w:r>
      <w:hyperlink r:id="rId20" w:history="1">
        <w:r w:rsidRPr="00205279">
          <w:rPr>
            <w:rStyle w:val="Hyperlink"/>
            <w:rFonts w:eastAsia="Times New Roman" w:cs="Arial"/>
            <w:sz w:val="22"/>
            <w:szCs w:val="22"/>
            <w:lang w:eastAsia="en-GB"/>
          </w:rPr>
          <w:t>https://doi.org/10.4018/978-1-6684-5422-0</w:t>
        </w:r>
      </w:hyperlink>
      <w:r w:rsidRPr="00205279">
        <w:rPr>
          <w:rFonts w:eastAsia="Times New Roman" w:cs="Arial"/>
          <w:sz w:val="22"/>
          <w:szCs w:val="22"/>
          <w:lang w:eastAsia="en-GB"/>
        </w:rPr>
        <w:t>. (Accessed on: 23 October 2025).</w:t>
      </w:r>
    </w:p>
    <w:p w14:paraId="1D2935D6" w14:textId="77777777" w:rsidR="00581CF0" w:rsidRPr="00205279" w:rsidRDefault="00581CF0" w:rsidP="00205279">
      <w:pPr>
        <w:numPr>
          <w:ilvl w:val="0"/>
          <w:numId w:val="5"/>
        </w:numPr>
        <w:spacing w:before="100" w:beforeAutospacing="1" w:after="100" w:afterAutospacing="1" w:line="360" w:lineRule="auto"/>
        <w:jc w:val="both"/>
        <w:rPr>
          <w:rFonts w:eastAsia="Times New Roman" w:cs="Arial"/>
          <w:sz w:val="22"/>
          <w:szCs w:val="22"/>
          <w:lang w:eastAsia="en-GB"/>
        </w:rPr>
      </w:pPr>
      <w:r w:rsidRPr="00205279">
        <w:rPr>
          <w:rFonts w:eastAsia="Times New Roman" w:cs="Arial"/>
          <w:sz w:val="22"/>
          <w:szCs w:val="22"/>
          <w:lang w:eastAsia="en-GB"/>
        </w:rPr>
        <w:t xml:space="preserve">Kotter, J.P. (2018). </w:t>
      </w:r>
      <w:r w:rsidRPr="00205279">
        <w:rPr>
          <w:rFonts w:eastAsia="Times New Roman" w:cs="Arial"/>
          <w:i/>
          <w:iCs/>
          <w:sz w:val="22"/>
          <w:szCs w:val="22"/>
          <w:lang w:eastAsia="en-GB"/>
        </w:rPr>
        <w:t>Accelerate: Building Strategic Agility for a Faster-Moving World</w:t>
      </w:r>
      <w:r w:rsidRPr="00205279">
        <w:rPr>
          <w:rFonts w:eastAsia="Times New Roman" w:cs="Arial"/>
          <w:sz w:val="22"/>
          <w:szCs w:val="22"/>
          <w:lang w:eastAsia="en-GB"/>
        </w:rPr>
        <w:t>. Boston: Harvard Business Review Press.</w:t>
      </w:r>
    </w:p>
    <w:p w14:paraId="5103071E" w14:textId="77777777" w:rsidR="00581CF0" w:rsidRPr="00205279" w:rsidRDefault="00581CF0" w:rsidP="00205279">
      <w:pPr>
        <w:numPr>
          <w:ilvl w:val="0"/>
          <w:numId w:val="5"/>
        </w:numPr>
        <w:spacing w:before="100" w:beforeAutospacing="1" w:after="100" w:afterAutospacing="1" w:line="360" w:lineRule="auto"/>
        <w:jc w:val="both"/>
        <w:rPr>
          <w:rFonts w:eastAsia="Times New Roman" w:cs="Arial"/>
          <w:sz w:val="22"/>
          <w:szCs w:val="22"/>
          <w:lang w:eastAsia="en-GB"/>
        </w:rPr>
      </w:pPr>
      <w:r w:rsidRPr="00205279">
        <w:rPr>
          <w:rFonts w:eastAsia="Times New Roman" w:cs="Arial"/>
          <w:sz w:val="22"/>
          <w:szCs w:val="22"/>
          <w:lang w:eastAsia="en-GB"/>
        </w:rPr>
        <w:t xml:space="preserve">Laskowski, N.M. </w:t>
      </w:r>
      <w:r w:rsidRPr="00205279">
        <w:rPr>
          <w:rFonts w:eastAsia="Times New Roman" w:cs="Arial"/>
          <w:i/>
          <w:iCs/>
          <w:sz w:val="22"/>
          <w:szCs w:val="22"/>
          <w:lang w:eastAsia="en-GB"/>
        </w:rPr>
        <w:t>et al.</w:t>
      </w:r>
      <w:r w:rsidRPr="00205279">
        <w:rPr>
          <w:rFonts w:eastAsia="Times New Roman" w:cs="Arial"/>
          <w:sz w:val="22"/>
          <w:szCs w:val="22"/>
          <w:lang w:eastAsia="en-GB"/>
        </w:rPr>
        <w:t xml:space="preserve"> (2025) ‘Variation Exists in Service Delivery: Similarities and Differences in the Provision of a Whole Genome Sequencing Service for Paediatric </w:t>
      </w:r>
      <w:r w:rsidRPr="00205279">
        <w:rPr>
          <w:rFonts w:eastAsia="Times New Roman" w:cs="Arial"/>
          <w:sz w:val="22"/>
          <w:szCs w:val="22"/>
          <w:lang w:eastAsia="en-GB"/>
        </w:rPr>
        <w:lastRenderedPageBreak/>
        <w:t xml:space="preserve">Rare Disease Patients in the National Health Service in England’, </w:t>
      </w:r>
      <w:r w:rsidRPr="00205279">
        <w:rPr>
          <w:rFonts w:eastAsia="Times New Roman" w:cs="Arial"/>
          <w:i/>
          <w:iCs/>
          <w:sz w:val="22"/>
          <w:szCs w:val="22"/>
          <w:lang w:eastAsia="en-GB"/>
        </w:rPr>
        <w:t>Public health genomics</w:t>
      </w:r>
      <w:r w:rsidRPr="00205279">
        <w:rPr>
          <w:rFonts w:eastAsia="Times New Roman" w:cs="Arial"/>
          <w:sz w:val="22"/>
          <w:szCs w:val="22"/>
          <w:lang w:eastAsia="en-GB"/>
        </w:rPr>
        <w:t xml:space="preserve">, 28(1), pp. 1–18. Available at: </w:t>
      </w:r>
      <w:hyperlink r:id="rId21" w:history="1">
        <w:r w:rsidRPr="00205279">
          <w:rPr>
            <w:rStyle w:val="Hyperlink"/>
            <w:rFonts w:eastAsia="Times New Roman" w:cs="Arial"/>
            <w:sz w:val="22"/>
            <w:szCs w:val="22"/>
            <w:lang w:eastAsia="en-GB"/>
          </w:rPr>
          <w:t>https://doi.org/10.1159/000542027</w:t>
        </w:r>
      </w:hyperlink>
      <w:r w:rsidRPr="00205279">
        <w:rPr>
          <w:rFonts w:eastAsia="Times New Roman" w:cs="Arial"/>
          <w:sz w:val="22"/>
          <w:szCs w:val="22"/>
          <w:lang w:eastAsia="en-GB"/>
        </w:rPr>
        <w:t xml:space="preserve">. </w:t>
      </w:r>
    </w:p>
    <w:p w14:paraId="7C34E276" w14:textId="77777777" w:rsidR="00581CF0" w:rsidRPr="00205279" w:rsidRDefault="00581CF0" w:rsidP="00205279">
      <w:pPr>
        <w:pStyle w:val="NormalWeb"/>
        <w:numPr>
          <w:ilvl w:val="0"/>
          <w:numId w:val="5"/>
        </w:numPr>
        <w:spacing w:line="360" w:lineRule="auto"/>
        <w:jc w:val="both"/>
        <w:rPr>
          <w:rFonts w:ascii="Arial" w:hAnsi="Arial" w:cs="Arial"/>
          <w:sz w:val="22"/>
          <w:szCs w:val="22"/>
        </w:rPr>
      </w:pPr>
      <w:r w:rsidRPr="00205279">
        <w:rPr>
          <w:rFonts w:ascii="Arial" w:hAnsi="Arial" w:cs="Arial"/>
          <w:sz w:val="22"/>
          <w:szCs w:val="22"/>
        </w:rPr>
        <w:t xml:space="preserve">Lewis, C., Buchanan, J., Clarke, A. </w:t>
      </w:r>
      <w:r w:rsidRPr="007B7F55">
        <w:rPr>
          <w:rFonts w:ascii="Arial" w:hAnsi="Arial" w:cs="Arial"/>
          <w:i/>
          <w:iCs/>
          <w:sz w:val="22"/>
          <w:szCs w:val="22"/>
        </w:rPr>
        <w:t>et al</w:t>
      </w:r>
      <w:r w:rsidRPr="00205279">
        <w:rPr>
          <w:rFonts w:ascii="Arial" w:hAnsi="Arial" w:cs="Arial"/>
          <w:sz w:val="22"/>
          <w:szCs w:val="22"/>
        </w:rPr>
        <w:t xml:space="preserve">., 2022. </w:t>
      </w:r>
      <w:r w:rsidRPr="00205279">
        <w:rPr>
          <w:rStyle w:val="Emphasis"/>
          <w:rFonts w:ascii="Arial" w:hAnsi="Arial" w:cs="Arial"/>
          <w:sz w:val="22"/>
          <w:szCs w:val="22"/>
        </w:rPr>
        <w:t>Mixed-methods evaluation of the NHS Genomic Medicine Service for paediatric rare diseases: study protocol</w:t>
      </w:r>
      <w:r w:rsidRPr="00205279">
        <w:rPr>
          <w:rFonts w:ascii="Arial" w:hAnsi="Arial" w:cs="Arial"/>
          <w:sz w:val="22"/>
          <w:szCs w:val="22"/>
        </w:rPr>
        <w:t xml:space="preserve">. NIHR Open Research, 1:23. Available at: </w:t>
      </w:r>
      <w:hyperlink r:id="rId22" w:history="1">
        <w:r w:rsidRPr="00205279">
          <w:rPr>
            <w:rStyle w:val="Hyperlink"/>
            <w:rFonts w:ascii="Arial" w:hAnsi="Arial" w:cs="Arial"/>
            <w:sz w:val="22"/>
            <w:szCs w:val="22"/>
          </w:rPr>
          <w:t>https://doi.org/10.3310/nihropenres.13236.2</w:t>
        </w:r>
      </w:hyperlink>
      <w:r w:rsidRPr="00205279">
        <w:rPr>
          <w:rFonts w:ascii="Arial" w:hAnsi="Arial" w:cs="Arial"/>
          <w:sz w:val="22"/>
          <w:szCs w:val="22"/>
        </w:rPr>
        <w:t xml:space="preserve"> </w:t>
      </w:r>
    </w:p>
    <w:p w14:paraId="13E0BD89" w14:textId="77777777" w:rsidR="00581CF0" w:rsidRPr="00205279" w:rsidRDefault="00581CF0" w:rsidP="00205279">
      <w:pPr>
        <w:numPr>
          <w:ilvl w:val="0"/>
          <w:numId w:val="5"/>
        </w:numPr>
        <w:spacing w:before="100" w:beforeAutospacing="1" w:after="100" w:afterAutospacing="1" w:line="360" w:lineRule="auto"/>
        <w:jc w:val="both"/>
        <w:rPr>
          <w:rFonts w:eastAsia="Times New Roman" w:cs="Arial"/>
          <w:sz w:val="22"/>
          <w:szCs w:val="22"/>
          <w:lang w:eastAsia="en-GB"/>
        </w:rPr>
      </w:pPr>
      <w:r w:rsidRPr="00205279">
        <w:rPr>
          <w:rFonts w:cs="Arial"/>
          <w:sz w:val="22"/>
          <w:szCs w:val="22"/>
        </w:rPr>
        <w:t xml:space="preserve">Lyle, K., Lucassen, A. &amp; </w:t>
      </w:r>
      <w:proofErr w:type="spellStart"/>
      <w:r w:rsidRPr="00205279">
        <w:rPr>
          <w:rFonts w:cs="Arial"/>
          <w:sz w:val="22"/>
          <w:szCs w:val="22"/>
        </w:rPr>
        <w:t>Dheensa</w:t>
      </w:r>
      <w:proofErr w:type="spellEnd"/>
      <w:r w:rsidRPr="00205279">
        <w:rPr>
          <w:rFonts w:cs="Arial"/>
          <w:sz w:val="22"/>
          <w:szCs w:val="22"/>
        </w:rPr>
        <w:t xml:space="preserve">, S. (2023) ‘“Immortal data”: Public understandings of long-term genomic data storage and use’, </w:t>
      </w:r>
      <w:r w:rsidRPr="00205279">
        <w:rPr>
          <w:rStyle w:val="Emphasis"/>
          <w:rFonts w:cs="Arial"/>
          <w:sz w:val="22"/>
          <w:szCs w:val="22"/>
        </w:rPr>
        <w:t>European Journal of Human Genetics</w:t>
      </w:r>
      <w:r w:rsidRPr="00205279">
        <w:rPr>
          <w:rFonts w:cs="Arial"/>
          <w:sz w:val="22"/>
          <w:szCs w:val="22"/>
        </w:rPr>
        <w:t xml:space="preserve">, 31(8), pp. 903–912. Available at: </w:t>
      </w:r>
      <w:hyperlink r:id="rId23" w:history="1">
        <w:r w:rsidRPr="00205279">
          <w:rPr>
            <w:rStyle w:val="Hyperlink"/>
            <w:rFonts w:cs="Arial"/>
            <w:sz w:val="22"/>
            <w:szCs w:val="22"/>
          </w:rPr>
          <w:t>https://www.ncbi.nlm.nih.gov/pmc/articles/PMC10250296/</w:t>
        </w:r>
      </w:hyperlink>
      <w:r w:rsidRPr="00205279">
        <w:rPr>
          <w:rFonts w:cs="Arial"/>
          <w:sz w:val="22"/>
          <w:szCs w:val="22"/>
        </w:rPr>
        <w:t xml:space="preserve"> (</w:t>
      </w:r>
      <w:hyperlink r:id="rId24" w:tooltip="Immortal data: a qualitative exploration of patients' ..." w:history="1">
        <w:r w:rsidRPr="00205279">
          <w:rPr>
            <w:rStyle w:val="Hyperlink"/>
            <w:rFonts w:cs="Arial"/>
            <w:sz w:val="22"/>
            <w:szCs w:val="22"/>
          </w:rPr>
          <w:t>PMC</w:t>
        </w:r>
      </w:hyperlink>
      <w:r w:rsidRPr="00205279">
        <w:rPr>
          <w:rFonts w:cs="Arial"/>
          <w:sz w:val="22"/>
          <w:szCs w:val="22"/>
        </w:rPr>
        <w:t>)</w:t>
      </w:r>
    </w:p>
    <w:p w14:paraId="2FD3DD34" w14:textId="77777777" w:rsidR="00581CF0" w:rsidRPr="00205279" w:rsidRDefault="00581CF0" w:rsidP="00205279">
      <w:pPr>
        <w:pStyle w:val="ListParagraph"/>
        <w:numPr>
          <w:ilvl w:val="0"/>
          <w:numId w:val="5"/>
        </w:numPr>
        <w:spacing w:before="0" w:after="0" w:line="360" w:lineRule="auto"/>
        <w:jc w:val="both"/>
        <w:rPr>
          <w:rFonts w:eastAsia="Times New Roman" w:cs="Arial"/>
          <w:sz w:val="22"/>
          <w:szCs w:val="22"/>
          <w:lang w:eastAsia="en-GB"/>
        </w:rPr>
      </w:pPr>
      <w:r w:rsidRPr="00205279">
        <w:rPr>
          <w:rFonts w:eastAsia="Times New Roman" w:cs="Arial"/>
          <w:sz w:val="22"/>
          <w:szCs w:val="22"/>
          <w:lang w:eastAsia="en-GB"/>
        </w:rPr>
        <w:t xml:space="preserve">Molnár-Gábor, F. </w:t>
      </w:r>
      <w:r w:rsidRPr="00205279">
        <w:rPr>
          <w:rFonts w:eastAsia="Times New Roman" w:cs="Arial"/>
          <w:i/>
          <w:iCs/>
          <w:sz w:val="22"/>
          <w:szCs w:val="22"/>
          <w:lang w:eastAsia="en-GB"/>
        </w:rPr>
        <w:t>et al.</w:t>
      </w:r>
      <w:r w:rsidRPr="00205279">
        <w:rPr>
          <w:rFonts w:eastAsia="Times New Roman" w:cs="Arial"/>
          <w:sz w:val="22"/>
          <w:szCs w:val="22"/>
          <w:lang w:eastAsia="en-GB"/>
        </w:rPr>
        <w:t xml:space="preserve"> (2022) ‘Bridging the European Data Sharing Divide in Genomic Science’, </w:t>
      </w:r>
      <w:r w:rsidRPr="00205279">
        <w:rPr>
          <w:rFonts w:eastAsia="Times New Roman" w:cs="Arial"/>
          <w:i/>
          <w:iCs/>
          <w:sz w:val="22"/>
          <w:szCs w:val="22"/>
          <w:lang w:eastAsia="en-GB"/>
        </w:rPr>
        <w:t>Journal of Medical Internet Research</w:t>
      </w:r>
      <w:r w:rsidRPr="00205279">
        <w:rPr>
          <w:rFonts w:eastAsia="Times New Roman" w:cs="Arial"/>
          <w:sz w:val="22"/>
          <w:szCs w:val="22"/>
          <w:lang w:eastAsia="en-GB"/>
        </w:rPr>
        <w:t xml:space="preserve">, 24(10), p. e37236. Available at: </w:t>
      </w:r>
      <w:hyperlink r:id="rId25" w:history="1">
        <w:r w:rsidRPr="00205279">
          <w:rPr>
            <w:rStyle w:val="Hyperlink"/>
            <w:rFonts w:eastAsia="Times New Roman" w:cs="Arial"/>
            <w:sz w:val="22"/>
            <w:szCs w:val="22"/>
            <w:lang w:eastAsia="en-GB"/>
          </w:rPr>
          <w:t>https://doi.org/10.2196/37236</w:t>
        </w:r>
      </w:hyperlink>
      <w:r w:rsidRPr="00205279">
        <w:rPr>
          <w:rFonts w:eastAsia="Times New Roman" w:cs="Arial"/>
          <w:sz w:val="22"/>
          <w:szCs w:val="22"/>
          <w:lang w:eastAsia="en-GB"/>
        </w:rPr>
        <w:t xml:space="preserve">. </w:t>
      </w:r>
    </w:p>
    <w:p w14:paraId="6DD9E2B6" w14:textId="77777777" w:rsidR="00581CF0" w:rsidRPr="00205279" w:rsidRDefault="00581CF0" w:rsidP="00205279">
      <w:pPr>
        <w:numPr>
          <w:ilvl w:val="0"/>
          <w:numId w:val="5"/>
        </w:numPr>
        <w:spacing w:before="100" w:beforeAutospacing="1" w:after="100" w:afterAutospacing="1" w:line="360" w:lineRule="auto"/>
        <w:jc w:val="both"/>
        <w:rPr>
          <w:rFonts w:eastAsia="Times New Roman" w:cs="Arial"/>
          <w:sz w:val="22"/>
          <w:szCs w:val="22"/>
          <w:lang w:eastAsia="en-GB"/>
        </w:rPr>
      </w:pPr>
      <w:r w:rsidRPr="00205279">
        <w:rPr>
          <w:rFonts w:eastAsia="Times New Roman" w:cs="Arial"/>
          <w:sz w:val="22"/>
          <w:szCs w:val="22"/>
          <w:lang w:eastAsia="en-GB"/>
        </w:rPr>
        <w:t xml:space="preserve">NHS England (2019) </w:t>
      </w:r>
      <w:r w:rsidRPr="00205279">
        <w:rPr>
          <w:rFonts w:eastAsia="Times New Roman" w:cs="Arial"/>
          <w:i/>
          <w:iCs/>
          <w:sz w:val="22"/>
          <w:szCs w:val="22"/>
          <w:lang w:eastAsia="en-GB"/>
        </w:rPr>
        <w:t>The NHS Long Term Plan</w:t>
      </w:r>
      <w:r w:rsidRPr="00205279">
        <w:rPr>
          <w:rFonts w:eastAsia="Times New Roman" w:cs="Arial"/>
          <w:sz w:val="22"/>
          <w:szCs w:val="22"/>
          <w:lang w:eastAsia="en-GB"/>
        </w:rPr>
        <w:t xml:space="preserve">. Available at: </w:t>
      </w:r>
      <w:hyperlink r:id="rId26" w:history="1">
        <w:r w:rsidRPr="00205279">
          <w:rPr>
            <w:rStyle w:val="Hyperlink"/>
            <w:rFonts w:eastAsia="Times New Roman" w:cs="Arial"/>
            <w:sz w:val="22"/>
            <w:szCs w:val="22"/>
            <w:lang w:eastAsia="en-GB"/>
          </w:rPr>
          <w:t>https://www.longtermplan.nhs.uk</w:t>
        </w:r>
      </w:hyperlink>
    </w:p>
    <w:p w14:paraId="5ADB639D" w14:textId="278EC807" w:rsidR="00581CF0" w:rsidRPr="00205279" w:rsidRDefault="00581CF0" w:rsidP="00205279">
      <w:pPr>
        <w:pStyle w:val="ListParagraph"/>
        <w:numPr>
          <w:ilvl w:val="0"/>
          <w:numId w:val="5"/>
        </w:numPr>
        <w:spacing w:before="100" w:beforeAutospacing="1" w:after="100" w:afterAutospacing="1" w:line="360" w:lineRule="auto"/>
        <w:jc w:val="both"/>
        <w:rPr>
          <w:rFonts w:eastAsia="Times New Roman" w:cs="Arial"/>
          <w:sz w:val="22"/>
          <w:szCs w:val="22"/>
          <w:lang w:eastAsia="en-GB"/>
        </w:rPr>
      </w:pPr>
      <w:r w:rsidRPr="00205279">
        <w:rPr>
          <w:rFonts w:eastAsia="Times New Roman" w:cs="Arial"/>
          <w:sz w:val="22"/>
          <w:szCs w:val="22"/>
          <w:lang w:eastAsia="en-GB"/>
        </w:rPr>
        <w:t>NHS England (2022)</w:t>
      </w:r>
      <w:r w:rsidR="00750242">
        <w:rPr>
          <w:rFonts w:eastAsia="Times New Roman" w:cs="Arial"/>
          <w:sz w:val="22"/>
          <w:szCs w:val="22"/>
          <w:lang w:eastAsia="en-GB"/>
        </w:rPr>
        <w:t>.</w:t>
      </w:r>
      <w:r w:rsidRPr="00205279">
        <w:rPr>
          <w:rFonts w:eastAsia="Times New Roman" w:cs="Arial"/>
          <w:sz w:val="22"/>
          <w:szCs w:val="22"/>
          <w:lang w:eastAsia="en-GB"/>
        </w:rPr>
        <w:t xml:space="preserve"> </w:t>
      </w:r>
      <w:r w:rsidRPr="00205279">
        <w:rPr>
          <w:rFonts w:eastAsia="Times New Roman" w:cs="Arial"/>
          <w:i/>
          <w:iCs/>
          <w:sz w:val="22"/>
          <w:szCs w:val="22"/>
          <w:lang w:eastAsia="en-GB"/>
        </w:rPr>
        <w:t>Accelerating Genomic Medicine in the NHS</w:t>
      </w:r>
      <w:r w:rsidRPr="00205279">
        <w:rPr>
          <w:rFonts w:eastAsia="Times New Roman" w:cs="Arial"/>
          <w:sz w:val="22"/>
          <w:szCs w:val="22"/>
          <w:lang w:eastAsia="en-GB"/>
        </w:rPr>
        <w:t>. London: NHS England.</w:t>
      </w:r>
    </w:p>
    <w:p w14:paraId="2D8975D9" w14:textId="77777777" w:rsidR="00581CF0" w:rsidRPr="00205279" w:rsidRDefault="00581CF0" w:rsidP="00205279">
      <w:pPr>
        <w:numPr>
          <w:ilvl w:val="0"/>
          <w:numId w:val="5"/>
        </w:numPr>
        <w:spacing w:before="100" w:beforeAutospacing="1" w:after="100" w:afterAutospacing="1" w:line="360" w:lineRule="auto"/>
        <w:jc w:val="both"/>
        <w:rPr>
          <w:rFonts w:eastAsia="Times New Roman" w:cs="Arial"/>
          <w:sz w:val="22"/>
          <w:szCs w:val="22"/>
          <w:lang w:eastAsia="en-GB"/>
        </w:rPr>
      </w:pPr>
      <w:r w:rsidRPr="00205279">
        <w:rPr>
          <w:rFonts w:eastAsia="Times New Roman" w:cs="Arial"/>
          <w:sz w:val="22"/>
          <w:szCs w:val="22"/>
          <w:lang w:eastAsia="en-GB"/>
        </w:rPr>
        <w:t xml:space="preserve">NHS England (2023). </w:t>
      </w:r>
      <w:r w:rsidRPr="00205279">
        <w:rPr>
          <w:rFonts w:eastAsia="Times New Roman" w:cs="Arial"/>
          <w:i/>
          <w:iCs/>
          <w:sz w:val="22"/>
          <w:szCs w:val="22"/>
          <w:lang w:eastAsia="en-GB"/>
        </w:rPr>
        <w:t>Developing the NHS Workforce for the Genomic Era</w:t>
      </w:r>
      <w:r w:rsidRPr="00205279">
        <w:rPr>
          <w:rFonts w:eastAsia="Times New Roman" w:cs="Arial"/>
          <w:sz w:val="22"/>
          <w:szCs w:val="22"/>
          <w:lang w:eastAsia="en-GB"/>
        </w:rPr>
        <w:t xml:space="preserve">. London: NHS England. </w:t>
      </w:r>
    </w:p>
    <w:p w14:paraId="0D7ACA52" w14:textId="77777777" w:rsidR="00581CF0" w:rsidRPr="00205279" w:rsidRDefault="00581CF0" w:rsidP="00205279">
      <w:pPr>
        <w:pStyle w:val="ListParagraph"/>
        <w:numPr>
          <w:ilvl w:val="0"/>
          <w:numId w:val="5"/>
        </w:numPr>
        <w:spacing w:before="100" w:beforeAutospacing="1" w:after="100" w:afterAutospacing="1" w:line="360" w:lineRule="auto"/>
        <w:jc w:val="both"/>
        <w:rPr>
          <w:rFonts w:eastAsia="Times New Roman" w:cs="Arial"/>
          <w:sz w:val="22"/>
          <w:szCs w:val="22"/>
          <w:lang w:eastAsia="en-GB"/>
        </w:rPr>
      </w:pPr>
      <w:r w:rsidRPr="00205279">
        <w:rPr>
          <w:rFonts w:eastAsia="Times New Roman" w:cs="Arial"/>
          <w:sz w:val="22"/>
          <w:szCs w:val="22"/>
          <w:lang w:eastAsia="en-GB"/>
        </w:rPr>
        <w:t xml:space="preserve">NHS England (2024) </w:t>
      </w:r>
      <w:r w:rsidRPr="00205279">
        <w:rPr>
          <w:rFonts w:eastAsia="Times New Roman" w:cs="Arial"/>
          <w:i/>
          <w:iCs/>
          <w:sz w:val="22"/>
          <w:szCs w:val="22"/>
          <w:lang w:eastAsia="en-GB"/>
        </w:rPr>
        <w:t>Statistical Commentary: NHS Genomic Testing Throughput 2024</w:t>
      </w:r>
      <w:r w:rsidRPr="00205279">
        <w:rPr>
          <w:rFonts w:eastAsia="Times New Roman" w:cs="Arial"/>
          <w:sz w:val="22"/>
          <w:szCs w:val="22"/>
          <w:lang w:eastAsia="en-GB"/>
        </w:rPr>
        <w:t>. London: NHS England.</w:t>
      </w:r>
    </w:p>
    <w:p w14:paraId="3AB06004" w14:textId="77777777" w:rsidR="00581CF0" w:rsidRPr="00205279" w:rsidRDefault="00581CF0" w:rsidP="00205279">
      <w:pPr>
        <w:pStyle w:val="ListParagraph"/>
        <w:numPr>
          <w:ilvl w:val="0"/>
          <w:numId w:val="5"/>
        </w:numPr>
        <w:spacing w:before="100" w:beforeAutospacing="1" w:after="100" w:afterAutospacing="1" w:line="360" w:lineRule="auto"/>
        <w:jc w:val="both"/>
        <w:rPr>
          <w:rFonts w:eastAsia="Times New Roman" w:cs="Arial"/>
          <w:sz w:val="22"/>
          <w:szCs w:val="22"/>
          <w:lang w:eastAsia="en-GB"/>
        </w:rPr>
      </w:pPr>
      <w:proofErr w:type="spellStart"/>
      <w:r w:rsidRPr="00205279">
        <w:rPr>
          <w:rFonts w:cs="Arial"/>
          <w:sz w:val="22"/>
          <w:szCs w:val="22"/>
        </w:rPr>
        <w:t>Nurchis</w:t>
      </w:r>
      <w:proofErr w:type="spellEnd"/>
      <w:r w:rsidRPr="00205279">
        <w:rPr>
          <w:rFonts w:cs="Arial"/>
          <w:sz w:val="22"/>
          <w:szCs w:val="22"/>
        </w:rPr>
        <w:t xml:space="preserve">, M.C. et al. (2023) ‘Bayesian cost-effectiveness analysis of whole-genome sequencing versus standard testing in paediatric suspected genetic disorders’, </w:t>
      </w:r>
      <w:r w:rsidRPr="00205279">
        <w:rPr>
          <w:rStyle w:val="Emphasis"/>
          <w:rFonts w:cs="Arial"/>
          <w:sz w:val="22"/>
          <w:szCs w:val="22"/>
        </w:rPr>
        <w:t>Journal of Health Economics and Outcomes Research</w:t>
      </w:r>
      <w:r w:rsidRPr="00205279">
        <w:rPr>
          <w:rFonts w:cs="Arial"/>
          <w:sz w:val="22"/>
          <w:szCs w:val="22"/>
        </w:rPr>
        <w:t xml:space="preserve">, 11(3), pp. 210–223. Available at: </w:t>
      </w:r>
      <w:hyperlink r:id="rId27" w:history="1">
        <w:r w:rsidRPr="00205279">
          <w:rPr>
            <w:rStyle w:val="Hyperlink"/>
            <w:rFonts w:cs="Arial"/>
            <w:sz w:val="22"/>
            <w:szCs w:val="22"/>
          </w:rPr>
          <w:t>https://pubmed.ncbi.nlm.nih.gov/37975990/</w:t>
        </w:r>
      </w:hyperlink>
      <w:r w:rsidRPr="00205279">
        <w:rPr>
          <w:rFonts w:cs="Arial"/>
          <w:sz w:val="22"/>
          <w:szCs w:val="22"/>
        </w:rPr>
        <w:t xml:space="preserve"> (</w:t>
      </w:r>
      <w:hyperlink r:id="rId28" w:tooltip="Bayesian cost-effectiveness analysis of Whole genome ..." w:history="1">
        <w:r w:rsidRPr="00205279">
          <w:rPr>
            <w:rStyle w:val="Hyperlink"/>
            <w:rFonts w:cs="Arial"/>
            <w:sz w:val="22"/>
            <w:szCs w:val="22"/>
          </w:rPr>
          <w:t>PubMed</w:t>
        </w:r>
      </w:hyperlink>
      <w:r w:rsidRPr="00205279">
        <w:rPr>
          <w:rFonts w:cs="Arial"/>
          <w:sz w:val="22"/>
          <w:szCs w:val="22"/>
        </w:rPr>
        <w:t>)</w:t>
      </w:r>
    </w:p>
    <w:p w14:paraId="1B604416" w14:textId="77777777" w:rsidR="00581CF0" w:rsidRPr="00205279" w:rsidRDefault="00581CF0" w:rsidP="00205279">
      <w:pPr>
        <w:pStyle w:val="ListParagraph"/>
        <w:numPr>
          <w:ilvl w:val="0"/>
          <w:numId w:val="5"/>
        </w:numPr>
        <w:spacing w:before="100" w:beforeAutospacing="1" w:after="100" w:afterAutospacing="1" w:line="360" w:lineRule="auto"/>
        <w:jc w:val="both"/>
        <w:rPr>
          <w:rFonts w:eastAsia="Times New Roman" w:cs="Arial"/>
          <w:sz w:val="22"/>
          <w:szCs w:val="22"/>
          <w:lang w:eastAsia="en-GB"/>
        </w:rPr>
      </w:pPr>
      <w:r w:rsidRPr="00205279">
        <w:rPr>
          <w:rFonts w:eastAsia="Times New Roman" w:cs="Arial"/>
          <w:sz w:val="22"/>
          <w:szCs w:val="22"/>
          <w:lang w:eastAsia="en-GB"/>
        </w:rPr>
        <w:t xml:space="preserve">Peter, M., Taylor, J. and Lucassen, A.M. (2022) ‘Participant experiences of genome sequencing for rare disease: Mixed-methods study’, </w:t>
      </w:r>
      <w:r w:rsidRPr="00205279">
        <w:rPr>
          <w:rFonts w:eastAsia="Times New Roman" w:cs="Arial"/>
          <w:i/>
          <w:iCs/>
          <w:sz w:val="22"/>
          <w:szCs w:val="22"/>
          <w:lang w:eastAsia="en-GB"/>
        </w:rPr>
        <w:t>BMJ Genomics</w:t>
      </w:r>
      <w:r w:rsidRPr="00205279">
        <w:rPr>
          <w:rFonts w:eastAsia="Times New Roman" w:cs="Arial"/>
          <w:sz w:val="22"/>
          <w:szCs w:val="22"/>
          <w:lang w:eastAsia="en-GB"/>
        </w:rPr>
        <w:t>, 4(2), pp. 101–110.</w:t>
      </w:r>
    </w:p>
    <w:p w14:paraId="5720B02C" w14:textId="77777777" w:rsidR="00581CF0" w:rsidRPr="00205279" w:rsidRDefault="00581CF0" w:rsidP="00205279">
      <w:pPr>
        <w:numPr>
          <w:ilvl w:val="0"/>
          <w:numId w:val="5"/>
        </w:numPr>
        <w:spacing w:before="100" w:beforeAutospacing="1" w:after="100" w:afterAutospacing="1" w:line="360" w:lineRule="auto"/>
        <w:jc w:val="both"/>
        <w:rPr>
          <w:rFonts w:eastAsia="Times New Roman" w:cs="Arial"/>
          <w:sz w:val="22"/>
          <w:szCs w:val="22"/>
          <w:lang w:eastAsia="en-GB"/>
        </w:rPr>
      </w:pPr>
      <w:r w:rsidRPr="00205279">
        <w:rPr>
          <w:rFonts w:eastAsia="Times New Roman" w:cs="Arial"/>
          <w:sz w:val="22"/>
          <w:szCs w:val="22"/>
          <w:lang w:eastAsia="en-GB"/>
        </w:rPr>
        <w:t xml:space="preserve">PHG Foundation (2023) </w:t>
      </w:r>
      <w:r w:rsidRPr="00205279">
        <w:rPr>
          <w:rFonts w:eastAsia="Times New Roman" w:cs="Arial"/>
          <w:i/>
          <w:iCs/>
          <w:sz w:val="22"/>
          <w:szCs w:val="22"/>
          <w:lang w:eastAsia="en-GB"/>
        </w:rPr>
        <w:t>The GDPR and genomic data</w:t>
      </w:r>
      <w:r w:rsidRPr="00205279">
        <w:rPr>
          <w:rFonts w:eastAsia="Times New Roman" w:cs="Arial"/>
          <w:sz w:val="22"/>
          <w:szCs w:val="22"/>
          <w:lang w:eastAsia="en-GB"/>
        </w:rPr>
        <w:t xml:space="preserve"> (Executive Summary).</w:t>
      </w:r>
    </w:p>
    <w:p w14:paraId="1C1359F5" w14:textId="77777777" w:rsidR="00581CF0" w:rsidRPr="00205279" w:rsidRDefault="00581CF0" w:rsidP="00205279">
      <w:pPr>
        <w:pStyle w:val="ListParagraph"/>
        <w:numPr>
          <w:ilvl w:val="0"/>
          <w:numId w:val="5"/>
        </w:numPr>
        <w:spacing w:before="0" w:after="0" w:line="360" w:lineRule="auto"/>
        <w:jc w:val="both"/>
        <w:rPr>
          <w:rFonts w:eastAsia="Times New Roman" w:cs="Arial"/>
          <w:color w:val="000000" w:themeColor="text1"/>
          <w:sz w:val="22"/>
          <w:szCs w:val="22"/>
          <w:lang w:eastAsia="en-GB"/>
        </w:rPr>
      </w:pPr>
      <w:r w:rsidRPr="00205279">
        <w:rPr>
          <w:rFonts w:eastAsia="Times New Roman" w:cs="Arial"/>
          <w:color w:val="000000" w:themeColor="text1"/>
          <w:sz w:val="22"/>
          <w:szCs w:val="22"/>
          <w:lang w:eastAsia="en-GB"/>
        </w:rPr>
        <w:t xml:space="preserve">  Roman C. T., </w:t>
      </w:r>
      <w:proofErr w:type="spellStart"/>
      <w:r w:rsidRPr="00205279">
        <w:rPr>
          <w:rFonts w:eastAsia="Times New Roman" w:cs="Arial"/>
          <w:color w:val="000000" w:themeColor="text1"/>
          <w:sz w:val="22"/>
          <w:szCs w:val="22"/>
          <w:lang w:eastAsia="en-GB"/>
        </w:rPr>
        <w:t>Manolica</w:t>
      </w:r>
      <w:proofErr w:type="spellEnd"/>
      <w:r w:rsidRPr="00205279">
        <w:rPr>
          <w:rFonts w:eastAsia="Times New Roman" w:cs="Arial"/>
          <w:color w:val="000000" w:themeColor="text1"/>
          <w:sz w:val="22"/>
          <w:szCs w:val="22"/>
          <w:lang w:eastAsia="en-GB"/>
        </w:rPr>
        <w:t xml:space="preserve"> A., and Bulat C. I., (2024) ‘Qualitative Analysis of Change Management Models’, </w:t>
      </w:r>
      <w:r w:rsidRPr="00205279">
        <w:rPr>
          <w:rFonts w:eastAsia="Times New Roman" w:cs="Arial"/>
          <w:i/>
          <w:iCs/>
          <w:color w:val="000000" w:themeColor="text1"/>
          <w:sz w:val="22"/>
          <w:szCs w:val="22"/>
          <w:lang w:eastAsia="en-GB"/>
        </w:rPr>
        <w:t>‘Ovidius’ University Annals. Economic Sciences Series</w:t>
      </w:r>
      <w:r w:rsidRPr="00205279">
        <w:rPr>
          <w:rFonts w:eastAsia="Times New Roman" w:cs="Arial"/>
          <w:color w:val="000000" w:themeColor="text1"/>
          <w:sz w:val="22"/>
          <w:szCs w:val="22"/>
          <w:lang w:eastAsia="en-GB"/>
        </w:rPr>
        <w:t xml:space="preserve">, XXIV(1), pp. 502–508. Available at: </w:t>
      </w:r>
      <w:hyperlink r:id="rId29" w:history="1">
        <w:r w:rsidRPr="00205279">
          <w:rPr>
            <w:rStyle w:val="Hyperlink"/>
            <w:rFonts w:eastAsia="Times New Roman" w:cs="Arial"/>
            <w:sz w:val="22"/>
            <w:szCs w:val="22"/>
            <w:lang w:eastAsia="en-GB"/>
          </w:rPr>
          <w:t>https://librarysearch.uwtsd.ac.uk/permalink/44WHELF_UWTSD/neci73/cdi_doaj_primary_oai_doaj_org_article_b2f063d204b2434594523e80ae900008</w:t>
        </w:r>
      </w:hyperlink>
      <w:r w:rsidRPr="00205279">
        <w:rPr>
          <w:rFonts w:eastAsia="Times New Roman" w:cs="Arial"/>
          <w:color w:val="000000" w:themeColor="text1"/>
          <w:sz w:val="22"/>
          <w:szCs w:val="22"/>
          <w:lang w:eastAsia="en-GB"/>
        </w:rPr>
        <w:t xml:space="preserve"> </w:t>
      </w:r>
    </w:p>
    <w:p w14:paraId="2D6EDAE8" w14:textId="419D5328" w:rsidR="00581CF0" w:rsidRPr="00205279" w:rsidRDefault="00581CF0" w:rsidP="00205279">
      <w:pPr>
        <w:numPr>
          <w:ilvl w:val="0"/>
          <w:numId w:val="5"/>
        </w:numPr>
        <w:spacing w:before="100" w:beforeAutospacing="1" w:after="100" w:afterAutospacing="1" w:line="360" w:lineRule="auto"/>
        <w:jc w:val="both"/>
        <w:rPr>
          <w:rFonts w:eastAsia="Times New Roman" w:cs="Arial"/>
          <w:sz w:val="22"/>
          <w:szCs w:val="22"/>
          <w:lang w:eastAsia="en-GB"/>
        </w:rPr>
      </w:pPr>
      <w:r w:rsidRPr="00205279">
        <w:rPr>
          <w:rFonts w:cs="Arial"/>
          <w:sz w:val="22"/>
          <w:szCs w:val="22"/>
        </w:rPr>
        <w:t xml:space="preserve">Shabani, M. </w:t>
      </w:r>
      <w:r w:rsidRPr="0057137E">
        <w:rPr>
          <w:rFonts w:cs="Arial"/>
          <w:i/>
          <w:iCs/>
          <w:sz w:val="22"/>
          <w:szCs w:val="22"/>
        </w:rPr>
        <w:t>et al</w:t>
      </w:r>
      <w:r w:rsidRPr="00205279">
        <w:rPr>
          <w:rFonts w:cs="Arial"/>
          <w:sz w:val="22"/>
          <w:szCs w:val="22"/>
        </w:rPr>
        <w:t xml:space="preserve">. (2019) ‘Re-identifiability of genomic data and the GDPR’, </w:t>
      </w:r>
      <w:r w:rsidRPr="00205279">
        <w:rPr>
          <w:rStyle w:val="Emphasis"/>
          <w:rFonts w:cs="Arial"/>
          <w:sz w:val="22"/>
          <w:szCs w:val="22"/>
        </w:rPr>
        <w:t>EMBO Reports</w:t>
      </w:r>
      <w:r w:rsidRPr="00205279">
        <w:rPr>
          <w:rFonts w:cs="Arial"/>
          <w:sz w:val="22"/>
          <w:szCs w:val="22"/>
        </w:rPr>
        <w:t xml:space="preserve">, 20(6), e48316. Available at: </w:t>
      </w:r>
      <w:hyperlink r:id="rId30" w:history="1">
        <w:r w:rsidRPr="00205279">
          <w:rPr>
            <w:rStyle w:val="Hyperlink"/>
            <w:rFonts w:cs="Arial"/>
            <w:sz w:val="22"/>
            <w:szCs w:val="22"/>
          </w:rPr>
          <w:t>https://doi.org/10.15252/embr.201948316</w:t>
        </w:r>
      </w:hyperlink>
      <w:r w:rsidR="0057137E">
        <w:rPr>
          <w:rFonts w:cs="Arial"/>
          <w:sz w:val="22"/>
          <w:szCs w:val="22"/>
        </w:rPr>
        <w:t>.</w:t>
      </w:r>
    </w:p>
    <w:p w14:paraId="10D0B406" w14:textId="77777777" w:rsidR="00581CF0" w:rsidRPr="00205279" w:rsidRDefault="00581CF0" w:rsidP="00205279">
      <w:pPr>
        <w:pStyle w:val="NormalWeb"/>
        <w:numPr>
          <w:ilvl w:val="0"/>
          <w:numId w:val="5"/>
        </w:numPr>
        <w:spacing w:line="360" w:lineRule="auto"/>
        <w:jc w:val="both"/>
        <w:rPr>
          <w:rFonts w:ascii="Arial" w:hAnsi="Arial" w:cs="Arial"/>
          <w:sz w:val="22"/>
          <w:szCs w:val="22"/>
        </w:rPr>
      </w:pPr>
      <w:r w:rsidRPr="00205279">
        <w:rPr>
          <w:rFonts w:ascii="Arial" w:hAnsi="Arial" w:cs="Arial"/>
          <w:sz w:val="22"/>
          <w:szCs w:val="22"/>
        </w:rPr>
        <w:t xml:space="preserve">Smith, D. </w:t>
      </w:r>
      <w:r w:rsidRPr="00D852E1">
        <w:rPr>
          <w:rFonts w:ascii="Arial" w:hAnsi="Arial" w:cs="Arial"/>
          <w:i/>
          <w:iCs/>
          <w:sz w:val="22"/>
          <w:szCs w:val="22"/>
        </w:rPr>
        <w:t>et al</w:t>
      </w:r>
      <w:r w:rsidRPr="00205279">
        <w:rPr>
          <w:rFonts w:ascii="Arial" w:hAnsi="Arial" w:cs="Arial"/>
          <w:sz w:val="22"/>
          <w:szCs w:val="22"/>
        </w:rPr>
        <w:t xml:space="preserve">., 2025. </w:t>
      </w:r>
      <w:r w:rsidRPr="00205279">
        <w:rPr>
          <w:rStyle w:val="Emphasis"/>
          <w:rFonts w:ascii="Arial" w:hAnsi="Arial" w:cs="Arial"/>
          <w:sz w:val="22"/>
          <w:szCs w:val="22"/>
        </w:rPr>
        <w:t>A qualitative study to evaluate the preparedness of community paediatricians for genomic medicine in England – ready for take-off?</w:t>
      </w:r>
      <w:r w:rsidRPr="00205279">
        <w:rPr>
          <w:rFonts w:ascii="Arial" w:hAnsi="Arial" w:cs="Arial"/>
          <w:sz w:val="22"/>
          <w:szCs w:val="22"/>
        </w:rPr>
        <w:t xml:space="preserve"> Journal of </w:t>
      </w:r>
      <w:r w:rsidRPr="00205279">
        <w:rPr>
          <w:rFonts w:ascii="Arial" w:hAnsi="Arial" w:cs="Arial"/>
          <w:sz w:val="22"/>
          <w:szCs w:val="22"/>
        </w:rPr>
        <w:lastRenderedPageBreak/>
        <w:t xml:space="preserve">Community Genetics, 16, pp.321–334. Available at: </w:t>
      </w:r>
      <w:hyperlink r:id="rId31" w:history="1">
        <w:r w:rsidRPr="00205279">
          <w:rPr>
            <w:rStyle w:val="Hyperlink"/>
            <w:rFonts w:ascii="Arial" w:hAnsi="Arial" w:cs="Arial"/>
            <w:sz w:val="22"/>
            <w:szCs w:val="22"/>
          </w:rPr>
          <w:t>https://doi.org/10.1007/s12687-025-00781-8</w:t>
        </w:r>
      </w:hyperlink>
      <w:r w:rsidRPr="00205279">
        <w:rPr>
          <w:rFonts w:ascii="Arial" w:hAnsi="Arial" w:cs="Arial"/>
          <w:sz w:val="22"/>
          <w:szCs w:val="22"/>
        </w:rPr>
        <w:t xml:space="preserve"> </w:t>
      </w:r>
    </w:p>
    <w:p w14:paraId="3197176F" w14:textId="0B90F83D" w:rsidR="00581CF0" w:rsidRPr="00205279" w:rsidRDefault="00581CF0" w:rsidP="00205279">
      <w:pPr>
        <w:pStyle w:val="ListParagraph"/>
        <w:numPr>
          <w:ilvl w:val="0"/>
          <w:numId w:val="5"/>
        </w:numPr>
        <w:spacing w:before="100" w:beforeAutospacing="1" w:after="100" w:afterAutospacing="1" w:line="360" w:lineRule="auto"/>
        <w:jc w:val="both"/>
        <w:rPr>
          <w:rFonts w:eastAsia="Times New Roman" w:cs="Arial"/>
          <w:sz w:val="22"/>
          <w:szCs w:val="22"/>
          <w:lang w:eastAsia="en-GB"/>
        </w:rPr>
      </w:pPr>
      <w:r w:rsidRPr="00205279">
        <w:rPr>
          <w:rFonts w:eastAsia="Times New Roman" w:cs="Arial"/>
          <w:sz w:val="22"/>
          <w:szCs w:val="22"/>
          <w:lang w:eastAsia="en-GB"/>
        </w:rPr>
        <w:t xml:space="preserve">Smith, E.J., </w:t>
      </w:r>
      <w:r w:rsidRPr="00E12FE1">
        <w:rPr>
          <w:rFonts w:eastAsia="Times New Roman" w:cs="Arial"/>
          <w:i/>
          <w:iCs/>
          <w:sz w:val="22"/>
          <w:szCs w:val="22"/>
          <w:lang w:eastAsia="en-GB"/>
        </w:rPr>
        <w:t>et al</w:t>
      </w:r>
      <w:r w:rsidRPr="00205279">
        <w:rPr>
          <w:rFonts w:eastAsia="Times New Roman" w:cs="Arial"/>
          <w:sz w:val="22"/>
          <w:szCs w:val="22"/>
          <w:lang w:eastAsia="en-GB"/>
        </w:rPr>
        <w:t xml:space="preserve">. (2025) ‘Cost-effectiveness of returning secondary findings in the 100,000 Genomes Project’, </w:t>
      </w:r>
      <w:r w:rsidRPr="00205279">
        <w:rPr>
          <w:rFonts w:eastAsia="Times New Roman" w:cs="Arial"/>
          <w:i/>
          <w:iCs/>
          <w:sz w:val="22"/>
          <w:szCs w:val="22"/>
          <w:lang w:eastAsia="en-GB"/>
        </w:rPr>
        <w:t>Health Technology Assessment</w:t>
      </w:r>
      <w:r w:rsidRPr="00205279">
        <w:rPr>
          <w:rFonts w:eastAsia="Times New Roman" w:cs="Arial"/>
          <w:sz w:val="22"/>
          <w:szCs w:val="22"/>
          <w:lang w:eastAsia="en-GB"/>
        </w:rPr>
        <w:t xml:space="preserve">, 29(2), pp. 55–74. Available </w:t>
      </w:r>
      <w:r w:rsidR="00E12FE1">
        <w:rPr>
          <w:rFonts w:eastAsia="Times New Roman" w:cs="Arial"/>
          <w:sz w:val="22"/>
          <w:szCs w:val="22"/>
          <w:lang w:eastAsia="en-GB"/>
        </w:rPr>
        <w:t xml:space="preserve">at: </w:t>
      </w:r>
      <w:hyperlink r:id="rId32" w:history="1">
        <w:r w:rsidR="00E12FE1" w:rsidRPr="00C07DCD">
          <w:rPr>
            <w:rStyle w:val="Hyperlink"/>
            <w:rFonts w:eastAsia="Times New Roman" w:cs="Arial"/>
            <w:sz w:val="22"/>
            <w:szCs w:val="22"/>
            <w:lang w:eastAsia="en-GB"/>
          </w:rPr>
          <w:t>https://librarysearch.uwtsd.ac.uk/permalink/44WHELF_UWTSD/neci73/cdi_ucl_eprints_v2_oai_eprints_ucl_ac_uk_OAI2_10209566</w:t>
        </w:r>
      </w:hyperlink>
      <w:r w:rsidRPr="00205279">
        <w:rPr>
          <w:rFonts w:eastAsia="Times New Roman" w:cs="Arial"/>
          <w:sz w:val="22"/>
          <w:szCs w:val="22"/>
          <w:lang w:eastAsia="en-GB"/>
        </w:rPr>
        <w:t xml:space="preserve"> Accessed on: 19 October 2025. </w:t>
      </w:r>
    </w:p>
    <w:p w14:paraId="0C6ABB38" w14:textId="77777777" w:rsidR="00581CF0" w:rsidRPr="00205279" w:rsidRDefault="00581CF0" w:rsidP="00205279">
      <w:pPr>
        <w:numPr>
          <w:ilvl w:val="0"/>
          <w:numId w:val="5"/>
        </w:numPr>
        <w:spacing w:before="100" w:beforeAutospacing="1" w:after="100" w:afterAutospacing="1" w:line="360" w:lineRule="auto"/>
        <w:jc w:val="both"/>
        <w:rPr>
          <w:rFonts w:eastAsia="Times New Roman" w:cs="Arial"/>
          <w:sz w:val="22"/>
          <w:szCs w:val="22"/>
          <w:lang w:eastAsia="en-GB"/>
        </w:rPr>
      </w:pPr>
      <w:r w:rsidRPr="00205279">
        <w:rPr>
          <w:rFonts w:eastAsia="Times New Roman" w:cs="Arial"/>
          <w:sz w:val="22"/>
          <w:szCs w:val="22"/>
          <w:lang w:eastAsia="en-GB"/>
        </w:rPr>
        <w:t xml:space="preserve">Staunton, C. </w:t>
      </w:r>
      <w:r w:rsidRPr="00205279">
        <w:rPr>
          <w:rFonts w:eastAsia="Times New Roman" w:cs="Arial"/>
          <w:i/>
          <w:iCs/>
          <w:sz w:val="22"/>
          <w:szCs w:val="22"/>
          <w:lang w:eastAsia="en-GB"/>
        </w:rPr>
        <w:t>et al.</w:t>
      </w:r>
      <w:r w:rsidRPr="00205279">
        <w:rPr>
          <w:rFonts w:eastAsia="Times New Roman" w:cs="Arial"/>
          <w:sz w:val="22"/>
          <w:szCs w:val="22"/>
          <w:lang w:eastAsia="en-GB"/>
        </w:rPr>
        <w:t xml:space="preserve"> (2022) ‘Appropriate Safeguards and Article 89 of the GDPR: Considerations for Biobank, Databank and Genetic Research’, </w:t>
      </w:r>
      <w:r w:rsidRPr="00205279">
        <w:rPr>
          <w:rFonts w:eastAsia="Times New Roman" w:cs="Arial"/>
          <w:i/>
          <w:iCs/>
          <w:sz w:val="22"/>
          <w:szCs w:val="22"/>
          <w:lang w:eastAsia="en-GB"/>
        </w:rPr>
        <w:t>Frontiers in Genetics</w:t>
      </w:r>
      <w:r w:rsidRPr="00205279">
        <w:rPr>
          <w:rFonts w:eastAsia="Times New Roman" w:cs="Arial"/>
          <w:sz w:val="22"/>
          <w:szCs w:val="22"/>
          <w:lang w:eastAsia="en-GB"/>
        </w:rPr>
        <w:t xml:space="preserve">, 13, p. 719317. Available at: </w:t>
      </w:r>
      <w:hyperlink r:id="rId33" w:history="1">
        <w:r w:rsidRPr="00205279">
          <w:rPr>
            <w:rStyle w:val="Hyperlink"/>
            <w:rFonts w:eastAsia="Times New Roman" w:cs="Arial"/>
            <w:sz w:val="22"/>
            <w:szCs w:val="22"/>
            <w:lang w:eastAsia="en-GB"/>
          </w:rPr>
          <w:t>https://doi.org/10.3389/fgene.2022.719317</w:t>
        </w:r>
      </w:hyperlink>
      <w:r w:rsidRPr="00205279">
        <w:rPr>
          <w:rFonts w:eastAsia="Times New Roman" w:cs="Arial"/>
          <w:sz w:val="22"/>
          <w:szCs w:val="22"/>
          <w:lang w:eastAsia="en-GB"/>
        </w:rPr>
        <w:t xml:space="preserve">. </w:t>
      </w:r>
    </w:p>
    <w:p w14:paraId="759D082A" w14:textId="77777777" w:rsidR="00581CF0" w:rsidRPr="00205279" w:rsidRDefault="00581CF0" w:rsidP="00205279">
      <w:pPr>
        <w:pStyle w:val="ListParagraph"/>
        <w:numPr>
          <w:ilvl w:val="0"/>
          <w:numId w:val="5"/>
        </w:numPr>
        <w:spacing w:before="100" w:beforeAutospacing="1" w:after="100" w:afterAutospacing="1" w:line="360" w:lineRule="auto"/>
        <w:jc w:val="both"/>
        <w:rPr>
          <w:rFonts w:eastAsia="Times New Roman" w:cs="Arial"/>
          <w:sz w:val="22"/>
          <w:szCs w:val="22"/>
          <w:lang w:eastAsia="en-GB"/>
        </w:rPr>
      </w:pPr>
      <w:r w:rsidRPr="00205279">
        <w:rPr>
          <w:rFonts w:eastAsia="Times New Roman" w:cs="Arial"/>
          <w:sz w:val="22"/>
          <w:szCs w:val="22"/>
          <w:lang w:eastAsia="en-GB"/>
        </w:rPr>
        <w:t xml:space="preserve">  Taylor, M.J., Wallace, S.E. and </w:t>
      </w:r>
      <w:proofErr w:type="spellStart"/>
      <w:r w:rsidRPr="00205279">
        <w:rPr>
          <w:rFonts w:eastAsia="Times New Roman" w:cs="Arial"/>
          <w:sz w:val="22"/>
          <w:szCs w:val="22"/>
          <w:lang w:eastAsia="en-GB"/>
        </w:rPr>
        <w:t>Prictor</w:t>
      </w:r>
      <w:proofErr w:type="spellEnd"/>
      <w:r w:rsidRPr="00205279">
        <w:rPr>
          <w:rFonts w:eastAsia="Times New Roman" w:cs="Arial"/>
          <w:sz w:val="22"/>
          <w:szCs w:val="22"/>
          <w:lang w:eastAsia="en-GB"/>
        </w:rPr>
        <w:t xml:space="preserve">, M. (2018) ‘United Kingdom: transfers of genomic data to third countries’, </w:t>
      </w:r>
      <w:r w:rsidRPr="00205279">
        <w:rPr>
          <w:rFonts w:eastAsia="Times New Roman" w:cs="Arial"/>
          <w:i/>
          <w:iCs/>
          <w:sz w:val="22"/>
          <w:szCs w:val="22"/>
          <w:lang w:eastAsia="en-GB"/>
        </w:rPr>
        <w:t>Human genetics,</w:t>
      </w:r>
      <w:r w:rsidRPr="00205279">
        <w:rPr>
          <w:rFonts w:eastAsia="Times New Roman" w:cs="Arial"/>
          <w:sz w:val="22"/>
          <w:szCs w:val="22"/>
          <w:lang w:eastAsia="en-GB"/>
        </w:rPr>
        <w:t xml:space="preserve"> 137(8), pp. 637–645. Available at: </w:t>
      </w:r>
      <w:hyperlink r:id="rId34" w:history="1">
        <w:r w:rsidRPr="00205279">
          <w:rPr>
            <w:rStyle w:val="Hyperlink"/>
            <w:rFonts w:eastAsia="Times New Roman" w:cs="Arial"/>
            <w:sz w:val="22"/>
            <w:szCs w:val="22"/>
            <w:lang w:eastAsia="en-GB"/>
          </w:rPr>
          <w:t>https://doi.org/10.1007/s00439-018-1921-0</w:t>
        </w:r>
      </w:hyperlink>
      <w:r w:rsidRPr="00205279">
        <w:rPr>
          <w:rFonts w:eastAsia="Times New Roman" w:cs="Arial"/>
          <w:sz w:val="22"/>
          <w:szCs w:val="22"/>
          <w:lang w:eastAsia="en-GB"/>
        </w:rPr>
        <w:t>. Accessed on: 20 October 2025.</w:t>
      </w:r>
    </w:p>
    <w:p w14:paraId="244F35A3" w14:textId="77777777" w:rsidR="00581CF0" w:rsidRPr="00205279" w:rsidRDefault="00581CF0" w:rsidP="00205279">
      <w:pPr>
        <w:pStyle w:val="ListParagraph"/>
        <w:numPr>
          <w:ilvl w:val="0"/>
          <w:numId w:val="5"/>
        </w:numPr>
        <w:spacing w:before="100" w:beforeAutospacing="1" w:after="100" w:afterAutospacing="1" w:line="360" w:lineRule="auto"/>
        <w:jc w:val="both"/>
        <w:rPr>
          <w:rFonts w:eastAsia="Times New Roman" w:cs="Arial"/>
          <w:sz w:val="22"/>
          <w:szCs w:val="22"/>
          <w:lang w:eastAsia="en-GB"/>
        </w:rPr>
      </w:pPr>
      <w:r w:rsidRPr="00205279">
        <w:rPr>
          <w:rFonts w:eastAsia="Times New Roman" w:cs="Arial"/>
          <w:sz w:val="22"/>
          <w:szCs w:val="22"/>
          <w:lang w:eastAsia="en-GB"/>
        </w:rPr>
        <w:t xml:space="preserve">The Guardian (2024) ‘NHS to screen 100,000 newborn babies for over 200 genetic conditions’, </w:t>
      </w:r>
      <w:r w:rsidRPr="00205279">
        <w:rPr>
          <w:rFonts w:eastAsia="Times New Roman" w:cs="Arial"/>
          <w:i/>
          <w:iCs/>
          <w:sz w:val="22"/>
          <w:szCs w:val="22"/>
          <w:lang w:eastAsia="en-GB"/>
        </w:rPr>
        <w:t>The Guardian</w:t>
      </w:r>
      <w:r w:rsidRPr="00205279">
        <w:rPr>
          <w:rFonts w:eastAsia="Times New Roman" w:cs="Arial"/>
          <w:sz w:val="22"/>
          <w:szCs w:val="22"/>
          <w:lang w:eastAsia="en-GB"/>
        </w:rPr>
        <w:t>, 12 October.</w:t>
      </w:r>
    </w:p>
    <w:p w14:paraId="0DC963CB" w14:textId="77777777" w:rsidR="00581CF0" w:rsidRPr="00205279" w:rsidRDefault="00581CF0" w:rsidP="00205279">
      <w:pPr>
        <w:pStyle w:val="ListParagraph"/>
        <w:numPr>
          <w:ilvl w:val="0"/>
          <w:numId w:val="5"/>
        </w:numPr>
        <w:spacing w:before="100" w:beforeAutospacing="1" w:after="100" w:afterAutospacing="1" w:line="360" w:lineRule="auto"/>
        <w:jc w:val="both"/>
        <w:rPr>
          <w:rFonts w:eastAsia="Times New Roman" w:cs="Arial"/>
          <w:sz w:val="22"/>
          <w:szCs w:val="22"/>
          <w:lang w:eastAsia="en-GB"/>
        </w:rPr>
      </w:pPr>
      <w:r w:rsidRPr="00205279">
        <w:rPr>
          <w:rFonts w:cs="Arial"/>
          <w:sz w:val="22"/>
          <w:szCs w:val="22"/>
        </w:rPr>
        <w:t xml:space="preserve">The Guardian (2025) ‘UK government announces £650m investment to expand genomic medicine and newborn screening’, </w:t>
      </w:r>
      <w:r w:rsidRPr="00205279">
        <w:rPr>
          <w:rStyle w:val="Emphasis"/>
          <w:rFonts w:cs="Arial"/>
          <w:sz w:val="22"/>
          <w:szCs w:val="22"/>
        </w:rPr>
        <w:t>The Guardian</w:t>
      </w:r>
      <w:r w:rsidRPr="00205279">
        <w:rPr>
          <w:rFonts w:cs="Arial"/>
          <w:sz w:val="22"/>
          <w:szCs w:val="22"/>
        </w:rPr>
        <w:t xml:space="preserve">, 16 June. Available at: </w:t>
      </w:r>
      <w:hyperlink r:id="rId35" w:history="1">
        <w:r w:rsidRPr="00205279">
          <w:rPr>
            <w:rStyle w:val="Hyperlink"/>
            <w:rFonts w:cs="Arial"/>
            <w:sz w:val="22"/>
            <w:szCs w:val="22"/>
          </w:rPr>
          <w:t>https://www.theguardian.com/science/2025/jun/20/all-babies-in-england-to-get-dna-test-to-assess-risk-of-diseases-within-10-years</w:t>
        </w:r>
      </w:hyperlink>
      <w:r w:rsidRPr="00205279">
        <w:rPr>
          <w:rFonts w:cs="Arial"/>
          <w:sz w:val="22"/>
          <w:szCs w:val="22"/>
        </w:rPr>
        <w:t xml:space="preserve"> (</w:t>
      </w:r>
      <w:hyperlink r:id="rId36" w:tooltip="All babies in England to get DNA test to assess risk of diseases within 10 years" w:history="1">
        <w:r w:rsidRPr="00205279">
          <w:rPr>
            <w:rStyle w:val="Hyperlink"/>
            <w:rFonts w:cs="Arial"/>
            <w:sz w:val="22"/>
            <w:szCs w:val="22"/>
          </w:rPr>
          <w:t>The Guardian</w:t>
        </w:r>
      </w:hyperlink>
      <w:r w:rsidRPr="00205279">
        <w:rPr>
          <w:rFonts w:cs="Arial"/>
          <w:sz w:val="22"/>
          <w:szCs w:val="22"/>
        </w:rPr>
        <w:t>)</w:t>
      </w:r>
    </w:p>
    <w:p w14:paraId="0206115B" w14:textId="77777777" w:rsidR="00581CF0" w:rsidRPr="00205279" w:rsidRDefault="00581CF0" w:rsidP="00205279">
      <w:pPr>
        <w:pStyle w:val="ListParagraph"/>
        <w:numPr>
          <w:ilvl w:val="0"/>
          <w:numId w:val="5"/>
        </w:numPr>
        <w:spacing w:before="100" w:beforeAutospacing="1" w:after="100" w:afterAutospacing="1" w:line="360" w:lineRule="auto"/>
        <w:jc w:val="both"/>
        <w:rPr>
          <w:rFonts w:eastAsia="Times New Roman" w:cs="Arial"/>
          <w:sz w:val="22"/>
          <w:szCs w:val="22"/>
          <w:lang w:eastAsia="en-GB"/>
        </w:rPr>
      </w:pPr>
      <w:r w:rsidRPr="00205279">
        <w:rPr>
          <w:rFonts w:eastAsia="Times New Roman" w:cs="Arial"/>
          <w:sz w:val="22"/>
          <w:szCs w:val="22"/>
          <w:lang w:eastAsia="en-GB"/>
        </w:rPr>
        <w:t xml:space="preserve">Turnbull, C.;  Scott, R. H ; Thomas, E. ; Jones, L. ; </w:t>
      </w:r>
      <w:proofErr w:type="spellStart"/>
      <w:r w:rsidRPr="00205279">
        <w:rPr>
          <w:rFonts w:eastAsia="Times New Roman" w:cs="Arial"/>
          <w:sz w:val="22"/>
          <w:szCs w:val="22"/>
          <w:lang w:eastAsia="en-GB"/>
        </w:rPr>
        <w:t>Murugaesu</w:t>
      </w:r>
      <w:proofErr w:type="spellEnd"/>
      <w:r w:rsidRPr="00205279">
        <w:rPr>
          <w:rFonts w:eastAsia="Times New Roman" w:cs="Arial"/>
          <w:sz w:val="22"/>
          <w:szCs w:val="22"/>
          <w:lang w:eastAsia="en-GB"/>
        </w:rPr>
        <w:t xml:space="preserve">, N. ; P., Freya B. ; Halai, D. ; </w:t>
      </w:r>
      <w:proofErr w:type="spellStart"/>
      <w:r w:rsidRPr="00205279">
        <w:rPr>
          <w:rFonts w:eastAsia="Times New Roman" w:cs="Arial"/>
          <w:sz w:val="22"/>
          <w:szCs w:val="22"/>
          <w:lang w:eastAsia="en-GB"/>
        </w:rPr>
        <w:t>Baple</w:t>
      </w:r>
      <w:proofErr w:type="spellEnd"/>
      <w:r w:rsidRPr="00205279">
        <w:rPr>
          <w:rFonts w:eastAsia="Times New Roman" w:cs="Arial"/>
          <w:sz w:val="22"/>
          <w:szCs w:val="22"/>
          <w:lang w:eastAsia="en-GB"/>
        </w:rPr>
        <w:t xml:space="preserve">, E. ; Craig, C. ; Hamblin, A. ; Henderson, S. ; Patch, C. ; O’Neill, A. ; Devereaux, A. ; Smith, K. ; Martin, A. R. ; Sosinsky, A. ; McDonagh, E. M. ; Sultana, R ; Mueller, M. ; Smedley, D ; Toms, A. ; Dinh, L. ; Fowler, T. ; Bale, M. ; Hubbard, T. ; Rendon, A. ; Hill, S. and Caulfield, M. J. (2018) ‘The 100,000 Genomes Project: Bringing whole genome sequencing to the NHS’, </w:t>
      </w:r>
      <w:r w:rsidRPr="00205279">
        <w:rPr>
          <w:rFonts w:eastAsia="Times New Roman" w:cs="Arial"/>
          <w:i/>
          <w:iCs/>
          <w:sz w:val="22"/>
          <w:szCs w:val="22"/>
          <w:lang w:eastAsia="en-GB"/>
        </w:rPr>
        <w:t>British Medical Journal</w:t>
      </w:r>
      <w:r w:rsidRPr="00205279">
        <w:rPr>
          <w:rFonts w:eastAsia="Times New Roman" w:cs="Arial"/>
          <w:sz w:val="22"/>
          <w:szCs w:val="22"/>
          <w:lang w:eastAsia="en-GB"/>
        </w:rPr>
        <w:t xml:space="preserve">, 361, k1687. Available at: </w:t>
      </w:r>
      <w:hyperlink r:id="rId37" w:history="1">
        <w:r w:rsidRPr="00205279">
          <w:rPr>
            <w:rStyle w:val="Hyperlink"/>
            <w:rFonts w:eastAsia="Times New Roman" w:cs="Arial"/>
            <w:sz w:val="22"/>
            <w:szCs w:val="22"/>
            <w:lang w:eastAsia="en-GB"/>
          </w:rPr>
          <w:t>https://librarysearch.uwtsd.ac.uk/permalink/44WHELF_UWTSD/1ir6fgh/cdi_proquest_miscellaneous_2030933789</w:t>
        </w:r>
      </w:hyperlink>
      <w:r w:rsidRPr="00205279">
        <w:rPr>
          <w:rFonts w:eastAsia="Times New Roman" w:cs="Arial"/>
          <w:sz w:val="22"/>
          <w:szCs w:val="22"/>
          <w:lang w:eastAsia="en-GB"/>
        </w:rPr>
        <w:t xml:space="preserve">. Accessed on: 20 October 2025. </w:t>
      </w:r>
    </w:p>
    <w:p w14:paraId="3DD482C9" w14:textId="77777777" w:rsidR="00581CF0" w:rsidRPr="00205279" w:rsidRDefault="00581CF0" w:rsidP="00205279">
      <w:pPr>
        <w:pStyle w:val="ListParagraph"/>
        <w:numPr>
          <w:ilvl w:val="0"/>
          <w:numId w:val="5"/>
        </w:numPr>
        <w:spacing w:before="100" w:beforeAutospacing="1" w:after="100" w:afterAutospacing="1" w:line="360" w:lineRule="auto"/>
        <w:jc w:val="both"/>
        <w:rPr>
          <w:rFonts w:eastAsia="Times New Roman" w:cs="Arial"/>
          <w:sz w:val="22"/>
          <w:szCs w:val="22"/>
          <w:lang w:eastAsia="en-GB"/>
        </w:rPr>
      </w:pPr>
      <w:r w:rsidRPr="00205279">
        <w:rPr>
          <w:rFonts w:eastAsia="Times New Roman" w:cs="Arial"/>
          <w:sz w:val="22"/>
          <w:szCs w:val="22"/>
          <w:lang w:eastAsia="en-GB"/>
        </w:rPr>
        <w:t xml:space="preserve">UK Government (2020) </w:t>
      </w:r>
      <w:r w:rsidRPr="00205279">
        <w:rPr>
          <w:rFonts w:eastAsia="Times New Roman" w:cs="Arial"/>
          <w:i/>
          <w:iCs/>
          <w:sz w:val="22"/>
          <w:szCs w:val="22"/>
          <w:lang w:eastAsia="en-GB"/>
        </w:rPr>
        <w:t>Genome UK: The Future of Healthcare Strategy</w:t>
      </w:r>
      <w:r w:rsidRPr="00205279">
        <w:rPr>
          <w:rFonts w:eastAsia="Times New Roman" w:cs="Arial"/>
          <w:sz w:val="22"/>
          <w:szCs w:val="22"/>
          <w:lang w:eastAsia="en-GB"/>
        </w:rPr>
        <w:t>. London: Department of Health and Social Care.</w:t>
      </w:r>
    </w:p>
    <w:p w14:paraId="77CC5367" w14:textId="5870B902" w:rsidR="00AE12C5" w:rsidRPr="00083F47" w:rsidRDefault="00581CF0" w:rsidP="00083F47">
      <w:pPr>
        <w:pStyle w:val="NormalWeb"/>
        <w:numPr>
          <w:ilvl w:val="0"/>
          <w:numId w:val="5"/>
        </w:numPr>
        <w:spacing w:line="360" w:lineRule="auto"/>
        <w:jc w:val="both"/>
        <w:rPr>
          <w:rFonts w:ascii="Arial" w:hAnsi="Arial" w:cs="Arial"/>
          <w:sz w:val="22"/>
          <w:szCs w:val="22"/>
        </w:rPr>
      </w:pPr>
      <w:r w:rsidRPr="00205279">
        <w:rPr>
          <w:rFonts w:ascii="Arial" w:hAnsi="Arial" w:cs="Arial"/>
          <w:sz w:val="22"/>
          <w:szCs w:val="22"/>
        </w:rPr>
        <w:t xml:space="preserve">Wright, C.F., FitzPatrick, D.R. and Firth, H.V., 2023. </w:t>
      </w:r>
      <w:r w:rsidRPr="00205279">
        <w:rPr>
          <w:rStyle w:val="Emphasis"/>
          <w:rFonts w:ascii="Arial" w:hAnsi="Arial" w:cs="Arial"/>
          <w:sz w:val="22"/>
          <w:szCs w:val="22"/>
        </w:rPr>
        <w:t>Structural and non-coding variants increase the diagnostic yield of clinical whole genome sequencing for rare diseases</w:t>
      </w:r>
      <w:r w:rsidRPr="00205279">
        <w:rPr>
          <w:rFonts w:ascii="Arial" w:hAnsi="Arial" w:cs="Arial"/>
          <w:sz w:val="22"/>
          <w:szCs w:val="22"/>
        </w:rPr>
        <w:t xml:space="preserve">. Genome Medicine, 15(94). Available at: </w:t>
      </w:r>
      <w:hyperlink r:id="rId38" w:history="1">
        <w:r w:rsidRPr="00205279">
          <w:rPr>
            <w:rStyle w:val="Hyperlink"/>
            <w:rFonts w:ascii="Arial" w:hAnsi="Arial" w:cs="Arial"/>
            <w:sz w:val="22"/>
            <w:szCs w:val="22"/>
          </w:rPr>
          <w:t>https://doi.org/10.1186/s13073-023-01240-0</w:t>
        </w:r>
      </w:hyperlink>
      <w:r w:rsidR="00083F47">
        <w:rPr>
          <w:rFonts w:ascii="Arial" w:hAnsi="Arial" w:cs="Arial"/>
          <w:sz w:val="22"/>
          <w:szCs w:val="22"/>
        </w:rPr>
        <w:t xml:space="preserve">. </w:t>
      </w:r>
    </w:p>
    <w:p w14:paraId="7FE9C30F" w14:textId="77777777" w:rsidR="00AE12C5" w:rsidRDefault="00AE12C5"/>
    <w:p w14:paraId="35BE3D11" w14:textId="77777777" w:rsidR="00AE12C5" w:rsidRDefault="00AE12C5"/>
    <w:p w14:paraId="61D9F67E" w14:textId="77777777" w:rsidR="00AE12C5" w:rsidRDefault="00AE12C5"/>
    <w:p w14:paraId="77EAA2A3" w14:textId="77777777" w:rsidR="00AE12C5" w:rsidRDefault="00AE12C5"/>
    <w:p w14:paraId="45F5CE44" w14:textId="77777777" w:rsidR="00AE12C5" w:rsidRDefault="00AE12C5"/>
    <w:p w14:paraId="77224564" w14:textId="77777777" w:rsidR="00AE12C5" w:rsidRDefault="00AE12C5"/>
    <w:sectPr w:rsidR="00AE12C5" w:rsidSect="00AE12C5">
      <w:head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511D9" w14:textId="77777777" w:rsidR="005521F9" w:rsidRDefault="005521F9" w:rsidP="00A27530">
      <w:pPr>
        <w:spacing w:before="0" w:after="0" w:line="240" w:lineRule="auto"/>
      </w:pPr>
      <w:r>
        <w:separator/>
      </w:r>
    </w:p>
  </w:endnote>
  <w:endnote w:type="continuationSeparator" w:id="0">
    <w:p w14:paraId="1A3FB6B7" w14:textId="77777777" w:rsidR="005521F9" w:rsidRDefault="005521F9" w:rsidP="00A2753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64E6A" w14:textId="77777777" w:rsidR="005521F9" w:rsidRDefault="005521F9" w:rsidP="00A27530">
      <w:pPr>
        <w:spacing w:before="0" w:after="0" w:line="240" w:lineRule="auto"/>
      </w:pPr>
      <w:r>
        <w:separator/>
      </w:r>
    </w:p>
  </w:footnote>
  <w:footnote w:type="continuationSeparator" w:id="0">
    <w:p w14:paraId="7584B930" w14:textId="77777777" w:rsidR="005521F9" w:rsidRDefault="005521F9" w:rsidP="00A2753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8460413"/>
      <w:docPartObj>
        <w:docPartGallery w:val="Page Numbers (Top of Page)"/>
        <w:docPartUnique/>
      </w:docPartObj>
    </w:sdtPr>
    <w:sdtEndPr/>
    <w:sdtContent>
      <w:p w14:paraId="473E6585" w14:textId="1E083201" w:rsidR="00A27530" w:rsidRDefault="00A27530">
        <w:pPr>
          <w:pStyle w:val="Header"/>
        </w:pPr>
        <w:r>
          <w:fldChar w:fldCharType="begin"/>
        </w:r>
        <w:r>
          <w:instrText>PAGE   \* MERGEFORMAT</w:instrText>
        </w:r>
        <w:r>
          <w:fldChar w:fldCharType="separate"/>
        </w:r>
        <w:r>
          <w:t>2</w:t>
        </w:r>
        <w:r>
          <w:fldChar w:fldCharType="end"/>
        </w:r>
      </w:p>
    </w:sdtContent>
  </w:sdt>
  <w:p w14:paraId="08958E18" w14:textId="77777777" w:rsidR="00A27530" w:rsidRDefault="00A275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360E7"/>
    <w:multiLevelType w:val="multilevel"/>
    <w:tmpl w:val="83FAA2A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8F3190"/>
    <w:multiLevelType w:val="multilevel"/>
    <w:tmpl w:val="6200F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3F0974"/>
    <w:multiLevelType w:val="multilevel"/>
    <w:tmpl w:val="D66C7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094369"/>
    <w:multiLevelType w:val="multilevel"/>
    <w:tmpl w:val="A2063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C654BE"/>
    <w:multiLevelType w:val="hybridMultilevel"/>
    <w:tmpl w:val="070E0B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B63A98"/>
    <w:multiLevelType w:val="multilevel"/>
    <w:tmpl w:val="543AC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912D2A"/>
    <w:multiLevelType w:val="multilevel"/>
    <w:tmpl w:val="A7563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EF019D"/>
    <w:multiLevelType w:val="multilevel"/>
    <w:tmpl w:val="22323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59709B"/>
    <w:multiLevelType w:val="multilevel"/>
    <w:tmpl w:val="83D04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BC2E8A"/>
    <w:multiLevelType w:val="multilevel"/>
    <w:tmpl w:val="1B723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6566AC1"/>
    <w:multiLevelType w:val="multilevel"/>
    <w:tmpl w:val="96641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B96A6B"/>
    <w:multiLevelType w:val="hybridMultilevel"/>
    <w:tmpl w:val="9E76B2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CD76311"/>
    <w:multiLevelType w:val="multilevel"/>
    <w:tmpl w:val="839A4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5B0341"/>
    <w:multiLevelType w:val="multilevel"/>
    <w:tmpl w:val="2898A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00670C"/>
    <w:multiLevelType w:val="multilevel"/>
    <w:tmpl w:val="091CD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9898632">
    <w:abstractNumId w:val="7"/>
  </w:num>
  <w:num w:numId="2" w16cid:durableId="236791715">
    <w:abstractNumId w:val="10"/>
  </w:num>
  <w:num w:numId="3" w16cid:durableId="1266040573">
    <w:abstractNumId w:val="9"/>
  </w:num>
  <w:num w:numId="4" w16cid:durableId="446855341">
    <w:abstractNumId w:val="11"/>
  </w:num>
  <w:num w:numId="5" w16cid:durableId="876742937">
    <w:abstractNumId w:val="4"/>
  </w:num>
  <w:num w:numId="6" w16cid:durableId="89741862">
    <w:abstractNumId w:val="2"/>
  </w:num>
  <w:num w:numId="7" w16cid:durableId="843737975">
    <w:abstractNumId w:val="3"/>
  </w:num>
  <w:num w:numId="8" w16cid:durableId="742458148">
    <w:abstractNumId w:val="0"/>
  </w:num>
  <w:num w:numId="9" w16cid:durableId="300120101">
    <w:abstractNumId w:val="6"/>
  </w:num>
  <w:num w:numId="10" w16cid:durableId="1855261568">
    <w:abstractNumId w:val="14"/>
  </w:num>
  <w:num w:numId="11" w16cid:durableId="458687979">
    <w:abstractNumId w:val="12"/>
  </w:num>
  <w:num w:numId="12" w16cid:durableId="555625861">
    <w:abstractNumId w:val="5"/>
  </w:num>
  <w:num w:numId="13" w16cid:durableId="326590331">
    <w:abstractNumId w:val="1"/>
  </w:num>
  <w:num w:numId="14" w16cid:durableId="1820803736">
    <w:abstractNumId w:val="8"/>
  </w:num>
  <w:num w:numId="15" w16cid:durableId="34933126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2C5"/>
    <w:rsid w:val="00000491"/>
    <w:rsid w:val="00005CFB"/>
    <w:rsid w:val="000064B4"/>
    <w:rsid w:val="0001155D"/>
    <w:rsid w:val="00012E4A"/>
    <w:rsid w:val="0002471C"/>
    <w:rsid w:val="00045F27"/>
    <w:rsid w:val="00046A66"/>
    <w:rsid w:val="00051CAB"/>
    <w:rsid w:val="000554A6"/>
    <w:rsid w:val="00056FCF"/>
    <w:rsid w:val="00082484"/>
    <w:rsid w:val="00083F47"/>
    <w:rsid w:val="000A11E4"/>
    <w:rsid w:val="000B3F8F"/>
    <w:rsid w:val="000B51E1"/>
    <w:rsid w:val="000B5728"/>
    <w:rsid w:val="000B702A"/>
    <w:rsid w:val="000C4C25"/>
    <w:rsid w:val="000D0E32"/>
    <w:rsid w:val="000D3E90"/>
    <w:rsid w:val="000E2256"/>
    <w:rsid w:val="000E47E9"/>
    <w:rsid w:val="000E6119"/>
    <w:rsid w:val="000F2819"/>
    <w:rsid w:val="000F28BD"/>
    <w:rsid w:val="00113941"/>
    <w:rsid w:val="00122019"/>
    <w:rsid w:val="00124098"/>
    <w:rsid w:val="0012597B"/>
    <w:rsid w:val="00125A4B"/>
    <w:rsid w:val="00125F26"/>
    <w:rsid w:val="0012626D"/>
    <w:rsid w:val="001326E0"/>
    <w:rsid w:val="001533B6"/>
    <w:rsid w:val="00155903"/>
    <w:rsid w:val="00167D9F"/>
    <w:rsid w:val="00187A95"/>
    <w:rsid w:val="00190FFC"/>
    <w:rsid w:val="001A37B1"/>
    <w:rsid w:val="001A4C9F"/>
    <w:rsid w:val="001A7530"/>
    <w:rsid w:val="001B077B"/>
    <w:rsid w:val="001B1DB5"/>
    <w:rsid w:val="001C4FDA"/>
    <w:rsid w:val="001D7883"/>
    <w:rsid w:val="001E3907"/>
    <w:rsid w:val="001E5350"/>
    <w:rsid w:val="002006E9"/>
    <w:rsid w:val="00201088"/>
    <w:rsid w:val="00205279"/>
    <w:rsid w:val="0020755E"/>
    <w:rsid w:val="00210412"/>
    <w:rsid w:val="002128D7"/>
    <w:rsid w:val="0022393C"/>
    <w:rsid w:val="0024466B"/>
    <w:rsid w:val="00251691"/>
    <w:rsid w:val="00252DAF"/>
    <w:rsid w:val="002763E1"/>
    <w:rsid w:val="00276BCA"/>
    <w:rsid w:val="002940C5"/>
    <w:rsid w:val="00295021"/>
    <w:rsid w:val="002A266C"/>
    <w:rsid w:val="002B6E45"/>
    <w:rsid w:val="002D0763"/>
    <w:rsid w:val="002D2C4F"/>
    <w:rsid w:val="002D412E"/>
    <w:rsid w:val="002D6B5F"/>
    <w:rsid w:val="002E13ED"/>
    <w:rsid w:val="002F1ECA"/>
    <w:rsid w:val="002F7C5B"/>
    <w:rsid w:val="002F7C79"/>
    <w:rsid w:val="003121E7"/>
    <w:rsid w:val="00326ECD"/>
    <w:rsid w:val="0033058F"/>
    <w:rsid w:val="00330CB7"/>
    <w:rsid w:val="00333966"/>
    <w:rsid w:val="00333E1A"/>
    <w:rsid w:val="00363EBB"/>
    <w:rsid w:val="00365614"/>
    <w:rsid w:val="00365C1A"/>
    <w:rsid w:val="00370809"/>
    <w:rsid w:val="0037417D"/>
    <w:rsid w:val="003828EC"/>
    <w:rsid w:val="00390C9B"/>
    <w:rsid w:val="00397070"/>
    <w:rsid w:val="003A0E66"/>
    <w:rsid w:val="003A4E11"/>
    <w:rsid w:val="003B0991"/>
    <w:rsid w:val="003B33D6"/>
    <w:rsid w:val="003B5B4D"/>
    <w:rsid w:val="003B6137"/>
    <w:rsid w:val="003C0197"/>
    <w:rsid w:val="003D052E"/>
    <w:rsid w:val="003D1858"/>
    <w:rsid w:val="003D602E"/>
    <w:rsid w:val="003E6A93"/>
    <w:rsid w:val="00403E49"/>
    <w:rsid w:val="0041012F"/>
    <w:rsid w:val="00411FBA"/>
    <w:rsid w:val="004151DE"/>
    <w:rsid w:val="0042127E"/>
    <w:rsid w:val="004217C4"/>
    <w:rsid w:val="004278E9"/>
    <w:rsid w:val="00430DA8"/>
    <w:rsid w:val="00434E81"/>
    <w:rsid w:val="004461D0"/>
    <w:rsid w:val="00452D2C"/>
    <w:rsid w:val="004553D5"/>
    <w:rsid w:val="00455493"/>
    <w:rsid w:val="0046661B"/>
    <w:rsid w:val="00475A87"/>
    <w:rsid w:val="00482845"/>
    <w:rsid w:val="004845E3"/>
    <w:rsid w:val="00491869"/>
    <w:rsid w:val="00492DE6"/>
    <w:rsid w:val="004A165E"/>
    <w:rsid w:val="004B22CC"/>
    <w:rsid w:val="004B38BC"/>
    <w:rsid w:val="004B6447"/>
    <w:rsid w:val="004D6C55"/>
    <w:rsid w:val="004E06A4"/>
    <w:rsid w:val="004F2C96"/>
    <w:rsid w:val="004F7845"/>
    <w:rsid w:val="0050008F"/>
    <w:rsid w:val="00500679"/>
    <w:rsid w:val="005026CB"/>
    <w:rsid w:val="00502F5D"/>
    <w:rsid w:val="005046B1"/>
    <w:rsid w:val="00513DCF"/>
    <w:rsid w:val="00515138"/>
    <w:rsid w:val="00517B37"/>
    <w:rsid w:val="00521EE5"/>
    <w:rsid w:val="00526553"/>
    <w:rsid w:val="00544713"/>
    <w:rsid w:val="00550F86"/>
    <w:rsid w:val="005521F9"/>
    <w:rsid w:val="005617F3"/>
    <w:rsid w:val="00563D5E"/>
    <w:rsid w:val="00565F08"/>
    <w:rsid w:val="0057137E"/>
    <w:rsid w:val="00571622"/>
    <w:rsid w:val="0057267F"/>
    <w:rsid w:val="00573281"/>
    <w:rsid w:val="00581CF0"/>
    <w:rsid w:val="0058567A"/>
    <w:rsid w:val="005B7520"/>
    <w:rsid w:val="005B794C"/>
    <w:rsid w:val="005C082E"/>
    <w:rsid w:val="005C502B"/>
    <w:rsid w:val="005C54C4"/>
    <w:rsid w:val="005C7049"/>
    <w:rsid w:val="005C72C3"/>
    <w:rsid w:val="005D2BF6"/>
    <w:rsid w:val="005F2C9B"/>
    <w:rsid w:val="005F734B"/>
    <w:rsid w:val="005F7AC1"/>
    <w:rsid w:val="00612359"/>
    <w:rsid w:val="006133E3"/>
    <w:rsid w:val="006152AB"/>
    <w:rsid w:val="00622C86"/>
    <w:rsid w:val="006255FC"/>
    <w:rsid w:val="00630707"/>
    <w:rsid w:val="00633704"/>
    <w:rsid w:val="00637E31"/>
    <w:rsid w:val="00646ECA"/>
    <w:rsid w:val="00655D40"/>
    <w:rsid w:val="00672960"/>
    <w:rsid w:val="0067301E"/>
    <w:rsid w:val="00674E2E"/>
    <w:rsid w:val="00684D05"/>
    <w:rsid w:val="00690DDB"/>
    <w:rsid w:val="006A0E98"/>
    <w:rsid w:val="006B4847"/>
    <w:rsid w:val="006C4BF9"/>
    <w:rsid w:val="006D282C"/>
    <w:rsid w:val="006D5F50"/>
    <w:rsid w:val="006D78C1"/>
    <w:rsid w:val="006E1C32"/>
    <w:rsid w:val="006E7FA3"/>
    <w:rsid w:val="00710589"/>
    <w:rsid w:val="007137CA"/>
    <w:rsid w:val="0071609C"/>
    <w:rsid w:val="0072600C"/>
    <w:rsid w:val="00735FB0"/>
    <w:rsid w:val="00737E6D"/>
    <w:rsid w:val="00740ADD"/>
    <w:rsid w:val="00745B68"/>
    <w:rsid w:val="00746A10"/>
    <w:rsid w:val="00750242"/>
    <w:rsid w:val="0075079B"/>
    <w:rsid w:val="00776ECC"/>
    <w:rsid w:val="00781435"/>
    <w:rsid w:val="0078249D"/>
    <w:rsid w:val="00785857"/>
    <w:rsid w:val="007A1EF9"/>
    <w:rsid w:val="007B1ECC"/>
    <w:rsid w:val="007B5B83"/>
    <w:rsid w:val="007B756F"/>
    <w:rsid w:val="007B768B"/>
    <w:rsid w:val="007B7F55"/>
    <w:rsid w:val="007F25A3"/>
    <w:rsid w:val="007F2ADC"/>
    <w:rsid w:val="00807DD8"/>
    <w:rsid w:val="00815983"/>
    <w:rsid w:val="00815FCF"/>
    <w:rsid w:val="008167B7"/>
    <w:rsid w:val="00820A7F"/>
    <w:rsid w:val="00824D5A"/>
    <w:rsid w:val="00825F2D"/>
    <w:rsid w:val="00826A86"/>
    <w:rsid w:val="008312B9"/>
    <w:rsid w:val="008400CE"/>
    <w:rsid w:val="008473A7"/>
    <w:rsid w:val="00860D8F"/>
    <w:rsid w:val="00870659"/>
    <w:rsid w:val="00873157"/>
    <w:rsid w:val="008736EC"/>
    <w:rsid w:val="008879D8"/>
    <w:rsid w:val="00887D70"/>
    <w:rsid w:val="00892B42"/>
    <w:rsid w:val="008B3088"/>
    <w:rsid w:val="008B5F46"/>
    <w:rsid w:val="008B6146"/>
    <w:rsid w:val="008B6A8D"/>
    <w:rsid w:val="008C05A0"/>
    <w:rsid w:val="008C7436"/>
    <w:rsid w:val="008D2B2F"/>
    <w:rsid w:val="008E1207"/>
    <w:rsid w:val="008E6ED3"/>
    <w:rsid w:val="008F5979"/>
    <w:rsid w:val="0090082F"/>
    <w:rsid w:val="00903AD7"/>
    <w:rsid w:val="009050FD"/>
    <w:rsid w:val="009114FC"/>
    <w:rsid w:val="009243E2"/>
    <w:rsid w:val="009249A5"/>
    <w:rsid w:val="00927C46"/>
    <w:rsid w:val="00934A2E"/>
    <w:rsid w:val="0094207D"/>
    <w:rsid w:val="009424BA"/>
    <w:rsid w:val="0096729B"/>
    <w:rsid w:val="009716AA"/>
    <w:rsid w:val="00983447"/>
    <w:rsid w:val="0098616A"/>
    <w:rsid w:val="009918F6"/>
    <w:rsid w:val="00991A38"/>
    <w:rsid w:val="00993686"/>
    <w:rsid w:val="00994AA4"/>
    <w:rsid w:val="009B31B6"/>
    <w:rsid w:val="009C2CB5"/>
    <w:rsid w:val="009C3097"/>
    <w:rsid w:val="009C33BD"/>
    <w:rsid w:val="009C6FF1"/>
    <w:rsid w:val="009D4ACD"/>
    <w:rsid w:val="009D4AF1"/>
    <w:rsid w:val="009D4BA7"/>
    <w:rsid w:val="009D5552"/>
    <w:rsid w:val="009E28B0"/>
    <w:rsid w:val="009E347E"/>
    <w:rsid w:val="009F181B"/>
    <w:rsid w:val="00A000C3"/>
    <w:rsid w:val="00A00E71"/>
    <w:rsid w:val="00A019B0"/>
    <w:rsid w:val="00A06E19"/>
    <w:rsid w:val="00A13354"/>
    <w:rsid w:val="00A14864"/>
    <w:rsid w:val="00A23140"/>
    <w:rsid w:val="00A27530"/>
    <w:rsid w:val="00A3028C"/>
    <w:rsid w:val="00A33F5D"/>
    <w:rsid w:val="00A40A56"/>
    <w:rsid w:val="00A54AC3"/>
    <w:rsid w:val="00A55243"/>
    <w:rsid w:val="00A5765D"/>
    <w:rsid w:val="00A65AA5"/>
    <w:rsid w:val="00A85BE8"/>
    <w:rsid w:val="00A94213"/>
    <w:rsid w:val="00AB2F6E"/>
    <w:rsid w:val="00AD05F0"/>
    <w:rsid w:val="00AE12C5"/>
    <w:rsid w:val="00AE175E"/>
    <w:rsid w:val="00AF1737"/>
    <w:rsid w:val="00AF5705"/>
    <w:rsid w:val="00AF5C9E"/>
    <w:rsid w:val="00AF615C"/>
    <w:rsid w:val="00AF7594"/>
    <w:rsid w:val="00B1195B"/>
    <w:rsid w:val="00B17802"/>
    <w:rsid w:val="00B2284E"/>
    <w:rsid w:val="00B3187E"/>
    <w:rsid w:val="00B34D02"/>
    <w:rsid w:val="00B432FA"/>
    <w:rsid w:val="00B47805"/>
    <w:rsid w:val="00B55436"/>
    <w:rsid w:val="00B628DF"/>
    <w:rsid w:val="00B65269"/>
    <w:rsid w:val="00B74533"/>
    <w:rsid w:val="00B77AC4"/>
    <w:rsid w:val="00B83705"/>
    <w:rsid w:val="00B83B33"/>
    <w:rsid w:val="00B94991"/>
    <w:rsid w:val="00BA5015"/>
    <w:rsid w:val="00BA65D3"/>
    <w:rsid w:val="00BA7D58"/>
    <w:rsid w:val="00BC4573"/>
    <w:rsid w:val="00BE60C4"/>
    <w:rsid w:val="00C00F40"/>
    <w:rsid w:val="00C05492"/>
    <w:rsid w:val="00C13057"/>
    <w:rsid w:val="00C21DD4"/>
    <w:rsid w:val="00C234B3"/>
    <w:rsid w:val="00C35B33"/>
    <w:rsid w:val="00C40370"/>
    <w:rsid w:val="00C40440"/>
    <w:rsid w:val="00C443DB"/>
    <w:rsid w:val="00C5178A"/>
    <w:rsid w:val="00C52CAB"/>
    <w:rsid w:val="00C53301"/>
    <w:rsid w:val="00C54570"/>
    <w:rsid w:val="00C55DAF"/>
    <w:rsid w:val="00C55DF3"/>
    <w:rsid w:val="00C706A1"/>
    <w:rsid w:val="00C76172"/>
    <w:rsid w:val="00C828B5"/>
    <w:rsid w:val="00C87678"/>
    <w:rsid w:val="00C91705"/>
    <w:rsid w:val="00C93040"/>
    <w:rsid w:val="00C95A50"/>
    <w:rsid w:val="00CA1BD1"/>
    <w:rsid w:val="00CA2DB5"/>
    <w:rsid w:val="00CA6C07"/>
    <w:rsid w:val="00CB51BC"/>
    <w:rsid w:val="00CB6AF2"/>
    <w:rsid w:val="00CC173A"/>
    <w:rsid w:val="00CC1FE2"/>
    <w:rsid w:val="00CC22E9"/>
    <w:rsid w:val="00CD0ECA"/>
    <w:rsid w:val="00CD4201"/>
    <w:rsid w:val="00CD4B3B"/>
    <w:rsid w:val="00CD5FA4"/>
    <w:rsid w:val="00CE1E4A"/>
    <w:rsid w:val="00CE4C82"/>
    <w:rsid w:val="00CF2D3D"/>
    <w:rsid w:val="00D03CED"/>
    <w:rsid w:val="00D04C70"/>
    <w:rsid w:val="00D050FD"/>
    <w:rsid w:val="00D0799F"/>
    <w:rsid w:val="00D1618E"/>
    <w:rsid w:val="00D23CEE"/>
    <w:rsid w:val="00D30E30"/>
    <w:rsid w:val="00D4565A"/>
    <w:rsid w:val="00D510D1"/>
    <w:rsid w:val="00D52AAC"/>
    <w:rsid w:val="00D54303"/>
    <w:rsid w:val="00D56699"/>
    <w:rsid w:val="00D62F24"/>
    <w:rsid w:val="00D6635B"/>
    <w:rsid w:val="00D70395"/>
    <w:rsid w:val="00D73D0F"/>
    <w:rsid w:val="00D84425"/>
    <w:rsid w:val="00D852E1"/>
    <w:rsid w:val="00D90CF7"/>
    <w:rsid w:val="00D94C63"/>
    <w:rsid w:val="00D94F5B"/>
    <w:rsid w:val="00D977F9"/>
    <w:rsid w:val="00DA0D66"/>
    <w:rsid w:val="00DA460C"/>
    <w:rsid w:val="00DB0BB3"/>
    <w:rsid w:val="00DB2A56"/>
    <w:rsid w:val="00DC3884"/>
    <w:rsid w:val="00DD2488"/>
    <w:rsid w:val="00DE17CD"/>
    <w:rsid w:val="00DE2221"/>
    <w:rsid w:val="00DE2F3F"/>
    <w:rsid w:val="00DE370D"/>
    <w:rsid w:val="00DE5CB8"/>
    <w:rsid w:val="00DE6265"/>
    <w:rsid w:val="00DE7123"/>
    <w:rsid w:val="00E0032D"/>
    <w:rsid w:val="00E00AAB"/>
    <w:rsid w:val="00E072A5"/>
    <w:rsid w:val="00E07BB7"/>
    <w:rsid w:val="00E12FE1"/>
    <w:rsid w:val="00E13714"/>
    <w:rsid w:val="00E232D8"/>
    <w:rsid w:val="00E45EE1"/>
    <w:rsid w:val="00E53EC6"/>
    <w:rsid w:val="00E612C9"/>
    <w:rsid w:val="00E81DBD"/>
    <w:rsid w:val="00E833B2"/>
    <w:rsid w:val="00E840FB"/>
    <w:rsid w:val="00E87BC8"/>
    <w:rsid w:val="00E955E5"/>
    <w:rsid w:val="00EA6516"/>
    <w:rsid w:val="00EB0920"/>
    <w:rsid w:val="00EB3DA8"/>
    <w:rsid w:val="00EC0FAC"/>
    <w:rsid w:val="00EC2DD8"/>
    <w:rsid w:val="00EC5704"/>
    <w:rsid w:val="00ED38A6"/>
    <w:rsid w:val="00EE772E"/>
    <w:rsid w:val="00EF0E62"/>
    <w:rsid w:val="00EF6DC5"/>
    <w:rsid w:val="00F069B3"/>
    <w:rsid w:val="00F214C3"/>
    <w:rsid w:val="00F2293C"/>
    <w:rsid w:val="00F22A2F"/>
    <w:rsid w:val="00F245FC"/>
    <w:rsid w:val="00F24DE0"/>
    <w:rsid w:val="00F338BA"/>
    <w:rsid w:val="00F4753A"/>
    <w:rsid w:val="00F50FB7"/>
    <w:rsid w:val="00F54565"/>
    <w:rsid w:val="00F557EE"/>
    <w:rsid w:val="00F72C9A"/>
    <w:rsid w:val="00F74126"/>
    <w:rsid w:val="00F830A4"/>
    <w:rsid w:val="00F86B90"/>
    <w:rsid w:val="00F8701D"/>
    <w:rsid w:val="00F91972"/>
    <w:rsid w:val="00F919B5"/>
    <w:rsid w:val="00F93358"/>
    <w:rsid w:val="00FA36A0"/>
    <w:rsid w:val="00FA37E6"/>
    <w:rsid w:val="00FA5FF2"/>
    <w:rsid w:val="00FB127B"/>
    <w:rsid w:val="00FB27A5"/>
    <w:rsid w:val="00FB799A"/>
    <w:rsid w:val="00FC5678"/>
    <w:rsid w:val="00FD1485"/>
    <w:rsid w:val="00FF1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B8045C"/>
  <w15:chartTrackingRefBased/>
  <w15:docId w15:val="{44B0D689-E5A6-433E-8C6F-CA2FB046B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705"/>
    <w:pPr>
      <w:spacing w:before="120" w:after="280" w:line="300" w:lineRule="auto"/>
    </w:pPr>
    <w:rPr>
      <w:rFonts w:ascii="Arial" w:eastAsiaTheme="minorEastAsia" w:hAnsi="Arial"/>
      <w:kern w:val="0"/>
      <w:sz w:val="24"/>
      <w:szCs w:val="21"/>
      <w14:ligatures w14:val="none"/>
    </w:rPr>
  </w:style>
  <w:style w:type="paragraph" w:styleId="Heading1">
    <w:name w:val="heading 1"/>
    <w:basedOn w:val="Normal"/>
    <w:next w:val="Normal"/>
    <w:link w:val="Heading1Char"/>
    <w:uiPriority w:val="9"/>
    <w:qFormat/>
    <w:rsid w:val="00AE12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E12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12C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12C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E12C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E12C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E12C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E12C5"/>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E12C5"/>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170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91705"/>
    <w:rPr>
      <w:rFonts w:ascii="Arial" w:eastAsiaTheme="minorEastAsia" w:hAnsi="Arial"/>
      <w:kern w:val="0"/>
      <w:sz w:val="24"/>
      <w:szCs w:val="21"/>
      <w14:ligatures w14:val="none"/>
    </w:rPr>
  </w:style>
  <w:style w:type="paragraph" w:styleId="Footer">
    <w:name w:val="footer"/>
    <w:basedOn w:val="Normal"/>
    <w:link w:val="FooterChar"/>
    <w:uiPriority w:val="99"/>
    <w:unhideWhenUsed/>
    <w:rsid w:val="00C9170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91705"/>
    <w:rPr>
      <w:rFonts w:ascii="Arial" w:eastAsiaTheme="minorEastAsia" w:hAnsi="Arial"/>
      <w:kern w:val="0"/>
      <w:sz w:val="24"/>
      <w:szCs w:val="21"/>
      <w14:ligatures w14:val="none"/>
    </w:rPr>
  </w:style>
  <w:style w:type="paragraph" w:styleId="Title">
    <w:name w:val="Title"/>
    <w:basedOn w:val="Normal"/>
    <w:next w:val="Normal"/>
    <w:link w:val="TitleChar"/>
    <w:uiPriority w:val="10"/>
    <w:qFormat/>
    <w:rsid w:val="00C91705"/>
    <w:pPr>
      <w:spacing w:after="8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C91705"/>
    <w:rPr>
      <w:rFonts w:ascii="Arial" w:eastAsiaTheme="majorEastAsia" w:hAnsi="Arial" w:cstheme="majorBidi"/>
      <w:spacing w:val="-10"/>
      <w:kern w:val="28"/>
      <w:sz w:val="56"/>
      <w:szCs w:val="56"/>
      <w14:ligatures w14:val="none"/>
    </w:rPr>
  </w:style>
  <w:style w:type="paragraph" w:styleId="Subtitle">
    <w:name w:val="Subtitle"/>
    <w:basedOn w:val="Normal"/>
    <w:next w:val="Normal"/>
    <w:link w:val="SubtitleChar"/>
    <w:uiPriority w:val="11"/>
    <w:qFormat/>
    <w:rsid w:val="00C91705"/>
    <w:pPr>
      <w:numPr>
        <w:ilvl w:val="1"/>
      </w:numPr>
      <w:spacing w:after="160"/>
    </w:pPr>
    <w:rPr>
      <w:rFonts w:asciiTheme="minorHAnsi" w:hAnsiTheme="minorHAnsi"/>
      <w:color w:val="5A5A5A" w:themeColor="text1" w:themeTint="A5"/>
      <w:spacing w:val="15"/>
      <w:sz w:val="22"/>
      <w:szCs w:val="22"/>
    </w:rPr>
  </w:style>
  <w:style w:type="character" w:customStyle="1" w:styleId="SubtitleChar">
    <w:name w:val="Subtitle Char"/>
    <w:basedOn w:val="DefaultParagraphFont"/>
    <w:link w:val="Subtitle"/>
    <w:uiPriority w:val="11"/>
    <w:rsid w:val="00C91705"/>
    <w:rPr>
      <w:rFonts w:eastAsiaTheme="minorEastAsia"/>
      <w:color w:val="5A5A5A" w:themeColor="text1" w:themeTint="A5"/>
      <w:spacing w:val="15"/>
      <w:kern w:val="0"/>
      <w14:ligatures w14:val="none"/>
    </w:rPr>
  </w:style>
  <w:style w:type="character" w:styleId="Hyperlink">
    <w:name w:val="Hyperlink"/>
    <w:basedOn w:val="DefaultParagraphFont"/>
    <w:uiPriority w:val="99"/>
    <w:unhideWhenUsed/>
    <w:rsid w:val="00C91705"/>
    <w:rPr>
      <w:color w:val="467886" w:themeColor="hyperlink"/>
      <w:u w:val="single"/>
    </w:rPr>
  </w:style>
  <w:style w:type="character" w:styleId="FollowedHyperlink">
    <w:name w:val="FollowedHyperlink"/>
    <w:basedOn w:val="DefaultParagraphFont"/>
    <w:uiPriority w:val="99"/>
    <w:semiHidden/>
    <w:unhideWhenUsed/>
    <w:rsid w:val="00C91705"/>
    <w:rPr>
      <w:color w:val="96607D" w:themeColor="followedHyperlink"/>
      <w:u w:val="single"/>
    </w:rPr>
  </w:style>
  <w:style w:type="paragraph" w:styleId="NormalWeb">
    <w:name w:val="Normal (Web)"/>
    <w:basedOn w:val="Normal"/>
    <w:uiPriority w:val="99"/>
    <w:unhideWhenUsed/>
    <w:rsid w:val="00C91705"/>
    <w:pPr>
      <w:spacing w:before="100" w:beforeAutospacing="1" w:after="100" w:afterAutospacing="1" w:line="240" w:lineRule="auto"/>
    </w:pPr>
    <w:rPr>
      <w:rFonts w:ascii="Times New Roman" w:eastAsia="Times New Roman" w:hAnsi="Times New Roman" w:cs="Times New Roman"/>
      <w:szCs w:val="24"/>
      <w:lang w:eastAsia="en-GB"/>
    </w:rPr>
  </w:style>
  <w:style w:type="table" w:styleId="TableGrid">
    <w:name w:val="Table Grid"/>
    <w:basedOn w:val="TableNormal"/>
    <w:uiPriority w:val="39"/>
    <w:rsid w:val="00C917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C91705"/>
    <w:pPr>
      <w:spacing w:after="0" w:line="240" w:lineRule="auto"/>
    </w:pPr>
    <w:rPr>
      <w:rFonts w:eastAsiaTheme="minorEastAsia"/>
      <w:kern w:val="0"/>
      <w:lang w:eastAsia="en-GB"/>
    </w:rPr>
  </w:style>
  <w:style w:type="character" w:customStyle="1" w:styleId="NoSpacingChar">
    <w:name w:val="No Spacing Char"/>
    <w:basedOn w:val="DefaultParagraphFont"/>
    <w:link w:val="NoSpacing"/>
    <w:uiPriority w:val="1"/>
    <w:rsid w:val="00C91705"/>
    <w:rPr>
      <w:rFonts w:eastAsiaTheme="minorEastAsia"/>
      <w:kern w:val="0"/>
      <w:lang w:eastAsia="en-GB"/>
    </w:rPr>
  </w:style>
  <w:style w:type="paragraph" w:styleId="ListParagraph">
    <w:name w:val="List Paragraph"/>
    <w:basedOn w:val="Normal"/>
    <w:uiPriority w:val="34"/>
    <w:qFormat/>
    <w:rsid w:val="00C91705"/>
    <w:pPr>
      <w:ind w:left="720"/>
      <w:contextualSpacing/>
    </w:pPr>
  </w:style>
  <w:style w:type="table" w:styleId="PlainTable1">
    <w:name w:val="Plain Table 1"/>
    <w:basedOn w:val="TableNormal"/>
    <w:uiPriority w:val="41"/>
    <w:rsid w:val="00C9170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C9170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4-Accent4">
    <w:name w:val="Grid Table 4 Accent 4"/>
    <w:basedOn w:val="TableNormal"/>
    <w:uiPriority w:val="49"/>
    <w:rsid w:val="00C91705"/>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UnresolvedMention">
    <w:name w:val="Unresolved Mention"/>
    <w:basedOn w:val="DefaultParagraphFont"/>
    <w:uiPriority w:val="99"/>
    <w:semiHidden/>
    <w:unhideWhenUsed/>
    <w:rsid w:val="00C91705"/>
    <w:rPr>
      <w:color w:val="605E5C"/>
      <w:shd w:val="clear" w:color="auto" w:fill="E1DFDD"/>
    </w:rPr>
  </w:style>
  <w:style w:type="character" w:customStyle="1" w:styleId="Heading1Char">
    <w:name w:val="Heading 1 Char"/>
    <w:basedOn w:val="DefaultParagraphFont"/>
    <w:link w:val="Heading1"/>
    <w:uiPriority w:val="9"/>
    <w:rsid w:val="00AE12C5"/>
    <w:rPr>
      <w:rFonts w:asciiTheme="majorHAnsi" w:eastAsiaTheme="majorEastAsia" w:hAnsiTheme="majorHAnsi" w:cstheme="majorBidi"/>
      <w:color w:val="0F4761" w:themeColor="accent1" w:themeShade="BF"/>
      <w:kern w:val="0"/>
      <w:sz w:val="40"/>
      <w:szCs w:val="40"/>
      <w14:ligatures w14:val="none"/>
    </w:rPr>
  </w:style>
  <w:style w:type="character" w:customStyle="1" w:styleId="Heading2Char">
    <w:name w:val="Heading 2 Char"/>
    <w:basedOn w:val="DefaultParagraphFont"/>
    <w:link w:val="Heading2"/>
    <w:uiPriority w:val="9"/>
    <w:rsid w:val="00AE12C5"/>
    <w:rPr>
      <w:rFonts w:asciiTheme="majorHAnsi" w:eastAsiaTheme="majorEastAsia" w:hAnsiTheme="majorHAnsi" w:cstheme="majorBidi"/>
      <w:color w:val="0F4761" w:themeColor="accent1" w:themeShade="BF"/>
      <w:kern w:val="0"/>
      <w:sz w:val="32"/>
      <w:szCs w:val="32"/>
      <w14:ligatures w14:val="none"/>
    </w:rPr>
  </w:style>
  <w:style w:type="character" w:customStyle="1" w:styleId="Heading3Char">
    <w:name w:val="Heading 3 Char"/>
    <w:basedOn w:val="DefaultParagraphFont"/>
    <w:link w:val="Heading3"/>
    <w:uiPriority w:val="9"/>
    <w:semiHidden/>
    <w:rsid w:val="00AE12C5"/>
    <w:rPr>
      <w:rFonts w:eastAsiaTheme="majorEastAsia" w:cstheme="majorBidi"/>
      <w:color w:val="0F4761"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AE12C5"/>
    <w:rPr>
      <w:rFonts w:eastAsiaTheme="majorEastAsia" w:cstheme="majorBidi"/>
      <w:i/>
      <w:iCs/>
      <w:color w:val="0F4761" w:themeColor="accent1" w:themeShade="BF"/>
      <w:kern w:val="0"/>
      <w:sz w:val="24"/>
      <w:szCs w:val="21"/>
      <w14:ligatures w14:val="none"/>
    </w:rPr>
  </w:style>
  <w:style w:type="character" w:customStyle="1" w:styleId="Heading5Char">
    <w:name w:val="Heading 5 Char"/>
    <w:basedOn w:val="DefaultParagraphFont"/>
    <w:link w:val="Heading5"/>
    <w:uiPriority w:val="9"/>
    <w:semiHidden/>
    <w:rsid w:val="00AE12C5"/>
    <w:rPr>
      <w:rFonts w:eastAsiaTheme="majorEastAsia" w:cstheme="majorBidi"/>
      <w:color w:val="0F4761" w:themeColor="accent1" w:themeShade="BF"/>
      <w:kern w:val="0"/>
      <w:sz w:val="24"/>
      <w:szCs w:val="21"/>
      <w14:ligatures w14:val="none"/>
    </w:rPr>
  </w:style>
  <w:style w:type="character" w:customStyle="1" w:styleId="Heading6Char">
    <w:name w:val="Heading 6 Char"/>
    <w:basedOn w:val="DefaultParagraphFont"/>
    <w:link w:val="Heading6"/>
    <w:uiPriority w:val="9"/>
    <w:semiHidden/>
    <w:rsid w:val="00AE12C5"/>
    <w:rPr>
      <w:rFonts w:eastAsiaTheme="majorEastAsia" w:cstheme="majorBidi"/>
      <w:i/>
      <w:iCs/>
      <w:color w:val="595959" w:themeColor="text1" w:themeTint="A6"/>
      <w:kern w:val="0"/>
      <w:sz w:val="24"/>
      <w:szCs w:val="21"/>
      <w14:ligatures w14:val="none"/>
    </w:rPr>
  </w:style>
  <w:style w:type="character" w:customStyle="1" w:styleId="Heading7Char">
    <w:name w:val="Heading 7 Char"/>
    <w:basedOn w:val="DefaultParagraphFont"/>
    <w:link w:val="Heading7"/>
    <w:uiPriority w:val="9"/>
    <w:semiHidden/>
    <w:rsid w:val="00AE12C5"/>
    <w:rPr>
      <w:rFonts w:eastAsiaTheme="majorEastAsia" w:cstheme="majorBidi"/>
      <w:color w:val="595959" w:themeColor="text1" w:themeTint="A6"/>
      <w:kern w:val="0"/>
      <w:sz w:val="24"/>
      <w:szCs w:val="21"/>
      <w14:ligatures w14:val="none"/>
    </w:rPr>
  </w:style>
  <w:style w:type="character" w:customStyle="1" w:styleId="Heading8Char">
    <w:name w:val="Heading 8 Char"/>
    <w:basedOn w:val="DefaultParagraphFont"/>
    <w:link w:val="Heading8"/>
    <w:uiPriority w:val="9"/>
    <w:semiHidden/>
    <w:rsid w:val="00AE12C5"/>
    <w:rPr>
      <w:rFonts w:eastAsiaTheme="majorEastAsia" w:cstheme="majorBidi"/>
      <w:i/>
      <w:iCs/>
      <w:color w:val="272727" w:themeColor="text1" w:themeTint="D8"/>
      <w:kern w:val="0"/>
      <w:sz w:val="24"/>
      <w:szCs w:val="21"/>
      <w14:ligatures w14:val="none"/>
    </w:rPr>
  </w:style>
  <w:style w:type="character" w:customStyle="1" w:styleId="Heading9Char">
    <w:name w:val="Heading 9 Char"/>
    <w:basedOn w:val="DefaultParagraphFont"/>
    <w:link w:val="Heading9"/>
    <w:uiPriority w:val="9"/>
    <w:semiHidden/>
    <w:rsid w:val="00AE12C5"/>
    <w:rPr>
      <w:rFonts w:eastAsiaTheme="majorEastAsia" w:cstheme="majorBidi"/>
      <w:color w:val="272727" w:themeColor="text1" w:themeTint="D8"/>
      <w:kern w:val="0"/>
      <w:sz w:val="24"/>
      <w:szCs w:val="21"/>
      <w14:ligatures w14:val="none"/>
    </w:rPr>
  </w:style>
  <w:style w:type="paragraph" w:styleId="Quote">
    <w:name w:val="Quote"/>
    <w:basedOn w:val="Normal"/>
    <w:next w:val="Normal"/>
    <w:link w:val="QuoteChar"/>
    <w:uiPriority w:val="29"/>
    <w:qFormat/>
    <w:rsid w:val="00AE12C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E12C5"/>
    <w:rPr>
      <w:rFonts w:ascii="Arial" w:eastAsiaTheme="minorEastAsia" w:hAnsi="Arial"/>
      <w:i/>
      <w:iCs/>
      <w:color w:val="404040" w:themeColor="text1" w:themeTint="BF"/>
      <w:kern w:val="0"/>
      <w:sz w:val="24"/>
      <w:szCs w:val="21"/>
      <w14:ligatures w14:val="none"/>
    </w:rPr>
  </w:style>
  <w:style w:type="character" w:styleId="IntenseEmphasis">
    <w:name w:val="Intense Emphasis"/>
    <w:basedOn w:val="DefaultParagraphFont"/>
    <w:uiPriority w:val="21"/>
    <w:qFormat/>
    <w:rsid w:val="00AE12C5"/>
    <w:rPr>
      <w:i/>
      <w:iCs/>
      <w:color w:val="0F4761" w:themeColor="accent1" w:themeShade="BF"/>
    </w:rPr>
  </w:style>
  <w:style w:type="paragraph" w:styleId="IntenseQuote">
    <w:name w:val="Intense Quote"/>
    <w:basedOn w:val="Normal"/>
    <w:next w:val="Normal"/>
    <w:link w:val="IntenseQuoteChar"/>
    <w:uiPriority w:val="30"/>
    <w:qFormat/>
    <w:rsid w:val="00AE12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12C5"/>
    <w:rPr>
      <w:rFonts w:ascii="Arial" w:eastAsiaTheme="minorEastAsia" w:hAnsi="Arial"/>
      <w:i/>
      <w:iCs/>
      <w:color w:val="0F4761" w:themeColor="accent1" w:themeShade="BF"/>
      <w:kern w:val="0"/>
      <w:sz w:val="24"/>
      <w:szCs w:val="21"/>
      <w14:ligatures w14:val="none"/>
    </w:rPr>
  </w:style>
  <w:style w:type="character" w:styleId="IntenseReference">
    <w:name w:val="Intense Reference"/>
    <w:basedOn w:val="DefaultParagraphFont"/>
    <w:uiPriority w:val="32"/>
    <w:qFormat/>
    <w:rsid w:val="00AE12C5"/>
    <w:rPr>
      <w:b/>
      <w:bCs/>
      <w:smallCaps/>
      <w:color w:val="0F4761" w:themeColor="accent1" w:themeShade="BF"/>
      <w:spacing w:val="5"/>
    </w:rPr>
  </w:style>
  <w:style w:type="table" w:styleId="ListTable4-Accent1">
    <w:name w:val="List Table 4 Accent 1"/>
    <w:basedOn w:val="TableNormal"/>
    <w:uiPriority w:val="49"/>
    <w:rsid w:val="00870659"/>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1">
    <w:name w:val="Grid Table 5 Dark Accent 1"/>
    <w:basedOn w:val="TableNormal"/>
    <w:uiPriority w:val="50"/>
    <w:rsid w:val="0087065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character" w:styleId="Emphasis">
    <w:name w:val="Emphasis"/>
    <w:basedOn w:val="DefaultParagraphFont"/>
    <w:uiPriority w:val="20"/>
    <w:qFormat/>
    <w:rsid w:val="002763E1"/>
    <w:rPr>
      <w:i/>
      <w:iCs/>
    </w:rPr>
  </w:style>
  <w:style w:type="character" w:customStyle="1" w:styleId="ms-1">
    <w:name w:val="ms-1"/>
    <w:basedOn w:val="DefaultParagraphFont"/>
    <w:rsid w:val="00CA1BD1"/>
  </w:style>
  <w:style w:type="character" w:customStyle="1" w:styleId="max-w-15ch">
    <w:name w:val="max-w-[15ch]"/>
    <w:basedOn w:val="DefaultParagraphFont"/>
    <w:rsid w:val="00CA1BD1"/>
  </w:style>
  <w:style w:type="character" w:customStyle="1" w:styleId="-me-1">
    <w:name w:val="-me-1"/>
    <w:basedOn w:val="DefaultParagraphFont"/>
    <w:rsid w:val="00CA1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38/s41586-021-03569-1" TargetMode="External"/><Relationship Id="rId18" Type="http://schemas.openxmlformats.org/officeDocument/2006/relationships/hyperlink" Target="https://www.genomicsengland.co.uk/" TargetMode="External"/><Relationship Id="rId26" Type="http://schemas.openxmlformats.org/officeDocument/2006/relationships/hyperlink" Target="https://www.longtermplan.nhs.uk/" TargetMode="External"/><Relationship Id="rId39" Type="http://schemas.openxmlformats.org/officeDocument/2006/relationships/header" Target="header1.xml"/><Relationship Id="rId21" Type="http://schemas.openxmlformats.org/officeDocument/2006/relationships/hyperlink" Target="https://doi.org/10.1159/000542027" TargetMode="External"/><Relationship Id="rId34" Type="http://schemas.openxmlformats.org/officeDocument/2006/relationships/hyperlink" Target="https://doi.org/10.1007/s00439-018-1921-0"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4324/9781003144403" TargetMode="External"/><Relationship Id="rId20" Type="http://schemas.openxmlformats.org/officeDocument/2006/relationships/hyperlink" Target="https://doi.org/10.4018/978-1-6684-5422-0" TargetMode="External"/><Relationship Id="rId29" Type="http://schemas.openxmlformats.org/officeDocument/2006/relationships/hyperlink" Target="https://librarysearch.uwtsd.ac.uk/permalink/44WHELF_UWTSD/neci73/cdi_doaj_primary_oai_doaj_org_article_b2f063d204b2434594523e80ae900008"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mc.ncbi.nlm.nih.gov/articles/PMC10250296/?utm_source=chatgpt.com" TargetMode="External"/><Relationship Id="rId32" Type="http://schemas.openxmlformats.org/officeDocument/2006/relationships/hyperlink" Target="https://librarysearch.uwtsd.ac.uk/permalink/44WHELF_UWTSD/neci73/cdi_ucl_eprints_v2_oai_eprints_ucl_ac_uk_OAI2_10209566" TargetMode="External"/><Relationship Id="rId37" Type="http://schemas.openxmlformats.org/officeDocument/2006/relationships/hyperlink" Target="https://librarysearch.uwtsd.ac.uk/permalink/44WHELF_UWTSD/1ir6fgh/cdi_proquest_miscellaneous_2030933789"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oi.org/10.1186/s12909-024-06219-y" TargetMode="External"/><Relationship Id="rId23" Type="http://schemas.openxmlformats.org/officeDocument/2006/relationships/hyperlink" Target="https://www.ncbi.nlm.nih.gov/pmc/articles/PMC10250296/" TargetMode="External"/><Relationship Id="rId28" Type="http://schemas.openxmlformats.org/officeDocument/2006/relationships/hyperlink" Target="https://pubmed.ncbi.nlm.nih.gov/37975990/?utm_source=chatgpt.com" TargetMode="External"/><Relationship Id="rId36" Type="http://schemas.openxmlformats.org/officeDocument/2006/relationships/hyperlink" Target="https://www.theguardian.com/science/2025/jun/20/all-babies-in-england-to-get-dna-test-to-assess-risk-of-diseases-within-10-years?utm_source=chatgpt.com" TargetMode="External"/><Relationship Id="rId10" Type="http://schemas.openxmlformats.org/officeDocument/2006/relationships/endnotes" Target="endnotes.xml"/><Relationship Id="rId19" Type="http://schemas.openxmlformats.org/officeDocument/2006/relationships/hyperlink" Target="https://www.genomicseducation.hee.nhs.uk/" TargetMode="External"/><Relationship Id="rId31" Type="http://schemas.openxmlformats.org/officeDocument/2006/relationships/hyperlink" Target="https://doi.org/10.1007/s12687-025-00781-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16/j.aquaculture.2025.742837" TargetMode="External"/><Relationship Id="rId22" Type="http://schemas.openxmlformats.org/officeDocument/2006/relationships/hyperlink" Target="https://doi.org/10.3310/nihropenres.13236.2" TargetMode="External"/><Relationship Id="rId27" Type="http://schemas.openxmlformats.org/officeDocument/2006/relationships/hyperlink" Target="https://pubmed.ncbi.nlm.nih.gov/37975990/" TargetMode="External"/><Relationship Id="rId30" Type="http://schemas.openxmlformats.org/officeDocument/2006/relationships/hyperlink" Target="https://doi.org/10.15252/embr.201948316" TargetMode="External"/><Relationship Id="rId35" Type="http://schemas.openxmlformats.org/officeDocument/2006/relationships/hyperlink" Target="https://www.theguardian.com/science/2025/jun/20/all-babies-in-england-to-get-dna-test-to-assess-risk-of-diseases-within-10-year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doi.org/10.3389/fgene.2023.1282034" TargetMode="External"/><Relationship Id="rId25" Type="http://schemas.openxmlformats.org/officeDocument/2006/relationships/hyperlink" Target="https://doi.org/10.2196/37236" TargetMode="External"/><Relationship Id="rId33" Type="http://schemas.openxmlformats.org/officeDocument/2006/relationships/hyperlink" Target="https://doi.org/10.3389/fgene.2022.719317" TargetMode="External"/><Relationship Id="rId38" Type="http://schemas.openxmlformats.org/officeDocument/2006/relationships/hyperlink" Target="https://doi.org/10.1186/s13073-023-01240-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3F469164D744425AD6A8941D558AB1B"/>
        <w:category>
          <w:name w:val="General"/>
          <w:gallery w:val="placeholder"/>
        </w:category>
        <w:types>
          <w:type w:val="bbPlcHdr"/>
        </w:types>
        <w:behaviors>
          <w:behavior w:val="content"/>
        </w:behaviors>
        <w:guid w:val="{A7EF56F6-DA5B-4390-9949-205CFC103B07}"/>
      </w:docPartPr>
      <w:docPartBody>
        <w:p w:rsidR="00294FD6" w:rsidRDefault="00824160" w:rsidP="00824160">
          <w:pPr>
            <w:pStyle w:val="F3F469164D744425AD6A8941D558AB1B"/>
          </w:pPr>
          <w:r>
            <w:rPr>
              <w:rFonts w:asciiTheme="majorHAnsi" w:eastAsiaTheme="majorEastAsia" w:hAnsiTheme="majorHAnsi" w:cstheme="majorBidi"/>
              <w:caps/>
              <w:color w:val="156082" w:themeColor="accent1"/>
              <w:sz w:val="80"/>
              <w:szCs w:val="80"/>
            </w:rPr>
            <w:t>[Document title]</w:t>
          </w:r>
        </w:p>
      </w:docPartBody>
    </w:docPart>
    <w:docPart>
      <w:docPartPr>
        <w:name w:val="FD2E0B42CAB44D3C88D52C459A8F033F"/>
        <w:category>
          <w:name w:val="General"/>
          <w:gallery w:val="placeholder"/>
        </w:category>
        <w:types>
          <w:type w:val="bbPlcHdr"/>
        </w:types>
        <w:behaviors>
          <w:behavior w:val="content"/>
        </w:behaviors>
        <w:guid w:val="{CACEDB1E-3D09-4102-A88F-42AF6E5CD48B}"/>
      </w:docPartPr>
      <w:docPartBody>
        <w:p w:rsidR="00294FD6" w:rsidRDefault="00824160" w:rsidP="00824160">
          <w:pPr>
            <w:pStyle w:val="FD2E0B42CAB44D3C88D52C459A8F033F"/>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160"/>
    <w:rsid w:val="000B3F8F"/>
    <w:rsid w:val="00212B34"/>
    <w:rsid w:val="00294FD6"/>
    <w:rsid w:val="00360B20"/>
    <w:rsid w:val="00502F5D"/>
    <w:rsid w:val="00565F08"/>
    <w:rsid w:val="00824160"/>
    <w:rsid w:val="009424BA"/>
    <w:rsid w:val="00A85BE8"/>
    <w:rsid w:val="00AE344A"/>
    <w:rsid w:val="00B00D34"/>
    <w:rsid w:val="00B5157B"/>
    <w:rsid w:val="00BA65D3"/>
    <w:rsid w:val="00C333C4"/>
    <w:rsid w:val="00CA2156"/>
    <w:rsid w:val="00D94C63"/>
    <w:rsid w:val="00DB0BB3"/>
    <w:rsid w:val="00E612C9"/>
    <w:rsid w:val="00F66F5F"/>
    <w:rsid w:val="00F965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3F469164D744425AD6A8941D558AB1B">
    <w:name w:val="F3F469164D744425AD6A8941D558AB1B"/>
    <w:rsid w:val="00824160"/>
  </w:style>
  <w:style w:type="paragraph" w:customStyle="1" w:styleId="FD2E0B42CAB44D3C88D52C459A8F033F">
    <w:name w:val="FD2E0B42CAB44D3C88D52C459A8F033F"/>
    <w:rsid w:val="008241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2025-11-17T00:00:00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ceb830d86ee3102b0989a45c13367d64">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4546e4abb87bfeac63f49270de8b69f4"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31B6B8-F50A-457D-A94B-4997EBC0BFA2}">
  <ds:schemaRefs>
    <ds:schemaRef ds:uri="http://schemas.microsoft.com/sharepoint/v3/contenttype/forms"/>
  </ds:schemaRefs>
</ds:datastoreItem>
</file>

<file path=customXml/itemProps3.xml><?xml version="1.0" encoding="utf-8"?>
<ds:datastoreItem xmlns:ds="http://schemas.openxmlformats.org/officeDocument/2006/customXml" ds:itemID="{3D1BE3C7-2F41-4453-B95E-1E45672748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9357DD-1B44-4564-BCEA-9DF03246D7CD}">
  <ds:schemaRefs>
    <ds:schemaRef ds:uri="http://www.w3.org/XML/1998/namespace"/>
    <ds:schemaRef ds:uri="http://purl.org/dc/dcmitype/"/>
    <ds:schemaRef ds:uri="http://purl.org/dc/term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550816ce-8156-4f45-b1c4-24236a73d01f"/>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4579</Words>
  <Characters>30361</Characters>
  <Application>Microsoft Office Word</Application>
  <DocSecurity>0</DocSecurity>
  <Lines>552</Lines>
  <Paragraphs>211</Paragraphs>
  <ScaleCrop>false</ScaleCrop>
  <HeadingPairs>
    <vt:vector size="2" baseType="variant">
      <vt:variant>
        <vt:lpstr>Title</vt:lpstr>
      </vt:variant>
      <vt:variant>
        <vt:i4>1</vt:i4>
      </vt:variant>
    </vt:vector>
  </HeadingPairs>
  <TitlesOfParts>
    <vt:vector size="1" baseType="lpstr">
      <vt:lpstr>Evaluation of Whole-Genome Sequencing (WGS) Implementation within UK Health and Social Care</vt:lpstr>
    </vt:vector>
  </TitlesOfParts>
  <Company/>
  <LinksUpToDate>false</LinksUpToDate>
  <CharactersWithSpaces>34729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Whole-Genome Sequencing (WGS) Implementation within UK Health and Social Care</dc:title>
  <dc:subject>Digital Transformation in the Health and Care Professions (BMHP6026_LON)</dc:subject>
  <dc:creator>Monica Ana Oprea (2315596)</dc:creator>
  <cp:keywords/>
  <dc:description/>
  <cp:lastModifiedBy>Monica Ana Oprea (2315596)</cp:lastModifiedBy>
  <cp:revision>2</cp:revision>
  <dcterms:created xsi:type="dcterms:W3CDTF">2025-11-04T13:24:00Z</dcterms:created>
  <dcterms:modified xsi:type="dcterms:W3CDTF">2025-11-04T13:24:00Z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bc5f4a02-95af-44fb-8428-51aad7cc8265</vt:lpwstr>
  </property>
  <property fmtid="{D5CDD505-2E9C-101B-9397-08002B2CF9AE}" pid="3" name="ContentTypeId">
    <vt:lpwstr>0x0101009DA2B97165742847ABC519A905693DF8</vt:lpwstr>
  </property>
</Properties>
</file>