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634550" w14:textId="77777777" w:rsidR="00002717" w:rsidRDefault="00002717" w:rsidP="00002717">
      <w:pPr>
        <w:rPr>
          <w:b/>
          <w:bCs/>
          <w:sz w:val="32"/>
          <w:szCs w:val="32"/>
        </w:rPr>
      </w:pPr>
      <w:r>
        <w:rPr>
          <w:noProof/>
          <w:lang w:val="en-US" w:bidi="ar-SA"/>
        </w:rPr>
        <w:drawing>
          <wp:inline distT="0" distB="0" distL="0" distR="0" wp14:anchorId="46229D03" wp14:editId="38EE569B">
            <wp:extent cx="2861945" cy="1591310"/>
            <wp:effectExtent l="0" t="0" r="0" b="8890"/>
            <wp:docPr id="1015710243" name="Picture 1"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orld-Class Education in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1945" cy="1591310"/>
                    </a:xfrm>
                    <a:prstGeom prst="rect">
                      <a:avLst/>
                    </a:prstGeom>
                    <a:noFill/>
                    <a:ln>
                      <a:noFill/>
                    </a:ln>
                  </pic:spPr>
                </pic:pic>
              </a:graphicData>
            </a:graphic>
          </wp:inline>
        </w:drawing>
      </w:r>
    </w:p>
    <w:p w14:paraId="21670919" w14:textId="77777777" w:rsidR="00002717" w:rsidRDefault="00002717" w:rsidP="00002717">
      <w:pPr>
        <w:rPr>
          <w:b/>
          <w:bCs/>
          <w:sz w:val="32"/>
          <w:szCs w:val="32"/>
        </w:rPr>
      </w:pPr>
    </w:p>
    <w:p w14:paraId="08D4C14D" w14:textId="77777777" w:rsidR="00002717" w:rsidRDefault="00002717" w:rsidP="00002717">
      <w:pPr>
        <w:rPr>
          <w:b/>
          <w:bCs/>
          <w:sz w:val="32"/>
          <w:szCs w:val="32"/>
        </w:rPr>
      </w:pPr>
    </w:p>
    <w:p w14:paraId="650869CF" w14:textId="494BA723" w:rsidR="00002717" w:rsidRPr="00422444" w:rsidRDefault="00002717" w:rsidP="00002717">
      <w:pPr>
        <w:rPr>
          <w:rFonts w:cs="Arial"/>
          <w:b/>
          <w:bCs/>
          <w:sz w:val="28"/>
        </w:rPr>
      </w:pPr>
      <w:r w:rsidRPr="00422444">
        <w:rPr>
          <w:rFonts w:cs="Arial"/>
          <w:b/>
          <w:bCs/>
          <w:sz w:val="28"/>
        </w:rPr>
        <w:t>Module Code:</w:t>
      </w:r>
      <w:r w:rsidRPr="00422444">
        <w:rPr>
          <w:rFonts w:cs="Arial"/>
          <w:sz w:val="28"/>
        </w:rPr>
        <w:t xml:space="preserve"> LCHS400</w:t>
      </w:r>
      <w:r>
        <w:rPr>
          <w:rFonts w:cs="Arial"/>
          <w:sz w:val="28"/>
        </w:rPr>
        <w:t>8</w:t>
      </w:r>
    </w:p>
    <w:p w14:paraId="1A40912C" w14:textId="77777777" w:rsidR="00002717" w:rsidRDefault="00002717" w:rsidP="00002717">
      <w:pPr>
        <w:rPr>
          <w:rFonts w:cs="Arial"/>
          <w:sz w:val="28"/>
        </w:rPr>
      </w:pPr>
      <w:r w:rsidRPr="00422444">
        <w:rPr>
          <w:rFonts w:cs="Arial"/>
          <w:b/>
          <w:bCs/>
          <w:sz w:val="28"/>
        </w:rPr>
        <w:t xml:space="preserve">Module Title: </w:t>
      </w:r>
      <w:r w:rsidRPr="00002717">
        <w:rPr>
          <w:rFonts w:cs="Arial"/>
          <w:sz w:val="28"/>
        </w:rPr>
        <w:t>Introduction to Public Health</w:t>
      </w:r>
    </w:p>
    <w:p w14:paraId="31DD0D04" w14:textId="77777777" w:rsidR="000542D4" w:rsidRDefault="00002717" w:rsidP="00002717">
      <w:pPr>
        <w:rPr>
          <w:rFonts w:cs="Arial"/>
          <w:sz w:val="28"/>
        </w:rPr>
      </w:pPr>
      <w:r w:rsidRPr="00422444">
        <w:rPr>
          <w:rFonts w:cs="Arial"/>
          <w:b/>
          <w:bCs/>
          <w:sz w:val="28"/>
        </w:rPr>
        <w:t xml:space="preserve">Assignment Title: </w:t>
      </w:r>
      <w:r w:rsidR="000542D4" w:rsidRPr="000542D4">
        <w:rPr>
          <w:rFonts w:cs="Arial"/>
          <w:sz w:val="28"/>
        </w:rPr>
        <w:t>Type 1 Diabetes: Measurement, Management, Community Impact and Health and Social Care Support</w:t>
      </w:r>
    </w:p>
    <w:p w14:paraId="6AE61169" w14:textId="1BD768D2" w:rsidR="00002717" w:rsidRPr="00422444" w:rsidRDefault="00002717" w:rsidP="00002717">
      <w:pPr>
        <w:rPr>
          <w:rFonts w:cs="Arial"/>
          <w:b/>
          <w:bCs/>
          <w:sz w:val="28"/>
        </w:rPr>
      </w:pPr>
      <w:r w:rsidRPr="00422444">
        <w:rPr>
          <w:rFonts w:cs="Arial"/>
          <w:b/>
          <w:bCs/>
          <w:sz w:val="28"/>
        </w:rPr>
        <w:t xml:space="preserve">Module Leader: </w:t>
      </w:r>
      <w:r w:rsidRPr="00002717">
        <w:rPr>
          <w:rFonts w:cs="Arial"/>
          <w:sz w:val="28"/>
        </w:rPr>
        <w:t>Dr Patronella Ganza</w:t>
      </w:r>
    </w:p>
    <w:p w14:paraId="1736E23B" w14:textId="77777777" w:rsidR="00002717" w:rsidRPr="00422444" w:rsidRDefault="00002717" w:rsidP="00002717">
      <w:pPr>
        <w:rPr>
          <w:rFonts w:cs="Arial"/>
          <w:b/>
          <w:bCs/>
          <w:sz w:val="28"/>
        </w:rPr>
      </w:pPr>
    </w:p>
    <w:p w14:paraId="2F91B94B" w14:textId="77777777" w:rsidR="00002717" w:rsidRPr="00422444" w:rsidRDefault="00002717" w:rsidP="00002717">
      <w:pPr>
        <w:rPr>
          <w:rFonts w:cs="Arial"/>
          <w:b/>
          <w:bCs/>
          <w:sz w:val="28"/>
        </w:rPr>
      </w:pPr>
    </w:p>
    <w:p w14:paraId="047E2D25" w14:textId="77777777" w:rsidR="00002717" w:rsidRPr="00422444" w:rsidRDefault="00002717" w:rsidP="00002717">
      <w:pPr>
        <w:rPr>
          <w:rFonts w:cs="Arial"/>
          <w:b/>
          <w:bCs/>
          <w:sz w:val="28"/>
        </w:rPr>
      </w:pPr>
    </w:p>
    <w:p w14:paraId="77968F13" w14:textId="77777777" w:rsidR="00002717" w:rsidRPr="00422444" w:rsidRDefault="00002717" w:rsidP="00002717">
      <w:pPr>
        <w:rPr>
          <w:rFonts w:cs="Arial"/>
          <w:b/>
          <w:bCs/>
          <w:sz w:val="28"/>
        </w:rPr>
      </w:pPr>
    </w:p>
    <w:p w14:paraId="65FBB34D" w14:textId="484B4A96" w:rsidR="00002717" w:rsidRPr="003A7ADE" w:rsidRDefault="00002717" w:rsidP="00002717">
      <w:pPr>
        <w:rPr>
          <w:rFonts w:cs="Arial"/>
          <w:b/>
          <w:bCs/>
          <w:sz w:val="28"/>
        </w:rPr>
      </w:pPr>
      <w:r w:rsidRPr="00422444">
        <w:rPr>
          <w:rFonts w:cs="Arial"/>
          <w:b/>
          <w:bCs/>
          <w:sz w:val="28"/>
        </w:rPr>
        <w:t>Student Name:</w:t>
      </w:r>
      <w:r w:rsidR="003A7ADE">
        <w:rPr>
          <w:rFonts w:cs="Arial"/>
          <w:b/>
          <w:bCs/>
          <w:sz w:val="28"/>
        </w:rPr>
        <w:t xml:space="preserve"> </w:t>
      </w:r>
      <w:r w:rsidR="003A7ADE" w:rsidRPr="003A7ADE">
        <w:rPr>
          <w:rFonts w:cs="Arial"/>
          <w:bCs/>
          <w:sz w:val="28"/>
        </w:rPr>
        <w:t>Robius Sany</w:t>
      </w:r>
    </w:p>
    <w:p w14:paraId="041A844B" w14:textId="1C57B946" w:rsidR="00002717" w:rsidRPr="00422444" w:rsidRDefault="00002717" w:rsidP="00002717">
      <w:pPr>
        <w:rPr>
          <w:rFonts w:cs="Arial"/>
          <w:b/>
          <w:bCs/>
          <w:sz w:val="28"/>
        </w:rPr>
      </w:pPr>
      <w:r w:rsidRPr="00422444">
        <w:rPr>
          <w:rFonts w:cs="Arial"/>
          <w:b/>
          <w:bCs/>
          <w:sz w:val="28"/>
        </w:rPr>
        <w:t>Student ID:</w:t>
      </w:r>
      <w:r w:rsidR="003A7ADE">
        <w:rPr>
          <w:rFonts w:cs="Arial"/>
          <w:b/>
          <w:bCs/>
          <w:sz w:val="28"/>
        </w:rPr>
        <w:t xml:space="preserve"> 2523192</w:t>
      </w:r>
      <w:bookmarkStart w:id="0" w:name="_GoBack"/>
      <w:bookmarkEnd w:id="0"/>
    </w:p>
    <w:p w14:paraId="0851D344" w14:textId="13355CDE" w:rsidR="00002717" w:rsidRPr="00BF2A54" w:rsidRDefault="00002717" w:rsidP="00002717">
      <w:pPr>
        <w:rPr>
          <w:rFonts w:cs="Arial"/>
          <w:sz w:val="28"/>
        </w:rPr>
      </w:pPr>
      <w:r w:rsidRPr="00422444">
        <w:rPr>
          <w:rFonts w:cs="Arial"/>
          <w:b/>
          <w:bCs/>
          <w:sz w:val="28"/>
        </w:rPr>
        <w:t>Word Count</w:t>
      </w:r>
      <w:r>
        <w:rPr>
          <w:rFonts w:cs="Arial"/>
          <w:b/>
          <w:bCs/>
          <w:sz w:val="28"/>
        </w:rPr>
        <w:t xml:space="preserve">: </w:t>
      </w:r>
      <w:r w:rsidRPr="00BF2A54">
        <w:rPr>
          <w:rFonts w:cs="Arial"/>
          <w:sz w:val="28"/>
        </w:rPr>
        <w:t>1</w:t>
      </w:r>
      <w:r w:rsidR="00EB42EF">
        <w:rPr>
          <w:rFonts w:cs="Arial"/>
          <w:sz w:val="28"/>
        </w:rPr>
        <w:t>66</w:t>
      </w:r>
      <w:r w:rsidR="00CA733E">
        <w:rPr>
          <w:rFonts w:cs="Arial"/>
          <w:sz w:val="28"/>
        </w:rPr>
        <w:t>3</w:t>
      </w:r>
    </w:p>
    <w:p w14:paraId="0201C156" w14:textId="64C3F828" w:rsidR="00002717" w:rsidRDefault="00002717" w:rsidP="00EA4B7C">
      <w:pPr>
        <w:spacing w:line="259" w:lineRule="auto"/>
        <w:rPr>
          <w:b/>
          <w:bCs/>
          <w:sz w:val="32"/>
          <w:szCs w:val="32"/>
        </w:rPr>
      </w:pPr>
    </w:p>
    <w:p w14:paraId="4D14019A" w14:textId="77777777" w:rsidR="00002717" w:rsidRDefault="00002717">
      <w:pPr>
        <w:spacing w:line="259" w:lineRule="auto"/>
        <w:jc w:val="left"/>
        <w:rPr>
          <w:b/>
          <w:bCs/>
          <w:sz w:val="32"/>
          <w:szCs w:val="32"/>
        </w:rPr>
      </w:pPr>
      <w:r>
        <w:rPr>
          <w:b/>
          <w:bCs/>
          <w:sz w:val="32"/>
          <w:szCs w:val="32"/>
        </w:rPr>
        <w:br w:type="page"/>
      </w:r>
    </w:p>
    <w:sdt>
      <w:sdtPr>
        <w:rPr>
          <w:rFonts w:ascii="Arial" w:eastAsiaTheme="minorHAnsi" w:hAnsi="Arial" w:cs="Vrinda"/>
          <w:color w:val="auto"/>
          <w:sz w:val="22"/>
          <w:szCs w:val="28"/>
          <w:lang w:val="en-GB" w:bidi="bn-BD"/>
          <w14:ligatures w14:val="standardContextual"/>
        </w:rPr>
        <w:id w:val="241845565"/>
        <w:docPartObj>
          <w:docPartGallery w:val="Table of Contents"/>
          <w:docPartUnique/>
        </w:docPartObj>
      </w:sdtPr>
      <w:sdtEndPr>
        <w:rPr>
          <w:b/>
          <w:bCs/>
          <w:noProof/>
        </w:rPr>
      </w:sdtEndPr>
      <w:sdtContent>
        <w:p w14:paraId="274686BC" w14:textId="0F1EDEF4" w:rsidR="00002717" w:rsidRPr="00002717" w:rsidRDefault="00002717" w:rsidP="00002717">
          <w:pPr>
            <w:pStyle w:val="TOCHeading"/>
            <w:jc w:val="center"/>
            <w:rPr>
              <w:color w:val="002060"/>
            </w:rPr>
          </w:pPr>
          <w:r w:rsidRPr="00002717">
            <w:rPr>
              <w:color w:val="002060"/>
            </w:rPr>
            <w:t>Table of Contents</w:t>
          </w:r>
        </w:p>
        <w:p w14:paraId="2D41C5FE" w14:textId="46D1465B" w:rsidR="0037030B" w:rsidRDefault="00002717">
          <w:pPr>
            <w:pStyle w:val="TOC1"/>
            <w:tabs>
              <w:tab w:val="right" w:leader="dot" w:pos="9016"/>
            </w:tabs>
            <w:rPr>
              <w:rFonts w:asciiTheme="minorHAnsi" w:eastAsiaTheme="minorEastAsia" w:hAnsiTheme="minorHAnsi" w:cstheme="minorBidi"/>
              <w:noProof/>
              <w:kern w:val="2"/>
              <w:sz w:val="24"/>
              <w:szCs w:val="30"/>
              <w:lang w:eastAsia="en-GB"/>
            </w:rPr>
          </w:pPr>
          <w:r>
            <w:fldChar w:fldCharType="begin"/>
          </w:r>
          <w:r>
            <w:instrText xml:space="preserve"> TOC \o "1-3" \h \z \u </w:instrText>
          </w:r>
          <w:r>
            <w:fldChar w:fldCharType="separate"/>
          </w:r>
          <w:hyperlink w:anchor="_Toc237295047" w:history="1">
            <w:r w:rsidR="0037030B" w:rsidRPr="000452EB">
              <w:rPr>
                <w:rStyle w:val="Hyperlink"/>
                <w:noProof/>
              </w:rPr>
              <w:t>Introduction</w:t>
            </w:r>
            <w:r w:rsidR="0037030B">
              <w:rPr>
                <w:noProof/>
                <w:webHidden/>
              </w:rPr>
              <w:tab/>
            </w:r>
            <w:r w:rsidR="0037030B">
              <w:rPr>
                <w:noProof/>
                <w:webHidden/>
              </w:rPr>
              <w:fldChar w:fldCharType="begin"/>
            </w:r>
            <w:r w:rsidR="0037030B">
              <w:rPr>
                <w:noProof/>
                <w:webHidden/>
              </w:rPr>
              <w:instrText xml:space="preserve"> PAGEREF _Toc237295047 \h </w:instrText>
            </w:r>
            <w:r w:rsidR="0037030B">
              <w:rPr>
                <w:noProof/>
                <w:webHidden/>
              </w:rPr>
            </w:r>
            <w:r w:rsidR="0037030B">
              <w:rPr>
                <w:noProof/>
                <w:webHidden/>
              </w:rPr>
              <w:fldChar w:fldCharType="separate"/>
            </w:r>
            <w:r w:rsidR="0037030B">
              <w:rPr>
                <w:noProof/>
                <w:webHidden/>
              </w:rPr>
              <w:t>1</w:t>
            </w:r>
            <w:r w:rsidR="0037030B">
              <w:rPr>
                <w:noProof/>
                <w:webHidden/>
              </w:rPr>
              <w:fldChar w:fldCharType="end"/>
            </w:r>
          </w:hyperlink>
        </w:p>
        <w:p w14:paraId="4F5577F7" w14:textId="38C0F961" w:rsidR="0037030B" w:rsidRDefault="00ED4A9A">
          <w:pPr>
            <w:pStyle w:val="TOC1"/>
            <w:tabs>
              <w:tab w:val="right" w:leader="dot" w:pos="9016"/>
            </w:tabs>
            <w:rPr>
              <w:rFonts w:asciiTheme="minorHAnsi" w:eastAsiaTheme="minorEastAsia" w:hAnsiTheme="minorHAnsi" w:cstheme="minorBidi"/>
              <w:noProof/>
              <w:kern w:val="2"/>
              <w:sz w:val="24"/>
              <w:szCs w:val="30"/>
              <w:lang w:eastAsia="en-GB"/>
            </w:rPr>
          </w:pPr>
          <w:hyperlink w:anchor="_Toc237295048" w:history="1">
            <w:r w:rsidR="0037030B" w:rsidRPr="000452EB">
              <w:rPr>
                <w:rStyle w:val="Hyperlink"/>
                <w:noProof/>
              </w:rPr>
              <w:t>Measuring and Monitoring Type 1 Diabetes</w:t>
            </w:r>
            <w:r w:rsidR="0037030B">
              <w:rPr>
                <w:noProof/>
                <w:webHidden/>
              </w:rPr>
              <w:tab/>
            </w:r>
            <w:r w:rsidR="0037030B">
              <w:rPr>
                <w:noProof/>
                <w:webHidden/>
              </w:rPr>
              <w:fldChar w:fldCharType="begin"/>
            </w:r>
            <w:r w:rsidR="0037030B">
              <w:rPr>
                <w:noProof/>
                <w:webHidden/>
              </w:rPr>
              <w:instrText xml:space="preserve"> PAGEREF _Toc237295048 \h </w:instrText>
            </w:r>
            <w:r w:rsidR="0037030B">
              <w:rPr>
                <w:noProof/>
                <w:webHidden/>
              </w:rPr>
            </w:r>
            <w:r w:rsidR="0037030B">
              <w:rPr>
                <w:noProof/>
                <w:webHidden/>
              </w:rPr>
              <w:fldChar w:fldCharType="separate"/>
            </w:r>
            <w:r w:rsidR="0037030B">
              <w:rPr>
                <w:noProof/>
                <w:webHidden/>
              </w:rPr>
              <w:t>1</w:t>
            </w:r>
            <w:r w:rsidR="0037030B">
              <w:rPr>
                <w:noProof/>
                <w:webHidden/>
              </w:rPr>
              <w:fldChar w:fldCharType="end"/>
            </w:r>
          </w:hyperlink>
        </w:p>
        <w:p w14:paraId="1CE81EA4" w14:textId="53FEBE13" w:rsidR="0037030B" w:rsidRDefault="00ED4A9A">
          <w:pPr>
            <w:pStyle w:val="TOC1"/>
            <w:tabs>
              <w:tab w:val="right" w:leader="dot" w:pos="9016"/>
            </w:tabs>
            <w:rPr>
              <w:rFonts w:asciiTheme="minorHAnsi" w:eastAsiaTheme="minorEastAsia" w:hAnsiTheme="minorHAnsi" w:cstheme="minorBidi"/>
              <w:noProof/>
              <w:kern w:val="2"/>
              <w:sz w:val="24"/>
              <w:szCs w:val="30"/>
              <w:lang w:eastAsia="en-GB"/>
            </w:rPr>
          </w:pPr>
          <w:hyperlink w:anchor="_Toc237295049" w:history="1">
            <w:r w:rsidR="0037030B" w:rsidRPr="000452EB">
              <w:rPr>
                <w:rStyle w:val="Hyperlink"/>
                <w:noProof/>
              </w:rPr>
              <w:t>Control and Management of Type 1 Diabetes</w:t>
            </w:r>
            <w:r w:rsidR="0037030B">
              <w:rPr>
                <w:noProof/>
                <w:webHidden/>
              </w:rPr>
              <w:tab/>
            </w:r>
            <w:r w:rsidR="0037030B">
              <w:rPr>
                <w:noProof/>
                <w:webHidden/>
              </w:rPr>
              <w:fldChar w:fldCharType="begin"/>
            </w:r>
            <w:r w:rsidR="0037030B">
              <w:rPr>
                <w:noProof/>
                <w:webHidden/>
              </w:rPr>
              <w:instrText xml:space="preserve"> PAGEREF _Toc237295049 \h </w:instrText>
            </w:r>
            <w:r w:rsidR="0037030B">
              <w:rPr>
                <w:noProof/>
                <w:webHidden/>
              </w:rPr>
            </w:r>
            <w:r w:rsidR="0037030B">
              <w:rPr>
                <w:noProof/>
                <w:webHidden/>
              </w:rPr>
              <w:fldChar w:fldCharType="separate"/>
            </w:r>
            <w:r w:rsidR="0037030B">
              <w:rPr>
                <w:noProof/>
                <w:webHidden/>
              </w:rPr>
              <w:t>2</w:t>
            </w:r>
            <w:r w:rsidR="0037030B">
              <w:rPr>
                <w:noProof/>
                <w:webHidden/>
              </w:rPr>
              <w:fldChar w:fldCharType="end"/>
            </w:r>
          </w:hyperlink>
        </w:p>
        <w:p w14:paraId="0FEC403D" w14:textId="0B5E6507" w:rsidR="0037030B" w:rsidRDefault="00ED4A9A">
          <w:pPr>
            <w:pStyle w:val="TOC1"/>
            <w:tabs>
              <w:tab w:val="right" w:leader="dot" w:pos="9016"/>
            </w:tabs>
            <w:rPr>
              <w:rFonts w:asciiTheme="minorHAnsi" w:eastAsiaTheme="minorEastAsia" w:hAnsiTheme="minorHAnsi" w:cstheme="minorBidi"/>
              <w:noProof/>
              <w:kern w:val="2"/>
              <w:sz w:val="24"/>
              <w:szCs w:val="30"/>
              <w:lang w:eastAsia="en-GB"/>
            </w:rPr>
          </w:pPr>
          <w:hyperlink w:anchor="_Toc237295050" w:history="1">
            <w:r w:rsidR="0037030B" w:rsidRPr="000452EB">
              <w:rPr>
                <w:rStyle w:val="Hyperlink"/>
                <w:noProof/>
              </w:rPr>
              <w:t>Consequences for People in the Community</w:t>
            </w:r>
            <w:r w:rsidR="0037030B">
              <w:rPr>
                <w:noProof/>
                <w:webHidden/>
              </w:rPr>
              <w:tab/>
            </w:r>
            <w:r w:rsidR="0037030B">
              <w:rPr>
                <w:noProof/>
                <w:webHidden/>
              </w:rPr>
              <w:fldChar w:fldCharType="begin"/>
            </w:r>
            <w:r w:rsidR="0037030B">
              <w:rPr>
                <w:noProof/>
                <w:webHidden/>
              </w:rPr>
              <w:instrText xml:space="preserve"> PAGEREF _Toc237295050 \h </w:instrText>
            </w:r>
            <w:r w:rsidR="0037030B">
              <w:rPr>
                <w:noProof/>
                <w:webHidden/>
              </w:rPr>
            </w:r>
            <w:r w:rsidR="0037030B">
              <w:rPr>
                <w:noProof/>
                <w:webHidden/>
              </w:rPr>
              <w:fldChar w:fldCharType="separate"/>
            </w:r>
            <w:r w:rsidR="0037030B">
              <w:rPr>
                <w:noProof/>
                <w:webHidden/>
              </w:rPr>
              <w:t>3</w:t>
            </w:r>
            <w:r w:rsidR="0037030B">
              <w:rPr>
                <w:noProof/>
                <w:webHidden/>
              </w:rPr>
              <w:fldChar w:fldCharType="end"/>
            </w:r>
          </w:hyperlink>
        </w:p>
        <w:p w14:paraId="756922A6" w14:textId="71C7A3A9" w:rsidR="0037030B" w:rsidRDefault="00ED4A9A">
          <w:pPr>
            <w:pStyle w:val="TOC1"/>
            <w:tabs>
              <w:tab w:val="right" w:leader="dot" w:pos="9016"/>
            </w:tabs>
            <w:rPr>
              <w:rFonts w:asciiTheme="minorHAnsi" w:eastAsiaTheme="minorEastAsia" w:hAnsiTheme="minorHAnsi" w:cstheme="minorBidi"/>
              <w:noProof/>
              <w:kern w:val="2"/>
              <w:sz w:val="24"/>
              <w:szCs w:val="30"/>
              <w:lang w:eastAsia="en-GB"/>
            </w:rPr>
          </w:pPr>
          <w:hyperlink w:anchor="_Toc237295051" w:history="1">
            <w:r w:rsidR="0037030B" w:rsidRPr="000452EB">
              <w:rPr>
                <w:rStyle w:val="Hyperlink"/>
                <w:noProof/>
              </w:rPr>
              <w:t>Health and Social Care Support Services</w:t>
            </w:r>
            <w:r w:rsidR="0037030B">
              <w:rPr>
                <w:noProof/>
                <w:webHidden/>
              </w:rPr>
              <w:tab/>
            </w:r>
            <w:r w:rsidR="0037030B">
              <w:rPr>
                <w:noProof/>
                <w:webHidden/>
              </w:rPr>
              <w:fldChar w:fldCharType="begin"/>
            </w:r>
            <w:r w:rsidR="0037030B">
              <w:rPr>
                <w:noProof/>
                <w:webHidden/>
              </w:rPr>
              <w:instrText xml:space="preserve"> PAGEREF _Toc237295051 \h </w:instrText>
            </w:r>
            <w:r w:rsidR="0037030B">
              <w:rPr>
                <w:noProof/>
                <w:webHidden/>
              </w:rPr>
            </w:r>
            <w:r w:rsidR="0037030B">
              <w:rPr>
                <w:noProof/>
                <w:webHidden/>
              </w:rPr>
              <w:fldChar w:fldCharType="separate"/>
            </w:r>
            <w:r w:rsidR="0037030B">
              <w:rPr>
                <w:noProof/>
                <w:webHidden/>
              </w:rPr>
              <w:t>4</w:t>
            </w:r>
            <w:r w:rsidR="0037030B">
              <w:rPr>
                <w:noProof/>
                <w:webHidden/>
              </w:rPr>
              <w:fldChar w:fldCharType="end"/>
            </w:r>
          </w:hyperlink>
        </w:p>
        <w:p w14:paraId="5D6326E0" w14:textId="7A5BD0A9" w:rsidR="0037030B" w:rsidRDefault="00ED4A9A">
          <w:pPr>
            <w:pStyle w:val="TOC1"/>
            <w:tabs>
              <w:tab w:val="right" w:leader="dot" w:pos="9016"/>
            </w:tabs>
            <w:rPr>
              <w:rFonts w:asciiTheme="minorHAnsi" w:eastAsiaTheme="minorEastAsia" w:hAnsiTheme="minorHAnsi" w:cstheme="minorBidi"/>
              <w:noProof/>
              <w:kern w:val="2"/>
              <w:sz w:val="24"/>
              <w:szCs w:val="30"/>
              <w:lang w:eastAsia="en-GB"/>
            </w:rPr>
          </w:pPr>
          <w:hyperlink w:anchor="_Toc237295052" w:history="1">
            <w:r w:rsidR="0037030B" w:rsidRPr="000452EB">
              <w:rPr>
                <w:rStyle w:val="Hyperlink"/>
                <w:noProof/>
              </w:rPr>
              <w:t>Conclusion</w:t>
            </w:r>
            <w:r w:rsidR="0037030B">
              <w:rPr>
                <w:noProof/>
                <w:webHidden/>
              </w:rPr>
              <w:tab/>
            </w:r>
            <w:r w:rsidR="0037030B">
              <w:rPr>
                <w:noProof/>
                <w:webHidden/>
              </w:rPr>
              <w:fldChar w:fldCharType="begin"/>
            </w:r>
            <w:r w:rsidR="0037030B">
              <w:rPr>
                <w:noProof/>
                <w:webHidden/>
              </w:rPr>
              <w:instrText xml:space="preserve"> PAGEREF _Toc237295052 \h </w:instrText>
            </w:r>
            <w:r w:rsidR="0037030B">
              <w:rPr>
                <w:noProof/>
                <w:webHidden/>
              </w:rPr>
            </w:r>
            <w:r w:rsidR="0037030B">
              <w:rPr>
                <w:noProof/>
                <w:webHidden/>
              </w:rPr>
              <w:fldChar w:fldCharType="separate"/>
            </w:r>
            <w:r w:rsidR="0037030B">
              <w:rPr>
                <w:noProof/>
                <w:webHidden/>
              </w:rPr>
              <w:t>4</w:t>
            </w:r>
            <w:r w:rsidR="0037030B">
              <w:rPr>
                <w:noProof/>
                <w:webHidden/>
              </w:rPr>
              <w:fldChar w:fldCharType="end"/>
            </w:r>
          </w:hyperlink>
        </w:p>
        <w:p w14:paraId="3FD740DB" w14:textId="30143845" w:rsidR="0037030B" w:rsidRDefault="00ED4A9A">
          <w:pPr>
            <w:pStyle w:val="TOC1"/>
            <w:tabs>
              <w:tab w:val="right" w:leader="dot" w:pos="9016"/>
            </w:tabs>
            <w:rPr>
              <w:rFonts w:asciiTheme="minorHAnsi" w:eastAsiaTheme="minorEastAsia" w:hAnsiTheme="minorHAnsi" w:cstheme="minorBidi"/>
              <w:noProof/>
              <w:kern w:val="2"/>
              <w:sz w:val="24"/>
              <w:szCs w:val="30"/>
              <w:lang w:eastAsia="en-GB"/>
            </w:rPr>
          </w:pPr>
          <w:hyperlink w:anchor="_Toc237295053" w:history="1">
            <w:r w:rsidR="0037030B" w:rsidRPr="000452EB">
              <w:rPr>
                <w:rStyle w:val="Hyperlink"/>
                <w:noProof/>
              </w:rPr>
              <w:t>Reference List</w:t>
            </w:r>
            <w:r w:rsidR="0037030B">
              <w:rPr>
                <w:noProof/>
                <w:webHidden/>
              </w:rPr>
              <w:tab/>
            </w:r>
            <w:r w:rsidR="0037030B">
              <w:rPr>
                <w:noProof/>
                <w:webHidden/>
              </w:rPr>
              <w:fldChar w:fldCharType="begin"/>
            </w:r>
            <w:r w:rsidR="0037030B">
              <w:rPr>
                <w:noProof/>
                <w:webHidden/>
              </w:rPr>
              <w:instrText xml:space="preserve"> PAGEREF _Toc237295053 \h </w:instrText>
            </w:r>
            <w:r w:rsidR="0037030B">
              <w:rPr>
                <w:noProof/>
                <w:webHidden/>
              </w:rPr>
            </w:r>
            <w:r w:rsidR="0037030B">
              <w:rPr>
                <w:noProof/>
                <w:webHidden/>
              </w:rPr>
              <w:fldChar w:fldCharType="separate"/>
            </w:r>
            <w:r w:rsidR="0037030B">
              <w:rPr>
                <w:noProof/>
                <w:webHidden/>
              </w:rPr>
              <w:t>5</w:t>
            </w:r>
            <w:r w:rsidR="0037030B">
              <w:rPr>
                <w:noProof/>
                <w:webHidden/>
              </w:rPr>
              <w:fldChar w:fldCharType="end"/>
            </w:r>
          </w:hyperlink>
        </w:p>
        <w:p w14:paraId="57ABAA05" w14:textId="3FDFF776" w:rsidR="00002717" w:rsidRDefault="00002717">
          <w:r>
            <w:rPr>
              <w:b/>
              <w:bCs/>
              <w:noProof/>
            </w:rPr>
            <w:fldChar w:fldCharType="end"/>
          </w:r>
        </w:p>
      </w:sdtContent>
    </w:sdt>
    <w:p w14:paraId="129CE015" w14:textId="77777777" w:rsidR="00702BC2" w:rsidRDefault="00702BC2" w:rsidP="00EA4B7C">
      <w:pPr>
        <w:spacing w:line="259" w:lineRule="auto"/>
        <w:rPr>
          <w:b/>
          <w:bCs/>
          <w:sz w:val="32"/>
          <w:szCs w:val="32"/>
        </w:rPr>
        <w:sectPr w:rsidR="00702BC2" w:rsidSect="00605A91">
          <w:pgSz w:w="11906" w:h="16838"/>
          <w:pgMar w:top="1440" w:right="1440" w:bottom="1440" w:left="1440" w:header="708" w:footer="708" w:gutter="0"/>
          <w:cols w:space="708"/>
          <w:docGrid w:linePitch="360"/>
        </w:sectPr>
      </w:pPr>
    </w:p>
    <w:p w14:paraId="20D2412D" w14:textId="77777777" w:rsidR="00AF79D6" w:rsidRPr="000A40D3" w:rsidRDefault="00AF79D6" w:rsidP="00AF79D6">
      <w:pPr>
        <w:rPr>
          <w:b/>
          <w:bCs/>
          <w:sz w:val="32"/>
          <w:szCs w:val="32"/>
        </w:rPr>
      </w:pPr>
      <w:r w:rsidRPr="000A40D3">
        <w:rPr>
          <w:b/>
          <w:bCs/>
          <w:sz w:val="32"/>
          <w:szCs w:val="32"/>
        </w:rPr>
        <w:lastRenderedPageBreak/>
        <w:t>Type 1 Diabetes: Measurement, Management, Community Impact and Health and Social Care Support</w:t>
      </w:r>
    </w:p>
    <w:p w14:paraId="3D1B22FB" w14:textId="77777777" w:rsidR="00AF79D6" w:rsidRPr="00AF79D6" w:rsidRDefault="00AF79D6" w:rsidP="000A40D3">
      <w:pPr>
        <w:pStyle w:val="Heading1"/>
      </w:pPr>
      <w:bookmarkStart w:id="1" w:name="_Toc237295047"/>
      <w:r w:rsidRPr="00AF79D6">
        <w:t>Introduction</w:t>
      </w:r>
      <w:bookmarkEnd w:id="1"/>
    </w:p>
    <w:p w14:paraId="5519C389" w14:textId="260B9D52" w:rsidR="00AF79D6" w:rsidRPr="00AF79D6" w:rsidRDefault="00AF79D6" w:rsidP="00AF79D6">
      <w:r w:rsidRPr="00AF79D6">
        <w:t xml:space="preserve">Type 1 diabetes is a chronic autoimmune disorder in which </w:t>
      </w:r>
      <w:r w:rsidR="007F3FAF" w:rsidRPr="007F3FAF">
        <w:t>the pancreas' beta cells that create insulin are killed.</w:t>
      </w:r>
      <w:r w:rsidR="007F3FAF">
        <w:t xml:space="preserve"> </w:t>
      </w:r>
      <w:r w:rsidRPr="00AF79D6">
        <w:t>This causes the body to produce very little or no insulin, resulting in unusually high blood glucose levels. Common signs and symptoms include frequent urination, excessive thirst, tiredness, unexplained weight loss and blurred vision. Symptoms may develop suddenly and, if untreated, can progress to diabetic ketoacidosis, a life-threatening emergency. Type 1 diabetes is an important public health issue. In 2024, around 9.5 million people were estimated to be living with the condition globally, including approximately 1.9 million children and young people aged under 20 years (International Diabetes Federation, 2025). In the UK, approximately 8% of people with diagnosed diabetes have Type 1 diabetes, while NHS England reported 269,095 people with Type 1 diabetes in England in 2024 (NHS England, 2024; Diabetes UK, 2026). These statistics highlight the need for appropriate monitoring, treatment and community support.</w:t>
      </w:r>
    </w:p>
    <w:p w14:paraId="586F3C21" w14:textId="77777777" w:rsidR="00AF79D6" w:rsidRPr="00AF79D6" w:rsidRDefault="00AF79D6" w:rsidP="000A40D3">
      <w:pPr>
        <w:pStyle w:val="Heading1"/>
      </w:pPr>
      <w:bookmarkStart w:id="2" w:name="_Toc237295048"/>
      <w:r w:rsidRPr="00AF79D6">
        <w:t>Measuring and Monitoring Type 1 Diabetes</w:t>
      </w:r>
      <w:bookmarkEnd w:id="2"/>
    </w:p>
    <w:p w14:paraId="3E62A444" w14:textId="6CE14B3E" w:rsidR="00AF79D6" w:rsidRPr="00AF79D6" w:rsidRDefault="00AF79D6" w:rsidP="00AF79D6">
      <w:r w:rsidRPr="00AF79D6">
        <w:t xml:space="preserve">The measurement and monitoring of Type 1 diabetes </w:t>
      </w:r>
      <w:r w:rsidR="000A40D3" w:rsidRPr="00AF79D6">
        <w:t>take</w:t>
      </w:r>
      <w:r w:rsidRPr="00AF79D6">
        <w:t xml:space="preserve"> place at both individual and population levels. Blood glucose testing is central at the time of diagnosis because symptoms such as thirst, frequent urination and unexplained weight loss can indicate hyperglycaemia. When there is uncertainty about the type of diabetes, additional tests, including diabetes-related autoantibodies and C-peptide, may be used to support diagnosis. Correct identification is important because people with Type 1 diabetes require insulin to survive.</w:t>
      </w:r>
    </w:p>
    <w:p w14:paraId="69449C38" w14:textId="77777777" w:rsidR="00AF79D6" w:rsidRPr="00AF79D6" w:rsidRDefault="00AF79D6" w:rsidP="00AF79D6">
      <w:r w:rsidRPr="00AF79D6">
        <w:t>Once diagnosed, glucose monitoring becomes part of daily self-management. Traditional capillary blood glucose monitoring involves taking a small blood sample from a finger and using a glucose meter to measure the glucose level. However, continuous glucose monitoring (CGM) is now used increasingly. A small sensor attached to the body measures glucose regularly throughout the day and can show whether levels are rising, falling or remaining stable. NICE (2023a) recommends CGM because it can help adults respond more quickly to changes in glucose and can support improvements in HbA1c and time in range.</w:t>
      </w:r>
    </w:p>
    <w:p w14:paraId="6A046EC1" w14:textId="65FBB465" w:rsidR="004B4462" w:rsidRDefault="00AF79D6" w:rsidP="004B4462">
      <w:r w:rsidRPr="00AF79D6">
        <w:t xml:space="preserve">Another important measure is HbA1c, which provides an indication of average blood glucose over approximately the previous two to three months. In adults with Type 1 diabetes, NICE (2022) recommends that HbA1c is checked every three to six months. This provides both </w:t>
      </w:r>
      <w:r w:rsidRPr="00AF79D6">
        <w:lastRenderedPageBreak/>
        <w:t>professionals and patients with a longer-term measure of how effectively the condition is being managed.</w:t>
      </w:r>
    </w:p>
    <w:p w14:paraId="581773BF" w14:textId="1C23F453" w:rsidR="004B4462" w:rsidRDefault="004B4462" w:rsidP="004B4462">
      <w:r>
        <w:t>Complications are screened as well. Eye screening may be able to detect diabetic retinopathy, kidney tests may be able to detect early renal damage, and foot examinations may be able to detect neuropathy, poor circulation and risk of ulcer. Blood pressure and cholesterol are also tracked due to the long-term cardiovascular risk associated with diabetes. The national diabetes audit captures aspects of care processes and outcomes at national level and enables services to identify variation across areas and population groups at national level. Monitoring is not one measurement, but the daily process of self-management and/or wider population monitoring and professional review.</w:t>
      </w:r>
    </w:p>
    <w:p w14:paraId="4AB43607" w14:textId="77777777" w:rsidR="00AF79D6" w:rsidRPr="00AF79D6" w:rsidRDefault="00AF79D6" w:rsidP="000A40D3">
      <w:pPr>
        <w:pStyle w:val="Heading1"/>
      </w:pPr>
      <w:bookmarkStart w:id="3" w:name="_Toc237295049"/>
      <w:r w:rsidRPr="00AF79D6">
        <w:t>Control and Management of Type 1 Diabetes</w:t>
      </w:r>
      <w:bookmarkEnd w:id="3"/>
    </w:p>
    <w:p w14:paraId="5FB467B1" w14:textId="77777777" w:rsidR="004B4462" w:rsidRDefault="004B4462" w:rsidP="004B4462">
      <w:r>
        <w:t>There is presently no cure for Type 1 diabetes in the clinic; control relies mostly on substituting missing insulin. There are a number of injections of insulin which can be taken several times every day, or insulin can be delivered via an insulin pump. This depends on the amount of carbohydrates eaten, level of activity, sickness, and stress and on the glucose level at the time. Therefore, the control of this disease will rely on the active involvement of the individual, rather than just on taking the medicine at a specified time.</w:t>
      </w:r>
    </w:p>
    <w:p w14:paraId="7F68B596" w14:textId="3B15AFE8" w:rsidR="00AF79D6" w:rsidRPr="00AF79D6" w:rsidRDefault="004B4462" w:rsidP="00AF79D6">
      <w:r>
        <w:t xml:space="preserve">Education in a structured way is an important management aspect. Carbohydrate counting, insulin dose adjustment, understanding of when and how to treat hypoglycaemia, knowledge on ketone testing and what to do when unwell should all be understood. </w:t>
      </w:r>
      <w:r w:rsidR="00AF79D6" w:rsidRPr="00AF79D6">
        <w:t>NICE (2022) recommends education that promotes practical self-management skills in adults. Diet and physical activity are also important for general health. Although an unhealthy lifestyle does not cause Type 1 diabetes, a balanced diet and regular exercise can support cardiovascular health and wellbeing. Insulin doses or carbohydrate intake may need to be adjusted before, during or after exercise to reduce the risk of hypoglycaemia.</w:t>
      </w:r>
    </w:p>
    <w:p w14:paraId="6F0B2F1B" w14:textId="77777777" w:rsidR="00AF79D6" w:rsidRPr="00AF79D6" w:rsidRDefault="00AF79D6" w:rsidP="00AF79D6">
      <w:r w:rsidRPr="00AF79D6">
        <w:t>Technology has transformed disease control to a considerable extent. A hybrid closed-loop system combines continuous glucose monitoring with an insulin pump and an algorithm that automatically adjusts insulin delivery. NICE (2023b) recommends hybrid closed-loop systems for eligible groups, and NHS England began a wider rollout in 2024. In a systematic review, Peacock, Frizelle and Hussain (2023) found that commercial hybrid closed-loop systems generally increased the amount of time people spent within their target glucose range. Crabtree et al. (2023) also reported improvements in HbA1c, time in range and diabetes-related quality of life among adults using hybrid closed-loop therapy in routine practice.</w:t>
      </w:r>
    </w:p>
    <w:p w14:paraId="1B1B0324" w14:textId="77777777" w:rsidR="00AF79D6" w:rsidRPr="00AF79D6" w:rsidRDefault="00AF79D6" w:rsidP="00AF79D6">
      <w:r w:rsidRPr="00AF79D6">
        <w:lastRenderedPageBreak/>
        <w:t>Technology does not remove the need for professional review and education. Users should understand what to do if the glucose sensor fails, the insulin pump stops working, illness develops or insulin requirements change. Periodic review can also identify adherence problems and treatment burden. Control is therefore best achieved when insulin therapy, self-management education, healthy lifestyle practices, appropriate technology and professional support are used together.</w:t>
      </w:r>
    </w:p>
    <w:p w14:paraId="765437F1" w14:textId="77777777" w:rsidR="00AF79D6" w:rsidRPr="00AF79D6" w:rsidRDefault="00AF79D6" w:rsidP="000A40D3">
      <w:pPr>
        <w:pStyle w:val="Heading1"/>
      </w:pPr>
      <w:bookmarkStart w:id="4" w:name="_Toc237295050"/>
      <w:r w:rsidRPr="00AF79D6">
        <w:t>Consequences for People in the Community</w:t>
      </w:r>
      <w:bookmarkEnd w:id="4"/>
    </w:p>
    <w:p w14:paraId="17F31DC7" w14:textId="77777777" w:rsidR="00AF79D6" w:rsidRPr="00AF79D6" w:rsidRDefault="00AF79D6" w:rsidP="00AF79D6">
      <w:r w:rsidRPr="00AF79D6">
        <w:t>The immediate and longer-term effects of Type 1 diabetes can be experienced by the individual, family and wider community. Hypoglycaemia occurs when blood glucose falls too low and may cause sweating, shaking, confusion, weakness, unconsciousness or seizures. Diabetic ketoacidosis can develop when insulin levels are too low and blood glucose becomes severely raised. It is a life-threatening emergency and requires immediate medical treatment. Over the longer term, poor glucose control can increase the risk of diabetic retinopathy, kidney disease, neuropathy and cardiovascular disease.</w:t>
      </w:r>
    </w:p>
    <w:p w14:paraId="0AF79C35" w14:textId="77777777" w:rsidR="001F76F9" w:rsidRDefault="00AF79D6" w:rsidP="001F76F9">
      <w:r w:rsidRPr="00AF79D6">
        <w:t xml:space="preserve">The condition can also create a considerable psychological burden. Every day, people must consider glucose levels, insulin, food intake, exercise and the equipment they use. </w:t>
      </w:r>
      <w:r w:rsidR="001F76F9">
        <w:t>For some, anxiety, fear of hypoglycaemia and/or diabetes-related distress may occur. The study Efthymiadis, Bourlaki and Bastounis (2022) demonstrated that psychological interventions could also have beneficial effects on quality of life and some components of glycaemic control, indicating that the psychological needs of the patient should be taken into account in addition to the physical treatment.</w:t>
      </w:r>
    </w:p>
    <w:p w14:paraId="58304830" w14:textId="77777777" w:rsidR="001F76F9" w:rsidRDefault="001F76F9" w:rsidP="001F76F9">
      <w:r>
        <w:t>Educational and employment opportunities could also be impacted. Children and young people might require monitoring of glucose levels, insulin or treatment for hypoglycaemia during the school day. For adults, may need flexibility at work for meals, glucose checks, insulin administration or healthcare appointments. Extra planning is necessary for other activities, such as driving, traveling, sport and social, as insulin treatment and glucose monitoring cannot be simply switched off.</w:t>
      </w:r>
    </w:p>
    <w:p w14:paraId="19818C4E" w14:textId="72FA41C8" w:rsidR="001F76F9" w:rsidRPr="00AF79D6" w:rsidRDefault="001F76F9" w:rsidP="001F76F9">
      <w:r>
        <w:t xml:space="preserve">Families can suffer consequences, too. Frequent nighttime monitoring and the need to react to the unexpected blood glucose reading could cause stress and sleep disturbances in parents of children with Type 1 diabetes. Family members can also be concerned about a very low blood sugar or other emergencies. Gregory et al. (2022) state that Type 1 diabetes imposes a significant global burden and that there are significant disparities in outcomes, with access to insulin and the care it requires being limited. So the effects do not just happen in the blood </w:t>
      </w:r>
      <w:r>
        <w:lastRenderedPageBreak/>
        <w:t>glucose sphere but can affect independence, relationships, education, employment and participation in community life.</w:t>
      </w:r>
    </w:p>
    <w:p w14:paraId="50122964" w14:textId="77777777" w:rsidR="00AF79D6" w:rsidRPr="00AF79D6" w:rsidRDefault="00AF79D6" w:rsidP="000A40D3">
      <w:pPr>
        <w:pStyle w:val="Heading1"/>
      </w:pPr>
      <w:bookmarkStart w:id="5" w:name="_Toc237295051"/>
      <w:r w:rsidRPr="00AF79D6">
        <w:t>Health and Social Care Support Services</w:t>
      </w:r>
      <w:bookmarkEnd w:id="5"/>
    </w:p>
    <w:p w14:paraId="2FF4D754" w14:textId="77777777" w:rsidR="007C17D0" w:rsidRDefault="007C17D0" w:rsidP="00AF79D6">
      <w:r w:rsidRPr="007C17D0">
        <w:t>Typical type 1 diabetics require multiple health and social care professionals supporting them. Diabetes doctors and diabetes specialist nurses help manage insulin and adjust insulin doses, as well as monitor glucose levels. Dietitians offer guidance on carbohydrate counting and healthy eating and GPs offer health monitoring. Pharmacists facilitate safe use of medicines and access to insulin, needles, sensors etc.</w:t>
      </w:r>
    </w:p>
    <w:p w14:paraId="762D1340" w14:textId="51F1451A" w:rsidR="00AF79D6" w:rsidRPr="00AF79D6" w:rsidRDefault="00AF79D6" w:rsidP="00AF79D6">
      <w:r w:rsidRPr="00AF79D6">
        <w:t>Regular reviews should consider more than daily glucose readings. HbA1c, blood pressure, cholesterol and kidney function should be assessed, together with appropriate eye and foot screening. Early identification of complications allows treatment to begin before problems become more severe. People starting continuous glucose monitoring, insulin pumps or hybrid closed-loop systems also require training and follow-up because they need to understand alarms, equipment problems and when professional help is required.</w:t>
      </w:r>
    </w:p>
    <w:p w14:paraId="3A488665" w14:textId="77777777" w:rsidR="00AF79D6" w:rsidRPr="00AF79D6" w:rsidRDefault="00AF79D6" w:rsidP="00AF79D6">
      <w:r w:rsidRPr="00AF79D6">
        <w:t>Psychological support may be needed for anxiety, low mood, fear of hypoglycaemia or diabetes-related distress. Counsellors, psychologists and peer-support services can help people cope with ongoing self-care, while charities such as Diabetes UK can provide information and support.</w:t>
      </w:r>
    </w:p>
    <w:p w14:paraId="0B58AC2F" w14:textId="77777777" w:rsidR="00AF79D6" w:rsidRPr="00AF79D6" w:rsidRDefault="00AF79D6" w:rsidP="00AF79D6">
      <w:r w:rsidRPr="00AF79D6">
        <w:t>Children and young people require cooperation between healthcare professionals, parents and schools. School staff should understand the healthcare plan, recognise hypoglycaemia or hyperglycaemia and know what to do in an emergency. Transition from paediatric to adult diabetes services should also be planned to maintain continuity of care.</w:t>
      </w:r>
    </w:p>
    <w:p w14:paraId="3A425242" w14:textId="3B1B9E7C" w:rsidR="00AF1607" w:rsidRPr="00AF79D6" w:rsidRDefault="00AF79D6" w:rsidP="00AF79D6">
      <w:r w:rsidRPr="00AF79D6">
        <w:t xml:space="preserve">Not everyone with Type 1 diabetes needs social care because many people manage independently. </w:t>
      </w:r>
      <w:r w:rsidR="00AF1607">
        <w:t xml:space="preserve">However, those with cognitive difficulties, physical disabilities or serious complications may need someone to help them with their meals, insulin dosage, glucose checking or appointments. Support should encourage independence is not eliminated. Multidisciplinary working thus enables the medical, psychological, educational and social care needs to be </w:t>
      </w:r>
      <w:r w:rsidR="00AA1DB8">
        <w:t>considered</w:t>
      </w:r>
      <w:r w:rsidR="00AF1607">
        <w:t xml:space="preserve"> together.</w:t>
      </w:r>
    </w:p>
    <w:p w14:paraId="11DDF341" w14:textId="77777777" w:rsidR="00AF79D6" w:rsidRPr="00AF79D6" w:rsidRDefault="00AF79D6" w:rsidP="000A40D3">
      <w:pPr>
        <w:pStyle w:val="Heading1"/>
      </w:pPr>
      <w:bookmarkStart w:id="6" w:name="_Toc237295052"/>
      <w:r w:rsidRPr="00AF79D6">
        <w:t>Conclusion</w:t>
      </w:r>
      <w:bookmarkEnd w:id="6"/>
    </w:p>
    <w:p w14:paraId="4C8736EA" w14:textId="59DFAE24" w:rsidR="00AF1607" w:rsidRDefault="00AF1607" w:rsidP="00AF79D6">
      <w:r>
        <w:t xml:space="preserve">Type 1 diabetes is a lifelong disease that needs to be treated, monitored and managed with insulin by the person with the disease all of the time. Measurement is effective; this involves monitoring glucose levels daily, testing for HbA1c and screening for complications, and </w:t>
      </w:r>
      <w:r>
        <w:lastRenderedPageBreak/>
        <w:t xml:space="preserve">population level data are used to identify broader patterns and inequalities. Insulin therapy, education, diet, physical activity and, when appropriate, technologies like, continuous glucose monitoring and hybrid closed-loop system are key components of control. But psychological </w:t>
      </w:r>
      <w:r w:rsidR="00AA1DB8">
        <w:t>well-being</w:t>
      </w:r>
      <w:r>
        <w:t>, education, employment, family life, independence and social participation may also be affected by the condition. Therefore, diabetes specialists, nurses, dietitians, GPs, pharmacists, psychological services, schools and social care professionals should all be involved in community support where appropriate. The literature demonstrates how the use of contemporary diabetes technologies and psychological interventions can enhance both the outcomes and quality of life for people with diabetes. Therefore, a coordinated and person-centred approach is crucial to minimize complications, for people to manage themselves, and empower them to maintain their independence and participate in their community.</w:t>
      </w:r>
    </w:p>
    <w:p w14:paraId="0AE450A9" w14:textId="237D0FA8" w:rsidR="007572C0" w:rsidRPr="008B7738" w:rsidRDefault="007572C0" w:rsidP="000A40D3">
      <w:pPr>
        <w:pStyle w:val="Heading1"/>
      </w:pPr>
      <w:bookmarkStart w:id="7" w:name="_Toc237295053"/>
      <w:r w:rsidRPr="000A40D3">
        <w:t>Reference</w:t>
      </w:r>
      <w:r w:rsidRPr="008B7738">
        <w:t xml:space="preserve"> List</w:t>
      </w:r>
      <w:bookmarkEnd w:id="7"/>
    </w:p>
    <w:p w14:paraId="2EC297DE" w14:textId="2B8DE532" w:rsidR="002F75FC" w:rsidRPr="002F75FC" w:rsidRDefault="002F75FC" w:rsidP="002F75FC">
      <w:r w:rsidRPr="002F75FC">
        <w:t>Crabtree, T.S.J. </w:t>
      </w:r>
      <w:r w:rsidRPr="002F75FC">
        <w:rPr>
          <w:i/>
          <w:iCs/>
        </w:rPr>
        <w:t>et al.</w:t>
      </w:r>
      <w:r w:rsidRPr="002F75FC">
        <w:t> (2023) “Hybrid closed-loop therapy in adults with type 1 diabetes and above-target HbA1c: A real-world observational study,” </w:t>
      </w:r>
      <w:r w:rsidRPr="002F75FC">
        <w:rPr>
          <w:i/>
          <w:iCs/>
        </w:rPr>
        <w:t>Diabetes Care</w:t>
      </w:r>
      <w:r w:rsidRPr="002F75FC">
        <w:t>, 46(10), pp. 1831–1838. Available at: https://doi.org/10.2337/dc23-0635.</w:t>
      </w:r>
    </w:p>
    <w:p w14:paraId="592E2965" w14:textId="393D9D08" w:rsidR="002F75FC" w:rsidRPr="002F75FC" w:rsidRDefault="002F75FC" w:rsidP="002F75FC">
      <w:r w:rsidRPr="002F75FC">
        <w:t>Diabetes, U.K. (2026) </w:t>
      </w:r>
      <w:r w:rsidRPr="002F75FC">
        <w:rPr>
          <w:i/>
          <w:iCs/>
        </w:rPr>
        <w:t>How many people in the UK have diabetes?</w:t>
      </w:r>
      <w:r w:rsidRPr="002F75FC">
        <w:t>, </w:t>
      </w:r>
      <w:r w:rsidRPr="002F75FC">
        <w:rPr>
          <w:i/>
          <w:iCs/>
        </w:rPr>
        <w:t>Diabetes UK</w:t>
      </w:r>
      <w:r w:rsidRPr="002F75FC">
        <w:t>. Available at: https://www.diabetes.org.uk/about-us/about-the-charity/our-strategy/statistics (Accessed: August 10, 2026).</w:t>
      </w:r>
    </w:p>
    <w:p w14:paraId="4FF14524" w14:textId="61955729" w:rsidR="002F75FC" w:rsidRPr="002F75FC" w:rsidRDefault="002F75FC" w:rsidP="002F75FC">
      <w:r w:rsidRPr="002F75FC">
        <w:t>Efthymiadis, A., Bourlaki, M. and Bastounis, A. (2022) “The effectiveness of psychological interventions on mental health and quality of life in people living with type 1 diabetes: a systematic review and meta-analysis,” </w:t>
      </w:r>
      <w:r w:rsidRPr="002F75FC">
        <w:rPr>
          <w:i/>
          <w:iCs/>
        </w:rPr>
        <w:t>Diabetology International</w:t>
      </w:r>
      <w:r w:rsidRPr="002F75FC">
        <w:t>, 13(3), pp. 513–521. Available at: https://doi.org/10.1007/s13340-021-00564-9.</w:t>
      </w:r>
    </w:p>
    <w:p w14:paraId="0741E694" w14:textId="13F2B84E" w:rsidR="002F75FC" w:rsidRPr="002F75FC" w:rsidRDefault="002F75FC" w:rsidP="002F75FC">
      <w:r w:rsidRPr="002F75FC">
        <w:t>Gregory, G.A. </w:t>
      </w:r>
      <w:r w:rsidRPr="002F75FC">
        <w:rPr>
          <w:i/>
          <w:iCs/>
        </w:rPr>
        <w:t>et al.</w:t>
      </w:r>
      <w:r w:rsidRPr="002F75FC">
        <w:t> (2022) “Global incidence, prevalence, and mortality of type 1 diabetes in 2021 with projection to 2040: a modelling study,” </w:t>
      </w:r>
      <w:r w:rsidRPr="002F75FC">
        <w:rPr>
          <w:i/>
          <w:iCs/>
        </w:rPr>
        <w:t>The Lancet. Diabetes &amp; Endocrinology</w:t>
      </w:r>
      <w:r w:rsidRPr="002F75FC">
        <w:t>, 10(10), pp. 741–760. Available at: https://doi.org/10.1016/s2213-8587(22)00218-2.</w:t>
      </w:r>
    </w:p>
    <w:p w14:paraId="189964DA" w14:textId="0867DF6B" w:rsidR="002F75FC" w:rsidRPr="002F75FC" w:rsidRDefault="002F75FC" w:rsidP="002F75FC">
      <w:r w:rsidRPr="002F75FC">
        <w:t>International Diabetes Federation (IDF) (2025) “IDF Diabetes Atlas 11th edition 2025: global prevalence and projections for 2050,” </w:t>
      </w:r>
      <w:r w:rsidRPr="002F75FC">
        <w:rPr>
          <w:i/>
          <w:iCs/>
        </w:rPr>
        <w:t>Nephrology, Dialysis, Transplantation: Official Publication of the European Dialysis and Transplant Association - European Renal Association</w:t>
      </w:r>
      <w:r w:rsidRPr="002F75FC">
        <w:t>, 41(1), pp. 7–9. Available at: https://doi.org/10.1093/ndt/gfaf177.</w:t>
      </w:r>
    </w:p>
    <w:p w14:paraId="641DE808" w14:textId="5A945AAF" w:rsidR="002F75FC" w:rsidRPr="002F75FC" w:rsidRDefault="002F75FC" w:rsidP="002F75FC">
      <w:r w:rsidRPr="002F75FC">
        <w:t>National Institute for Health and Care Excellence (NICE) (2022) </w:t>
      </w:r>
      <w:r w:rsidRPr="002F75FC">
        <w:rPr>
          <w:i/>
          <w:iCs/>
        </w:rPr>
        <w:t>Type 1 diabetes in adults: diagnosis and management. NICE Guideline NG17</w:t>
      </w:r>
      <w:r w:rsidRPr="002F75FC">
        <w:t>. London: NICE.</w:t>
      </w:r>
    </w:p>
    <w:p w14:paraId="4E7861EB" w14:textId="2F75F067" w:rsidR="002F75FC" w:rsidRPr="002F75FC" w:rsidRDefault="002F75FC" w:rsidP="002F75FC">
      <w:r w:rsidRPr="002F75FC">
        <w:t>National Institute for Health and Care Excellence (NICE) (2023a) </w:t>
      </w:r>
      <w:r w:rsidRPr="002F75FC">
        <w:rPr>
          <w:i/>
          <w:iCs/>
        </w:rPr>
        <w:t xml:space="preserve">Hybrid closed loop systems for managing blood glucose levels in type 1 diabetes. Technology Appraisal Guidance </w:t>
      </w:r>
      <w:r w:rsidRPr="002F75FC">
        <w:rPr>
          <w:i/>
          <w:iCs/>
        </w:rPr>
        <w:lastRenderedPageBreak/>
        <w:t>TA943</w:t>
      </w:r>
      <w:r w:rsidRPr="002F75FC">
        <w:t>, </w:t>
      </w:r>
      <w:r w:rsidRPr="002F75FC">
        <w:rPr>
          <w:i/>
          <w:iCs/>
        </w:rPr>
        <w:t>NICE</w:t>
      </w:r>
      <w:r w:rsidRPr="002F75FC">
        <w:t>. Available at: https://www.nice.org.uk/guidance/ta943 (Accessed: August 10, 2026).</w:t>
      </w:r>
    </w:p>
    <w:p w14:paraId="79B67956" w14:textId="33A080B2" w:rsidR="002F75FC" w:rsidRPr="002F75FC" w:rsidRDefault="002F75FC" w:rsidP="002F75FC">
      <w:r w:rsidRPr="002F75FC">
        <w:t>National Institute for Health and Care Excellence (NICE) (2023b) </w:t>
      </w:r>
      <w:r w:rsidRPr="002F75FC">
        <w:rPr>
          <w:i/>
          <w:iCs/>
        </w:rPr>
        <w:t>Type 1 diabetes in adults: Continuous glucose monitoring. Quality Standard QS208</w:t>
      </w:r>
      <w:r w:rsidRPr="002F75FC">
        <w:t>, </w:t>
      </w:r>
      <w:r w:rsidRPr="002F75FC">
        <w:rPr>
          <w:i/>
          <w:iCs/>
        </w:rPr>
        <w:t>NICE</w:t>
      </w:r>
      <w:r w:rsidRPr="002F75FC">
        <w:t>. Available at: https://www.nice.org.uk/guidance/qs208/chapter/Quality-statement-2-Continuous-glucose-monitoring (Accessed: August 10, 2026).</w:t>
      </w:r>
    </w:p>
    <w:p w14:paraId="5A165C0E" w14:textId="175BB0F6" w:rsidR="002F75FC" w:rsidRPr="002F75FC" w:rsidRDefault="002F75FC" w:rsidP="002F75FC">
      <w:r w:rsidRPr="002F75FC">
        <w:t>NHS England (2024) </w:t>
      </w:r>
      <w:r w:rsidRPr="002F75FC">
        <w:rPr>
          <w:i/>
          <w:iCs/>
        </w:rPr>
        <w:t>NHS England » NHS rolls out artificial pancreas in world first move</w:t>
      </w:r>
      <w:r w:rsidRPr="002F75FC">
        <w:t>, </w:t>
      </w:r>
      <w:r w:rsidRPr="002F75FC">
        <w:rPr>
          <w:i/>
          <w:iCs/>
        </w:rPr>
        <w:t>Nhs.uk</w:t>
      </w:r>
      <w:r w:rsidRPr="002F75FC">
        <w:t>. Available at: https://www.england.nhs.uk/2024/04/nhs-rolls-out-artificial-pancreas-in-world-first-move/ (Accessed: August 10, 2026).</w:t>
      </w:r>
    </w:p>
    <w:p w14:paraId="43F08FB9" w14:textId="050E799A" w:rsidR="00B606D1" w:rsidRPr="00B606D1" w:rsidRDefault="002F75FC" w:rsidP="002F75FC">
      <w:r w:rsidRPr="002F75FC">
        <w:t>Peacock, S., Frizelle, I. and Hussain, S. (2023) “A systematic review of commercial hybrid closed-loop automated insulin delivery systems,” </w:t>
      </w:r>
      <w:r w:rsidRPr="002F75FC">
        <w:rPr>
          <w:i/>
          <w:iCs/>
        </w:rPr>
        <w:t>Diabetes Therapy: Research, Treatment and Education of Diabetes and Related Disorders</w:t>
      </w:r>
      <w:r w:rsidRPr="002F75FC">
        <w:t>, 14(5), pp. 839–855. Available at: https://doi.org/10.1007/s13300-023-01394-5.</w:t>
      </w:r>
    </w:p>
    <w:sectPr w:rsidR="00B606D1" w:rsidRPr="00B606D1" w:rsidSect="00E249C5">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217B3D" w14:textId="77777777" w:rsidR="00ED4A9A" w:rsidRDefault="00ED4A9A" w:rsidP="00E249C5">
      <w:pPr>
        <w:spacing w:after="0" w:line="240" w:lineRule="auto"/>
      </w:pPr>
      <w:r>
        <w:separator/>
      </w:r>
    </w:p>
  </w:endnote>
  <w:endnote w:type="continuationSeparator" w:id="0">
    <w:p w14:paraId="6848F775" w14:textId="77777777" w:rsidR="00ED4A9A" w:rsidRDefault="00ED4A9A" w:rsidP="00E24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rebuchet MS">
    <w:panose1 w:val="020B0603020202020204"/>
    <w:charset w:val="00"/>
    <w:family w:val="swiss"/>
    <w:pitch w:val="variable"/>
    <w:sig w:usb0="00000687" w:usb1="00000000" w:usb2="00000000" w:usb3="00000000" w:csb0="0000009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3615649"/>
      <w:docPartObj>
        <w:docPartGallery w:val="Page Numbers (Bottom of Page)"/>
        <w:docPartUnique/>
      </w:docPartObj>
    </w:sdtPr>
    <w:sdtEndPr>
      <w:rPr>
        <w:color w:val="7F7F7F" w:themeColor="background1" w:themeShade="7F"/>
        <w:spacing w:val="60"/>
      </w:rPr>
    </w:sdtEndPr>
    <w:sdtContent>
      <w:p w14:paraId="74C086B6" w14:textId="77777777" w:rsidR="00E249C5" w:rsidRDefault="00E249C5">
        <w:pPr>
          <w:pStyle w:val="Footer"/>
          <w:pBdr>
            <w:top w:val="single" w:sz="4" w:space="1" w:color="D9D9D9" w:themeColor="background1" w:themeShade="D9"/>
          </w:pBdr>
          <w:jc w:val="right"/>
        </w:pPr>
        <w:r>
          <w:fldChar w:fldCharType="begin"/>
        </w:r>
        <w:r>
          <w:instrText xml:space="preserve"> PAGE   \* MERGEFORMAT </w:instrText>
        </w:r>
        <w:r>
          <w:fldChar w:fldCharType="separate"/>
        </w:r>
        <w:r w:rsidR="003A7ADE">
          <w:rPr>
            <w:noProof/>
          </w:rPr>
          <w:t>3</w:t>
        </w:r>
        <w:r>
          <w:rPr>
            <w:noProof/>
          </w:rPr>
          <w:fldChar w:fldCharType="end"/>
        </w:r>
        <w:r>
          <w:t xml:space="preserve"> | </w:t>
        </w:r>
        <w:r>
          <w:rPr>
            <w:color w:val="7F7F7F" w:themeColor="background1" w:themeShade="7F"/>
            <w:spacing w:val="60"/>
          </w:rPr>
          <w:t>Page</w:t>
        </w:r>
      </w:p>
    </w:sdtContent>
  </w:sdt>
  <w:p w14:paraId="18FCE6D6" w14:textId="77777777" w:rsidR="00E249C5" w:rsidRDefault="00E249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A1740C" w14:textId="77777777" w:rsidR="00ED4A9A" w:rsidRDefault="00ED4A9A" w:rsidP="00E249C5">
      <w:pPr>
        <w:spacing w:after="0" w:line="240" w:lineRule="auto"/>
      </w:pPr>
      <w:r>
        <w:separator/>
      </w:r>
    </w:p>
  </w:footnote>
  <w:footnote w:type="continuationSeparator" w:id="0">
    <w:p w14:paraId="4FD1DF71" w14:textId="77777777" w:rsidR="00ED4A9A" w:rsidRDefault="00ED4A9A" w:rsidP="00E249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B7C"/>
    <w:rsid w:val="00002717"/>
    <w:rsid w:val="0005188B"/>
    <w:rsid w:val="000542D4"/>
    <w:rsid w:val="000A40D3"/>
    <w:rsid w:val="001634A6"/>
    <w:rsid w:val="001F76F9"/>
    <w:rsid w:val="00226B76"/>
    <w:rsid w:val="002A1446"/>
    <w:rsid w:val="002F75FC"/>
    <w:rsid w:val="00312983"/>
    <w:rsid w:val="0037030B"/>
    <w:rsid w:val="003A7ADE"/>
    <w:rsid w:val="00463DF5"/>
    <w:rsid w:val="004B4462"/>
    <w:rsid w:val="00507C29"/>
    <w:rsid w:val="00594E69"/>
    <w:rsid w:val="005B4C29"/>
    <w:rsid w:val="005E604E"/>
    <w:rsid w:val="00605A91"/>
    <w:rsid w:val="00617BEC"/>
    <w:rsid w:val="00641A4B"/>
    <w:rsid w:val="00702BC2"/>
    <w:rsid w:val="0071307A"/>
    <w:rsid w:val="007572C0"/>
    <w:rsid w:val="007C17D0"/>
    <w:rsid w:val="007F3FAF"/>
    <w:rsid w:val="00842475"/>
    <w:rsid w:val="00AA1DB8"/>
    <w:rsid w:val="00AE4381"/>
    <w:rsid w:val="00AF1607"/>
    <w:rsid w:val="00AF79D6"/>
    <w:rsid w:val="00B606D1"/>
    <w:rsid w:val="00C248D6"/>
    <w:rsid w:val="00C52203"/>
    <w:rsid w:val="00CA733E"/>
    <w:rsid w:val="00CC5CB5"/>
    <w:rsid w:val="00D02B8B"/>
    <w:rsid w:val="00D23454"/>
    <w:rsid w:val="00DD27F1"/>
    <w:rsid w:val="00DD3204"/>
    <w:rsid w:val="00DD636C"/>
    <w:rsid w:val="00E249C5"/>
    <w:rsid w:val="00E363A3"/>
    <w:rsid w:val="00EA4B7C"/>
    <w:rsid w:val="00EB42EF"/>
    <w:rsid w:val="00ED4A9A"/>
    <w:rsid w:val="00F0565A"/>
    <w:rsid w:val="00F5730A"/>
    <w:rsid w:val="00F62D38"/>
    <w:rsid w:val="00FD5230"/>
  </w:rsids>
  <m:mathPr>
    <m:mathFont m:val="Cambria Math"/>
    <m:brkBin m:val="before"/>
    <m:brkBinSub m:val="--"/>
    <m:smallFrac m:val="0"/>
    <m:dispDef/>
    <m:lMargin m:val="0"/>
    <m:rMargin m:val="0"/>
    <m:defJc m:val="centerGroup"/>
    <m:wrapIndent m:val="1440"/>
    <m:intLim m:val="subSup"/>
    <m:naryLim m:val="undOvr"/>
  </m:mathPr>
  <w:themeFontLang w:val="en-AE"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CD932"/>
  <w15:chartTrackingRefBased/>
  <w15:docId w15:val="{CFA8FCB8-042F-47BA-A53A-556179E44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Vrinda"/>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7C29"/>
    <w:pPr>
      <w:spacing w:line="360" w:lineRule="auto"/>
      <w:jc w:val="both"/>
    </w:pPr>
    <w:rPr>
      <w:rFonts w:ascii="Arial" w:hAnsi="Arial"/>
    </w:rPr>
  </w:style>
  <w:style w:type="paragraph" w:styleId="Heading1">
    <w:name w:val="heading 1"/>
    <w:basedOn w:val="Normal"/>
    <w:next w:val="Normal"/>
    <w:link w:val="Heading1Char"/>
    <w:uiPriority w:val="9"/>
    <w:qFormat/>
    <w:rsid w:val="0071307A"/>
    <w:pPr>
      <w:keepNext/>
      <w:keepLines/>
      <w:spacing w:before="360" w:after="80"/>
      <w:outlineLvl w:val="0"/>
    </w:pPr>
    <w:rPr>
      <w:rFonts w:eastAsiaTheme="majorEastAsia" w:cstheme="majorBidi"/>
      <w:b/>
      <w:color w:val="000000" w:themeColor="text1"/>
      <w:sz w:val="28"/>
      <w:szCs w:val="50"/>
    </w:rPr>
  </w:style>
  <w:style w:type="paragraph" w:styleId="Heading2">
    <w:name w:val="heading 2"/>
    <w:basedOn w:val="Normal"/>
    <w:next w:val="Normal"/>
    <w:link w:val="Heading2Char"/>
    <w:uiPriority w:val="9"/>
    <w:unhideWhenUsed/>
    <w:qFormat/>
    <w:rsid w:val="00507C29"/>
    <w:pPr>
      <w:keepNext/>
      <w:keepLines/>
      <w:spacing w:before="160" w:after="80"/>
      <w:outlineLvl w:val="1"/>
    </w:pPr>
    <w:rPr>
      <w:rFonts w:eastAsiaTheme="majorEastAsia" w:cstheme="majorBidi"/>
      <w:b/>
      <w:color w:val="000000" w:themeColor="text1"/>
      <w:sz w:val="28"/>
      <w:szCs w:val="40"/>
    </w:rPr>
  </w:style>
  <w:style w:type="paragraph" w:styleId="Heading3">
    <w:name w:val="heading 3"/>
    <w:basedOn w:val="Normal"/>
    <w:next w:val="Normal"/>
    <w:link w:val="Heading3Char"/>
    <w:uiPriority w:val="9"/>
    <w:semiHidden/>
    <w:unhideWhenUsed/>
    <w:qFormat/>
    <w:rsid w:val="00EA4B7C"/>
    <w:pPr>
      <w:keepNext/>
      <w:keepLines/>
      <w:spacing w:before="160" w:after="80"/>
      <w:outlineLvl w:val="2"/>
    </w:pPr>
    <w:rPr>
      <w:rFonts w:eastAsiaTheme="majorEastAsia" w:cstheme="majorBidi"/>
      <w:color w:val="B76E0B" w:themeColor="accent1" w:themeShade="BF"/>
      <w:sz w:val="28"/>
      <w:szCs w:val="35"/>
    </w:rPr>
  </w:style>
  <w:style w:type="paragraph" w:styleId="Heading4">
    <w:name w:val="heading 4"/>
    <w:basedOn w:val="Normal"/>
    <w:next w:val="Normal"/>
    <w:link w:val="Heading4Char"/>
    <w:uiPriority w:val="9"/>
    <w:semiHidden/>
    <w:unhideWhenUsed/>
    <w:qFormat/>
    <w:rsid w:val="00EA4B7C"/>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EA4B7C"/>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EA4B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B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B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B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07A"/>
    <w:rPr>
      <w:rFonts w:ascii="Arial" w:eastAsiaTheme="majorEastAsia" w:hAnsi="Arial" w:cstheme="majorBidi"/>
      <w:b/>
      <w:color w:val="000000" w:themeColor="text1"/>
      <w:sz w:val="28"/>
      <w:szCs w:val="50"/>
    </w:rPr>
  </w:style>
  <w:style w:type="character" w:customStyle="1" w:styleId="Heading2Char">
    <w:name w:val="Heading 2 Char"/>
    <w:basedOn w:val="DefaultParagraphFont"/>
    <w:link w:val="Heading2"/>
    <w:uiPriority w:val="9"/>
    <w:rsid w:val="00507C29"/>
    <w:rPr>
      <w:rFonts w:ascii="Arial" w:eastAsiaTheme="majorEastAsia" w:hAnsi="Arial" w:cstheme="majorBidi"/>
      <w:b/>
      <w:color w:val="000000" w:themeColor="text1"/>
      <w:sz w:val="28"/>
      <w:szCs w:val="40"/>
    </w:rPr>
  </w:style>
  <w:style w:type="character" w:customStyle="1" w:styleId="Heading3Char">
    <w:name w:val="Heading 3 Char"/>
    <w:basedOn w:val="DefaultParagraphFont"/>
    <w:link w:val="Heading3"/>
    <w:uiPriority w:val="9"/>
    <w:semiHidden/>
    <w:rsid w:val="00EA4B7C"/>
    <w:rPr>
      <w:rFonts w:eastAsiaTheme="majorEastAsia" w:cstheme="majorBidi"/>
      <w:color w:val="B76E0B" w:themeColor="accent1" w:themeShade="BF"/>
      <w:sz w:val="28"/>
      <w:szCs w:val="35"/>
    </w:rPr>
  </w:style>
  <w:style w:type="character" w:customStyle="1" w:styleId="Heading4Char">
    <w:name w:val="Heading 4 Char"/>
    <w:basedOn w:val="DefaultParagraphFont"/>
    <w:link w:val="Heading4"/>
    <w:uiPriority w:val="9"/>
    <w:semiHidden/>
    <w:rsid w:val="00EA4B7C"/>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EA4B7C"/>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EA4B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B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B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B7C"/>
    <w:rPr>
      <w:rFonts w:eastAsiaTheme="majorEastAsia" w:cstheme="majorBidi"/>
      <w:color w:val="272727" w:themeColor="text1" w:themeTint="D8"/>
    </w:rPr>
  </w:style>
  <w:style w:type="paragraph" w:styleId="Title">
    <w:name w:val="Title"/>
    <w:basedOn w:val="Normal"/>
    <w:next w:val="Normal"/>
    <w:link w:val="TitleChar"/>
    <w:uiPriority w:val="10"/>
    <w:qFormat/>
    <w:rsid w:val="00EA4B7C"/>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A4B7C"/>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A4B7C"/>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A4B7C"/>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A4B7C"/>
    <w:pPr>
      <w:spacing w:before="160"/>
      <w:jc w:val="center"/>
    </w:pPr>
    <w:rPr>
      <w:i/>
      <w:iCs/>
      <w:color w:val="404040" w:themeColor="text1" w:themeTint="BF"/>
    </w:rPr>
  </w:style>
  <w:style w:type="character" w:customStyle="1" w:styleId="QuoteChar">
    <w:name w:val="Quote Char"/>
    <w:basedOn w:val="DefaultParagraphFont"/>
    <w:link w:val="Quote"/>
    <w:uiPriority w:val="29"/>
    <w:rsid w:val="00EA4B7C"/>
    <w:rPr>
      <w:i/>
      <w:iCs/>
      <w:color w:val="404040" w:themeColor="text1" w:themeTint="BF"/>
    </w:rPr>
  </w:style>
  <w:style w:type="paragraph" w:styleId="ListParagraph">
    <w:name w:val="List Paragraph"/>
    <w:basedOn w:val="Normal"/>
    <w:uiPriority w:val="34"/>
    <w:qFormat/>
    <w:rsid w:val="00EA4B7C"/>
    <w:pPr>
      <w:ind w:left="720"/>
      <w:contextualSpacing/>
    </w:pPr>
  </w:style>
  <w:style w:type="character" w:styleId="IntenseEmphasis">
    <w:name w:val="Intense Emphasis"/>
    <w:basedOn w:val="DefaultParagraphFont"/>
    <w:uiPriority w:val="21"/>
    <w:qFormat/>
    <w:rsid w:val="00EA4B7C"/>
    <w:rPr>
      <w:i/>
      <w:iCs/>
      <w:color w:val="B76E0B" w:themeColor="accent1" w:themeShade="BF"/>
    </w:rPr>
  </w:style>
  <w:style w:type="paragraph" w:styleId="IntenseQuote">
    <w:name w:val="Intense Quote"/>
    <w:basedOn w:val="Normal"/>
    <w:next w:val="Normal"/>
    <w:link w:val="IntenseQuoteChar"/>
    <w:uiPriority w:val="30"/>
    <w:qFormat/>
    <w:rsid w:val="00EA4B7C"/>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EA4B7C"/>
    <w:rPr>
      <w:i/>
      <w:iCs/>
      <w:color w:val="B76E0B" w:themeColor="accent1" w:themeShade="BF"/>
    </w:rPr>
  </w:style>
  <w:style w:type="character" w:styleId="IntenseReference">
    <w:name w:val="Intense Reference"/>
    <w:basedOn w:val="DefaultParagraphFont"/>
    <w:uiPriority w:val="32"/>
    <w:qFormat/>
    <w:rsid w:val="00EA4B7C"/>
    <w:rPr>
      <w:b/>
      <w:bCs/>
      <w:smallCaps/>
      <w:color w:val="B76E0B" w:themeColor="accent1" w:themeShade="BF"/>
      <w:spacing w:val="5"/>
    </w:rPr>
  </w:style>
  <w:style w:type="paragraph" w:styleId="TOCHeading">
    <w:name w:val="TOC Heading"/>
    <w:basedOn w:val="Heading1"/>
    <w:next w:val="Normal"/>
    <w:uiPriority w:val="39"/>
    <w:unhideWhenUsed/>
    <w:qFormat/>
    <w:rsid w:val="00002717"/>
    <w:pPr>
      <w:spacing w:before="240" w:after="0" w:line="259" w:lineRule="auto"/>
      <w:jc w:val="left"/>
      <w:outlineLvl w:val="9"/>
    </w:pPr>
    <w:rPr>
      <w:rFonts w:asciiTheme="majorHAnsi" w:hAnsiTheme="majorHAnsi"/>
      <w:b w:val="0"/>
      <w:color w:val="B76E0B" w:themeColor="accent1" w:themeShade="BF"/>
      <w:sz w:val="32"/>
      <w:szCs w:val="32"/>
      <w:lang w:val="en-US" w:bidi="ar-SA"/>
      <w14:ligatures w14:val="none"/>
    </w:rPr>
  </w:style>
  <w:style w:type="paragraph" w:styleId="TOC1">
    <w:name w:val="toc 1"/>
    <w:basedOn w:val="Normal"/>
    <w:next w:val="Normal"/>
    <w:autoRedefine/>
    <w:uiPriority w:val="39"/>
    <w:unhideWhenUsed/>
    <w:rsid w:val="00002717"/>
    <w:pPr>
      <w:spacing w:after="100"/>
    </w:pPr>
  </w:style>
  <w:style w:type="character" w:styleId="Hyperlink">
    <w:name w:val="Hyperlink"/>
    <w:basedOn w:val="DefaultParagraphFont"/>
    <w:uiPriority w:val="99"/>
    <w:unhideWhenUsed/>
    <w:rsid w:val="00002717"/>
    <w:rPr>
      <w:color w:val="FFAE3E" w:themeColor="hyperlink"/>
      <w:u w:val="single"/>
    </w:rPr>
  </w:style>
  <w:style w:type="character" w:customStyle="1" w:styleId="UnresolvedMention">
    <w:name w:val="Unresolved Mention"/>
    <w:basedOn w:val="DefaultParagraphFont"/>
    <w:uiPriority w:val="99"/>
    <w:semiHidden/>
    <w:unhideWhenUsed/>
    <w:rsid w:val="00594E69"/>
    <w:rPr>
      <w:color w:val="605E5C"/>
      <w:shd w:val="clear" w:color="auto" w:fill="E1DFDD"/>
    </w:rPr>
  </w:style>
  <w:style w:type="paragraph" w:styleId="Header">
    <w:name w:val="header"/>
    <w:basedOn w:val="Normal"/>
    <w:link w:val="HeaderChar"/>
    <w:uiPriority w:val="99"/>
    <w:unhideWhenUsed/>
    <w:rsid w:val="00E24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9C5"/>
    <w:rPr>
      <w:rFonts w:ascii="Arial" w:hAnsi="Arial"/>
    </w:rPr>
  </w:style>
  <w:style w:type="paragraph" w:styleId="Footer">
    <w:name w:val="footer"/>
    <w:basedOn w:val="Normal"/>
    <w:link w:val="FooterChar"/>
    <w:uiPriority w:val="99"/>
    <w:unhideWhenUsed/>
    <w:rsid w:val="00E24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9C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8FF6A-2AA6-4B11-8D7B-FC45CDDEA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8</Pages>
  <Words>2265</Words>
  <Characters>12914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hp</cp:lastModifiedBy>
  <cp:revision>35</cp:revision>
  <dcterms:created xsi:type="dcterms:W3CDTF">2026-08-10T15:50:00Z</dcterms:created>
  <dcterms:modified xsi:type="dcterms:W3CDTF">2026-08-17T22:28:00Z</dcterms:modified>
</cp:coreProperties>
</file>