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08B18CF" w14:textId="77777777" w:rsidR="002B4E84" w:rsidRDefault="00E0431C">
      <w:pPr>
        <w:pStyle w:val="NoSpacing"/>
        <w:spacing w:before="1540" w:after="240"/>
        <w:jc w:val="center"/>
      </w:pPr>
      <w:r>
        <w:rPr>
          <w:noProof/>
          <w:color w:val="156082"/>
        </w:rPr>
        <w:drawing>
          <wp:inline distT="0" distB="0" distL="0" distR="0" wp14:anchorId="208B18CF" wp14:editId="208B18D0">
            <wp:extent cx="1417320" cy="750896"/>
            <wp:effectExtent l="0" t="0" r="0" b="0"/>
            <wp:docPr id="1246243249" name="Picture 144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1417320" cy="750896"/>
                    </a:xfrm>
                    <a:prstGeom prst="rect">
                      <a:avLst/>
                    </a:prstGeom>
                    <a:noFill/>
                    <a:ln>
                      <a:noFill/>
                      <a:prstDash/>
                    </a:ln>
                  </pic:spPr>
                </pic:pic>
              </a:graphicData>
            </a:graphic>
          </wp:inline>
        </w:drawing>
      </w:r>
    </w:p>
    <w:p w14:paraId="208B18D0" w14:textId="77777777" w:rsidR="002B4E84" w:rsidRDefault="00E0431C">
      <w:pPr>
        <w:pStyle w:val="NoSpacing"/>
        <w:pBdr>
          <w:top w:val="single" w:sz="6" w:space="6" w:color="156082"/>
          <w:bottom w:val="single" w:sz="6" w:space="6" w:color="156082"/>
        </w:pBdr>
        <w:spacing w:after="240"/>
        <w:jc w:val="center"/>
      </w:pPr>
      <w:r>
        <w:rPr>
          <w:rFonts w:ascii="Arial" w:hAnsi="Arial" w:cs="Arial"/>
          <w:caps/>
          <w:color w:val="156082"/>
          <w:sz w:val="40"/>
          <w:szCs w:val="40"/>
        </w:rPr>
        <w:t>protecting and supporting families in health and care</w:t>
      </w:r>
    </w:p>
    <w:p w14:paraId="208B18D1" w14:textId="77777777" w:rsidR="002B4E84" w:rsidRDefault="00E0431C">
      <w:pPr>
        <w:pStyle w:val="NoSpacing"/>
        <w:jc w:val="center"/>
      </w:pPr>
      <w:r>
        <w:rPr>
          <w:rFonts w:ascii="Arial" w:hAnsi="Arial" w:cs="Arial"/>
          <w:color w:val="156082"/>
          <w:sz w:val="36"/>
          <w:szCs w:val="36"/>
        </w:rPr>
        <w:t>Individual Reference List</w:t>
      </w:r>
    </w:p>
    <w:p w14:paraId="208B18D2" w14:textId="77777777" w:rsidR="002B4E84" w:rsidRDefault="00E0431C">
      <w:pPr>
        <w:pStyle w:val="NoSpacing"/>
        <w:spacing w:before="480"/>
        <w:rPr>
          <w:rFonts w:ascii="Arial" w:hAnsi="Arial" w:cs="Arial"/>
          <w:color w:val="156082"/>
          <w:sz w:val="36"/>
          <w:szCs w:val="36"/>
        </w:rPr>
      </w:pPr>
      <w:r>
        <w:rPr>
          <w:rFonts w:ascii="Arial" w:hAnsi="Arial" w:cs="Arial"/>
          <w:color w:val="156082"/>
          <w:sz w:val="36"/>
          <w:szCs w:val="36"/>
        </w:rPr>
        <w:t xml:space="preserve">   Name: Omolola Sonola</w:t>
      </w:r>
    </w:p>
    <w:p w14:paraId="208B18D3" w14:textId="77777777" w:rsidR="002B4E84" w:rsidRDefault="00E0431C">
      <w:pPr>
        <w:pStyle w:val="NoSpacing"/>
        <w:spacing w:before="480"/>
        <w:rPr>
          <w:rFonts w:ascii="Arial" w:hAnsi="Arial" w:cs="Arial"/>
          <w:color w:val="156082"/>
          <w:sz w:val="36"/>
          <w:szCs w:val="36"/>
        </w:rPr>
      </w:pPr>
      <w:r>
        <w:rPr>
          <w:rFonts w:ascii="Arial" w:hAnsi="Arial" w:cs="Arial"/>
          <w:color w:val="156082"/>
          <w:sz w:val="36"/>
          <w:szCs w:val="36"/>
        </w:rPr>
        <w:t xml:space="preserve">   Student No.: 2423672</w:t>
      </w:r>
    </w:p>
    <w:p w14:paraId="208B18D4" w14:textId="77777777" w:rsidR="002B4E84" w:rsidRDefault="00E0431C">
      <w:pPr>
        <w:pStyle w:val="NoSpacing"/>
        <w:spacing w:before="480"/>
        <w:rPr>
          <w:rFonts w:ascii="Arial" w:hAnsi="Arial" w:cs="Arial"/>
          <w:color w:val="156082"/>
          <w:sz w:val="36"/>
          <w:szCs w:val="36"/>
        </w:rPr>
      </w:pPr>
      <w:r>
        <w:rPr>
          <w:rFonts w:ascii="Arial" w:hAnsi="Arial" w:cs="Arial"/>
          <w:color w:val="156082"/>
          <w:sz w:val="36"/>
          <w:szCs w:val="36"/>
        </w:rPr>
        <w:t xml:space="preserve">   Module Code: BMHP5021</w:t>
      </w:r>
    </w:p>
    <w:p w14:paraId="208B18D5" w14:textId="77777777" w:rsidR="002B4E84" w:rsidRDefault="00E0431C">
      <w:pPr>
        <w:pStyle w:val="NoSpacing"/>
        <w:spacing w:before="480"/>
        <w:rPr>
          <w:rFonts w:ascii="Arial" w:hAnsi="Arial" w:cs="Arial"/>
          <w:color w:val="156082"/>
          <w:sz w:val="36"/>
          <w:szCs w:val="36"/>
        </w:rPr>
      </w:pPr>
      <w:r>
        <w:rPr>
          <w:rFonts w:ascii="Arial" w:hAnsi="Arial" w:cs="Arial"/>
          <w:color w:val="156082"/>
          <w:sz w:val="36"/>
          <w:szCs w:val="36"/>
        </w:rPr>
        <w:t xml:space="preserve">   Lecturer: Shalia Hussain</w:t>
      </w:r>
    </w:p>
    <w:p w14:paraId="208B18D6" w14:textId="77777777" w:rsidR="002B4E84" w:rsidRDefault="00E0431C">
      <w:pPr>
        <w:pStyle w:val="NoSpacing"/>
        <w:spacing w:before="480"/>
        <w:rPr>
          <w:rFonts w:ascii="Arial" w:hAnsi="Arial" w:cs="Arial"/>
          <w:color w:val="156082"/>
          <w:sz w:val="36"/>
          <w:szCs w:val="36"/>
        </w:rPr>
      </w:pPr>
      <w:r>
        <w:rPr>
          <w:rFonts w:ascii="Arial" w:hAnsi="Arial" w:cs="Arial"/>
          <w:color w:val="156082"/>
          <w:sz w:val="36"/>
          <w:szCs w:val="36"/>
        </w:rPr>
        <w:t xml:space="preserve">   Component 1: Round Table Group Presentation</w:t>
      </w:r>
    </w:p>
    <w:p w14:paraId="208B18D7" w14:textId="77777777" w:rsidR="002B4E84" w:rsidRDefault="002B4E84">
      <w:pPr>
        <w:pStyle w:val="NoSpacing"/>
        <w:spacing w:before="480"/>
        <w:jc w:val="center"/>
        <w:rPr>
          <w:rFonts w:ascii="Arial" w:hAnsi="Arial" w:cs="Arial"/>
          <w:color w:val="156082"/>
          <w:sz w:val="36"/>
          <w:szCs w:val="36"/>
        </w:rPr>
      </w:pPr>
    </w:p>
    <w:p w14:paraId="208B18D8" w14:textId="77777777" w:rsidR="002B4E84" w:rsidRDefault="002B4E84">
      <w:pPr>
        <w:pageBreakBefore/>
      </w:pPr>
    </w:p>
    <w:p w14:paraId="208B18D9" w14:textId="77777777" w:rsidR="002B4E84" w:rsidRDefault="00E0431C">
      <w:p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               Reference List</w:t>
      </w:r>
    </w:p>
    <w:p w14:paraId="208B18DA" w14:textId="77777777" w:rsidR="002B4E84" w:rsidRDefault="002B4E84">
      <w:pPr>
        <w:spacing w:after="0"/>
        <w:ind w:left="720"/>
        <w:rPr>
          <w:rFonts w:ascii="Arial" w:eastAsia="Times New Roman" w:hAnsi="Arial" w:cs="Arial"/>
          <w:b/>
          <w:bCs/>
          <w:color w:val="000000"/>
          <w:kern w:val="0"/>
          <w:sz w:val="24"/>
          <w:szCs w:val="24"/>
          <w:lang w:eastAsia="en-GB"/>
        </w:rPr>
      </w:pPr>
    </w:p>
    <w:p w14:paraId="208B18DB" w14:textId="77777777" w:rsidR="002B4E84" w:rsidRDefault="00E0431C">
      <w:pPr>
        <w:spacing w:after="0"/>
        <w:ind w:left="720"/>
      </w:pPr>
      <w:r>
        <w:rPr>
          <w:rFonts w:ascii="Arial" w:eastAsia="Times New Roman" w:hAnsi="Arial" w:cs="Arial"/>
          <w:b/>
          <w:bCs/>
          <w:color w:val="000000"/>
          <w:kern w:val="0"/>
          <w:sz w:val="24"/>
          <w:szCs w:val="24"/>
          <w:lang w:eastAsia="en-GB"/>
        </w:rPr>
        <w:t>Bradford District Safeguarding Children Partnership (2023)</w:t>
      </w:r>
      <w:r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</w:rPr>
        <w:t xml:space="preserve"> </w:t>
      </w:r>
      <w:r>
        <w:rPr>
          <w:rFonts w:ascii="Arial" w:eastAsia="Times New Roman" w:hAnsi="Arial" w:cs="Arial"/>
          <w:i/>
          <w:iCs/>
          <w:color w:val="000000"/>
          <w:kern w:val="0"/>
          <w:sz w:val="24"/>
          <w:szCs w:val="24"/>
          <w:lang w:eastAsia="en-GB"/>
        </w:rPr>
        <w:t>Local Child Safeguarding Practice Review: Child A</w:t>
      </w:r>
      <w:r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</w:rPr>
        <w:t>. Bradford: Bradford District Safeguarding Children Partnership.</w:t>
      </w:r>
    </w:p>
    <w:p w14:paraId="208B18DC" w14:textId="77777777" w:rsidR="002B4E84" w:rsidRDefault="00E0431C">
      <w:pPr>
        <w:spacing w:after="0"/>
        <w:ind w:left="720"/>
      </w:pPr>
      <w:r>
        <w:rPr>
          <w:rFonts w:ascii="Arial" w:eastAsia="Times New Roman" w:hAnsi="Arial" w:cs="Arial"/>
          <w:b/>
          <w:bCs/>
          <w:color w:val="000000"/>
          <w:kern w:val="0"/>
          <w:sz w:val="24"/>
          <w:szCs w:val="24"/>
          <w:lang w:eastAsia="en-GB"/>
        </w:rPr>
        <w:t>Department for Education (2018)</w:t>
      </w:r>
      <w:r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</w:rPr>
        <w:t xml:space="preserve"> </w:t>
      </w:r>
      <w:r>
        <w:rPr>
          <w:rFonts w:ascii="Arial" w:eastAsia="Times New Roman" w:hAnsi="Arial" w:cs="Arial"/>
          <w:i/>
          <w:iCs/>
          <w:color w:val="000000"/>
          <w:kern w:val="0"/>
          <w:sz w:val="24"/>
          <w:szCs w:val="24"/>
          <w:lang w:eastAsia="en-GB"/>
        </w:rPr>
        <w:t xml:space="preserve">Local Safeguarding Practice Review </w:t>
      </w:r>
      <w:r>
        <w:rPr>
          <w:rFonts w:ascii="Arial" w:eastAsia="Times New Roman" w:hAnsi="Arial" w:cs="Arial"/>
          <w:i/>
          <w:iCs/>
          <w:color w:val="000000"/>
          <w:kern w:val="0"/>
          <w:sz w:val="24"/>
          <w:szCs w:val="24"/>
          <w:lang w:eastAsia="en-GB"/>
        </w:rPr>
        <w:t>Regulations 2018</w:t>
      </w:r>
      <w:r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</w:rPr>
        <w:t>. London: DfE.</w:t>
      </w:r>
    </w:p>
    <w:p w14:paraId="208B18DD" w14:textId="77777777" w:rsidR="002B4E84" w:rsidRDefault="00E0431C">
      <w:pPr>
        <w:spacing w:after="0"/>
        <w:ind w:left="720"/>
      </w:pPr>
      <w:r>
        <w:rPr>
          <w:rFonts w:ascii="Arial" w:eastAsia="Times New Roman" w:hAnsi="Arial" w:cs="Arial"/>
          <w:b/>
          <w:bCs/>
          <w:color w:val="000000"/>
          <w:kern w:val="0"/>
          <w:sz w:val="24"/>
          <w:szCs w:val="24"/>
          <w:lang w:eastAsia="en-GB"/>
        </w:rPr>
        <w:t>Department for Education (2023).</w:t>
      </w:r>
      <w:r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</w:rPr>
        <w:t xml:space="preserve"> </w:t>
      </w:r>
      <w:r>
        <w:rPr>
          <w:rFonts w:ascii="Arial" w:eastAsia="Times New Roman" w:hAnsi="Arial" w:cs="Arial"/>
          <w:i/>
          <w:iCs/>
          <w:color w:val="000000"/>
          <w:kern w:val="0"/>
          <w:sz w:val="24"/>
          <w:szCs w:val="24"/>
          <w:lang w:eastAsia="en-GB"/>
        </w:rPr>
        <w:t>Working Together to Safeguard Children: A Guide to Inter-Agency Working</w:t>
      </w:r>
      <w:r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</w:rPr>
        <w:t>. London: DfE.</w:t>
      </w:r>
    </w:p>
    <w:p w14:paraId="208B18DE" w14:textId="77777777" w:rsidR="002B4E84" w:rsidRDefault="00E0431C">
      <w:pPr>
        <w:spacing w:after="0"/>
        <w:ind w:left="720"/>
      </w:pPr>
      <w:r>
        <w:rPr>
          <w:rFonts w:ascii="Arial" w:eastAsia="Times New Roman" w:hAnsi="Arial" w:cs="Arial"/>
          <w:b/>
          <w:bCs/>
          <w:color w:val="000000"/>
          <w:kern w:val="0"/>
          <w:sz w:val="24"/>
          <w:szCs w:val="24"/>
          <w:lang w:eastAsia="en-GB"/>
        </w:rPr>
        <w:t>Department of Health &amp; Department for Education (2000)</w:t>
      </w:r>
      <w:r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</w:rPr>
        <w:t xml:space="preserve"> </w:t>
      </w:r>
      <w:r>
        <w:rPr>
          <w:rFonts w:ascii="Arial" w:eastAsia="Times New Roman" w:hAnsi="Arial" w:cs="Arial"/>
          <w:i/>
          <w:iCs/>
          <w:color w:val="000000"/>
          <w:kern w:val="0"/>
          <w:sz w:val="24"/>
          <w:szCs w:val="24"/>
          <w:lang w:eastAsia="en-GB"/>
        </w:rPr>
        <w:t>Framework for the Assessment of Children in Need and their Families</w:t>
      </w:r>
      <w:r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</w:rPr>
        <w:t>. London: The Stationery Office.</w:t>
      </w:r>
    </w:p>
    <w:p w14:paraId="208B18DF" w14:textId="77777777" w:rsidR="002B4E84" w:rsidRDefault="00E0431C">
      <w:pPr>
        <w:spacing w:after="0"/>
        <w:ind w:left="720"/>
      </w:pPr>
      <w:r>
        <w:rPr>
          <w:rFonts w:ascii="Arial" w:eastAsia="Times New Roman" w:hAnsi="Arial" w:cs="Arial"/>
          <w:b/>
          <w:bCs/>
          <w:color w:val="000000"/>
          <w:kern w:val="0"/>
          <w:sz w:val="24"/>
          <w:szCs w:val="24"/>
          <w:lang w:eastAsia="en-GB"/>
        </w:rPr>
        <w:t>HM Government (1989)</w:t>
      </w:r>
      <w:r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</w:rPr>
        <w:t xml:space="preserve"> </w:t>
      </w:r>
      <w:r>
        <w:rPr>
          <w:rFonts w:ascii="Arial" w:eastAsia="Times New Roman" w:hAnsi="Arial" w:cs="Arial"/>
          <w:i/>
          <w:iCs/>
          <w:color w:val="000000"/>
          <w:kern w:val="0"/>
          <w:sz w:val="24"/>
          <w:szCs w:val="24"/>
          <w:lang w:eastAsia="en-GB"/>
        </w:rPr>
        <w:t>Children Act 1989</w:t>
      </w:r>
      <w:r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</w:rPr>
        <w:t>. London: The Stationery Office.</w:t>
      </w:r>
    </w:p>
    <w:p w14:paraId="208B18E0" w14:textId="77777777" w:rsidR="002B4E84" w:rsidRDefault="00E0431C">
      <w:pPr>
        <w:spacing w:after="0"/>
        <w:ind w:left="720"/>
      </w:pPr>
      <w:r>
        <w:rPr>
          <w:rFonts w:ascii="Arial" w:eastAsia="Times New Roman" w:hAnsi="Arial" w:cs="Arial"/>
          <w:b/>
          <w:bCs/>
          <w:color w:val="000000"/>
          <w:kern w:val="0"/>
          <w:sz w:val="24"/>
          <w:szCs w:val="24"/>
          <w:lang w:eastAsia="en-GB"/>
        </w:rPr>
        <w:t>HM Government (1998)</w:t>
      </w:r>
      <w:r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</w:rPr>
        <w:t xml:space="preserve"> </w:t>
      </w:r>
      <w:r>
        <w:rPr>
          <w:rFonts w:ascii="Arial" w:eastAsia="Times New Roman" w:hAnsi="Arial" w:cs="Arial"/>
          <w:i/>
          <w:iCs/>
          <w:color w:val="000000"/>
          <w:kern w:val="0"/>
          <w:sz w:val="24"/>
          <w:szCs w:val="24"/>
          <w:lang w:eastAsia="en-GB"/>
        </w:rPr>
        <w:t>Human Rights Act 1998</w:t>
      </w:r>
      <w:r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</w:rPr>
        <w:t>. London: The Stationery Office (incorporates ECHR Article 8).</w:t>
      </w:r>
    </w:p>
    <w:p w14:paraId="208B18E1" w14:textId="77777777" w:rsidR="002B4E84" w:rsidRDefault="00E0431C">
      <w:pPr>
        <w:spacing w:after="0"/>
        <w:ind w:left="720"/>
      </w:pPr>
      <w:r>
        <w:rPr>
          <w:rFonts w:ascii="Arial" w:eastAsia="Times New Roman" w:hAnsi="Arial" w:cs="Arial"/>
          <w:b/>
          <w:bCs/>
          <w:color w:val="000000"/>
          <w:kern w:val="0"/>
          <w:sz w:val="24"/>
          <w:szCs w:val="24"/>
          <w:lang w:eastAsia="en-GB"/>
        </w:rPr>
        <w:t>HM Government (2004)</w:t>
      </w:r>
      <w:r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</w:rPr>
        <w:t xml:space="preserve"> </w:t>
      </w:r>
      <w:r>
        <w:rPr>
          <w:rFonts w:ascii="Arial" w:eastAsia="Times New Roman" w:hAnsi="Arial" w:cs="Arial"/>
          <w:i/>
          <w:iCs/>
          <w:color w:val="000000"/>
          <w:kern w:val="0"/>
          <w:sz w:val="24"/>
          <w:szCs w:val="24"/>
          <w:lang w:eastAsia="en-GB"/>
        </w:rPr>
        <w:t xml:space="preserve">Children </w:t>
      </w:r>
      <w:r>
        <w:rPr>
          <w:rFonts w:ascii="Arial" w:eastAsia="Times New Roman" w:hAnsi="Arial" w:cs="Arial"/>
          <w:i/>
          <w:iCs/>
          <w:color w:val="000000"/>
          <w:kern w:val="0"/>
          <w:sz w:val="24"/>
          <w:szCs w:val="24"/>
          <w:lang w:eastAsia="en-GB"/>
        </w:rPr>
        <w:t>Act 2004</w:t>
      </w:r>
      <w:r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</w:rPr>
        <w:t>. London: The Stationery Office.</w:t>
      </w:r>
    </w:p>
    <w:p w14:paraId="208B18E2" w14:textId="77777777" w:rsidR="002B4E84" w:rsidRDefault="00E0431C">
      <w:pPr>
        <w:spacing w:after="0"/>
        <w:ind w:left="720"/>
      </w:pPr>
      <w:r>
        <w:rPr>
          <w:rFonts w:ascii="Arial" w:eastAsia="Times New Roman" w:hAnsi="Arial" w:cs="Arial"/>
          <w:b/>
          <w:bCs/>
          <w:color w:val="000000"/>
          <w:kern w:val="0"/>
          <w:sz w:val="24"/>
          <w:szCs w:val="24"/>
          <w:lang w:eastAsia="en-GB"/>
        </w:rPr>
        <w:t>HM Government (2017)</w:t>
      </w:r>
      <w:r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</w:rPr>
        <w:t xml:space="preserve"> </w:t>
      </w:r>
      <w:r>
        <w:rPr>
          <w:rFonts w:ascii="Arial" w:eastAsia="Times New Roman" w:hAnsi="Arial" w:cs="Arial"/>
          <w:i/>
          <w:iCs/>
          <w:color w:val="000000"/>
          <w:kern w:val="0"/>
          <w:sz w:val="24"/>
          <w:szCs w:val="24"/>
          <w:lang w:eastAsia="en-GB"/>
        </w:rPr>
        <w:t>Children and Social Work Act 2017</w:t>
      </w:r>
      <w:r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</w:rPr>
        <w:t>. London: The Stationery Office.</w:t>
      </w:r>
    </w:p>
    <w:p w14:paraId="208B18E3" w14:textId="77777777" w:rsidR="002B4E84" w:rsidRDefault="00E0431C">
      <w:pPr>
        <w:spacing w:after="0"/>
        <w:ind w:left="720"/>
      </w:pPr>
      <w:r>
        <w:rPr>
          <w:rFonts w:ascii="Arial" w:eastAsia="Times New Roman" w:hAnsi="Arial" w:cs="Arial"/>
          <w:b/>
          <w:bCs/>
          <w:color w:val="000000"/>
          <w:kern w:val="0"/>
          <w:sz w:val="24"/>
          <w:szCs w:val="24"/>
          <w:lang w:eastAsia="en-GB"/>
        </w:rPr>
        <w:t>Munro, E. (2011)</w:t>
      </w:r>
      <w:r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</w:rPr>
        <w:t xml:space="preserve"> </w:t>
      </w:r>
      <w:r>
        <w:rPr>
          <w:rFonts w:ascii="Arial" w:eastAsia="Times New Roman" w:hAnsi="Arial" w:cs="Arial"/>
          <w:i/>
          <w:iCs/>
          <w:color w:val="000000"/>
          <w:kern w:val="0"/>
          <w:sz w:val="24"/>
          <w:szCs w:val="24"/>
          <w:lang w:eastAsia="en-GB"/>
        </w:rPr>
        <w:t>The Munro Review of Child Protection: A Child-Centred System</w:t>
      </w:r>
      <w:r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</w:rPr>
        <w:t>. London: Department for Education.</w:t>
      </w:r>
    </w:p>
    <w:p w14:paraId="208B18E4" w14:textId="77777777" w:rsidR="002B4E84" w:rsidRDefault="00E0431C">
      <w:pPr>
        <w:spacing w:after="0"/>
        <w:ind w:left="720"/>
      </w:pPr>
      <w:r>
        <w:rPr>
          <w:rFonts w:ascii="Arial" w:eastAsia="Times New Roman" w:hAnsi="Arial" w:cs="Arial"/>
          <w:b/>
          <w:bCs/>
          <w:color w:val="000000"/>
          <w:kern w:val="0"/>
          <w:sz w:val="24"/>
          <w:szCs w:val="24"/>
          <w:lang w:eastAsia="en-GB"/>
        </w:rPr>
        <w:t>NSPCC (2022)</w:t>
      </w:r>
      <w:r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</w:rPr>
        <w:t xml:space="preserve"> </w:t>
      </w:r>
      <w:r>
        <w:rPr>
          <w:rFonts w:ascii="Arial" w:eastAsia="Times New Roman" w:hAnsi="Arial" w:cs="Arial"/>
          <w:i/>
          <w:iCs/>
          <w:color w:val="000000"/>
          <w:kern w:val="0"/>
          <w:sz w:val="24"/>
          <w:szCs w:val="24"/>
          <w:lang w:eastAsia="en-GB"/>
        </w:rPr>
        <w:t>Adverse Childhood Experiences (ACEs): How They Affect Children and Families</w:t>
      </w:r>
      <w:r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</w:rPr>
        <w:t>. London: NSPCC Learning.</w:t>
      </w:r>
    </w:p>
    <w:sectPr w:rsidR="002B4E84">
      <w:pgSz w:w="11906" w:h="16838"/>
      <w:pgMar w:top="1440" w:right="1440" w:bottom="1440" w:left="1440" w:header="720" w:footer="720" w:gutter="0"/>
      <w:pgNumType w:start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A1E8C81" w14:textId="77777777" w:rsidR="00E0431C" w:rsidRDefault="00E0431C">
      <w:pPr>
        <w:spacing w:after="0" w:line="240" w:lineRule="auto"/>
      </w:pPr>
      <w:r>
        <w:separator/>
      </w:r>
    </w:p>
  </w:endnote>
  <w:endnote w:type="continuationSeparator" w:id="0">
    <w:p w14:paraId="3D020FB9" w14:textId="77777777" w:rsidR="00E0431C" w:rsidRDefault="00E0431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E02F573" w14:textId="77777777" w:rsidR="00E0431C" w:rsidRDefault="00E0431C">
      <w:pPr>
        <w:spacing w:after="0" w:line="240" w:lineRule="auto"/>
      </w:pPr>
      <w:r>
        <w:rPr>
          <w:color w:val="000000"/>
        </w:rPr>
        <w:separator/>
      </w:r>
    </w:p>
  </w:footnote>
  <w:footnote w:type="continuationSeparator" w:id="0">
    <w:p w14:paraId="2743B2FC" w14:textId="77777777" w:rsidR="00E0431C" w:rsidRDefault="00E0431C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1"/>
  <w:proofState w:spelling="clean"/>
  <w:attachedTemplate r:id="rId1"/>
  <w:defaultTabStop w:val="720"/>
  <w:autoHyphenation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useWord2013TrackBottomHyphenation" w:uri="http://schemas.microsoft.com/office/word" w:val="1"/>
  </w:compat>
  <w:rsids>
    <w:rsidRoot w:val="002B4E84"/>
    <w:rsid w:val="001021C1"/>
    <w:rsid w:val="002B4E84"/>
    <w:rsid w:val="00DE4500"/>
    <w:rsid w:val="00E043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8B18CF"/>
  <w15:docId w15:val="{8D9BEB10-40EE-43C3-A6A5-9AE553B5858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Aptos" w:eastAsia="Aptos" w:hAnsi="Aptos" w:cs="Times New Roman"/>
        <w:kern w:val="3"/>
        <w:sz w:val="22"/>
        <w:szCs w:val="22"/>
        <w:lang w:val="en-GB" w:eastAsia="en-US" w:bidi="ar-SA"/>
      </w:rPr>
    </w:rPrDefault>
    <w:pPrDefault>
      <w:pPr>
        <w:autoSpaceDN w:val="0"/>
        <w:spacing w:after="160" w:line="36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uppressAutoHyphens/>
    </w:pPr>
  </w:style>
  <w:style w:type="paragraph" w:styleId="Heading1">
    <w:name w:val="heading 1"/>
    <w:basedOn w:val="Normal"/>
    <w:next w:val="Normal"/>
    <w:uiPriority w:val="9"/>
    <w:qFormat/>
    <w:pPr>
      <w:keepNext/>
      <w:keepLines/>
      <w:spacing w:before="360" w:after="80"/>
      <w:outlineLvl w:val="0"/>
    </w:pPr>
    <w:rPr>
      <w:rFonts w:ascii="Aptos Display" w:eastAsia="Times New Roman" w:hAnsi="Aptos Display"/>
      <w:color w:val="0F4761"/>
      <w:sz w:val="40"/>
      <w:szCs w:val="40"/>
    </w:rPr>
  </w:style>
  <w:style w:type="paragraph" w:styleId="Heading2">
    <w:name w:val="heading 2"/>
    <w:basedOn w:val="Normal"/>
    <w:next w:val="Normal"/>
    <w:uiPriority w:val="9"/>
    <w:semiHidden/>
    <w:unhideWhenUsed/>
    <w:qFormat/>
    <w:pPr>
      <w:keepNext/>
      <w:keepLines/>
      <w:spacing w:before="160" w:after="80"/>
      <w:outlineLvl w:val="1"/>
    </w:pPr>
    <w:rPr>
      <w:rFonts w:ascii="Aptos Display" w:eastAsia="Times New Roman" w:hAnsi="Aptos Display"/>
      <w:color w:val="0F4761"/>
      <w:sz w:val="32"/>
      <w:szCs w:val="32"/>
    </w:rPr>
  </w:style>
  <w:style w:type="paragraph" w:styleId="Heading3">
    <w:name w:val="heading 3"/>
    <w:basedOn w:val="Normal"/>
    <w:next w:val="Normal"/>
    <w:uiPriority w:val="9"/>
    <w:semiHidden/>
    <w:unhideWhenUsed/>
    <w:qFormat/>
    <w:pPr>
      <w:keepNext/>
      <w:keepLines/>
      <w:spacing w:before="160" w:after="80"/>
      <w:outlineLvl w:val="2"/>
    </w:pPr>
    <w:rPr>
      <w:rFonts w:eastAsia="Times New Roman"/>
      <w:color w:val="0F4761"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80" w:after="40"/>
      <w:outlineLvl w:val="3"/>
    </w:pPr>
    <w:rPr>
      <w:rFonts w:eastAsia="Times New Roman"/>
      <w:i/>
      <w:iCs/>
      <w:color w:val="0F4761"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80" w:after="40"/>
      <w:outlineLvl w:val="4"/>
    </w:pPr>
    <w:rPr>
      <w:rFonts w:eastAsia="Times New Roman"/>
      <w:color w:val="0F4761"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40" w:after="0"/>
      <w:outlineLvl w:val="5"/>
    </w:pPr>
    <w:rPr>
      <w:rFonts w:eastAsia="Times New Roman"/>
      <w:i/>
      <w:iCs/>
      <w:color w:val="595959"/>
    </w:rPr>
  </w:style>
  <w:style w:type="paragraph" w:styleId="Heading7">
    <w:name w:val="heading 7"/>
    <w:basedOn w:val="Normal"/>
    <w:next w:val="Normal"/>
    <w:pPr>
      <w:keepNext/>
      <w:keepLines/>
      <w:spacing w:before="40" w:after="0"/>
      <w:outlineLvl w:val="6"/>
    </w:pPr>
    <w:rPr>
      <w:rFonts w:eastAsia="Times New Roman"/>
      <w:color w:val="595959"/>
    </w:rPr>
  </w:style>
  <w:style w:type="paragraph" w:styleId="Heading8">
    <w:name w:val="heading 8"/>
    <w:basedOn w:val="Normal"/>
    <w:next w:val="Normal"/>
    <w:pPr>
      <w:keepNext/>
      <w:keepLines/>
      <w:spacing w:after="0"/>
      <w:outlineLvl w:val="7"/>
    </w:pPr>
    <w:rPr>
      <w:rFonts w:eastAsia="Times New Roman"/>
      <w:i/>
      <w:iCs/>
      <w:color w:val="272727"/>
    </w:rPr>
  </w:style>
  <w:style w:type="paragraph" w:styleId="Heading9">
    <w:name w:val="heading 9"/>
    <w:basedOn w:val="Normal"/>
    <w:next w:val="Normal"/>
    <w:pPr>
      <w:keepNext/>
      <w:keepLines/>
      <w:spacing w:after="0"/>
      <w:outlineLvl w:val="8"/>
    </w:pPr>
    <w:rPr>
      <w:rFonts w:eastAsia="Times New Roman"/>
      <w:color w:val="272727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rPr>
      <w:rFonts w:ascii="Aptos Display" w:eastAsia="Times New Roman" w:hAnsi="Aptos Display" w:cs="Times New Roman"/>
      <w:color w:val="0F4761"/>
      <w:sz w:val="40"/>
      <w:szCs w:val="40"/>
    </w:rPr>
  </w:style>
  <w:style w:type="character" w:customStyle="1" w:styleId="Heading2Char">
    <w:name w:val="Heading 2 Char"/>
    <w:basedOn w:val="DefaultParagraphFont"/>
    <w:rPr>
      <w:rFonts w:ascii="Aptos Display" w:eastAsia="Times New Roman" w:hAnsi="Aptos Display" w:cs="Times New Roman"/>
      <w:color w:val="0F4761"/>
      <w:sz w:val="32"/>
      <w:szCs w:val="32"/>
    </w:rPr>
  </w:style>
  <w:style w:type="character" w:customStyle="1" w:styleId="Heading3Char">
    <w:name w:val="Heading 3 Char"/>
    <w:basedOn w:val="DefaultParagraphFont"/>
    <w:rPr>
      <w:rFonts w:eastAsia="Times New Roman" w:cs="Times New Roman"/>
      <w:color w:val="0F4761"/>
      <w:sz w:val="28"/>
      <w:szCs w:val="28"/>
    </w:rPr>
  </w:style>
  <w:style w:type="character" w:customStyle="1" w:styleId="Heading4Char">
    <w:name w:val="Heading 4 Char"/>
    <w:basedOn w:val="DefaultParagraphFont"/>
    <w:rPr>
      <w:rFonts w:eastAsia="Times New Roman" w:cs="Times New Roman"/>
      <w:i/>
      <w:iCs/>
      <w:color w:val="0F4761"/>
    </w:rPr>
  </w:style>
  <w:style w:type="character" w:customStyle="1" w:styleId="Heading5Char">
    <w:name w:val="Heading 5 Char"/>
    <w:basedOn w:val="DefaultParagraphFont"/>
    <w:rPr>
      <w:rFonts w:eastAsia="Times New Roman" w:cs="Times New Roman"/>
      <w:color w:val="0F4761"/>
    </w:rPr>
  </w:style>
  <w:style w:type="character" w:customStyle="1" w:styleId="Heading6Char">
    <w:name w:val="Heading 6 Char"/>
    <w:basedOn w:val="DefaultParagraphFont"/>
    <w:rPr>
      <w:rFonts w:eastAsia="Times New Roman" w:cs="Times New Roman"/>
      <w:i/>
      <w:iCs/>
      <w:color w:val="595959"/>
    </w:rPr>
  </w:style>
  <w:style w:type="character" w:customStyle="1" w:styleId="Heading7Char">
    <w:name w:val="Heading 7 Char"/>
    <w:basedOn w:val="DefaultParagraphFont"/>
    <w:rPr>
      <w:rFonts w:eastAsia="Times New Roman" w:cs="Times New Roman"/>
      <w:color w:val="595959"/>
    </w:rPr>
  </w:style>
  <w:style w:type="character" w:customStyle="1" w:styleId="Heading8Char">
    <w:name w:val="Heading 8 Char"/>
    <w:basedOn w:val="DefaultParagraphFont"/>
    <w:rPr>
      <w:rFonts w:eastAsia="Times New Roman" w:cs="Times New Roman"/>
      <w:i/>
      <w:iCs/>
      <w:color w:val="272727"/>
    </w:rPr>
  </w:style>
  <w:style w:type="character" w:customStyle="1" w:styleId="Heading9Char">
    <w:name w:val="Heading 9 Char"/>
    <w:basedOn w:val="DefaultParagraphFont"/>
    <w:rPr>
      <w:rFonts w:eastAsia="Times New Roman" w:cs="Times New Roman"/>
      <w:color w:val="272727"/>
    </w:rPr>
  </w:style>
  <w:style w:type="paragraph" w:styleId="Title">
    <w:name w:val="Title"/>
    <w:basedOn w:val="Normal"/>
    <w:next w:val="Normal"/>
    <w:uiPriority w:val="10"/>
    <w:qFormat/>
    <w:pPr>
      <w:spacing w:after="80" w:line="240" w:lineRule="auto"/>
      <w:contextualSpacing/>
    </w:pPr>
    <w:rPr>
      <w:rFonts w:ascii="Aptos Display" w:eastAsia="Times New Roman" w:hAnsi="Aptos Display"/>
      <w:spacing w:val="-10"/>
      <w:sz w:val="56"/>
      <w:szCs w:val="56"/>
    </w:rPr>
  </w:style>
  <w:style w:type="character" w:customStyle="1" w:styleId="TitleChar">
    <w:name w:val="Title Char"/>
    <w:basedOn w:val="DefaultParagraphFont"/>
    <w:rPr>
      <w:rFonts w:ascii="Aptos Display" w:eastAsia="Times New Roman" w:hAnsi="Aptos Display" w:cs="Times New Roman"/>
      <w:spacing w:val="-10"/>
      <w:kern w:val="3"/>
      <w:sz w:val="56"/>
      <w:szCs w:val="56"/>
    </w:rPr>
  </w:style>
  <w:style w:type="paragraph" w:styleId="Subtitle">
    <w:name w:val="Subtitle"/>
    <w:basedOn w:val="Normal"/>
    <w:next w:val="Normal"/>
    <w:uiPriority w:val="11"/>
    <w:qFormat/>
    <w:rPr>
      <w:rFonts w:eastAsia="Times New Roman"/>
      <w:color w:val="595959"/>
      <w:spacing w:val="15"/>
      <w:sz w:val="28"/>
      <w:szCs w:val="28"/>
    </w:rPr>
  </w:style>
  <w:style w:type="character" w:customStyle="1" w:styleId="SubtitleChar">
    <w:name w:val="Subtitle Char"/>
    <w:basedOn w:val="DefaultParagraphFont"/>
    <w:rPr>
      <w:rFonts w:eastAsia="Times New Roman" w:cs="Times New Roman"/>
      <w:color w:val="595959"/>
      <w:spacing w:val="15"/>
      <w:sz w:val="28"/>
      <w:szCs w:val="28"/>
    </w:rPr>
  </w:style>
  <w:style w:type="paragraph" w:styleId="Quote">
    <w:name w:val="Quote"/>
    <w:basedOn w:val="Normal"/>
    <w:next w:val="Normal"/>
    <w:pPr>
      <w:spacing w:before="160"/>
      <w:jc w:val="center"/>
    </w:pPr>
    <w:rPr>
      <w:i/>
      <w:iCs/>
      <w:color w:val="404040"/>
    </w:rPr>
  </w:style>
  <w:style w:type="character" w:customStyle="1" w:styleId="QuoteChar">
    <w:name w:val="Quote Char"/>
    <w:basedOn w:val="DefaultParagraphFont"/>
    <w:rPr>
      <w:i/>
      <w:iCs/>
      <w:color w:val="404040"/>
    </w:rPr>
  </w:style>
  <w:style w:type="paragraph" w:styleId="ListParagraph">
    <w:name w:val="List Paragraph"/>
    <w:basedOn w:val="Normal"/>
    <w:pPr>
      <w:ind w:left="720"/>
      <w:contextualSpacing/>
    </w:pPr>
  </w:style>
  <w:style w:type="character" w:styleId="IntenseEmphasis">
    <w:name w:val="Intense Emphasis"/>
    <w:basedOn w:val="DefaultParagraphFont"/>
    <w:rPr>
      <w:i/>
      <w:iCs/>
      <w:color w:val="0F4761"/>
    </w:rPr>
  </w:style>
  <w:style w:type="paragraph" w:styleId="IntenseQuote">
    <w:name w:val="Intense Quote"/>
    <w:basedOn w:val="Normal"/>
    <w:next w:val="Normal"/>
    <w:pPr>
      <w:pBdr>
        <w:top w:val="single" w:sz="4" w:space="10" w:color="0F4761"/>
        <w:bottom w:val="single" w:sz="4" w:space="10" w:color="0F4761"/>
      </w:pBdr>
      <w:spacing w:before="360" w:after="360"/>
      <w:ind w:left="864" w:right="864"/>
      <w:jc w:val="center"/>
    </w:pPr>
    <w:rPr>
      <w:i/>
      <w:iCs/>
      <w:color w:val="0F4761"/>
    </w:rPr>
  </w:style>
  <w:style w:type="character" w:customStyle="1" w:styleId="IntenseQuoteChar">
    <w:name w:val="Intense Quote Char"/>
    <w:basedOn w:val="DefaultParagraphFont"/>
    <w:rPr>
      <w:i/>
      <w:iCs/>
      <w:color w:val="0F4761"/>
    </w:rPr>
  </w:style>
  <w:style w:type="character" w:styleId="IntenseReference">
    <w:name w:val="Intense Reference"/>
    <w:basedOn w:val="DefaultParagraphFont"/>
    <w:rPr>
      <w:b/>
      <w:bCs/>
      <w:smallCaps/>
      <w:color w:val="0F4761"/>
      <w:spacing w:val="5"/>
    </w:rPr>
  </w:style>
  <w:style w:type="paragraph" w:styleId="NoSpacing">
    <w:name w:val="No Spacing"/>
    <w:pPr>
      <w:suppressAutoHyphens/>
      <w:spacing w:after="0" w:line="240" w:lineRule="auto"/>
    </w:pPr>
    <w:rPr>
      <w:rFonts w:eastAsia="Times New Roman"/>
      <w:kern w:val="0"/>
      <w:lang w:eastAsia="en-GB"/>
    </w:rPr>
  </w:style>
  <w:style w:type="character" w:customStyle="1" w:styleId="NoSpacingChar">
    <w:name w:val="No Spacing Char"/>
    <w:basedOn w:val="DefaultParagraphFont"/>
    <w:rPr>
      <w:rFonts w:eastAsia="Times New Roman"/>
      <w:kern w:val="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Norma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2</Pages>
  <Words>204</Words>
  <Characters>1165</Characters>
  <Application>Microsoft Office Word</Application>
  <DocSecurity>0</DocSecurity>
  <Lines>9</Lines>
  <Paragraphs>2</Paragraphs>
  <ScaleCrop>false</ScaleCrop>
  <Company/>
  <LinksUpToDate>false</LinksUpToDate>
  <CharactersWithSpaces>1367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protecting and supporting families in health and care</dc:title>
  <dc:subject>Individual Reference List</dc:subject>
  <dc:creator>Omolola Oluwaseun Sonola (2423672)</dc:creator>
  <dc:description/>
  <cp:lastModifiedBy>Omolola Oluwaseun Sonola (2423672)</cp:lastModifiedBy>
  <cp:revision>2</cp:revision>
  <dcterms:created xsi:type="dcterms:W3CDTF">2026-07-18T10:37:00Z</dcterms:created>
  <dcterms:modified xsi:type="dcterms:W3CDTF">2026-07-18T10:37:00Z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edc2915d-cbd9-4c35-aa1c-4469a81a5d71</vt:lpwstr>
  </property>
</Properties>
</file>