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2ACB7" w14:textId="77777777" w:rsidR="00CF0C95" w:rsidRDefault="00CF0C95" w:rsidP="00CF0C95">
      <w:pPr>
        <w:jc w:val="center"/>
        <w:rPr>
          <w:b/>
          <w:bCs/>
          <w:sz w:val="44"/>
          <w:szCs w:val="40"/>
        </w:rPr>
      </w:pPr>
    </w:p>
    <w:p w14:paraId="74B8E562" w14:textId="77777777" w:rsidR="00CF0C95" w:rsidRDefault="00CF0C95" w:rsidP="00CF0C95">
      <w:pPr>
        <w:jc w:val="center"/>
        <w:rPr>
          <w:b/>
          <w:bCs/>
          <w:sz w:val="44"/>
          <w:szCs w:val="40"/>
        </w:rPr>
      </w:pPr>
    </w:p>
    <w:p w14:paraId="7444D902" w14:textId="2DD9C787" w:rsidR="002C4FF1" w:rsidRDefault="000F0AF3" w:rsidP="000F0AF3">
      <w:pPr>
        <w:spacing w:line="259" w:lineRule="auto"/>
        <w:jc w:val="center"/>
        <w:rPr>
          <w:rFonts w:ascii="Arial" w:hAnsi="Arial" w:cs="Arial"/>
          <w:b/>
          <w:bCs/>
          <w:sz w:val="44"/>
          <w:szCs w:val="40"/>
        </w:rPr>
      </w:pPr>
      <w:r w:rsidRPr="00256782">
        <w:rPr>
          <w:rFonts w:ascii="Arial" w:hAnsi="Arial" w:cs="Arial"/>
          <w:b/>
          <w:bCs/>
          <w:sz w:val="44"/>
          <w:szCs w:val="40"/>
        </w:rPr>
        <w:t>Developing Relationships and Workplace Achievement</w:t>
      </w:r>
    </w:p>
    <w:p w14:paraId="16C84835" w14:textId="77777777" w:rsidR="00256782" w:rsidRPr="00256782" w:rsidRDefault="00256782" w:rsidP="000F0AF3">
      <w:pPr>
        <w:spacing w:line="259" w:lineRule="auto"/>
        <w:jc w:val="center"/>
        <w:rPr>
          <w:rFonts w:ascii="Arial" w:hAnsi="Arial" w:cs="Arial"/>
          <w:b/>
          <w:bCs/>
          <w:sz w:val="44"/>
          <w:szCs w:val="40"/>
        </w:rPr>
      </w:pPr>
    </w:p>
    <w:p w14:paraId="508CD28E" w14:textId="7A6E428A" w:rsidR="00256782" w:rsidRPr="00B5166F" w:rsidRDefault="00256782" w:rsidP="00256782">
      <w:pPr>
        <w:jc w:val="center"/>
        <w:rPr>
          <w:rFonts w:ascii="Arial" w:hAnsi="Arial" w:cs="Arial"/>
          <w:b/>
          <w:bCs/>
          <w:color w:val="000000"/>
          <w:sz w:val="28"/>
          <w:szCs w:val="28"/>
          <w:shd w:val="clear" w:color="auto" w:fill="FFFFFF"/>
        </w:rPr>
      </w:pPr>
      <w:r w:rsidRPr="00B5166F">
        <w:rPr>
          <w:rStyle w:val="normaltextrun"/>
          <w:rFonts w:ascii="Arial" w:hAnsi="Arial" w:cs="Arial"/>
          <w:b/>
          <w:bCs/>
          <w:color w:val="000000"/>
          <w:sz w:val="28"/>
          <w:szCs w:val="28"/>
          <w:shd w:val="clear" w:color="auto" w:fill="FFFFFF"/>
          <w:lang w:val="en-US"/>
        </w:rPr>
        <w:t xml:space="preserve">Student: </w:t>
      </w:r>
      <w:r w:rsidRPr="00B5166F">
        <w:rPr>
          <w:rStyle w:val="normaltextrun"/>
          <w:rFonts w:ascii="Arial" w:hAnsi="Arial" w:cs="Arial"/>
          <w:b/>
          <w:bCs/>
          <w:color w:val="000000"/>
          <w:sz w:val="28"/>
          <w:szCs w:val="28"/>
          <w:shd w:val="clear" w:color="auto" w:fill="FFFFFF"/>
        </w:rPr>
        <w:t>Cristian Dumitru – 2108821</w:t>
      </w:r>
    </w:p>
    <w:p w14:paraId="4576788A" w14:textId="3AB52594" w:rsidR="00256782" w:rsidRDefault="00256782" w:rsidP="00256782">
      <w:pPr>
        <w:pStyle w:val="paragraph"/>
        <w:spacing w:before="0" w:beforeAutospacing="0" w:after="0" w:afterAutospacing="0"/>
        <w:jc w:val="center"/>
        <w:textAlignment w:val="baseline"/>
        <w:rPr>
          <w:rFonts w:ascii="Arial" w:hAnsi="Arial" w:cs="Arial"/>
          <w:b/>
          <w:bCs/>
          <w:sz w:val="28"/>
          <w:szCs w:val="28"/>
        </w:rPr>
      </w:pPr>
      <w:r w:rsidRPr="00B5166F">
        <w:rPr>
          <w:rStyle w:val="normaltextrun"/>
          <w:rFonts w:ascii="Arial" w:hAnsi="Arial" w:cs="Arial"/>
          <w:b/>
          <w:bCs/>
          <w:sz w:val="28"/>
          <w:szCs w:val="28"/>
          <w:lang w:val="en-US"/>
        </w:rPr>
        <w:t xml:space="preserve">Module Code: </w:t>
      </w:r>
      <w:r w:rsidRPr="00B5166F">
        <w:rPr>
          <w:rFonts w:ascii="Arial" w:hAnsi="Arial" w:cs="Arial"/>
          <w:b/>
          <w:bCs/>
          <w:sz w:val="28"/>
          <w:szCs w:val="28"/>
        </w:rPr>
        <w:t>BMSW510</w:t>
      </w:r>
      <w:r>
        <w:rPr>
          <w:rFonts w:ascii="Arial" w:hAnsi="Arial" w:cs="Arial"/>
          <w:b/>
          <w:bCs/>
          <w:sz w:val="28"/>
          <w:szCs w:val="28"/>
        </w:rPr>
        <w:t>2</w:t>
      </w:r>
    </w:p>
    <w:p w14:paraId="6CFB0FA3" w14:textId="77777777" w:rsidR="00256782" w:rsidRDefault="00256782" w:rsidP="00256782">
      <w:pPr>
        <w:pStyle w:val="paragraph"/>
        <w:spacing w:before="0" w:beforeAutospacing="0" w:after="0" w:afterAutospacing="0"/>
        <w:jc w:val="center"/>
        <w:textAlignment w:val="baseline"/>
        <w:rPr>
          <w:rFonts w:ascii="Arial" w:hAnsi="Arial" w:cs="Arial"/>
          <w:b/>
          <w:bCs/>
          <w:sz w:val="28"/>
          <w:szCs w:val="28"/>
        </w:rPr>
      </w:pPr>
    </w:p>
    <w:p w14:paraId="7693C152" w14:textId="77777777" w:rsidR="00256782" w:rsidRPr="00B5166F" w:rsidRDefault="00256782" w:rsidP="00256782">
      <w:pPr>
        <w:pStyle w:val="paragraph"/>
        <w:spacing w:before="0" w:beforeAutospacing="0" w:after="0" w:afterAutospacing="0"/>
        <w:jc w:val="center"/>
        <w:textAlignment w:val="baseline"/>
        <w:rPr>
          <w:rFonts w:ascii="Arial" w:hAnsi="Arial" w:cs="Arial"/>
          <w:b/>
          <w:bCs/>
          <w:sz w:val="28"/>
          <w:szCs w:val="28"/>
        </w:rPr>
      </w:pPr>
    </w:p>
    <w:p w14:paraId="1D6C5037" w14:textId="1F05AE15" w:rsidR="00256782" w:rsidRDefault="00256782" w:rsidP="00256782">
      <w:pPr>
        <w:pStyle w:val="paragraph"/>
        <w:shd w:val="clear" w:color="auto" w:fill="FFFFFF"/>
        <w:spacing w:before="0" w:beforeAutospacing="0" w:after="0" w:afterAutospacing="0"/>
        <w:jc w:val="center"/>
        <w:textAlignment w:val="baseline"/>
        <w:rPr>
          <w:rFonts w:ascii="Arial" w:hAnsi="Arial" w:cs="Arial"/>
          <w:b/>
          <w:bCs/>
          <w:sz w:val="28"/>
          <w:szCs w:val="28"/>
        </w:rPr>
      </w:pPr>
      <w:r w:rsidRPr="00B5166F">
        <w:rPr>
          <w:rStyle w:val="normaltextrun"/>
          <w:rFonts w:ascii="Arial" w:hAnsi="Arial" w:cs="Arial"/>
          <w:b/>
          <w:bCs/>
          <w:sz w:val="28"/>
          <w:szCs w:val="28"/>
          <w:lang w:val="en-US"/>
        </w:rPr>
        <w:t xml:space="preserve">Lecturer: </w:t>
      </w:r>
      <w:r w:rsidRPr="00256782">
        <w:rPr>
          <w:rFonts w:ascii="Arial" w:hAnsi="Arial" w:cs="Arial"/>
          <w:b/>
          <w:bCs/>
          <w:color w:val="242130"/>
          <w:sz w:val="28"/>
          <w:szCs w:val="28"/>
          <w:shd w:val="clear" w:color="auto" w:fill="FFFFFF"/>
        </w:rPr>
        <w:t xml:space="preserve">Zahra </w:t>
      </w:r>
      <w:proofErr w:type="spellStart"/>
      <w:r w:rsidRPr="00256782">
        <w:rPr>
          <w:rFonts w:ascii="Arial" w:hAnsi="Arial" w:cs="Arial"/>
          <w:b/>
          <w:bCs/>
          <w:color w:val="242130"/>
          <w:sz w:val="28"/>
          <w:szCs w:val="28"/>
          <w:shd w:val="clear" w:color="auto" w:fill="FFFFFF"/>
        </w:rPr>
        <w:t>Mohammadnazari</w:t>
      </w:r>
      <w:proofErr w:type="spellEnd"/>
    </w:p>
    <w:p w14:paraId="2755B1A8" w14:textId="77777777" w:rsidR="00256782" w:rsidRDefault="00256782" w:rsidP="000F0AF3">
      <w:pPr>
        <w:spacing w:line="259" w:lineRule="auto"/>
        <w:jc w:val="center"/>
        <w:rPr>
          <w:b/>
          <w:bCs/>
          <w:sz w:val="44"/>
          <w:szCs w:val="40"/>
        </w:rPr>
      </w:pPr>
    </w:p>
    <w:p w14:paraId="10461E09" w14:textId="77777777" w:rsidR="002C4FF1" w:rsidRDefault="002C4FF1">
      <w:pPr>
        <w:spacing w:line="259" w:lineRule="auto"/>
        <w:jc w:val="left"/>
        <w:rPr>
          <w:b/>
          <w:bCs/>
          <w:sz w:val="44"/>
          <w:szCs w:val="40"/>
        </w:rPr>
      </w:pPr>
      <w:r>
        <w:rPr>
          <w:b/>
          <w:bCs/>
          <w:sz w:val="44"/>
          <w:szCs w:val="40"/>
        </w:rPr>
        <w:br w:type="page"/>
      </w:r>
    </w:p>
    <w:p w14:paraId="6CFAFFEE" w14:textId="77777777" w:rsidR="002C4FF1" w:rsidRDefault="002C4FF1" w:rsidP="002C4FF1">
      <w:pPr>
        <w:jc w:val="center"/>
        <w:rPr>
          <w:b/>
          <w:bCs/>
        </w:rPr>
      </w:pPr>
      <w:r>
        <w:rPr>
          <w:b/>
          <w:bCs/>
        </w:rPr>
        <w:lastRenderedPageBreak/>
        <w:t>Abstract</w:t>
      </w:r>
    </w:p>
    <w:p w14:paraId="7439444B" w14:textId="77777777" w:rsidR="002C4FF1" w:rsidRPr="00256782" w:rsidRDefault="002C4FF1" w:rsidP="00256782">
      <w:pPr>
        <w:spacing w:line="360" w:lineRule="auto"/>
        <w:rPr>
          <w:rFonts w:ascii="Arial" w:hAnsi="Arial" w:cs="Arial"/>
          <w:color w:val="000000" w:themeColor="text1"/>
          <w:sz w:val="22"/>
          <w:szCs w:val="20"/>
        </w:rPr>
      </w:pPr>
      <w:r w:rsidRPr="00256782">
        <w:rPr>
          <w:rFonts w:ascii="Arial" w:hAnsi="Arial" w:cs="Arial"/>
          <w:color w:val="000000" w:themeColor="text1"/>
          <w:sz w:val="22"/>
          <w:szCs w:val="20"/>
        </w:rPr>
        <w:t xml:space="preserve">Murphy Oil Corporation, a US-based oil and gas exploration company, and China National Petroleum Corporation (CNPC), a Chinese state-owned energy giant, could potentially engage in a merger and acquisition (M&amp;A) deal. If such a deal were to take place, it could lead to a significant expansion of CNPC's global oil and gas reserves, as well as help Murphy Oil to access new markets in China and the Asia-Pacific region. However, such a deal could face political and regulatory hurdles, given the tense trade relationship between the US and China, as well as potential concerns over national security and strategic interests. As with any M&amp;A deal, the success of a potential merger between Murphy Oil and CNPC would depend on various factors, including due diligence, valuation, financing, and regulatory approvals. The report is focusing upon the role of IHRM during M&amp;A between the two companies. </w:t>
      </w:r>
    </w:p>
    <w:p w14:paraId="53FDF4BF" w14:textId="77777777" w:rsidR="002C4FF1" w:rsidRDefault="002C4FF1" w:rsidP="002C4FF1">
      <w:pPr>
        <w:jc w:val="center"/>
        <w:rPr>
          <w:b/>
          <w:bCs/>
        </w:rPr>
      </w:pPr>
    </w:p>
    <w:p w14:paraId="50A314D5" w14:textId="77777777" w:rsidR="00CF0C95" w:rsidRDefault="00CF0C95" w:rsidP="002C4FF1">
      <w:pPr>
        <w:jc w:val="center"/>
      </w:pPr>
      <w:r>
        <w:br w:type="page"/>
      </w:r>
    </w:p>
    <w:sdt>
      <w:sdtPr>
        <w:rPr>
          <w:rFonts w:ascii="Times New Roman" w:eastAsiaTheme="minorHAnsi" w:hAnsi="Times New Roman" w:cs="Times New Roman"/>
          <w:color w:val="auto"/>
          <w:kern w:val="2"/>
          <w:sz w:val="28"/>
          <w:szCs w:val="28"/>
          <w:lang w:val="en-IN"/>
          <w14:ligatures w14:val="standardContextual"/>
        </w:rPr>
        <w:id w:val="275218333"/>
        <w:docPartObj>
          <w:docPartGallery w:val="Table of Contents"/>
          <w:docPartUnique/>
        </w:docPartObj>
      </w:sdtPr>
      <w:sdtEndPr>
        <w:rPr>
          <w:b/>
          <w:bCs/>
          <w:noProof/>
          <w:sz w:val="24"/>
          <w:szCs w:val="24"/>
        </w:rPr>
      </w:sdtEndPr>
      <w:sdtContent>
        <w:p w14:paraId="1B631A3B" w14:textId="77777777" w:rsidR="00C866E3" w:rsidRPr="00802BA2" w:rsidRDefault="00C866E3" w:rsidP="00802BA2">
          <w:pPr>
            <w:pStyle w:val="TOCHeading"/>
            <w:spacing w:line="480" w:lineRule="auto"/>
            <w:jc w:val="both"/>
            <w:rPr>
              <w:rFonts w:ascii="Times New Roman" w:hAnsi="Times New Roman" w:cs="Times New Roman"/>
              <w:sz w:val="28"/>
              <w:szCs w:val="28"/>
            </w:rPr>
          </w:pPr>
          <w:r w:rsidRPr="00802BA2">
            <w:rPr>
              <w:rFonts w:ascii="Times New Roman" w:hAnsi="Times New Roman" w:cs="Times New Roman"/>
              <w:sz w:val="28"/>
              <w:szCs w:val="28"/>
            </w:rPr>
            <w:t>Table of Contents</w:t>
          </w:r>
        </w:p>
        <w:p w14:paraId="2E1DCC9B" w14:textId="1ABA478B" w:rsidR="00FE27AD" w:rsidRDefault="00C866E3">
          <w:pPr>
            <w:pStyle w:val="TOC1"/>
            <w:tabs>
              <w:tab w:val="right" w:leader="dot" w:pos="9016"/>
            </w:tabs>
            <w:rPr>
              <w:rFonts w:cstheme="minorBidi"/>
              <w:noProof/>
              <w:lang w:val="en-GB" w:eastAsia="zh-CN"/>
            </w:rPr>
          </w:pPr>
          <w:r w:rsidRPr="00802BA2">
            <w:rPr>
              <w:rFonts w:ascii="Times New Roman" w:hAnsi="Times New Roman"/>
              <w:sz w:val="24"/>
              <w:szCs w:val="24"/>
            </w:rPr>
            <w:fldChar w:fldCharType="begin"/>
          </w:r>
          <w:r w:rsidRPr="00802BA2">
            <w:rPr>
              <w:rFonts w:ascii="Times New Roman" w:hAnsi="Times New Roman"/>
              <w:sz w:val="24"/>
              <w:szCs w:val="24"/>
            </w:rPr>
            <w:instrText xml:space="preserve"> TOC \o "1-3" \h \z \u </w:instrText>
          </w:r>
          <w:r w:rsidRPr="00802BA2">
            <w:rPr>
              <w:rFonts w:ascii="Times New Roman" w:hAnsi="Times New Roman"/>
              <w:sz w:val="24"/>
              <w:szCs w:val="24"/>
            </w:rPr>
            <w:fldChar w:fldCharType="separate"/>
          </w:r>
          <w:hyperlink w:anchor="_Toc131344754" w:history="1">
            <w:r w:rsidR="00FE27AD" w:rsidRPr="00927473">
              <w:rPr>
                <w:rStyle w:val="Hyperlink"/>
                <w:noProof/>
              </w:rPr>
              <w:t>Introduction</w:t>
            </w:r>
            <w:r w:rsidR="00FE27AD">
              <w:rPr>
                <w:noProof/>
                <w:webHidden/>
              </w:rPr>
              <w:tab/>
            </w:r>
            <w:r w:rsidR="00FE27AD">
              <w:rPr>
                <w:noProof/>
                <w:webHidden/>
              </w:rPr>
              <w:fldChar w:fldCharType="begin"/>
            </w:r>
            <w:r w:rsidR="00FE27AD">
              <w:rPr>
                <w:noProof/>
                <w:webHidden/>
              </w:rPr>
              <w:instrText xml:space="preserve"> PAGEREF _Toc131344754 \h </w:instrText>
            </w:r>
            <w:r w:rsidR="00FE27AD">
              <w:rPr>
                <w:noProof/>
                <w:webHidden/>
              </w:rPr>
            </w:r>
            <w:r w:rsidR="00FE27AD">
              <w:rPr>
                <w:noProof/>
                <w:webHidden/>
              </w:rPr>
              <w:fldChar w:fldCharType="separate"/>
            </w:r>
            <w:r w:rsidR="00FE27AD">
              <w:rPr>
                <w:noProof/>
                <w:webHidden/>
              </w:rPr>
              <w:t>4</w:t>
            </w:r>
            <w:r w:rsidR="00FE27AD">
              <w:rPr>
                <w:noProof/>
                <w:webHidden/>
              </w:rPr>
              <w:fldChar w:fldCharType="end"/>
            </w:r>
          </w:hyperlink>
        </w:p>
        <w:p w14:paraId="483F1AF1" w14:textId="365C9B32" w:rsidR="00FE27AD" w:rsidRDefault="00FE27AD">
          <w:pPr>
            <w:pStyle w:val="TOC1"/>
            <w:tabs>
              <w:tab w:val="right" w:leader="dot" w:pos="9016"/>
            </w:tabs>
            <w:rPr>
              <w:rFonts w:cstheme="minorBidi"/>
              <w:noProof/>
              <w:lang w:val="en-GB" w:eastAsia="zh-CN"/>
            </w:rPr>
          </w:pPr>
          <w:hyperlink w:anchor="_Toc131344755" w:history="1">
            <w:r w:rsidRPr="00927473">
              <w:rPr>
                <w:rStyle w:val="Hyperlink"/>
                <w:rFonts w:eastAsia="Times New Roman"/>
                <w:noProof/>
              </w:rPr>
              <w:t xml:space="preserve">Role of HR in </w:t>
            </w:r>
            <w:r w:rsidRPr="00927473">
              <w:rPr>
                <w:rStyle w:val="Hyperlink"/>
                <w:noProof/>
              </w:rPr>
              <w:t>managing</w:t>
            </w:r>
            <w:r w:rsidRPr="00927473">
              <w:rPr>
                <w:rStyle w:val="Hyperlink"/>
                <w:rFonts w:eastAsia="Times New Roman"/>
                <w:noProof/>
              </w:rPr>
              <w:t xml:space="preserve"> </w:t>
            </w:r>
            <w:r w:rsidRPr="00927473">
              <w:rPr>
                <w:rStyle w:val="Hyperlink"/>
                <w:noProof/>
              </w:rPr>
              <w:t xml:space="preserve">political, economic and cultural aspects of two countries during </w:t>
            </w:r>
            <w:r w:rsidRPr="00927473">
              <w:rPr>
                <w:rStyle w:val="Hyperlink"/>
                <w:rFonts w:eastAsia="Times New Roman"/>
                <w:noProof/>
              </w:rPr>
              <w:t>M&amp;A between Murphy Oil Corporation and China National Petroleum Corporation</w:t>
            </w:r>
            <w:r>
              <w:rPr>
                <w:noProof/>
                <w:webHidden/>
              </w:rPr>
              <w:tab/>
            </w:r>
            <w:r>
              <w:rPr>
                <w:noProof/>
                <w:webHidden/>
              </w:rPr>
              <w:fldChar w:fldCharType="begin"/>
            </w:r>
            <w:r>
              <w:rPr>
                <w:noProof/>
                <w:webHidden/>
              </w:rPr>
              <w:instrText xml:space="preserve"> PAGEREF _Toc131344755 \h </w:instrText>
            </w:r>
            <w:r>
              <w:rPr>
                <w:noProof/>
                <w:webHidden/>
              </w:rPr>
            </w:r>
            <w:r>
              <w:rPr>
                <w:noProof/>
                <w:webHidden/>
              </w:rPr>
              <w:fldChar w:fldCharType="separate"/>
            </w:r>
            <w:r>
              <w:rPr>
                <w:noProof/>
                <w:webHidden/>
              </w:rPr>
              <w:t>5</w:t>
            </w:r>
            <w:r>
              <w:rPr>
                <w:noProof/>
                <w:webHidden/>
              </w:rPr>
              <w:fldChar w:fldCharType="end"/>
            </w:r>
          </w:hyperlink>
        </w:p>
        <w:p w14:paraId="37F97814" w14:textId="44A900FE" w:rsidR="00FE27AD" w:rsidRDefault="00FE27AD">
          <w:pPr>
            <w:pStyle w:val="TOC1"/>
            <w:tabs>
              <w:tab w:val="right" w:leader="dot" w:pos="9016"/>
            </w:tabs>
            <w:rPr>
              <w:rFonts w:cstheme="minorBidi"/>
              <w:noProof/>
              <w:lang w:val="en-GB" w:eastAsia="zh-CN"/>
            </w:rPr>
          </w:pPr>
          <w:hyperlink w:anchor="_Toc131344756" w:history="1">
            <w:r w:rsidRPr="00927473">
              <w:rPr>
                <w:rStyle w:val="Hyperlink"/>
                <w:rFonts w:eastAsia="Times New Roman"/>
                <w:noProof/>
              </w:rPr>
              <w:t>Role of HR professional during the pre-merging stages of M&amp;A between Murphy Oil Corporation and China National Petroleum Corporation</w:t>
            </w:r>
            <w:r>
              <w:rPr>
                <w:noProof/>
                <w:webHidden/>
              </w:rPr>
              <w:tab/>
            </w:r>
            <w:r>
              <w:rPr>
                <w:noProof/>
                <w:webHidden/>
              </w:rPr>
              <w:fldChar w:fldCharType="begin"/>
            </w:r>
            <w:r>
              <w:rPr>
                <w:noProof/>
                <w:webHidden/>
              </w:rPr>
              <w:instrText xml:space="preserve"> PAGEREF _Toc131344756 \h </w:instrText>
            </w:r>
            <w:r>
              <w:rPr>
                <w:noProof/>
                <w:webHidden/>
              </w:rPr>
            </w:r>
            <w:r>
              <w:rPr>
                <w:noProof/>
                <w:webHidden/>
              </w:rPr>
              <w:fldChar w:fldCharType="separate"/>
            </w:r>
            <w:r>
              <w:rPr>
                <w:noProof/>
                <w:webHidden/>
              </w:rPr>
              <w:t>6</w:t>
            </w:r>
            <w:r>
              <w:rPr>
                <w:noProof/>
                <w:webHidden/>
              </w:rPr>
              <w:fldChar w:fldCharType="end"/>
            </w:r>
          </w:hyperlink>
        </w:p>
        <w:p w14:paraId="788059A6" w14:textId="519DF652" w:rsidR="00FE27AD" w:rsidRDefault="00FE27AD">
          <w:pPr>
            <w:pStyle w:val="TOC1"/>
            <w:tabs>
              <w:tab w:val="right" w:leader="dot" w:pos="9016"/>
            </w:tabs>
            <w:rPr>
              <w:rFonts w:cstheme="minorBidi"/>
              <w:noProof/>
              <w:lang w:val="en-GB" w:eastAsia="zh-CN"/>
            </w:rPr>
          </w:pPr>
          <w:hyperlink w:anchor="_Toc131344757" w:history="1">
            <w:r w:rsidRPr="00927473">
              <w:rPr>
                <w:rStyle w:val="Hyperlink"/>
                <w:noProof/>
              </w:rPr>
              <w:t xml:space="preserve">Role of </w:t>
            </w:r>
            <w:r w:rsidRPr="00927473">
              <w:rPr>
                <w:rStyle w:val="Hyperlink"/>
                <w:rFonts w:eastAsia="Times New Roman"/>
                <w:noProof/>
              </w:rPr>
              <w:t>IHRM after the merger and acquisition</w:t>
            </w:r>
            <w:r w:rsidRPr="00927473">
              <w:rPr>
                <w:rStyle w:val="Hyperlink"/>
                <w:noProof/>
              </w:rPr>
              <w:t xml:space="preserve"> has been conducted </w:t>
            </w:r>
            <w:r w:rsidRPr="00927473">
              <w:rPr>
                <w:rStyle w:val="Hyperlink"/>
                <w:rFonts w:eastAsia="Times New Roman"/>
                <w:noProof/>
              </w:rPr>
              <w:t>between Murphy Oil Corporation and China National Petroleum Corporation</w:t>
            </w:r>
            <w:r>
              <w:rPr>
                <w:noProof/>
                <w:webHidden/>
              </w:rPr>
              <w:tab/>
            </w:r>
            <w:r>
              <w:rPr>
                <w:noProof/>
                <w:webHidden/>
              </w:rPr>
              <w:fldChar w:fldCharType="begin"/>
            </w:r>
            <w:r>
              <w:rPr>
                <w:noProof/>
                <w:webHidden/>
              </w:rPr>
              <w:instrText xml:space="preserve"> PAGEREF _Toc131344757 \h </w:instrText>
            </w:r>
            <w:r>
              <w:rPr>
                <w:noProof/>
                <w:webHidden/>
              </w:rPr>
            </w:r>
            <w:r>
              <w:rPr>
                <w:noProof/>
                <w:webHidden/>
              </w:rPr>
              <w:fldChar w:fldCharType="separate"/>
            </w:r>
            <w:r>
              <w:rPr>
                <w:noProof/>
                <w:webHidden/>
              </w:rPr>
              <w:t>7</w:t>
            </w:r>
            <w:r>
              <w:rPr>
                <w:noProof/>
                <w:webHidden/>
              </w:rPr>
              <w:fldChar w:fldCharType="end"/>
            </w:r>
          </w:hyperlink>
        </w:p>
        <w:p w14:paraId="6EFC32F5" w14:textId="7CF73A98" w:rsidR="00FE27AD" w:rsidRDefault="00FE27AD">
          <w:pPr>
            <w:pStyle w:val="TOC1"/>
            <w:tabs>
              <w:tab w:val="right" w:leader="dot" w:pos="9016"/>
            </w:tabs>
            <w:rPr>
              <w:rFonts w:cstheme="minorBidi"/>
              <w:noProof/>
              <w:lang w:val="en-GB" w:eastAsia="zh-CN"/>
            </w:rPr>
          </w:pPr>
          <w:hyperlink w:anchor="_Toc131344758" w:history="1">
            <w:r w:rsidRPr="00927473">
              <w:rPr>
                <w:rStyle w:val="Hyperlink"/>
                <w:rFonts w:eastAsia="Times New Roman"/>
                <w:noProof/>
              </w:rPr>
              <w:t xml:space="preserve">Role of HR in planning for smoother transitions </w:t>
            </w:r>
            <w:r w:rsidRPr="00927473">
              <w:rPr>
                <w:rStyle w:val="Hyperlink"/>
                <w:noProof/>
              </w:rPr>
              <w:t xml:space="preserve">during </w:t>
            </w:r>
            <w:r w:rsidRPr="00927473">
              <w:rPr>
                <w:rStyle w:val="Hyperlink"/>
                <w:rFonts w:eastAsia="Times New Roman"/>
                <w:noProof/>
              </w:rPr>
              <w:t>M&amp;A between Murphy Oil Corporation and China National Petroleum Corporation</w:t>
            </w:r>
            <w:r>
              <w:rPr>
                <w:noProof/>
                <w:webHidden/>
              </w:rPr>
              <w:tab/>
            </w:r>
            <w:r>
              <w:rPr>
                <w:noProof/>
                <w:webHidden/>
              </w:rPr>
              <w:fldChar w:fldCharType="begin"/>
            </w:r>
            <w:r>
              <w:rPr>
                <w:noProof/>
                <w:webHidden/>
              </w:rPr>
              <w:instrText xml:space="preserve"> PAGEREF _Toc131344758 \h </w:instrText>
            </w:r>
            <w:r>
              <w:rPr>
                <w:noProof/>
                <w:webHidden/>
              </w:rPr>
            </w:r>
            <w:r>
              <w:rPr>
                <w:noProof/>
                <w:webHidden/>
              </w:rPr>
              <w:fldChar w:fldCharType="separate"/>
            </w:r>
            <w:r>
              <w:rPr>
                <w:noProof/>
                <w:webHidden/>
              </w:rPr>
              <w:t>9</w:t>
            </w:r>
            <w:r>
              <w:rPr>
                <w:noProof/>
                <w:webHidden/>
              </w:rPr>
              <w:fldChar w:fldCharType="end"/>
            </w:r>
          </w:hyperlink>
        </w:p>
        <w:p w14:paraId="5C3BD25E" w14:textId="2A0559F1" w:rsidR="00FE27AD" w:rsidRDefault="00FE27AD">
          <w:pPr>
            <w:pStyle w:val="TOC1"/>
            <w:tabs>
              <w:tab w:val="right" w:leader="dot" w:pos="9016"/>
            </w:tabs>
            <w:rPr>
              <w:rFonts w:cstheme="minorBidi"/>
              <w:noProof/>
              <w:lang w:val="en-GB" w:eastAsia="zh-CN"/>
            </w:rPr>
          </w:pPr>
          <w:hyperlink w:anchor="_Toc131344759" w:history="1">
            <w:r w:rsidRPr="00927473">
              <w:rPr>
                <w:rStyle w:val="Hyperlink"/>
                <w:noProof/>
              </w:rPr>
              <w:t>Conclusion</w:t>
            </w:r>
            <w:r>
              <w:rPr>
                <w:noProof/>
                <w:webHidden/>
              </w:rPr>
              <w:tab/>
            </w:r>
            <w:r>
              <w:rPr>
                <w:noProof/>
                <w:webHidden/>
              </w:rPr>
              <w:fldChar w:fldCharType="begin"/>
            </w:r>
            <w:r>
              <w:rPr>
                <w:noProof/>
                <w:webHidden/>
              </w:rPr>
              <w:instrText xml:space="preserve"> PAGEREF _Toc131344759 \h </w:instrText>
            </w:r>
            <w:r>
              <w:rPr>
                <w:noProof/>
                <w:webHidden/>
              </w:rPr>
            </w:r>
            <w:r>
              <w:rPr>
                <w:noProof/>
                <w:webHidden/>
              </w:rPr>
              <w:fldChar w:fldCharType="separate"/>
            </w:r>
            <w:r>
              <w:rPr>
                <w:noProof/>
                <w:webHidden/>
              </w:rPr>
              <w:t>11</w:t>
            </w:r>
            <w:r>
              <w:rPr>
                <w:noProof/>
                <w:webHidden/>
              </w:rPr>
              <w:fldChar w:fldCharType="end"/>
            </w:r>
          </w:hyperlink>
        </w:p>
        <w:p w14:paraId="7E02599B" w14:textId="71C07761" w:rsidR="00FE27AD" w:rsidRDefault="00FE27AD">
          <w:pPr>
            <w:pStyle w:val="TOC1"/>
            <w:tabs>
              <w:tab w:val="right" w:leader="dot" w:pos="9016"/>
            </w:tabs>
            <w:rPr>
              <w:rFonts w:cstheme="minorBidi"/>
              <w:noProof/>
              <w:lang w:val="en-GB" w:eastAsia="zh-CN"/>
            </w:rPr>
          </w:pPr>
          <w:hyperlink w:anchor="_Toc131344760" w:history="1">
            <w:r w:rsidRPr="00927473">
              <w:rPr>
                <w:rStyle w:val="Hyperlink"/>
                <w:noProof/>
              </w:rPr>
              <w:t>References</w:t>
            </w:r>
            <w:r>
              <w:rPr>
                <w:noProof/>
                <w:webHidden/>
              </w:rPr>
              <w:tab/>
            </w:r>
            <w:r>
              <w:rPr>
                <w:noProof/>
                <w:webHidden/>
              </w:rPr>
              <w:fldChar w:fldCharType="begin"/>
            </w:r>
            <w:r>
              <w:rPr>
                <w:noProof/>
                <w:webHidden/>
              </w:rPr>
              <w:instrText xml:space="preserve"> PAGEREF _Toc131344760 \h </w:instrText>
            </w:r>
            <w:r>
              <w:rPr>
                <w:noProof/>
                <w:webHidden/>
              </w:rPr>
            </w:r>
            <w:r>
              <w:rPr>
                <w:noProof/>
                <w:webHidden/>
              </w:rPr>
              <w:fldChar w:fldCharType="separate"/>
            </w:r>
            <w:r>
              <w:rPr>
                <w:noProof/>
                <w:webHidden/>
              </w:rPr>
              <w:t>12</w:t>
            </w:r>
            <w:r>
              <w:rPr>
                <w:noProof/>
                <w:webHidden/>
              </w:rPr>
              <w:fldChar w:fldCharType="end"/>
            </w:r>
          </w:hyperlink>
        </w:p>
        <w:p w14:paraId="6E4164EF" w14:textId="3B347A02" w:rsidR="00C866E3" w:rsidRDefault="00C866E3" w:rsidP="00802BA2">
          <w:r w:rsidRPr="00802BA2">
            <w:rPr>
              <w:rFonts w:cs="Times New Roman"/>
              <w:b/>
              <w:bCs/>
              <w:noProof/>
              <w:szCs w:val="24"/>
            </w:rPr>
            <w:fldChar w:fldCharType="end"/>
          </w:r>
        </w:p>
      </w:sdtContent>
    </w:sdt>
    <w:p w14:paraId="5DCA2733" w14:textId="77777777" w:rsidR="00C866E3" w:rsidRDefault="00C866E3" w:rsidP="00C866E3"/>
    <w:p w14:paraId="2F4EAB77" w14:textId="77777777" w:rsidR="00A22FE9" w:rsidRDefault="00A22FE9">
      <w:pPr>
        <w:spacing w:line="259" w:lineRule="auto"/>
        <w:jc w:val="left"/>
        <w:rPr>
          <w:rFonts w:eastAsiaTheme="majorEastAsia" w:cstheme="majorBidi"/>
          <w:b/>
          <w:sz w:val="28"/>
          <w:szCs w:val="32"/>
        </w:rPr>
      </w:pPr>
      <w:r>
        <w:br w:type="page"/>
      </w:r>
    </w:p>
    <w:p w14:paraId="7814C932" w14:textId="77777777" w:rsidR="003505C3" w:rsidRDefault="003505C3" w:rsidP="003505C3">
      <w:pPr>
        <w:pStyle w:val="Heading1"/>
      </w:pPr>
      <w:bookmarkStart w:id="0" w:name="_Toc129786964"/>
      <w:bookmarkStart w:id="1" w:name="_Toc131344754"/>
      <w:r>
        <w:lastRenderedPageBreak/>
        <w:t>Introduction</w:t>
      </w:r>
      <w:bookmarkEnd w:id="0"/>
      <w:bookmarkEnd w:id="1"/>
    </w:p>
    <w:p w14:paraId="5077829E" w14:textId="77777777" w:rsidR="00C23754" w:rsidRPr="00256782" w:rsidRDefault="00C23754" w:rsidP="00256782">
      <w:pPr>
        <w:spacing w:line="360" w:lineRule="auto"/>
        <w:rPr>
          <w:rFonts w:ascii="Arial" w:hAnsi="Arial" w:cs="Arial"/>
          <w:shd w:val="clear" w:color="auto" w:fill="F7F7F8"/>
        </w:rPr>
      </w:pPr>
      <w:r w:rsidRPr="00256782">
        <w:rPr>
          <w:rFonts w:ascii="Arial" w:hAnsi="Arial" w:cs="Arial"/>
        </w:rPr>
        <w:t xml:space="preserve">The </w:t>
      </w:r>
      <w:r w:rsidR="00222738" w:rsidRPr="00256782">
        <w:rPr>
          <w:rFonts w:ascii="Arial" w:hAnsi="Arial" w:cs="Arial"/>
        </w:rPr>
        <w:t>report</w:t>
      </w:r>
      <w:r w:rsidRPr="00256782">
        <w:rPr>
          <w:rFonts w:ascii="Arial" w:hAnsi="Arial" w:cs="Arial"/>
        </w:rPr>
        <w:t xml:space="preserve"> will discuss regarding the role of HR in planning for smoother transitions and managing the political, economic, and cultural aspects of M&amp;A, will specifically focusing on the M&amp;A between Murphy Oil Corporation and China National Petroleum Corporation.</w:t>
      </w:r>
      <w:r w:rsidRPr="00256782">
        <w:rPr>
          <w:rFonts w:ascii="Arial" w:hAnsi="Arial" w:cs="Arial"/>
          <w:shd w:val="clear" w:color="auto" w:fill="F7F7F8"/>
        </w:rPr>
        <w:t xml:space="preserve"> </w:t>
      </w:r>
      <w:r w:rsidRPr="00256782">
        <w:rPr>
          <w:rFonts w:ascii="Arial" w:hAnsi="Arial" w:cs="Arial"/>
        </w:rPr>
        <w:t xml:space="preserve">Mergers and acquisitions (M&amp;A) are complex transactions that involve significant changes in </w:t>
      </w:r>
      <w:r w:rsidR="00A151A7" w:rsidRPr="00256782">
        <w:rPr>
          <w:rFonts w:ascii="Arial" w:hAnsi="Arial" w:cs="Arial"/>
        </w:rPr>
        <w:t>organisation</w:t>
      </w:r>
      <w:r w:rsidRPr="00256782">
        <w:rPr>
          <w:rFonts w:ascii="Arial" w:hAnsi="Arial" w:cs="Arial"/>
        </w:rPr>
        <w:t>al structures, processes, and cultures. The success of an M&amp;A largely depends on</w:t>
      </w:r>
      <w:r w:rsidRPr="00256782">
        <w:rPr>
          <w:rFonts w:ascii="Arial" w:hAnsi="Arial" w:cs="Arial"/>
          <w:shd w:val="clear" w:color="auto" w:fill="F7F7F8"/>
        </w:rPr>
        <w:t xml:space="preserve"> </w:t>
      </w:r>
      <w:r w:rsidRPr="00256782">
        <w:rPr>
          <w:rFonts w:ascii="Arial" w:hAnsi="Arial" w:cs="Arial"/>
        </w:rPr>
        <w:t>the organisation's ability to effectively manage these changes and ensure a smooth transition.</w:t>
      </w:r>
    </w:p>
    <w:p w14:paraId="13DAC031" w14:textId="77777777" w:rsidR="00B55483" w:rsidRDefault="00B55483">
      <w:pPr>
        <w:spacing w:line="259" w:lineRule="auto"/>
        <w:jc w:val="left"/>
        <w:rPr>
          <w:rFonts w:eastAsia="Times New Roman" w:cstheme="majorBidi"/>
          <w:b/>
          <w:sz w:val="28"/>
          <w:szCs w:val="32"/>
        </w:rPr>
      </w:pPr>
      <w:r>
        <w:rPr>
          <w:rFonts w:eastAsia="Times New Roman"/>
        </w:rPr>
        <w:br w:type="page"/>
      </w:r>
    </w:p>
    <w:p w14:paraId="4A0BD4A4" w14:textId="77777777" w:rsidR="00B55483" w:rsidRDefault="00B55483" w:rsidP="00B55483">
      <w:pPr>
        <w:pStyle w:val="Heading1"/>
        <w:rPr>
          <w:rFonts w:eastAsia="Times New Roman"/>
        </w:rPr>
      </w:pPr>
      <w:bookmarkStart w:id="2" w:name="_Toc129786965"/>
      <w:bookmarkStart w:id="3" w:name="_Toc131344755"/>
      <w:r w:rsidRPr="00DB440D">
        <w:rPr>
          <w:rFonts w:eastAsia="Times New Roman" w:cs="Times New Roman"/>
          <w:szCs w:val="24"/>
        </w:rPr>
        <w:lastRenderedPageBreak/>
        <w:t xml:space="preserve">Role of HR in </w:t>
      </w:r>
      <w:r w:rsidRPr="00B55483">
        <w:t>managing</w:t>
      </w:r>
      <w:r w:rsidRPr="00DB440D">
        <w:rPr>
          <w:rFonts w:eastAsia="Times New Roman" w:cs="Times New Roman"/>
          <w:szCs w:val="24"/>
        </w:rPr>
        <w:t xml:space="preserve"> </w:t>
      </w:r>
      <w:r w:rsidRPr="00DB440D">
        <w:t xml:space="preserve">political, </w:t>
      </w:r>
      <w:proofErr w:type="gramStart"/>
      <w:r w:rsidRPr="00DB440D">
        <w:t>economic</w:t>
      </w:r>
      <w:proofErr w:type="gramEnd"/>
      <w:r w:rsidRPr="00DB440D">
        <w:t xml:space="preserve"> and cultural aspects of two countries </w:t>
      </w:r>
      <w:r>
        <w:t xml:space="preserve">during </w:t>
      </w:r>
      <w:r w:rsidRPr="00E1487D">
        <w:rPr>
          <w:rFonts w:eastAsia="Times New Roman"/>
        </w:rPr>
        <w:t>M&amp;A between Murphy Oil Corporation and China National Petroleum Corporation</w:t>
      </w:r>
      <w:bookmarkEnd w:id="2"/>
      <w:bookmarkEnd w:id="3"/>
    </w:p>
    <w:p w14:paraId="42E9844D" w14:textId="77777777" w:rsidR="00B55483" w:rsidRPr="00256782" w:rsidRDefault="00B55483" w:rsidP="00256782">
      <w:pPr>
        <w:spacing w:line="360" w:lineRule="auto"/>
        <w:rPr>
          <w:rFonts w:ascii="Arial" w:hAnsi="Arial" w:cs="Arial"/>
          <w:sz w:val="22"/>
          <w:szCs w:val="20"/>
        </w:rPr>
      </w:pPr>
      <w:r w:rsidRPr="00256782">
        <w:rPr>
          <w:rFonts w:ascii="Arial" w:hAnsi="Arial" w:cs="Arial"/>
          <w:sz w:val="22"/>
          <w:szCs w:val="20"/>
        </w:rPr>
        <w:t xml:space="preserve">Mergers and acquisition (M&amp;A) </w:t>
      </w:r>
      <w:proofErr w:type="gramStart"/>
      <w:r w:rsidRPr="00256782">
        <w:rPr>
          <w:rFonts w:ascii="Arial" w:hAnsi="Arial" w:cs="Arial"/>
          <w:sz w:val="22"/>
          <w:szCs w:val="20"/>
        </w:rPr>
        <w:t>is</w:t>
      </w:r>
      <w:proofErr w:type="gramEnd"/>
      <w:r w:rsidRPr="00256782">
        <w:rPr>
          <w:rFonts w:ascii="Arial" w:hAnsi="Arial" w:cs="Arial"/>
          <w:sz w:val="22"/>
          <w:szCs w:val="20"/>
        </w:rPr>
        <w:t xml:space="preserve"> a</w:t>
      </w:r>
      <w:r w:rsidR="002D69DA" w:rsidRPr="00256782">
        <w:rPr>
          <w:rFonts w:ascii="Arial" w:hAnsi="Arial" w:cs="Arial"/>
          <w:sz w:val="22"/>
          <w:szCs w:val="20"/>
        </w:rPr>
        <w:t xml:space="preserve"> complex process</w:t>
      </w:r>
      <w:r w:rsidRPr="00256782">
        <w:rPr>
          <w:rFonts w:ascii="Arial" w:hAnsi="Arial" w:cs="Arial"/>
          <w:sz w:val="22"/>
          <w:szCs w:val="20"/>
        </w:rPr>
        <w:t xml:space="preserve"> that involve</w:t>
      </w:r>
      <w:r w:rsidR="009D007A" w:rsidRPr="00256782">
        <w:rPr>
          <w:rFonts w:ascii="Arial" w:hAnsi="Arial" w:cs="Arial"/>
          <w:sz w:val="22"/>
          <w:szCs w:val="20"/>
        </w:rPr>
        <w:t>s</w:t>
      </w:r>
      <w:r w:rsidRPr="00256782">
        <w:rPr>
          <w:rFonts w:ascii="Arial" w:hAnsi="Arial" w:cs="Arial"/>
          <w:sz w:val="22"/>
          <w:szCs w:val="20"/>
        </w:rPr>
        <w:t xml:space="preserve"> numerous factors, including political, economic, and cultural aspects. When two companies from different countries, like Murphy Oil Corporation and China National Petroleum Corporation, merge, managing these aspects becomes even more critical. The role of HR in managing the political, economic, and cultural aspects of two countries during the M&amp;A process is vital for ensuring the success of the merger.</w:t>
      </w:r>
    </w:p>
    <w:p w14:paraId="138546F5" w14:textId="77777777" w:rsidR="00B55483" w:rsidRPr="00AC1058" w:rsidRDefault="00B55483" w:rsidP="00256782">
      <w:pPr>
        <w:spacing w:line="360" w:lineRule="auto"/>
        <w:rPr>
          <w:b/>
          <w:bCs/>
        </w:rPr>
      </w:pPr>
      <w:r w:rsidRPr="00AC1058">
        <w:rPr>
          <w:b/>
          <w:bCs/>
        </w:rPr>
        <w:t>Political Aspects:</w:t>
      </w:r>
      <w:r>
        <w:rPr>
          <w:b/>
          <w:bCs/>
        </w:rPr>
        <w:t xml:space="preserve"> </w:t>
      </w:r>
      <w:r w:rsidRPr="00256782">
        <w:rPr>
          <w:rFonts w:ascii="Arial" w:hAnsi="Arial" w:cs="Arial"/>
          <w:sz w:val="22"/>
          <w:szCs w:val="20"/>
        </w:rPr>
        <w:t>One of the most critical aspects of a cross-border M&amp;A is understanding the political landscape in both countries. HR plays a crucial role in ensuring that the M&amp;A complies with all applicable laws and regulations, including those related to foreign investments. HR should also work closely with legal and compliance teams to ensure that the merger adheres to all regulations and policies.</w:t>
      </w:r>
      <w:r w:rsidRPr="00256782">
        <w:rPr>
          <w:rFonts w:ascii="Arial" w:hAnsi="Arial" w:cs="Arial"/>
          <w:b/>
          <w:bCs/>
          <w:sz w:val="22"/>
          <w:szCs w:val="20"/>
        </w:rPr>
        <w:t xml:space="preserve"> </w:t>
      </w:r>
      <w:r w:rsidRPr="00256782">
        <w:rPr>
          <w:rFonts w:ascii="Arial" w:hAnsi="Arial" w:cs="Arial"/>
          <w:sz w:val="22"/>
          <w:szCs w:val="20"/>
        </w:rPr>
        <w:t>Moreover, HR monitors any political or regulatory changes that could impact the M&amp;A process, such as changes in trade policies or tariffs. HR professionals also work to build relationships with local government officials and regulators to ensure that the M&amp;A process is smooth and hassle-free (</w:t>
      </w:r>
      <w:r w:rsidRPr="00256782">
        <w:rPr>
          <w:rFonts w:ascii="Arial" w:hAnsi="Arial" w:cs="Arial"/>
          <w:sz w:val="22"/>
          <w:szCs w:val="20"/>
          <w:shd w:val="clear" w:color="auto" w:fill="FFFFFF"/>
        </w:rPr>
        <w:t>Cooke, et. al., 2019)</w:t>
      </w:r>
      <w:r w:rsidRPr="00256782">
        <w:rPr>
          <w:rFonts w:ascii="Arial" w:hAnsi="Arial" w:cs="Arial"/>
          <w:sz w:val="22"/>
          <w:szCs w:val="20"/>
        </w:rPr>
        <w:t>.</w:t>
      </w:r>
    </w:p>
    <w:p w14:paraId="7AFFD554" w14:textId="77777777" w:rsidR="00B55483" w:rsidRPr="00256782" w:rsidRDefault="00B55483" w:rsidP="00256782">
      <w:pPr>
        <w:spacing w:line="360" w:lineRule="auto"/>
        <w:rPr>
          <w:rFonts w:ascii="Arial" w:hAnsi="Arial" w:cs="Arial"/>
          <w:b/>
          <w:bCs/>
          <w:sz w:val="22"/>
          <w:szCs w:val="20"/>
        </w:rPr>
      </w:pPr>
      <w:r w:rsidRPr="00AC1058">
        <w:rPr>
          <w:b/>
          <w:bCs/>
        </w:rPr>
        <w:t>Economic Aspects:</w:t>
      </w:r>
      <w:r>
        <w:rPr>
          <w:b/>
          <w:bCs/>
        </w:rPr>
        <w:t xml:space="preserve"> </w:t>
      </w:r>
      <w:r w:rsidRPr="00256782">
        <w:rPr>
          <w:rFonts w:ascii="Arial" w:hAnsi="Arial" w:cs="Arial"/>
          <w:sz w:val="22"/>
          <w:szCs w:val="20"/>
        </w:rPr>
        <w:t xml:space="preserve">HR analyses the economic environment in both countries, including the currency exchange rates, tax laws, and labour laws. HR also consider the impact of the M&amp;A on both companies' financial performance, including cash flow, revenue, and expenses. HR works closely with finance teams to ensure a smooth transition and to identify potential risks that could impact the financial health of the merged entity. HR also identify any potential redundancies or reorganisations that may be necessary </w:t>
      </w:r>
      <w:proofErr w:type="gramStart"/>
      <w:r w:rsidRPr="00256782">
        <w:rPr>
          <w:rFonts w:ascii="Arial" w:hAnsi="Arial" w:cs="Arial"/>
          <w:sz w:val="22"/>
          <w:szCs w:val="20"/>
        </w:rPr>
        <w:t>as a result of</w:t>
      </w:r>
      <w:proofErr w:type="gramEnd"/>
      <w:r w:rsidRPr="00256782">
        <w:rPr>
          <w:rFonts w:ascii="Arial" w:hAnsi="Arial" w:cs="Arial"/>
          <w:sz w:val="22"/>
          <w:szCs w:val="20"/>
        </w:rPr>
        <w:t xml:space="preserve"> the M&amp;A. They should work with management teams to develop a plan for workforce reduction, including a clear timeline and communication plan.</w:t>
      </w:r>
    </w:p>
    <w:p w14:paraId="43A7FDCA" w14:textId="77777777" w:rsidR="00DF6BC0" w:rsidRDefault="00B55483" w:rsidP="00256782">
      <w:pPr>
        <w:spacing w:line="360" w:lineRule="auto"/>
      </w:pPr>
      <w:r w:rsidRPr="00AC1058">
        <w:rPr>
          <w:b/>
          <w:bCs/>
        </w:rPr>
        <w:t>Cultural Aspects:</w:t>
      </w:r>
      <w:r>
        <w:rPr>
          <w:b/>
          <w:bCs/>
        </w:rPr>
        <w:t xml:space="preserve"> </w:t>
      </w:r>
      <w:r w:rsidRPr="00256782">
        <w:rPr>
          <w:rFonts w:ascii="Arial" w:hAnsi="Arial" w:cs="Arial"/>
          <w:sz w:val="22"/>
          <w:szCs w:val="20"/>
        </w:rPr>
        <w:t>Cultural differences are among the most challenging aspects of a cross-border M&amp;A. HR work closely with both companies to understand their cultures and identify potential conflicts that arise during the integration process. HR facilitates the integration of the two companies’ cultures and values to ensure a cohesive and productive workforce (</w:t>
      </w:r>
      <w:r w:rsidRPr="00256782">
        <w:rPr>
          <w:rFonts w:ascii="Arial" w:hAnsi="Arial" w:cs="Arial"/>
          <w:sz w:val="22"/>
          <w:szCs w:val="20"/>
          <w:shd w:val="clear" w:color="auto" w:fill="FFFFFF"/>
        </w:rPr>
        <w:t>Cooke, et. al., 2020)</w:t>
      </w:r>
      <w:r w:rsidRPr="00256782">
        <w:rPr>
          <w:rFonts w:ascii="Arial" w:hAnsi="Arial" w:cs="Arial"/>
          <w:sz w:val="22"/>
          <w:szCs w:val="20"/>
        </w:rPr>
        <w:t>.</w:t>
      </w:r>
      <w:r w:rsidRPr="00256782">
        <w:rPr>
          <w:rFonts w:ascii="Arial" w:hAnsi="Arial" w:cs="Arial"/>
          <w:b/>
          <w:bCs/>
          <w:sz w:val="22"/>
          <w:szCs w:val="20"/>
        </w:rPr>
        <w:t xml:space="preserve"> </w:t>
      </w:r>
      <w:r w:rsidRPr="00256782">
        <w:rPr>
          <w:rFonts w:ascii="Arial" w:hAnsi="Arial" w:cs="Arial"/>
          <w:sz w:val="22"/>
          <w:szCs w:val="20"/>
        </w:rPr>
        <w:t>HR develop cross-cultural training programs for employees to help them understand and appreciate the differences in work styles, communication, and values.</w:t>
      </w:r>
      <w:r w:rsidRPr="00256782">
        <w:rPr>
          <w:rFonts w:ascii="Arial" w:hAnsi="Arial" w:cs="Arial"/>
          <w:sz w:val="20"/>
          <w:szCs w:val="18"/>
        </w:rPr>
        <w:t xml:space="preserve"> </w:t>
      </w:r>
      <w:r w:rsidRPr="00256782">
        <w:rPr>
          <w:rFonts w:ascii="Arial" w:hAnsi="Arial" w:cs="Arial"/>
          <w:sz w:val="22"/>
          <w:szCs w:val="20"/>
        </w:rPr>
        <w:t xml:space="preserve">This training focuses on building cultural awareness, improving communication, and fostering </w:t>
      </w:r>
      <w:r w:rsidRPr="00256782">
        <w:rPr>
          <w:rFonts w:ascii="Arial" w:hAnsi="Arial" w:cs="Arial"/>
          <w:sz w:val="22"/>
          <w:szCs w:val="20"/>
        </w:rPr>
        <w:lastRenderedPageBreak/>
        <w:t>teamwork. HR also develop clear policies and procedures to manage cross-cultural issues, such as language barriers or different work schedules.</w:t>
      </w:r>
      <w:r w:rsidR="00DF6BC0" w:rsidRPr="00256782">
        <w:rPr>
          <w:rFonts w:ascii="Arial" w:hAnsi="Arial" w:cs="Arial"/>
          <w:sz w:val="22"/>
          <w:szCs w:val="20"/>
        </w:rPr>
        <w:t xml:space="preserve"> </w:t>
      </w:r>
    </w:p>
    <w:p w14:paraId="1EBFF50B" w14:textId="77777777" w:rsidR="00B55483" w:rsidRPr="00256782" w:rsidRDefault="00DF6BC0" w:rsidP="00256782">
      <w:pPr>
        <w:spacing w:line="360" w:lineRule="auto"/>
        <w:rPr>
          <w:rFonts w:ascii="Arial" w:hAnsi="Arial" w:cs="Arial"/>
          <w:b/>
          <w:bCs/>
          <w:color w:val="000000" w:themeColor="text1"/>
          <w:sz w:val="22"/>
          <w:szCs w:val="20"/>
        </w:rPr>
      </w:pPr>
      <w:r w:rsidRPr="00256782">
        <w:rPr>
          <w:rFonts w:ascii="Arial" w:hAnsi="Arial" w:cs="Arial"/>
          <w:color w:val="000000" w:themeColor="text1"/>
          <w:sz w:val="22"/>
          <w:szCs w:val="20"/>
        </w:rPr>
        <w:t xml:space="preserve">Following certain theories such as the </w:t>
      </w:r>
      <w:r w:rsidRPr="00256782">
        <w:rPr>
          <w:rFonts w:ascii="Arial" w:hAnsi="Arial" w:cs="Arial"/>
          <w:bCs/>
          <w:color w:val="000000" w:themeColor="text1"/>
          <w:sz w:val="22"/>
          <w:szCs w:val="20"/>
        </w:rPr>
        <w:t xml:space="preserve">Hall's theory of cross-cultural communication, the HRM can help to </w:t>
      </w:r>
      <w:r w:rsidR="007A5C6E" w:rsidRPr="00256782">
        <w:rPr>
          <w:rFonts w:ascii="Arial" w:hAnsi="Arial" w:cs="Arial"/>
          <w:bCs/>
          <w:color w:val="000000" w:themeColor="text1"/>
          <w:sz w:val="22"/>
          <w:szCs w:val="20"/>
        </w:rPr>
        <w:t>identify</w:t>
      </w:r>
      <w:r w:rsidRPr="00256782">
        <w:rPr>
          <w:rFonts w:ascii="Arial" w:hAnsi="Arial" w:cs="Arial"/>
          <w:bCs/>
          <w:color w:val="000000" w:themeColor="text1"/>
          <w:sz w:val="22"/>
          <w:szCs w:val="20"/>
        </w:rPr>
        <w:t xml:space="preserve"> the issues that </w:t>
      </w:r>
      <w:r w:rsidR="007A5C6E" w:rsidRPr="00256782">
        <w:rPr>
          <w:rFonts w:ascii="Arial" w:hAnsi="Arial" w:cs="Arial"/>
          <w:bCs/>
          <w:color w:val="000000" w:themeColor="text1"/>
          <w:sz w:val="22"/>
          <w:szCs w:val="20"/>
        </w:rPr>
        <w:t>occur</w:t>
      </w:r>
      <w:r w:rsidRPr="00256782">
        <w:rPr>
          <w:rFonts w:ascii="Arial" w:hAnsi="Arial" w:cs="Arial"/>
          <w:bCs/>
          <w:color w:val="000000" w:themeColor="text1"/>
          <w:sz w:val="22"/>
          <w:szCs w:val="20"/>
        </w:rPr>
        <w:t xml:space="preserve"> due to cultural </w:t>
      </w:r>
      <w:r w:rsidR="007A5C6E" w:rsidRPr="00256782">
        <w:rPr>
          <w:rFonts w:ascii="Arial" w:hAnsi="Arial" w:cs="Arial"/>
          <w:bCs/>
          <w:color w:val="000000" w:themeColor="text1"/>
          <w:sz w:val="22"/>
          <w:szCs w:val="20"/>
        </w:rPr>
        <w:t>differences</w:t>
      </w:r>
      <w:r w:rsidRPr="00256782">
        <w:rPr>
          <w:rFonts w:ascii="Arial" w:hAnsi="Arial" w:cs="Arial"/>
          <w:bCs/>
          <w:color w:val="000000" w:themeColor="text1"/>
          <w:sz w:val="22"/>
          <w:szCs w:val="20"/>
        </w:rPr>
        <w:t xml:space="preserve"> and eradicate them. </w:t>
      </w:r>
      <w:r w:rsidR="00F154EF" w:rsidRPr="00256782">
        <w:rPr>
          <w:rFonts w:ascii="Arial" w:hAnsi="Arial" w:cs="Arial"/>
          <w:color w:val="000000" w:themeColor="text1"/>
          <w:sz w:val="22"/>
          <w:szCs w:val="20"/>
        </w:rPr>
        <w:t>Hall's theory of cross-cultural communication is a framework developed by anthropologist Edward T. Hall. It emphasizes the importance of understanding cultural differences and their impact on communication</w:t>
      </w:r>
      <w:r w:rsidR="001927CB" w:rsidRPr="00256782">
        <w:rPr>
          <w:rFonts w:ascii="Arial" w:hAnsi="Arial" w:cs="Arial"/>
          <w:color w:val="000000" w:themeColor="text1"/>
          <w:sz w:val="22"/>
          <w:szCs w:val="20"/>
        </w:rPr>
        <w:t xml:space="preserve"> (</w:t>
      </w:r>
      <w:proofErr w:type="spellStart"/>
      <w:r w:rsidR="001927CB" w:rsidRPr="00256782">
        <w:rPr>
          <w:rFonts w:ascii="Arial" w:hAnsi="Arial" w:cs="Arial"/>
          <w:color w:val="000000" w:themeColor="text1"/>
          <w:sz w:val="22"/>
          <w:szCs w:val="20"/>
          <w:shd w:val="clear" w:color="auto" w:fill="FFFFFF"/>
        </w:rPr>
        <w:t>Margariti</w:t>
      </w:r>
      <w:proofErr w:type="spellEnd"/>
      <w:r w:rsidR="001927CB" w:rsidRPr="00256782">
        <w:rPr>
          <w:rFonts w:ascii="Arial" w:hAnsi="Arial" w:cs="Arial"/>
          <w:color w:val="000000" w:themeColor="text1"/>
          <w:sz w:val="22"/>
          <w:szCs w:val="20"/>
          <w:shd w:val="clear" w:color="auto" w:fill="FFFFFF"/>
        </w:rPr>
        <w:t>, et. al., 2019)</w:t>
      </w:r>
      <w:r w:rsidR="00F154EF" w:rsidRPr="00256782">
        <w:rPr>
          <w:rFonts w:ascii="Arial" w:hAnsi="Arial" w:cs="Arial"/>
          <w:color w:val="000000" w:themeColor="text1"/>
          <w:sz w:val="22"/>
          <w:szCs w:val="20"/>
        </w:rPr>
        <w:t>. Hall identified two types of cultures, high-</w:t>
      </w:r>
      <w:proofErr w:type="gramStart"/>
      <w:r w:rsidR="00F154EF" w:rsidRPr="00256782">
        <w:rPr>
          <w:rFonts w:ascii="Arial" w:hAnsi="Arial" w:cs="Arial"/>
          <w:color w:val="000000" w:themeColor="text1"/>
          <w:sz w:val="22"/>
          <w:szCs w:val="20"/>
        </w:rPr>
        <w:t>context</w:t>
      </w:r>
      <w:proofErr w:type="gramEnd"/>
      <w:r w:rsidR="00F154EF" w:rsidRPr="00256782">
        <w:rPr>
          <w:rFonts w:ascii="Arial" w:hAnsi="Arial" w:cs="Arial"/>
          <w:color w:val="000000" w:themeColor="text1"/>
          <w:sz w:val="22"/>
          <w:szCs w:val="20"/>
        </w:rPr>
        <w:t xml:space="preserve"> and low-context, which differ in how much information is conveyed through context and nonverbal cues. In high-context cultures, much of the meaning is implied and conveyed through nonverbal cues, while in low-context cultures, most of the meaning is conveyed through explicit language. Therefore, the HRM of the companies which are being merged needs to focus on establishing policies and share formal e-mails to carry on communication efficiently among executives and managers. On the other hand, leaders and supervisors will be allowed to use explicit language to discuss the task and state the targets with the employees.</w:t>
      </w:r>
    </w:p>
    <w:p w14:paraId="4528657C" w14:textId="77777777" w:rsidR="00B55483" w:rsidRPr="00256782" w:rsidRDefault="00B55483" w:rsidP="00256782">
      <w:pPr>
        <w:spacing w:line="360" w:lineRule="auto"/>
        <w:rPr>
          <w:rFonts w:ascii="Arial" w:hAnsi="Arial" w:cs="Arial"/>
          <w:sz w:val="22"/>
          <w:szCs w:val="20"/>
        </w:rPr>
      </w:pPr>
      <w:r w:rsidRPr="00AC1058">
        <w:rPr>
          <w:b/>
          <w:bCs/>
        </w:rPr>
        <w:t>Communication:</w:t>
      </w:r>
      <w:r>
        <w:rPr>
          <w:b/>
          <w:bCs/>
        </w:rPr>
        <w:t xml:space="preserve"> </w:t>
      </w:r>
      <w:r w:rsidRPr="00256782">
        <w:rPr>
          <w:rFonts w:ascii="Arial" w:hAnsi="Arial" w:cs="Arial"/>
          <w:sz w:val="22"/>
          <w:szCs w:val="20"/>
        </w:rPr>
        <w:t>Effective communication is crucial during an M&amp;A process, particularly in cross-border M&amp;As. HR should play a leading role in communicating with employees, management teams, and stakeholders throughout the M&amp;A process. HR ensure that all stakeholders are informed about the progress of the merger, including any changes in company policies or procedures. HR also be available to answer questions and address concerns that may arise during the M&amp;A process (</w:t>
      </w:r>
      <w:r w:rsidRPr="00256782">
        <w:rPr>
          <w:rFonts w:ascii="Arial" w:hAnsi="Arial" w:cs="Arial"/>
          <w:sz w:val="22"/>
          <w:szCs w:val="20"/>
          <w:shd w:val="clear" w:color="auto" w:fill="FFFFFF"/>
        </w:rPr>
        <w:t>Mayrhofer, et. al., 2019)</w:t>
      </w:r>
      <w:r w:rsidRPr="00256782">
        <w:rPr>
          <w:rFonts w:ascii="Arial" w:hAnsi="Arial" w:cs="Arial"/>
          <w:sz w:val="22"/>
          <w:szCs w:val="20"/>
        </w:rPr>
        <w:t>.</w:t>
      </w:r>
    </w:p>
    <w:p w14:paraId="1D04B8CF" w14:textId="34BA4FA7" w:rsidR="00B55483" w:rsidRPr="00FE27AD" w:rsidRDefault="00B55483" w:rsidP="00FE27AD">
      <w:pPr>
        <w:spacing w:line="360" w:lineRule="auto"/>
        <w:rPr>
          <w:rFonts w:ascii="Arial" w:hAnsi="Arial" w:cs="Arial"/>
          <w:sz w:val="22"/>
          <w:szCs w:val="20"/>
        </w:rPr>
      </w:pPr>
      <w:r w:rsidRPr="00256782">
        <w:rPr>
          <w:rFonts w:ascii="Arial" w:hAnsi="Arial" w:cs="Arial"/>
          <w:sz w:val="22"/>
          <w:szCs w:val="20"/>
        </w:rPr>
        <w:t>HR plays a vital role in managing the political, economic, and cultural aspects of two countries during the M&amp;A process. HR professionals work closely with both companies to understand their unique challenges and develop a plan to manage these aspects effectively. By effectively managing these aspects, HR can help ensure the success of the M&amp;A and the long-term sustainability of the merged entity.</w:t>
      </w:r>
    </w:p>
    <w:p w14:paraId="5FD05159" w14:textId="77777777" w:rsidR="00FE27AD" w:rsidRDefault="00FE27AD" w:rsidP="003505C3">
      <w:pPr>
        <w:pStyle w:val="Heading1"/>
        <w:rPr>
          <w:rFonts w:eastAsia="Times New Roman"/>
        </w:rPr>
      </w:pPr>
      <w:bookmarkStart w:id="4" w:name="_Toc129786966"/>
    </w:p>
    <w:p w14:paraId="593295C5" w14:textId="1A80F1FE" w:rsidR="004842F1" w:rsidRDefault="00925EFF" w:rsidP="003505C3">
      <w:pPr>
        <w:pStyle w:val="Heading1"/>
        <w:rPr>
          <w:rFonts w:eastAsia="Times New Roman"/>
        </w:rPr>
      </w:pPr>
      <w:bookmarkStart w:id="5" w:name="_Toc131344756"/>
      <w:r>
        <w:rPr>
          <w:rFonts w:eastAsia="Times New Roman"/>
        </w:rPr>
        <w:t xml:space="preserve">Role of </w:t>
      </w:r>
      <w:r w:rsidR="004842F1" w:rsidRPr="004842F1">
        <w:rPr>
          <w:rFonts w:eastAsia="Times New Roman"/>
        </w:rPr>
        <w:t>HR professional during the pre-merging stages</w:t>
      </w:r>
      <w:r w:rsidR="004842F1">
        <w:rPr>
          <w:rFonts w:eastAsia="Times New Roman"/>
        </w:rPr>
        <w:t xml:space="preserve"> of </w:t>
      </w:r>
      <w:r w:rsidR="004842F1" w:rsidRPr="004842F1">
        <w:rPr>
          <w:rFonts w:eastAsia="Times New Roman"/>
        </w:rPr>
        <w:t>M&amp;A between Murphy Oil Corporation and China National Petroleum Corporation</w:t>
      </w:r>
      <w:bookmarkEnd w:id="4"/>
      <w:bookmarkEnd w:id="5"/>
    </w:p>
    <w:p w14:paraId="04A885BB" w14:textId="77777777" w:rsidR="00BE638F" w:rsidRDefault="00BE638F" w:rsidP="00256782">
      <w:pPr>
        <w:spacing w:line="360" w:lineRule="auto"/>
      </w:pPr>
      <w:r w:rsidRPr="00256782">
        <w:rPr>
          <w:rFonts w:ascii="Arial" w:hAnsi="Arial" w:cs="Arial"/>
          <w:sz w:val="22"/>
          <w:szCs w:val="20"/>
        </w:rPr>
        <w:t xml:space="preserve">During the pre-merging stages of the M&amp;A between Murphy Oil Corporation and China National Petroleum Corporation (CNPC), the HR professional played a vital role in ensuring a successful integration of the two companies. This involved various tasks and responsibilities that helped to facilitate a smooth transition from two separate entities to one unified </w:t>
      </w:r>
      <w:r w:rsidR="00A151A7" w:rsidRPr="00256782">
        <w:rPr>
          <w:rFonts w:ascii="Arial" w:hAnsi="Arial" w:cs="Arial"/>
          <w:sz w:val="22"/>
          <w:szCs w:val="20"/>
        </w:rPr>
        <w:lastRenderedPageBreak/>
        <w:t>organisation</w:t>
      </w:r>
      <w:r w:rsidRPr="00256782">
        <w:rPr>
          <w:rFonts w:ascii="Arial" w:hAnsi="Arial" w:cs="Arial"/>
          <w:sz w:val="22"/>
          <w:szCs w:val="20"/>
        </w:rPr>
        <w:t>. One of the primary tasks that the HR professional was responsible for was conducting a comprehensive analysis of the human resources of both companies. This included assessing the skills, experience, and qualifications of employees at all levels, from entry-level positions to top-level executives</w:t>
      </w:r>
      <w:r w:rsidR="00A151A7" w:rsidRPr="00256782">
        <w:rPr>
          <w:rFonts w:ascii="Arial" w:hAnsi="Arial" w:cs="Arial"/>
          <w:sz w:val="22"/>
          <w:szCs w:val="20"/>
        </w:rPr>
        <w:t xml:space="preserve"> (</w:t>
      </w:r>
      <w:r w:rsidR="00A151A7" w:rsidRPr="00256782">
        <w:rPr>
          <w:rFonts w:ascii="Arial" w:hAnsi="Arial" w:cs="Arial"/>
          <w:sz w:val="22"/>
          <w:szCs w:val="20"/>
          <w:shd w:val="clear" w:color="auto" w:fill="FFFFFF"/>
        </w:rPr>
        <w:t>Wood, 2019)</w:t>
      </w:r>
      <w:r w:rsidRPr="00256782">
        <w:rPr>
          <w:rFonts w:ascii="Arial" w:hAnsi="Arial" w:cs="Arial"/>
          <w:sz w:val="22"/>
          <w:szCs w:val="20"/>
        </w:rPr>
        <w:t xml:space="preserve">. The HR professional also evaluated the compensation and benefits packages offered by both companies to ensure that they were comparable and aligned with industry standards. In addition to </w:t>
      </w:r>
      <w:proofErr w:type="spellStart"/>
      <w:r w:rsidRPr="00256782">
        <w:rPr>
          <w:rFonts w:ascii="Arial" w:hAnsi="Arial" w:cs="Arial"/>
          <w:sz w:val="22"/>
          <w:szCs w:val="20"/>
        </w:rPr>
        <w:t>analyzing</w:t>
      </w:r>
      <w:proofErr w:type="spellEnd"/>
      <w:r w:rsidRPr="00256782">
        <w:rPr>
          <w:rFonts w:ascii="Arial" w:hAnsi="Arial" w:cs="Arial"/>
          <w:sz w:val="22"/>
          <w:szCs w:val="20"/>
        </w:rPr>
        <w:t xml:space="preserve"> the human resources of both companies, the HR professional was also tasked with developing a plan for integrating the two workforces. This involved identifying areas where redundancies existed and developing strategies for reorganizing the workforce to eliminate these redundancies while also maintaining the necessary levels of productivity and efficiency. The HR professional also played a crucial role in communicating with employees throughout the pre-merger process. This involved creating a communication plan that kept employees informed about the progress of the merger, including any changes to company policies, procedures, and </w:t>
      </w:r>
      <w:r w:rsidR="00A151A7" w:rsidRPr="00256782">
        <w:rPr>
          <w:rFonts w:ascii="Arial" w:hAnsi="Arial" w:cs="Arial"/>
          <w:sz w:val="22"/>
          <w:szCs w:val="20"/>
        </w:rPr>
        <w:t>organisation</w:t>
      </w:r>
      <w:r w:rsidRPr="00256782">
        <w:rPr>
          <w:rFonts w:ascii="Arial" w:hAnsi="Arial" w:cs="Arial"/>
          <w:sz w:val="22"/>
          <w:szCs w:val="20"/>
        </w:rPr>
        <w:t>al structure. The HR professional also provided support to employees who had questions or concerns about the merger and helped to address any issues that arose during the integration process</w:t>
      </w:r>
      <w:r w:rsidR="00A151A7" w:rsidRPr="00256782">
        <w:rPr>
          <w:rFonts w:ascii="Arial" w:hAnsi="Arial" w:cs="Arial"/>
          <w:sz w:val="22"/>
          <w:szCs w:val="20"/>
        </w:rPr>
        <w:t xml:space="preserve"> (</w:t>
      </w:r>
      <w:r w:rsidR="00A151A7" w:rsidRPr="00256782">
        <w:rPr>
          <w:rFonts w:ascii="Arial" w:hAnsi="Arial" w:cs="Arial"/>
          <w:sz w:val="22"/>
          <w:szCs w:val="20"/>
          <w:shd w:val="clear" w:color="auto" w:fill="FFFFFF"/>
        </w:rPr>
        <w:t>Stone and Deadrick, 2020)</w:t>
      </w:r>
      <w:r w:rsidRPr="00256782">
        <w:rPr>
          <w:rFonts w:ascii="Arial" w:hAnsi="Arial" w:cs="Arial"/>
          <w:sz w:val="22"/>
          <w:szCs w:val="20"/>
        </w:rPr>
        <w:t xml:space="preserve">. Another key responsibility of the HR professional during the pre-merger process was to ensure compliance with all relevant employment laws and regulations. This involved reviewing and updating employment contracts, policies, and procedures to ensure that they </w:t>
      </w:r>
      <w:proofErr w:type="gramStart"/>
      <w:r w:rsidRPr="00256782">
        <w:rPr>
          <w:rFonts w:ascii="Arial" w:hAnsi="Arial" w:cs="Arial"/>
          <w:sz w:val="22"/>
          <w:szCs w:val="20"/>
        </w:rPr>
        <w:t>were in compliance with</w:t>
      </w:r>
      <w:proofErr w:type="gramEnd"/>
      <w:r w:rsidRPr="00256782">
        <w:rPr>
          <w:rFonts w:ascii="Arial" w:hAnsi="Arial" w:cs="Arial"/>
          <w:sz w:val="22"/>
          <w:szCs w:val="20"/>
        </w:rPr>
        <w:t xml:space="preserve"> local and national laws in both the</w:t>
      </w:r>
      <w:r w:rsidRPr="00256782">
        <w:rPr>
          <w:sz w:val="22"/>
          <w:szCs w:val="20"/>
        </w:rPr>
        <w:t xml:space="preserve"> </w:t>
      </w:r>
      <w:r w:rsidRPr="00256782">
        <w:rPr>
          <w:rFonts w:ascii="Arial" w:hAnsi="Arial" w:cs="Arial"/>
          <w:sz w:val="22"/>
          <w:szCs w:val="20"/>
        </w:rPr>
        <w:t>United States and China. Finally, the HR professional played a critical role in developing a culture of collaboration and cooperation between the two companies. This involved organizing team-building exercises, training sessions, and other activities designed to help employees from both companies work together effectively and build strong relationships. Overall, the HR professional played a vital role in the pre-merger stages of the M&amp;A between</w:t>
      </w:r>
      <w:r w:rsidRPr="00256782">
        <w:rPr>
          <w:rFonts w:ascii="Arial" w:hAnsi="Arial" w:cs="Arial"/>
          <w:sz w:val="22"/>
          <w:szCs w:val="20"/>
          <w:shd w:val="clear" w:color="auto" w:fill="F7F7F8"/>
        </w:rPr>
        <w:t xml:space="preserve"> </w:t>
      </w:r>
      <w:r w:rsidRPr="00256782">
        <w:rPr>
          <w:rFonts w:ascii="Arial" w:hAnsi="Arial" w:cs="Arial"/>
          <w:sz w:val="22"/>
          <w:szCs w:val="20"/>
        </w:rPr>
        <w:t>Murphy Oil Corporation and CNPC. Through their efforts, they helped to ensure a successful</w:t>
      </w:r>
      <w:r w:rsidRPr="00256782">
        <w:rPr>
          <w:rFonts w:ascii="Arial" w:hAnsi="Arial" w:cs="Arial"/>
          <w:sz w:val="22"/>
          <w:szCs w:val="20"/>
          <w:shd w:val="clear" w:color="auto" w:fill="F7F7F8"/>
        </w:rPr>
        <w:t xml:space="preserve"> </w:t>
      </w:r>
      <w:r w:rsidRPr="00256782">
        <w:rPr>
          <w:rFonts w:ascii="Arial" w:hAnsi="Arial" w:cs="Arial"/>
          <w:sz w:val="22"/>
          <w:szCs w:val="20"/>
        </w:rPr>
        <w:t>integration of the two companies and set the stage for continued success in the future</w:t>
      </w:r>
      <w:r w:rsidR="00A151A7" w:rsidRPr="00256782">
        <w:rPr>
          <w:rFonts w:ascii="Arial" w:hAnsi="Arial" w:cs="Arial"/>
          <w:sz w:val="22"/>
          <w:szCs w:val="20"/>
        </w:rPr>
        <w:t xml:space="preserve"> </w:t>
      </w:r>
      <w:r w:rsidR="00093E4D" w:rsidRPr="00256782">
        <w:rPr>
          <w:rFonts w:ascii="Arial" w:hAnsi="Arial" w:cs="Arial"/>
          <w:sz w:val="22"/>
          <w:szCs w:val="20"/>
        </w:rPr>
        <w:t>(</w:t>
      </w:r>
      <w:r w:rsidR="00093E4D" w:rsidRPr="00256782">
        <w:rPr>
          <w:rFonts w:ascii="Arial" w:hAnsi="Arial" w:cs="Arial"/>
          <w:sz w:val="22"/>
          <w:szCs w:val="20"/>
          <w:shd w:val="clear" w:color="auto" w:fill="FFFFFF"/>
        </w:rPr>
        <w:t>Harvey et. al., 2019</w:t>
      </w:r>
      <w:r w:rsidR="00E841D4" w:rsidRPr="00256782">
        <w:rPr>
          <w:rFonts w:ascii="Arial" w:hAnsi="Arial" w:cs="Arial"/>
          <w:sz w:val="22"/>
          <w:szCs w:val="20"/>
          <w:shd w:val="clear" w:color="auto" w:fill="FFFFFF"/>
        </w:rPr>
        <w:t>)</w:t>
      </w:r>
      <w:r w:rsidRPr="00256782">
        <w:rPr>
          <w:rFonts w:ascii="Arial" w:hAnsi="Arial" w:cs="Arial"/>
          <w:sz w:val="22"/>
          <w:szCs w:val="20"/>
        </w:rPr>
        <w:t>.</w:t>
      </w:r>
    </w:p>
    <w:p w14:paraId="500D84C4" w14:textId="77777777" w:rsidR="00922CC0" w:rsidRDefault="00925EFF" w:rsidP="003505C3">
      <w:pPr>
        <w:pStyle w:val="Heading1"/>
        <w:rPr>
          <w:rFonts w:eastAsia="Times New Roman" w:cs="Times New Roman"/>
          <w:szCs w:val="24"/>
        </w:rPr>
      </w:pPr>
      <w:bookmarkStart w:id="6" w:name="_Toc129786967"/>
      <w:bookmarkStart w:id="7" w:name="_Toc131344757"/>
      <w:r>
        <w:t>Role of</w:t>
      </w:r>
      <w:r w:rsidR="004842F1">
        <w:t xml:space="preserve"> </w:t>
      </w:r>
      <w:r w:rsidR="004842F1" w:rsidRPr="004842F1">
        <w:rPr>
          <w:rFonts w:eastAsia="Times New Roman"/>
        </w:rPr>
        <w:t>IHRM after the merger and acquisition</w:t>
      </w:r>
      <w:r w:rsidR="004842F1" w:rsidRPr="004842F1">
        <w:t xml:space="preserve"> </w:t>
      </w:r>
      <w:r>
        <w:t xml:space="preserve">has been conducted </w:t>
      </w:r>
      <w:r w:rsidR="004842F1" w:rsidRPr="004842F1">
        <w:rPr>
          <w:rFonts w:eastAsia="Times New Roman" w:cs="Times New Roman"/>
          <w:szCs w:val="24"/>
        </w:rPr>
        <w:t>between Murphy Oil Corporation and China National Petroleum Corporation</w:t>
      </w:r>
      <w:bookmarkEnd w:id="6"/>
      <w:bookmarkEnd w:id="7"/>
    </w:p>
    <w:p w14:paraId="112AB6CE" w14:textId="22897E91" w:rsidR="00BE638F" w:rsidRPr="00256782" w:rsidRDefault="00BE638F" w:rsidP="00256782">
      <w:pPr>
        <w:spacing w:line="360" w:lineRule="auto"/>
        <w:rPr>
          <w:rFonts w:ascii="Arial" w:hAnsi="Arial" w:cs="Arial"/>
          <w:sz w:val="22"/>
          <w:szCs w:val="20"/>
          <w:lang w:val="en-US"/>
        </w:rPr>
      </w:pPr>
      <w:r w:rsidRPr="00256782">
        <w:rPr>
          <w:rFonts w:ascii="Arial" w:hAnsi="Arial" w:cs="Arial"/>
          <w:sz w:val="22"/>
          <w:szCs w:val="20"/>
          <w:lang w:val="en-US"/>
        </w:rPr>
        <w:t xml:space="preserve">After the successful implementation of the merger and acquisition between Murphy Oil Corporation and China National Petroleum Corporation (CNPC), the role of International Human Resource Management (IHRM) continued to play an essential role in the integration process. One of the critical areas in which IHRM played a role was in the harmonization of HR policies and practices. The two companies had different cultures, practices, and policies, and it was necessary to align them to avoid any conflicts that could arise after the merger. IHRM </w:t>
      </w:r>
      <w:r w:rsidRPr="00256782">
        <w:rPr>
          <w:rFonts w:ascii="Arial" w:hAnsi="Arial" w:cs="Arial"/>
          <w:sz w:val="22"/>
          <w:szCs w:val="20"/>
          <w:lang w:val="en-US"/>
        </w:rPr>
        <w:lastRenderedPageBreak/>
        <w:t xml:space="preserve">facilitated this process by identifying the policies and practices that were essential for both companies and aligning them to form a common HR framework. IHRM was also responsible for ensuring that the employees from both companies were integrated seamlessly into the new </w:t>
      </w:r>
      <w:r w:rsidR="00093E4D" w:rsidRPr="00256782">
        <w:rPr>
          <w:rFonts w:ascii="Arial" w:hAnsi="Arial" w:cs="Arial"/>
          <w:sz w:val="22"/>
          <w:szCs w:val="20"/>
          <w:lang w:val="en-US"/>
        </w:rPr>
        <w:t>organization (</w:t>
      </w:r>
      <w:proofErr w:type="spellStart"/>
      <w:r w:rsidR="00093E4D" w:rsidRPr="00256782">
        <w:rPr>
          <w:rFonts w:ascii="Arial" w:hAnsi="Arial" w:cs="Arial"/>
          <w:sz w:val="22"/>
          <w:szCs w:val="20"/>
          <w:shd w:val="clear" w:color="auto" w:fill="FFFFFF"/>
        </w:rPr>
        <w:t>Yawalkar</w:t>
      </w:r>
      <w:proofErr w:type="spellEnd"/>
      <w:r w:rsidR="00093E4D" w:rsidRPr="00256782">
        <w:rPr>
          <w:rFonts w:ascii="Arial" w:hAnsi="Arial" w:cs="Arial"/>
          <w:sz w:val="22"/>
          <w:szCs w:val="20"/>
          <w:shd w:val="clear" w:color="auto" w:fill="FFFFFF"/>
        </w:rPr>
        <w:t>, 2019)</w:t>
      </w:r>
      <w:r w:rsidRPr="00256782">
        <w:rPr>
          <w:rFonts w:ascii="Arial" w:hAnsi="Arial" w:cs="Arial"/>
          <w:sz w:val="22"/>
          <w:szCs w:val="20"/>
          <w:lang w:val="en-US"/>
        </w:rPr>
        <w:t xml:space="preserve">. The employees needed to be made aware of the new company's culture, values, and mission to help them adapt to the new work environment. IHRM was responsible for designing and implementing training programs that focused on cross-cultural training and team building exercises. The goal was to create a sense of unity and a common identity among the employees, which would enhance their performance and productivity. Another critical area in which IHRM played a role was in talent management. After the merger, the new </w:t>
      </w:r>
      <w:proofErr w:type="spellStart"/>
      <w:r w:rsidR="00A151A7" w:rsidRPr="00256782">
        <w:rPr>
          <w:rFonts w:ascii="Arial" w:hAnsi="Arial" w:cs="Arial"/>
          <w:sz w:val="22"/>
          <w:szCs w:val="20"/>
          <w:lang w:val="en-US"/>
        </w:rPr>
        <w:t>organisation</w:t>
      </w:r>
      <w:proofErr w:type="spellEnd"/>
      <w:r w:rsidRPr="00256782">
        <w:rPr>
          <w:rFonts w:ascii="Arial" w:hAnsi="Arial" w:cs="Arial"/>
          <w:sz w:val="22"/>
          <w:szCs w:val="20"/>
          <w:lang w:val="en-US"/>
        </w:rPr>
        <w:t xml:space="preserve"> had a diverse workforce with a range of skills, experiences, and expertise. IHRM was responsible for identifying and managing the talent pool to ensure that the right people were in the right positions. This involved evaluating the employees' skills and experiences, identifying their career aspirations, and aligning them with the company's objectives</w:t>
      </w:r>
      <w:r w:rsidR="00093E4D" w:rsidRPr="00256782">
        <w:rPr>
          <w:rFonts w:ascii="Arial" w:hAnsi="Arial" w:cs="Arial"/>
          <w:sz w:val="22"/>
          <w:szCs w:val="20"/>
          <w:lang w:val="en-US"/>
        </w:rPr>
        <w:t xml:space="preserve"> (</w:t>
      </w:r>
      <w:r w:rsidR="00093E4D" w:rsidRPr="00256782">
        <w:rPr>
          <w:rFonts w:ascii="Arial" w:hAnsi="Arial" w:cs="Arial"/>
          <w:sz w:val="22"/>
          <w:szCs w:val="20"/>
          <w:shd w:val="clear" w:color="auto" w:fill="FFFFFF"/>
        </w:rPr>
        <w:t>Guest and Woodrow, 2021</w:t>
      </w:r>
      <w:proofErr w:type="gramStart"/>
      <w:r w:rsidR="00093E4D" w:rsidRPr="00256782">
        <w:rPr>
          <w:rFonts w:ascii="Arial" w:hAnsi="Arial" w:cs="Arial"/>
          <w:sz w:val="22"/>
          <w:szCs w:val="20"/>
          <w:shd w:val="clear" w:color="auto" w:fill="FFFFFF"/>
        </w:rPr>
        <w:t>)</w:t>
      </w:r>
      <w:r w:rsidRPr="00256782">
        <w:rPr>
          <w:rFonts w:ascii="Arial" w:hAnsi="Arial" w:cs="Arial"/>
          <w:sz w:val="22"/>
          <w:szCs w:val="20"/>
          <w:lang w:val="en-US"/>
        </w:rPr>
        <w:t>.IHRM</w:t>
      </w:r>
      <w:proofErr w:type="gramEnd"/>
      <w:r w:rsidRPr="00256782">
        <w:rPr>
          <w:rFonts w:ascii="Arial" w:hAnsi="Arial" w:cs="Arial"/>
          <w:sz w:val="22"/>
          <w:szCs w:val="20"/>
          <w:lang w:val="en-US"/>
        </w:rPr>
        <w:t xml:space="preserve"> also played a vital role in managing the expatriate workforce. The merger resulted in an increase in the number of expatriates, and IHRM was responsible for ensuring that they were adequately supported and integrated into the new </w:t>
      </w:r>
      <w:proofErr w:type="spellStart"/>
      <w:r w:rsidR="00A151A7" w:rsidRPr="00256782">
        <w:rPr>
          <w:rFonts w:ascii="Arial" w:hAnsi="Arial" w:cs="Arial"/>
          <w:sz w:val="22"/>
          <w:szCs w:val="20"/>
          <w:lang w:val="en-US"/>
        </w:rPr>
        <w:t>organisation</w:t>
      </w:r>
      <w:proofErr w:type="spellEnd"/>
      <w:r w:rsidRPr="00256782">
        <w:rPr>
          <w:rFonts w:ascii="Arial" w:hAnsi="Arial" w:cs="Arial"/>
          <w:sz w:val="22"/>
          <w:szCs w:val="20"/>
          <w:lang w:val="en-US"/>
        </w:rPr>
        <w:t>. This involved providing them</w:t>
      </w:r>
      <w:r w:rsidRPr="00256782">
        <w:rPr>
          <w:sz w:val="22"/>
          <w:szCs w:val="20"/>
          <w:lang w:val="en-US"/>
        </w:rPr>
        <w:t xml:space="preserve"> </w:t>
      </w:r>
      <w:r w:rsidRPr="00256782">
        <w:rPr>
          <w:rFonts w:ascii="Arial" w:hAnsi="Arial" w:cs="Arial"/>
          <w:sz w:val="22"/>
          <w:szCs w:val="20"/>
          <w:lang w:val="en-US"/>
        </w:rPr>
        <w:t>with the necessary resources, such as housing, healthcare, and educational facilities, to ensure that they could work and live comfortably in the new environment. IHRM was also responsible for managing their contracts, ensuring that they were aligned with the company's objectives, and that they complied with the local laws and regulations</w:t>
      </w:r>
      <w:r w:rsidR="00093E4D" w:rsidRPr="00256782">
        <w:rPr>
          <w:rFonts w:ascii="Arial" w:hAnsi="Arial" w:cs="Arial"/>
          <w:sz w:val="22"/>
          <w:szCs w:val="20"/>
          <w:lang w:val="en-US"/>
        </w:rPr>
        <w:t xml:space="preserve"> (</w:t>
      </w:r>
      <w:r w:rsidR="00093E4D" w:rsidRPr="00256782">
        <w:rPr>
          <w:rFonts w:ascii="Arial" w:hAnsi="Arial" w:cs="Arial"/>
          <w:sz w:val="22"/>
          <w:szCs w:val="20"/>
          <w:shd w:val="clear" w:color="auto" w:fill="FFFFFF"/>
        </w:rPr>
        <w:t>Bowen et. al., 2022)</w:t>
      </w:r>
      <w:r w:rsidRPr="00256782">
        <w:rPr>
          <w:rFonts w:ascii="Arial" w:hAnsi="Arial" w:cs="Arial"/>
          <w:sz w:val="22"/>
          <w:szCs w:val="20"/>
          <w:lang w:val="en-US"/>
        </w:rPr>
        <w:t>.</w:t>
      </w:r>
    </w:p>
    <w:p w14:paraId="2EB3C3A5" w14:textId="77777777" w:rsidR="00BE638F" w:rsidRPr="00BE638F" w:rsidRDefault="00BE638F" w:rsidP="00FE27AD">
      <w:pPr>
        <w:spacing w:line="360" w:lineRule="auto"/>
        <w:rPr>
          <w:lang w:val="en-US"/>
        </w:rPr>
      </w:pPr>
      <w:r w:rsidRPr="00256782">
        <w:rPr>
          <w:rFonts w:ascii="Arial" w:hAnsi="Arial" w:cs="Arial"/>
          <w:sz w:val="22"/>
          <w:szCs w:val="20"/>
          <w:lang w:val="en-US"/>
        </w:rPr>
        <w:t>Finally, IHRM played a crucial role in managing the employee relations after the merger. The merger had resulted in a change in the reporting structure and job roles, which could have created conflicts and tensions among the employees. IHRM was responsible for addressing any issues that arose and ensuring that the employees were motivated and engaged. This involved</w:t>
      </w:r>
      <w:r w:rsidRPr="00256782">
        <w:rPr>
          <w:sz w:val="22"/>
          <w:szCs w:val="20"/>
          <w:lang w:val="en-US"/>
        </w:rPr>
        <w:t xml:space="preserve"> </w:t>
      </w:r>
      <w:r w:rsidRPr="00BE638F">
        <w:rPr>
          <w:lang w:val="en-US"/>
        </w:rPr>
        <w:t xml:space="preserve">designing and implementing employee engagement programs that focused on building </w:t>
      </w:r>
      <w:r w:rsidRPr="00FE27AD">
        <w:rPr>
          <w:rFonts w:ascii="Arial" w:hAnsi="Arial" w:cs="Arial"/>
          <w:sz w:val="22"/>
          <w:szCs w:val="20"/>
          <w:lang w:val="en-US"/>
        </w:rPr>
        <w:t>a positive work environment, promoting open communication, and recognizing and rewarding employee contributions.</w:t>
      </w:r>
    </w:p>
    <w:p w14:paraId="41655D5E" w14:textId="77777777" w:rsidR="001D0D8F" w:rsidRDefault="001D0D8F">
      <w:pPr>
        <w:spacing w:line="259" w:lineRule="auto"/>
        <w:jc w:val="left"/>
        <w:rPr>
          <w:rFonts w:eastAsia="Times New Roman"/>
        </w:rPr>
      </w:pPr>
      <w:r>
        <w:rPr>
          <w:rFonts w:eastAsia="Times New Roman"/>
        </w:rPr>
        <w:br w:type="page"/>
      </w:r>
    </w:p>
    <w:p w14:paraId="555C8FF1" w14:textId="77777777" w:rsidR="00FE27AD" w:rsidRDefault="00FE27AD">
      <w:pPr>
        <w:spacing w:line="259" w:lineRule="auto"/>
        <w:jc w:val="left"/>
        <w:rPr>
          <w:rFonts w:eastAsia="Times New Roman" w:cstheme="majorBidi"/>
          <w:b/>
          <w:sz w:val="28"/>
          <w:szCs w:val="32"/>
        </w:rPr>
      </w:pPr>
    </w:p>
    <w:p w14:paraId="68BBC37A" w14:textId="07AAC2B1" w:rsidR="00E1487D" w:rsidRDefault="004842F1" w:rsidP="003505C3">
      <w:pPr>
        <w:pStyle w:val="Heading1"/>
        <w:rPr>
          <w:rFonts w:eastAsia="Times New Roman"/>
        </w:rPr>
      </w:pPr>
      <w:bookmarkStart w:id="8" w:name="_Toc129786968"/>
      <w:bookmarkStart w:id="9" w:name="_Toc131344758"/>
      <w:r w:rsidRPr="00E1487D">
        <w:rPr>
          <w:rFonts w:eastAsia="Times New Roman"/>
        </w:rPr>
        <w:t xml:space="preserve">Role of HR in planning for smoother transitions </w:t>
      </w:r>
      <w:r w:rsidR="00E1487D">
        <w:t xml:space="preserve">during </w:t>
      </w:r>
      <w:r w:rsidR="00E1487D" w:rsidRPr="00E1487D">
        <w:rPr>
          <w:rFonts w:eastAsia="Times New Roman"/>
        </w:rPr>
        <w:t>M&amp;A between Murphy Oil Corporation and China National Petroleum Corporation</w:t>
      </w:r>
      <w:bookmarkEnd w:id="8"/>
      <w:bookmarkEnd w:id="9"/>
    </w:p>
    <w:p w14:paraId="0647017B" w14:textId="77777777" w:rsidR="005D0042" w:rsidRPr="00FE27AD" w:rsidRDefault="005D0042" w:rsidP="00FE27AD">
      <w:pPr>
        <w:spacing w:line="360" w:lineRule="auto"/>
        <w:rPr>
          <w:rFonts w:ascii="Arial" w:hAnsi="Arial" w:cs="Arial"/>
          <w:color w:val="000000" w:themeColor="text1"/>
          <w:sz w:val="22"/>
          <w:szCs w:val="20"/>
          <w:lang w:eastAsia="en-IN"/>
        </w:rPr>
      </w:pPr>
      <w:r w:rsidRPr="00FE27AD">
        <w:rPr>
          <w:rFonts w:ascii="Arial" w:hAnsi="Arial" w:cs="Arial"/>
          <w:color w:val="000000" w:themeColor="text1"/>
          <w:sz w:val="22"/>
          <w:szCs w:val="20"/>
          <w:lang w:eastAsia="en-IN"/>
        </w:rPr>
        <w:t xml:space="preserve">Mergers and acquisitions (M&amp;A) are complex transactions that involve significant changes in </w:t>
      </w:r>
      <w:r w:rsidR="00A151A7" w:rsidRPr="00FE27AD">
        <w:rPr>
          <w:rFonts w:ascii="Arial" w:hAnsi="Arial" w:cs="Arial"/>
          <w:color w:val="000000" w:themeColor="text1"/>
          <w:sz w:val="22"/>
          <w:szCs w:val="20"/>
          <w:lang w:eastAsia="en-IN"/>
        </w:rPr>
        <w:t>organisation</w:t>
      </w:r>
      <w:r w:rsidRPr="00FE27AD">
        <w:rPr>
          <w:rFonts w:ascii="Arial" w:hAnsi="Arial" w:cs="Arial"/>
          <w:color w:val="000000" w:themeColor="text1"/>
          <w:sz w:val="22"/>
          <w:szCs w:val="20"/>
          <w:lang w:eastAsia="en-IN"/>
        </w:rPr>
        <w:t xml:space="preserve">al structures, processes, and cultures. The success of an M&amp;A largely depends on the </w:t>
      </w:r>
      <w:r w:rsidR="00AC1058" w:rsidRPr="00FE27AD">
        <w:rPr>
          <w:rFonts w:ascii="Arial" w:hAnsi="Arial" w:cs="Arial"/>
          <w:color w:val="000000" w:themeColor="text1"/>
          <w:sz w:val="22"/>
          <w:szCs w:val="20"/>
          <w:lang w:eastAsia="en-IN"/>
        </w:rPr>
        <w:t>organisation’s ability</w:t>
      </w:r>
      <w:r w:rsidRPr="00FE27AD">
        <w:rPr>
          <w:rFonts w:ascii="Arial" w:hAnsi="Arial" w:cs="Arial"/>
          <w:color w:val="000000" w:themeColor="text1"/>
          <w:sz w:val="22"/>
          <w:szCs w:val="20"/>
          <w:lang w:eastAsia="en-IN"/>
        </w:rPr>
        <w:t xml:space="preserve"> to effectively manage these changes and ensure a smooth transition. The role of human resources (HR) is critical in planning for smoother transitions during M&amp;A. </w:t>
      </w:r>
    </w:p>
    <w:p w14:paraId="6D107D35" w14:textId="77777777" w:rsidR="00EF5C3C" w:rsidRPr="00FE27AD" w:rsidRDefault="00EF5C3C" w:rsidP="00FE27AD">
      <w:pPr>
        <w:spacing w:line="360" w:lineRule="auto"/>
        <w:rPr>
          <w:rFonts w:ascii="Arial" w:hAnsi="Arial" w:cs="Arial"/>
          <w:bCs/>
          <w:color w:val="000000" w:themeColor="text1"/>
          <w:sz w:val="22"/>
          <w:szCs w:val="20"/>
        </w:rPr>
      </w:pPr>
      <w:r w:rsidRPr="00FE27AD">
        <w:rPr>
          <w:rFonts w:ascii="Arial" w:hAnsi="Arial" w:cs="Arial"/>
          <w:b/>
          <w:color w:val="000000" w:themeColor="text1"/>
          <w:sz w:val="22"/>
          <w:szCs w:val="20"/>
          <w:lang w:eastAsia="en-IN"/>
        </w:rPr>
        <w:t xml:space="preserve">Recruitment of employees- </w:t>
      </w:r>
      <w:r w:rsidRPr="00FE27AD">
        <w:rPr>
          <w:rFonts w:ascii="Arial" w:hAnsi="Arial" w:cs="Arial"/>
          <w:bCs/>
          <w:color w:val="000000" w:themeColor="text1"/>
          <w:sz w:val="22"/>
          <w:szCs w:val="20"/>
        </w:rPr>
        <w:t>The HRM of th</w:t>
      </w:r>
      <w:r w:rsidR="000A1025" w:rsidRPr="00FE27AD">
        <w:rPr>
          <w:rFonts w:ascii="Arial" w:hAnsi="Arial" w:cs="Arial"/>
          <w:bCs/>
          <w:color w:val="000000" w:themeColor="text1"/>
          <w:sz w:val="22"/>
          <w:szCs w:val="20"/>
        </w:rPr>
        <w:t>e</w:t>
      </w:r>
      <w:r w:rsidRPr="00FE27AD">
        <w:rPr>
          <w:rFonts w:ascii="Arial" w:hAnsi="Arial" w:cs="Arial"/>
          <w:bCs/>
          <w:color w:val="000000" w:themeColor="text1"/>
          <w:sz w:val="22"/>
          <w:szCs w:val="20"/>
        </w:rPr>
        <w:t xml:space="preserve"> </w:t>
      </w:r>
      <w:r w:rsidR="000A1025" w:rsidRPr="00FE27AD">
        <w:rPr>
          <w:rFonts w:ascii="Arial" w:hAnsi="Arial" w:cs="Arial"/>
          <w:bCs/>
          <w:color w:val="000000" w:themeColor="text1"/>
          <w:sz w:val="22"/>
          <w:szCs w:val="20"/>
        </w:rPr>
        <w:t>companies</w:t>
      </w:r>
      <w:r w:rsidRPr="00FE27AD">
        <w:rPr>
          <w:rFonts w:ascii="Arial" w:hAnsi="Arial" w:cs="Arial"/>
          <w:bCs/>
          <w:color w:val="000000" w:themeColor="text1"/>
          <w:sz w:val="22"/>
          <w:szCs w:val="20"/>
        </w:rPr>
        <w:t xml:space="preserve"> </w:t>
      </w:r>
      <w:r w:rsidR="000A1025" w:rsidRPr="00FE27AD">
        <w:rPr>
          <w:rFonts w:ascii="Arial" w:hAnsi="Arial" w:cs="Arial"/>
          <w:bCs/>
          <w:color w:val="000000" w:themeColor="text1"/>
          <w:sz w:val="22"/>
          <w:szCs w:val="20"/>
        </w:rPr>
        <w:t>which</w:t>
      </w:r>
      <w:r w:rsidRPr="00FE27AD">
        <w:rPr>
          <w:rFonts w:ascii="Arial" w:hAnsi="Arial" w:cs="Arial"/>
          <w:bCs/>
          <w:color w:val="000000" w:themeColor="text1"/>
          <w:sz w:val="22"/>
          <w:szCs w:val="20"/>
        </w:rPr>
        <w:t xml:space="preserve"> are merging needs to have an </w:t>
      </w:r>
      <w:r w:rsidR="000A1025" w:rsidRPr="00FE27AD">
        <w:rPr>
          <w:rFonts w:ascii="Arial" w:hAnsi="Arial" w:cs="Arial"/>
          <w:bCs/>
          <w:color w:val="000000" w:themeColor="text1"/>
          <w:sz w:val="22"/>
          <w:szCs w:val="20"/>
        </w:rPr>
        <w:t>efficient</w:t>
      </w:r>
      <w:r w:rsidRPr="00FE27AD">
        <w:rPr>
          <w:rFonts w:ascii="Arial" w:hAnsi="Arial" w:cs="Arial"/>
          <w:bCs/>
          <w:color w:val="000000" w:themeColor="text1"/>
          <w:sz w:val="22"/>
          <w:szCs w:val="20"/>
        </w:rPr>
        <w:t xml:space="preserve"> and skilled workforce for developing their </w:t>
      </w:r>
      <w:r w:rsidR="000A1025" w:rsidRPr="00FE27AD">
        <w:rPr>
          <w:rFonts w:ascii="Arial" w:hAnsi="Arial" w:cs="Arial"/>
          <w:bCs/>
          <w:color w:val="000000" w:themeColor="text1"/>
          <w:sz w:val="22"/>
          <w:szCs w:val="20"/>
        </w:rPr>
        <w:t>productivity</w:t>
      </w:r>
      <w:r w:rsidRPr="00FE27AD">
        <w:rPr>
          <w:rFonts w:ascii="Arial" w:hAnsi="Arial" w:cs="Arial"/>
          <w:bCs/>
          <w:color w:val="000000" w:themeColor="text1"/>
          <w:sz w:val="22"/>
          <w:szCs w:val="20"/>
        </w:rPr>
        <w:t xml:space="preserve">. The firms need to follow models and theories like Perlmutter’s model to </w:t>
      </w:r>
      <w:r w:rsidR="000A1025" w:rsidRPr="00FE27AD">
        <w:rPr>
          <w:rFonts w:ascii="Arial" w:hAnsi="Arial" w:cs="Arial"/>
          <w:bCs/>
          <w:color w:val="000000" w:themeColor="text1"/>
          <w:sz w:val="22"/>
          <w:szCs w:val="20"/>
        </w:rPr>
        <w:t>develop</w:t>
      </w:r>
      <w:r w:rsidRPr="00FE27AD">
        <w:rPr>
          <w:rFonts w:ascii="Arial" w:hAnsi="Arial" w:cs="Arial"/>
          <w:bCs/>
          <w:color w:val="000000" w:themeColor="text1"/>
          <w:sz w:val="22"/>
          <w:szCs w:val="20"/>
        </w:rPr>
        <w:t xml:space="preserve"> the </w:t>
      </w:r>
      <w:r w:rsidR="000A1025" w:rsidRPr="00FE27AD">
        <w:rPr>
          <w:rFonts w:ascii="Arial" w:hAnsi="Arial" w:cs="Arial"/>
          <w:bCs/>
          <w:color w:val="000000" w:themeColor="text1"/>
          <w:sz w:val="22"/>
          <w:szCs w:val="20"/>
        </w:rPr>
        <w:t xml:space="preserve">recruitment </w:t>
      </w:r>
      <w:r w:rsidRPr="00FE27AD">
        <w:rPr>
          <w:rFonts w:ascii="Arial" w:hAnsi="Arial" w:cs="Arial"/>
          <w:bCs/>
          <w:color w:val="000000" w:themeColor="text1"/>
          <w:sz w:val="22"/>
          <w:szCs w:val="20"/>
        </w:rPr>
        <w:t xml:space="preserve">system </w:t>
      </w:r>
      <w:r w:rsidR="000A1025" w:rsidRPr="00FE27AD">
        <w:rPr>
          <w:rFonts w:ascii="Arial" w:hAnsi="Arial" w:cs="Arial"/>
          <w:bCs/>
          <w:color w:val="000000" w:themeColor="text1"/>
          <w:sz w:val="22"/>
          <w:szCs w:val="20"/>
        </w:rPr>
        <w:t>within</w:t>
      </w:r>
      <w:r w:rsidRPr="00FE27AD">
        <w:rPr>
          <w:rFonts w:ascii="Arial" w:hAnsi="Arial" w:cs="Arial"/>
          <w:bCs/>
          <w:color w:val="000000" w:themeColor="text1"/>
          <w:sz w:val="22"/>
          <w:szCs w:val="20"/>
        </w:rPr>
        <w:t xml:space="preserve"> the merged </w:t>
      </w:r>
      <w:r w:rsidR="000A1025" w:rsidRPr="00FE27AD">
        <w:rPr>
          <w:rFonts w:ascii="Arial" w:hAnsi="Arial" w:cs="Arial"/>
          <w:bCs/>
          <w:color w:val="000000" w:themeColor="text1"/>
          <w:sz w:val="22"/>
          <w:szCs w:val="20"/>
        </w:rPr>
        <w:t>workspace</w:t>
      </w:r>
      <w:r w:rsidRPr="00FE27AD">
        <w:rPr>
          <w:rFonts w:ascii="Arial" w:hAnsi="Arial" w:cs="Arial"/>
          <w:bCs/>
          <w:color w:val="000000" w:themeColor="text1"/>
          <w:sz w:val="22"/>
          <w:szCs w:val="20"/>
        </w:rPr>
        <w:t xml:space="preserve">. </w:t>
      </w:r>
      <w:r w:rsidR="000A1025" w:rsidRPr="00FE27AD">
        <w:rPr>
          <w:rFonts w:ascii="Arial" w:hAnsi="Arial" w:cs="Arial"/>
          <w:bCs/>
          <w:color w:val="000000" w:themeColor="text1"/>
          <w:sz w:val="22"/>
          <w:szCs w:val="20"/>
        </w:rPr>
        <w:t>This</w:t>
      </w:r>
      <w:r w:rsidRPr="00FE27AD">
        <w:rPr>
          <w:rFonts w:ascii="Arial" w:hAnsi="Arial" w:cs="Arial"/>
          <w:bCs/>
          <w:color w:val="000000" w:themeColor="text1"/>
          <w:sz w:val="22"/>
          <w:szCs w:val="20"/>
        </w:rPr>
        <w:t xml:space="preserve"> theory consists of three factors- ethnocentrism, polycentrism, and </w:t>
      </w:r>
      <w:r w:rsidR="000A1025" w:rsidRPr="00FE27AD">
        <w:rPr>
          <w:rFonts w:ascii="Arial" w:hAnsi="Arial" w:cs="Arial"/>
          <w:bCs/>
          <w:color w:val="000000" w:themeColor="text1"/>
          <w:sz w:val="22"/>
          <w:szCs w:val="20"/>
        </w:rPr>
        <w:t>geocentric approach</w:t>
      </w:r>
      <w:r w:rsidRPr="00FE27AD">
        <w:rPr>
          <w:rFonts w:ascii="Arial" w:hAnsi="Arial" w:cs="Arial"/>
          <w:bCs/>
          <w:color w:val="000000" w:themeColor="text1"/>
          <w:sz w:val="22"/>
          <w:szCs w:val="20"/>
        </w:rPr>
        <w:t xml:space="preserve">. As per the ethnocentrism, the </w:t>
      </w:r>
      <w:r w:rsidR="000A1025" w:rsidRPr="00FE27AD">
        <w:rPr>
          <w:rFonts w:ascii="Arial" w:hAnsi="Arial" w:cs="Arial"/>
          <w:bCs/>
          <w:color w:val="000000" w:themeColor="text1"/>
          <w:sz w:val="22"/>
          <w:szCs w:val="20"/>
        </w:rPr>
        <w:t>companies</w:t>
      </w:r>
      <w:r w:rsidRPr="00FE27AD">
        <w:rPr>
          <w:rFonts w:ascii="Arial" w:hAnsi="Arial" w:cs="Arial"/>
          <w:bCs/>
          <w:color w:val="000000" w:themeColor="text1"/>
          <w:sz w:val="22"/>
          <w:szCs w:val="20"/>
        </w:rPr>
        <w:t xml:space="preserve"> can choose the employees from the country where the parent operates while polycentrism can help the firms to select employees from the host country. The </w:t>
      </w:r>
      <w:r w:rsidR="000A1025" w:rsidRPr="00FE27AD">
        <w:rPr>
          <w:rFonts w:ascii="Arial" w:hAnsi="Arial" w:cs="Arial"/>
          <w:bCs/>
          <w:color w:val="000000" w:themeColor="text1"/>
          <w:sz w:val="22"/>
          <w:szCs w:val="20"/>
        </w:rPr>
        <w:t>geocentric approach</w:t>
      </w:r>
      <w:r w:rsidRPr="00FE27AD">
        <w:rPr>
          <w:rFonts w:ascii="Arial" w:hAnsi="Arial" w:cs="Arial"/>
          <w:bCs/>
          <w:color w:val="000000" w:themeColor="text1"/>
          <w:sz w:val="22"/>
          <w:szCs w:val="20"/>
        </w:rPr>
        <w:t xml:space="preserve"> can help the </w:t>
      </w:r>
      <w:r w:rsidR="000A1025" w:rsidRPr="00FE27AD">
        <w:rPr>
          <w:rFonts w:ascii="Arial" w:hAnsi="Arial" w:cs="Arial"/>
          <w:bCs/>
          <w:color w:val="000000" w:themeColor="text1"/>
          <w:sz w:val="22"/>
          <w:szCs w:val="20"/>
        </w:rPr>
        <w:t>companies</w:t>
      </w:r>
      <w:r w:rsidRPr="00FE27AD">
        <w:rPr>
          <w:rFonts w:ascii="Arial" w:hAnsi="Arial" w:cs="Arial"/>
          <w:bCs/>
          <w:color w:val="000000" w:themeColor="text1"/>
          <w:sz w:val="22"/>
          <w:szCs w:val="20"/>
        </w:rPr>
        <w:t xml:space="preserve"> to </w:t>
      </w:r>
      <w:r w:rsidR="000A1025" w:rsidRPr="00FE27AD">
        <w:rPr>
          <w:rFonts w:ascii="Arial" w:hAnsi="Arial" w:cs="Arial"/>
          <w:bCs/>
          <w:color w:val="000000" w:themeColor="text1"/>
          <w:sz w:val="22"/>
          <w:szCs w:val="20"/>
        </w:rPr>
        <w:t>recruit employees regardless o</w:t>
      </w:r>
      <w:r w:rsidRPr="00FE27AD">
        <w:rPr>
          <w:rFonts w:ascii="Arial" w:hAnsi="Arial" w:cs="Arial"/>
          <w:bCs/>
          <w:color w:val="000000" w:themeColor="text1"/>
          <w:sz w:val="22"/>
          <w:szCs w:val="20"/>
        </w:rPr>
        <w:t xml:space="preserve">f the </w:t>
      </w:r>
      <w:r w:rsidR="000A1025" w:rsidRPr="00FE27AD">
        <w:rPr>
          <w:rFonts w:ascii="Arial" w:hAnsi="Arial" w:cs="Arial"/>
          <w:bCs/>
          <w:color w:val="000000" w:themeColor="text1"/>
          <w:sz w:val="22"/>
          <w:szCs w:val="20"/>
        </w:rPr>
        <w:t>nationalities</w:t>
      </w:r>
      <w:r w:rsidRPr="00FE27AD">
        <w:rPr>
          <w:rFonts w:ascii="Arial" w:hAnsi="Arial" w:cs="Arial"/>
          <w:bCs/>
          <w:color w:val="000000" w:themeColor="text1"/>
          <w:sz w:val="22"/>
          <w:szCs w:val="20"/>
        </w:rPr>
        <w:t xml:space="preserve">. In case of the merger of Murphy Oil Corporation and China National Petroleum Corporation, the employees should be </w:t>
      </w:r>
      <w:r w:rsidR="000A1025" w:rsidRPr="00FE27AD">
        <w:rPr>
          <w:rFonts w:ascii="Arial" w:hAnsi="Arial" w:cs="Arial"/>
          <w:bCs/>
          <w:color w:val="000000" w:themeColor="text1"/>
          <w:sz w:val="22"/>
          <w:szCs w:val="20"/>
        </w:rPr>
        <w:t>recruited</w:t>
      </w:r>
      <w:r w:rsidRPr="00FE27AD">
        <w:rPr>
          <w:rFonts w:ascii="Arial" w:hAnsi="Arial" w:cs="Arial"/>
          <w:bCs/>
          <w:color w:val="000000" w:themeColor="text1"/>
          <w:sz w:val="22"/>
          <w:szCs w:val="20"/>
        </w:rPr>
        <w:t xml:space="preserve"> as per the </w:t>
      </w:r>
      <w:r w:rsidR="000A1025" w:rsidRPr="00FE27AD">
        <w:rPr>
          <w:rFonts w:ascii="Arial" w:hAnsi="Arial" w:cs="Arial"/>
          <w:bCs/>
          <w:color w:val="000000" w:themeColor="text1"/>
          <w:sz w:val="22"/>
          <w:szCs w:val="20"/>
        </w:rPr>
        <w:t>geocentric</w:t>
      </w:r>
      <w:r w:rsidRPr="00FE27AD">
        <w:rPr>
          <w:rFonts w:ascii="Arial" w:hAnsi="Arial" w:cs="Arial"/>
          <w:bCs/>
          <w:color w:val="000000" w:themeColor="text1"/>
          <w:sz w:val="22"/>
          <w:szCs w:val="20"/>
        </w:rPr>
        <w:t xml:space="preserve"> </w:t>
      </w:r>
      <w:r w:rsidR="000A1025" w:rsidRPr="00FE27AD">
        <w:rPr>
          <w:rFonts w:ascii="Arial" w:hAnsi="Arial" w:cs="Arial"/>
          <w:bCs/>
          <w:color w:val="000000" w:themeColor="text1"/>
          <w:sz w:val="22"/>
          <w:szCs w:val="20"/>
        </w:rPr>
        <w:t>strategies</w:t>
      </w:r>
      <w:r w:rsidRPr="00FE27AD">
        <w:rPr>
          <w:rFonts w:ascii="Arial" w:hAnsi="Arial" w:cs="Arial"/>
          <w:bCs/>
          <w:color w:val="000000" w:themeColor="text1"/>
          <w:sz w:val="22"/>
          <w:szCs w:val="20"/>
        </w:rPr>
        <w:t xml:space="preserve"> of Perlmutter’s model as this can he</w:t>
      </w:r>
      <w:r w:rsidR="000A1025" w:rsidRPr="00FE27AD">
        <w:rPr>
          <w:rFonts w:ascii="Arial" w:hAnsi="Arial" w:cs="Arial"/>
          <w:bCs/>
          <w:color w:val="000000" w:themeColor="text1"/>
          <w:sz w:val="22"/>
          <w:szCs w:val="20"/>
        </w:rPr>
        <w:t>l</w:t>
      </w:r>
      <w:r w:rsidRPr="00FE27AD">
        <w:rPr>
          <w:rFonts w:ascii="Arial" w:hAnsi="Arial" w:cs="Arial"/>
          <w:bCs/>
          <w:color w:val="000000" w:themeColor="text1"/>
          <w:sz w:val="22"/>
          <w:szCs w:val="20"/>
        </w:rPr>
        <w:t xml:space="preserve">p the companies to get skilled employees. </w:t>
      </w:r>
      <w:r w:rsidR="000A1025" w:rsidRPr="00FE27AD">
        <w:rPr>
          <w:rFonts w:ascii="Arial" w:hAnsi="Arial" w:cs="Arial"/>
          <w:bCs/>
          <w:color w:val="000000" w:themeColor="text1"/>
          <w:sz w:val="22"/>
          <w:szCs w:val="20"/>
        </w:rPr>
        <w:t>Moreover</w:t>
      </w:r>
      <w:r w:rsidRPr="00FE27AD">
        <w:rPr>
          <w:rFonts w:ascii="Arial" w:hAnsi="Arial" w:cs="Arial"/>
          <w:bCs/>
          <w:color w:val="000000" w:themeColor="text1"/>
          <w:sz w:val="22"/>
          <w:szCs w:val="20"/>
        </w:rPr>
        <w:t xml:space="preserve">, the firms would </w:t>
      </w:r>
      <w:r w:rsidR="000A1025" w:rsidRPr="00FE27AD">
        <w:rPr>
          <w:rFonts w:ascii="Arial" w:hAnsi="Arial" w:cs="Arial"/>
          <w:bCs/>
          <w:color w:val="000000" w:themeColor="text1"/>
          <w:sz w:val="22"/>
          <w:szCs w:val="20"/>
        </w:rPr>
        <w:t>not</w:t>
      </w:r>
      <w:r w:rsidRPr="00FE27AD">
        <w:rPr>
          <w:rFonts w:ascii="Arial" w:hAnsi="Arial" w:cs="Arial"/>
          <w:bCs/>
          <w:color w:val="000000" w:themeColor="text1"/>
          <w:sz w:val="22"/>
          <w:szCs w:val="20"/>
        </w:rPr>
        <w:t xml:space="preserve"> have to be answerable to the </w:t>
      </w:r>
      <w:r w:rsidR="000A1025" w:rsidRPr="00FE27AD">
        <w:rPr>
          <w:rFonts w:ascii="Arial" w:hAnsi="Arial" w:cs="Arial"/>
          <w:bCs/>
          <w:color w:val="000000" w:themeColor="text1"/>
          <w:sz w:val="22"/>
          <w:szCs w:val="20"/>
        </w:rPr>
        <w:t>stakeholders</w:t>
      </w:r>
      <w:r w:rsidRPr="00FE27AD">
        <w:rPr>
          <w:rFonts w:ascii="Arial" w:hAnsi="Arial" w:cs="Arial"/>
          <w:bCs/>
          <w:color w:val="000000" w:themeColor="text1"/>
          <w:sz w:val="22"/>
          <w:szCs w:val="20"/>
        </w:rPr>
        <w:t xml:space="preserve"> as they can show that they have a diversified workforce which can help to </w:t>
      </w:r>
      <w:r w:rsidR="000A1025" w:rsidRPr="00FE27AD">
        <w:rPr>
          <w:rFonts w:ascii="Arial" w:hAnsi="Arial" w:cs="Arial"/>
          <w:bCs/>
          <w:color w:val="000000" w:themeColor="text1"/>
          <w:sz w:val="22"/>
          <w:szCs w:val="20"/>
        </w:rPr>
        <w:t>develop</w:t>
      </w:r>
      <w:r w:rsidRPr="00FE27AD">
        <w:rPr>
          <w:rFonts w:ascii="Arial" w:hAnsi="Arial" w:cs="Arial"/>
          <w:bCs/>
          <w:color w:val="000000" w:themeColor="text1"/>
          <w:sz w:val="22"/>
          <w:szCs w:val="20"/>
        </w:rPr>
        <w:t xml:space="preserve"> their goodwill and </w:t>
      </w:r>
      <w:r w:rsidR="000A1025" w:rsidRPr="00FE27AD">
        <w:rPr>
          <w:rFonts w:ascii="Arial" w:hAnsi="Arial" w:cs="Arial"/>
          <w:bCs/>
          <w:color w:val="000000" w:themeColor="text1"/>
          <w:sz w:val="22"/>
          <w:szCs w:val="20"/>
        </w:rPr>
        <w:t>ethical</w:t>
      </w:r>
      <w:r w:rsidRPr="00FE27AD">
        <w:rPr>
          <w:rFonts w:ascii="Arial" w:hAnsi="Arial" w:cs="Arial"/>
          <w:bCs/>
          <w:color w:val="000000" w:themeColor="text1"/>
          <w:sz w:val="22"/>
          <w:szCs w:val="20"/>
        </w:rPr>
        <w:t xml:space="preserve"> working </w:t>
      </w:r>
      <w:r w:rsidR="000A1025" w:rsidRPr="00FE27AD">
        <w:rPr>
          <w:rFonts w:ascii="Arial" w:hAnsi="Arial" w:cs="Arial"/>
          <w:bCs/>
          <w:color w:val="000000" w:themeColor="text1"/>
          <w:sz w:val="22"/>
          <w:szCs w:val="20"/>
        </w:rPr>
        <w:t xml:space="preserve">practice </w:t>
      </w:r>
      <w:r w:rsidRPr="00FE27AD">
        <w:rPr>
          <w:rFonts w:ascii="Arial" w:hAnsi="Arial" w:cs="Arial"/>
          <w:bCs/>
          <w:color w:val="000000" w:themeColor="text1"/>
          <w:sz w:val="22"/>
          <w:szCs w:val="20"/>
        </w:rPr>
        <w:t xml:space="preserve">as well. The merger can be a success if the </w:t>
      </w:r>
      <w:r w:rsidR="000A1025" w:rsidRPr="00FE27AD">
        <w:rPr>
          <w:rFonts w:ascii="Arial" w:hAnsi="Arial" w:cs="Arial"/>
          <w:bCs/>
          <w:color w:val="000000" w:themeColor="text1"/>
          <w:sz w:val="22"/>
          <w:szCs w:val="20"/>
        </w:rPr>
        <w:t>companies</w:t>
      </w:r>
      <w:r w:rsidRPr="00FE27AD">
        <w:rPr>
          <w:rFonts w:ascii="Arial" w:hAnsi="Arial" w:cs="Arial"/>
          <w:bCs/>
          <w:color w:val="000000" w:themeColor="text1"/>
          <w:sz w:val="22"/>
          <w:szCs w:val="20"/>
        </w:rPr>
        <w:t xml:space="preserve"> focus on developing </w:t>
      </w:r>
      <w:r w:rsidR="000A1025" w:rsidRPr="00FE27AD">
        <w:rPr>
          <w:rFonts w:ascii="Arial" w:hAnsi="Arial" w:cs="Arial"/>
          <w:bCs/>
          <w:color w:val="000000" w:themeColor="text1"/>
          <w:sz w:val="22"/>
          <w:szCs w:val="20"/>
        </w:rPr>
        <w:t>their</w:t>
      </w:r>
      <w:r w:rsidRPr="00FE27AD">
        <w:rPr>
          <w:rFonts w:ascii="Arial" w:hAnsi="Arial" w:cs="Arial"/>
          <w:bCs/>
          <w:color w:val="000000" w:themeColor="text1"/>
          <w:sz w:val="22"/>
          <w:szCs w:val="20"/>
        </w:rPr>
        <w:t xml:space="preserve"> </w:t>
      </w:r>
      <w:r w:rsidR="000A1025" w:rsidRPr="00FE27AD">
        <w:rPr>
          <w:rFonts w:ascii="Arial" w:hAnsi="Arial" w:cs="Arial"/>
          <w:bCs/>
          <w:color w:val="000000" w:themeColor="text1"/>
          <w:sz w:val="22"/>
          <w:szCs w:val="20"/>
        </w:rPr>
        <w:t>productivity</w:t>
      </w:r>
      <w:r w:rsidRPr="00FE27AD">
        <w:rPr>
          <w:rFonts w:ascii="Arial" w:hAnsi="Arial" w:cs="Arial"/>
          <w:bCs/>
          <w:color w:val="000000" w:themeColor="text1"/>
          <w:sz w:val="22"/>
          <w:szCs w:val="20"/>
        </w:rPr>
        <w:t xml:space="preserve"> and managing the workforce using </w:t>
      </w:r>
      <w:r w:rsidR="000A1025" w:rsidRPr="00FE27AD">
        <w:rPr>
          <w:rFonts w:ascii="Arial" w:hAnsi="Arial" w:cs="Arial"/>
          <w:bCs/>
          <w:color w:val="000000" w:themeColor="text1"/>
          <w:sz w:val="22"/>
          <w:szCs w:val="20"/>
        </w:rPr>
        <w:t>geocentric strategy</w:t>
      </w:r>
      <w:r w:rsidRPr="00FE27AD">
        <w:rPr>
          <w:rFonts w:ascii="Arial" w:hAnsi="Arial" w:cs="Arial"/>
          <w:bCs/>
          <w:color w:val="000000" w:themeColor="text1"/>
          <w:sz w:val="22"/>
          <w:szCs w:val="20"/>
        </w:rPr>
        <w:t xml:space="preserve"> can be </w:t>
      </w:r>
      <w:r w:rsidR="000A1025" w:rsidRPr="00FE27AD">
        <w:rPr>
          <w:rFonts w:ascii="Arial" w:hAnsi="Arial" w:cs="Arial"/>
          <w:bCs/>
          <w:color w:val="000000" w:themeColor="text1"/>
          <w:sz w:val="22"/>
          <w:szCs w:val="20"/>
        </w:rPr>
        <w:t>beneficial</w:t>
      </w:r>
      <w:r w:rsidRPr="00FE27AD">
        <w:rPr>
          <w:rFonts w:ascii="Arial" w:hAnsi="Arial" w:cs="Arial"/>
          <w:bCs/>
          <w:color w:val="000000" w:themeColor="text1"/>
          <w:sz w:val="22"/>
          <w:szCs w:val="20"/>
        </w:rPr>
        <w:t xml:space="preserve"> in this field. </w:t>
      </w:r>
    </w:p>
    <w:p w14:paraId="2CA05CEE" w14:textId="77777777" w:rsidR="005D0042" w:rsidRPr="005D0042" w:rsidRDefault="005D0042" w:rsidP="00FE27AD">
      <w:pPr>
        <w:spacing w:line="360" w:lineRule="auto"/>
        <w:rPr>
          <w:b/>
          <w:bCs/>
          <w:lang w:eastAsia="en-IN"/>
        </w:rPr>
      </w:pPr>
      <w:r w:rsidRPr="005D0042">
        <w:rPr>
          <w:b/>
          <w:bCs/>
          <w:lang w:eastAsia="en-IN"/>
        </w:rPr>
        <w:t>Culture Integration:</w:t>
      </w:r>
      <w:r>
        <w:rPr>
          <w:b/>
          <w:bCs/>
          <w:lang w:eastAsia="en-IN"/>
        </w:rPr>
        <w:t xml:space="preserve"> </w:t>
      </w:r>
      <w:r w:rsidRPr="00FE27AD">
        <w:rPr>
          <w:rFonts w:ascii="Arial" w:hAnsi="Arial" w:cs="Arial"/>
          <w:sz w:val="22"/>
          <w:szCs w:val="20"/>
          <w:lang w:eastAsia="en-IN"/>
        </w:rPr>
        <w:t xml:space="preserve">One of the most significant challenges during an M&amp;A is integrating the cultures of the two </w:t>
      </w:r>
      <w:r w:rsidR="00A151A7" w:rsidRPr="00FE27AD">
        <w:rPr>
          <w:rFonts w:ascii="Arial" w:hAnsi="Arial" w:cs="Arial"/>
          <w:sz w:val="22"/>
          <w:szCs w:val="20"/>
          <w:lang w:eastAsia="en-IN"/>
        </w:rPr>
        <w:t>organisation</w:t>
      </w:r>
      <w:r w:rsidRPr="00FE27AD">
        <w:rPr>
          <w:rFonts w:ascii="Arial" w:hAnsi="Arial" w:cs="Arial"/>
          <w:sz w:val="22"/>
          <w:szCs w:val="20"/>
          <w:lang w:eastAsia="en-IN"/>
        </w:rPr>
        <w:t>s. HR plays a critical role in this process by facilitating communication, identifying cultural differences, and developing strategies to integrate the cultures</w:t>
      </w:r>
      <w:r w:rsidR="00607E24" w:rsidRPr="00FE27AD">
        <w:rPr>
          <w:rFonts w:ascii="Arial" w:hAnsi="Arial" w:cs="Arial"/>
          <w:sz w:val="22"/>
          <w:szCs w:val="20"/>
          <w:lang w:eastAsia="en-IN"/>
        </w:rPr>
        <w:t xml:space="preserve"> (</w:t>
      </w:r>
      <w:r w:rsidR="00607E24" w:rsidRPr="00FE27AD">
        <w:rPr>
          <w:rFonts w:ascii="Arial" w:hAnsi="Arial" w:cs="Arial"/>
          <w:sz w:val="22"/>
          <w:szCs w:val="20"/>
          <w:shd w:val="clear" w:color="auto" w:fill="FFFFFF"/>
        </w:rPr>
        <w:t>Isa, 2021)</w:t>
      </w:r>
      <w:r w:rsidRPr="00FE27AD">
        <w:rPr>
          <w:rFonts w:ascii="Arial" w:hAnsi="Arial" w:cs="Arial"/>
          <w:sz w:val="22"/>
          <w:szCs w:val="20"/>
          <w:lang w:eastAsia="en-IN"/>
        </w:rPr>
        <w:t xml:space="preserve">. HR </w:t>
      </w:r>
      <w:r w:rsidR="00EA6A85" w:rsidRPr="00FE27AD">
        <w:rPr>
          <w:rFonts w:ascii="Arial" w:hAnsi="Arial" w:cs="Arial"/>
          <w:sz w:val="22"/>
          <w:szCs w:val="20"/>
          <w:lang w:eastAsia="en-IN"/>
        </w:rPr>
        <w:t>conducts</w:t>
      </w:r>
      <w:r w:rsidRPr="00FE27AD">
        <w:rPr>
          <w:rFonts w:ascii="Arial" w:hAnsi="Arial" w:cs="Arial"/>
          <w:sz w:val="22"/>
          <w:szCs w:val="20"/>
          <w:lang w:eastAsia="en-IN"/>
        </w:rPr>
        <w:t xml:space="preserve"> cultural assessments to identify the cultural differences between Murphy Oil Corporation and China National Petroleum Corporation and develop strategies to align the cultures. This </w:t>
      </w:r>
      <w:r w:rsidR="00EA6A85" w:rsidRPr="00FE27AD">
        <w:rPr>
          <w:rFonts w:ascii="Arial" w:hAnsi="Arial" w:cs="Arial"/>
          <w:sz w:val="22"/>
          <w:szCs w:val="20"/>
          <w:lang w:eastAsia="en-IN"/>
        </w:rPr>
        <w:t>includes</w:t>
      </w:r>
      <w:r w:rsidRPr="00FE27AD">
        <w:rPr>
          <w:rFonts w:ascii="Arial" w:hAnsi="Arial" w:cs="Arial"/>
          <w:sz w:val="22"/>
          <w:szCs w:val="20"/>
          <w:lang w:eastAsia="en-IN"/>
        </w:rPr>
        <w:t xml:space="preserve"> developing a shared vision and values, implementing cross-cultural training programs, and creating opportunities for employees to interact and learn from each other.</w:t>
      </w:r>
    </w:p>
    <w:p w14:paraId="1F19E7E9" w14:textId="77777777" w:rsidR="005D0042" w:rsidRPr="005D0042" w:rsidRDefault="005D0042" w:rsidP="00FE27AD">
      <w:pPr>
        <w:spacing w:line="360" w:lineRule="auto"/>
        <w:rPr>
          <w:b/>
          <w:bCs/>
          <w:lang w:eastAsia="en-IN"/>
        </w:rPr>
      </w:pPr>
      <w:r w:rsidRPr="005D0042">
        <w:rPr>
          <w:b/>
          <w:bCs/>
          <w:lang w:eastAsia="en-IN"/>
        </w:rPr>
        <w:t>Talent Management:</w:t>
      </w:r>
      <w:r>
        <w:rPr>
          <w:b/>
          <w:bCs/>
          <w:lang w:eastAsia="en-IN"/>
        </w:rPr>
        <w:t xml:space="preserve"> </w:t>
      </w:r>
      <w:r w:rsidRPr="00FE27AD">
        <w:rPr>
          <w:rFonts w:ascii="Arial" w:hAnsi="Arial" w:cs="Arial"/>
          <w:sz w:val="22"/>
          <w:szCs w:val="20"/>
          <w:lang w:eastAsia="en-IN"/>
        </w:rPr>
        <w:t xml:space="preserve">HR plays a crucial role in talent management during an M&amp;A. HR </w:t>
      </w:r>
      <w:r w:rsidR="00EA6A85" w:rsidRPr="00FE27AD">
        <w:rPr>
          <w:rFonts w:ascii="Arial" w:hAnsi="Arial" w:cs="Arial"/>
          <w:sz w:val="22"/>
          <w:szCs w:val="20"/>
          <w:lang w:eastAsia="en-IN"/>
        </w:rPr>
        <w:t>assesses</w:t>
      </w:r>
      <w:r w:rsidRPr="00FE27AD">
        <w:rPr>
          <w:rFonts w:ascii="Arial" w:hAnsi="Arial" w:cs="Arial"/>
          <w:sz w:val="22"/>
          <w:szCs w:val="20"/>
          <w:lang w:eastAsia="en-IN"/>
        </w:rPr>
        <w:t xml:space="preserve"> the skills and competencies of the employees of both companies and </w:t>
      </w:r>
      <w:r w:rsidR="00EA6A85" w:rsidRPr="00FE27AD">
        <w:rPr>
          <w:rFonts w:ascii="Arial" w:hAnsi="Arial" w:cs="Arial"/>
          <w:sz w:val="22"/>
          <w:szCs w:val="20"/>
          <w:lang w:eastAsia="en-IN"/>
        </w:rPr>
        <w:t>develops</w:t>
      </w:r>
      <w:r w:rsidRPr="00FE27AD">
        <w:rPr>
          <w:rFonts w:ascii="Arial" w:hAnsi="Arial" w:cs="Arial"/>
          <w:sz w:val="22"/>
          <w:szCs w:val="20"/>
          <w:lang w:eastAsia="en-IN"/>
        </w:rPr>
        <w:t xml:space="preserve"> a </w:t>
      </w:r>
      <w:r w:rsidRPr="00FE27AD">
        <w:rPr>
          <w:rFonts w:ascii="Arial" w:hAnsi="Arial" w:cs="Arial"/>
          <w:sz w:val="22"/>
          <w:szCs w:val="20"/>
          <w:lang w:eastAsia="en-IN"/>
        </w:rPr>
        <w:lastRenderedPageBreak/>
        <w:t xml:space="preserve">plan for managing talent during the transition period. This </w:t>
      </w:r>
      <w:r w:rsidR="00EA6A85" w:rsidRPr="00FE27AD">
        <w:rPr>
          <w:rFonts w:ascii="Arial" w:hAnsi="Arial" w:cs="Arial"/>
          <w:sz w:val="22"/>
          <w:szCs w:val="20"/>
          <w:lang w:eastAsia="en-IN"/>
        </w:rPr>
        <w:t>also includes</w:t>
      </w:r>
      <w:r w:rsidRPr="00FE27AD">
        <w:rPr>
          <w:rFonts w:ascii="Arial" w:hAnsi="Arial" w:cs="Arial"/>
          <w:sz w:val="22"/>
          <w:szCs w:val="20"/>
          <w:lang w:eastAsia="en-IN"/>
        </w:rPr>
        <w:t xml:space="preserve"> identifying key positions and employees, developing retention strategies, and providing career development opportunities. HR also conduct</w:t>
      </w:r>
      <w:r w:rsidR="00EA6A85" w:rsidRPr="00FE27AD">
        <w:rPr>
          <w:rFonts w:ascii="Arial" w:hAnsi="Arial" w:cs="Arial"/>
          <w:sz w:val="22"/>
          <w:szCs w:val="20"/>
          <w:lang w:eastAsia="en-IN"/>
        </w:rPr>
        <w:t>s</w:t>
      </w:r>
      <w:r w:rsidRPr="00FE27AD">
        <w:rPr>
          <w:rFonts w:ascii="Arial" w:hAnsi="Arial" w:cs="Arial"/>
          <w:sz w:val="22"/>
          <w:szCs w:val="20"/>
          <w:lang w:eastAsia="en-IN"/>
        </w:rPr>
        <w:t xml:space="preserve"> a skills gap analysis to identify areas where additional training or hiring may be required</w:t>
      </w:r>
      <w:r w:rsidR="00D40F96" w:rsidRPr="00FE27AD">
        <w:rPr>
          <w:rFonts w:ascii="Arial" w:hAnsi="Arial" w:cs="Arial"/>
          <w:sz w:val="22"/>
          <w:szCs w:val="20"/>
          <w:lang w:eastAsia="en-IN"/>
        </w:rPr>
        <w:t xml:space="preserve"> (</w:t>
      </w:r>
      <w:proofErr w:type="spellStart"/>
      <w:r w:rsidR="00D40F96" w:rsidRPr="00FE27AD">
        <w:rPr>
          <w:rFonts w:ascii="Arial" w:hAnsi="Arial" w:cs="Arial"/>
          <w:sz w:val="22"/>
          <w:szCs w:val="20"/>
          <w:shd w:val="clear" w:color="auto" w:fill="FFFFFF"/>
        </w:rPr>
        <w:t>Oancea</w:t>
      </w:r>
      <w:proofErr w:type="spellEnd"/>
      <w:r w:rsidR="00D40F96" w:rsidRPr="00FE27AD">
        <w:rPr>
          <w:rFonts w:ascii="Arial" w:hAnsi="Arial" w:cs="Arial"/>
          <w:sz w:val="22"/>
          <w:szCs w:val="20"/>
          <w:shd w:val="clear" w:color="auto" w:fill="FFFFFF"/>
        </w:rPr>
        <w:t xml:space="preserve"> and Kamau, 2020)</w:t>
      </w:r>
      <w:r w:rsidRPr="00FE27AD">
        <w:rPr>
          <w:rFonts w:ascii="Arial" w:hAnsi="Arial" w:cs="Arial"/>
          <w:sz w:val="22"/>
          <w:szCs w:val="20"/>
          <w:lang w:eastAsia="en-IN"/>
        </w:rPr>
        <w:t>.</w:t>
      </w:r>
    </w:p>
    <w:p w14:paraId="3FE29A21" w14:textId="77777777" w:rsidR="005D0042" w:rsidRPr="005D0042" w:rsidRDefault="005D0042" w:rsidP="00FE27AD">
      <w:pPr>
        <w:spacing w:line="360" w:lineRule="auto"/>
        <w:rPr>
          <w:b/>
          <w:bCs/>
          <w:lang w:eastAsia="en-IN"/>
        </w:rPr>
      </w:pPr>
      <w:r w:rsidRPr="005D0042">
        <w:rPr>
          <w:b/>
          <w:bCs/>
          <w:lang w:eastAsia="en-IN"/>
        </w:rPr>
        <w:t>Communication:</w:t>
      </w:r>
      <w:r>
        <w:rPr>
          <w:b/>
          <w:bCs/>
          <w:lang w:eastAsia="en-IN"/>
        </w:rPr>
        <w:t xml:space="preserve"> </w:t>
      </w:r>
      <w:r w:rsidRPr="00FE27AD">
        <w:rPr>
          <w:rFonts w:ascii="Arial" w:hAnsi="Arial" w:cs="Arial"/>
          <w:sz w:val="22"/>
          <w:szCs w:val="20"/>
          <w:lang w:eastAsia="en-IN"/>
        </w:rPr>
        <w:t xml:space="preserve">Effective communication is critical during an M&amp;A to reduce </w:t>
      </w:r>
      <w:r w:rsidR="009830B6" w:rsidRPr="00FE27AD">
        <w:rPr>
          <w:rFonts w:ascii="Arial" w:hAnsi="Arial" w:cs="Arial"/>
          <w:sz w:val="22"/>
          <w:szCs w:val="20"/>
          <w:lang w:eastAsia="en-IN"/>
        </w:rPr>
        <w:t>employee uncertainty and anxiety</w:t>
      </w:r>
      <w:r w:rsidRPr="00FE27AD">
        <w:rPr>
          <w:rFonts w:ascii="Arial" w:hAnsi="Arial" w:cs="Arial"/>
          <w:sz w:val="22"/>
          <w:szCs w:val="20"/>
          <w:lang w:eastAsia="en-IN"/>
        </w:rPr>
        <w:t>. HR develop</w:t>
      </w:r>
      <w:r w:rsidR="00EA6A85" w:rsidRPr="00FE27AD">
        <w:rPr>
          <w:rFonts w:ascii="Arial" w:hAnsi="Arial" w:cs="Arial"/>
          <w:sz w:val="22"/>
          <w:szCs w:val="20"/>
          <w:lang w:eastAsia="en-IN"/>
        </w:rPr>
        <w:t>s</w:t>
      </w:r>
      <w:r w:rsidRPr="00FE27AD">
        <w:rPr>
          <w:rFonts w:ascii="Arial" w:hAnsi="Arial" w:cs="Arial"/>
          <w:sz w:val="22"/>
          <w:szCs w:val="20"/>
          <w:lang w:eastAsia="en-IN"/>
        </w:rPr>
        <w:t xml:space="preserve"> a communication plan that includes regular updates on the progress of the M&amp;A and its impact on employees. HR also provide</w:t>
      </w:r>
      <w:r w:rsidR="005A171B" w:rsidRPr="00FE27AD">
        <w:rPr>
          <w:rFonts w:ascii="Arial" w:hAnsi="Arial" w:cs="Arial"/>
          <w:sz w:val="22"/>
          <w:szCs w:val="20"/>
          <w:lang w:eastAsia="en-IN"/>
        </w:rPr>
        <w:t>s</w:t>
      </w:r>
      <w:r w:rsidRPr="00FE27AD">
        <w:rPr>
          <w:rFonts w:ascii="Arial" w:hAnsi="Arial" w:cs="Arial"/>
          <w:sz w:val="22"/>
          <w:szCs w:val="20"/>
          <w:lang w:eastAsia="en-IN"/>
        </w:rPr>
        <w:t xml:space="preserve"> forums for employees to ask questions and provide feedback. Effective communication help</w:t>
      </w:r>
      <w:r w:rsidR="0017155B" w:rsidRPr="00FE27AD">
        <w:rPr>
          <w:rFonts w:ascii="Arial" w:hAnsi="Arial" w:cs="Arial"/>
          <w:sz w:val="22"/>
          <w:szCs w:val="20"/>
          <w:lang w:eastAsia="en-IN"/>
        </w:rPr>
        <w:t>s</w:t>
      </w:r>
      <w:r w:rsidRPr="00FE27AD">
        <w:rPr>
          <w:rFonts w:ascii="Arial" w:hAnsi="Arial" w:cs="Arial"/>
          <w:sz w:val="22"/>
          <w:szCs w:val="20"/>
          <w:lang w:eastAsia="en-IN"/>
        </w:rPr>
        <w:t xml:space="preserve"> to build trust and reduce resistance to change.</w:t>
      </w:r>
    </w:p>
    <w:p w14:paraId="733FBE93" w14:textId="77777777" w:rsidR="005D0042" w:rsidRPr="005D0042" w:rsidRDefault="005D0042" w:rsidP="00FE27AD">
      <w:pPr>
        <w:spacing w:line="360" w:lineRule="auto"/>
        <w:rPr>
          <w:b/>
          <w:bCs/>
          <w:lang w:eastAsia="en-IN"/>
        </w:rPr>
      </w:pPr>
      <w:r w:rsidRPr="005D0042">
        <w:rPr>
          <w:b/>
          <w:bCs/>
          <w:lang w:eastAsia="en-IN"/>
        </w:rPr>
        <w:t>Change Management:</w:t>
      </w:r>
      <w:r>
        <w:rPr>
          <w:b/>
          <w:bCs/>
          <w:lang w:eastAsia="en-IN"/>
        </w:rPr>
        <w:t xml:space="preserve"> </w:t>
      </w:r>
      <w:r w:rsidRPr="00FE27AD">
        <w:rPr>
          <w:rFonts w:ascii="Arial" w:hAnsi="Arial" w:cs="Arial"/>
          <w:sz w:val="22"/>
          <w:szCs w:val="20"/>
          <w:lang w:eastAsia="en-IN"/>
        </w:rPr>
        <w:t>Change management is critical during an M&amp;A to ensure that employees are prepared for the changes that will occur. HR develop</w:t>
      </w:r>
      <w:r w:rsidR="00EA6A85" w:rsidRPr="00FE27AD">
        <w:rPr>
          <w:rFonts w:ascii="Arial" w:hAnsi="Arial" w:cs="Arial"/>
          <w:sz w:val="22"/>
          <w:szCs w:val="20"/>
          <w:lang w:eastAsia="en-IN"/>
        </w:rPr>
        <w:t>s</w:t>
      </w:r>
      <w:r w:rsidRPr="00FE27AD">
        <w:rPr>
          <w:rFonts w:ascii="Arial" w:hAnsi="Arial" w:cs="Arial"/>
          <w:sz w:val="22"/>
          <w:szCs w:val="20"/>
          <w:lang w:eastAsia="en-IN"/>
        </w:rPr>
        <w:t xml:space="preserve"> a change management plan that includes a clear timeline for the transition, identifying key milestones, and providing </w:t>
      </w:r>
      <w:r w:rsidR="00EA6A85" w:rsidRPr="00FE27AD">
        <w:rPr>
          <w:rFonts w:ascii="Arial" w:hAnsi="Arial" w:cs="Arial"/>
          <w:sz w:val="22"/>
          <w:szCs w:val="20"/>
          <w:lang w:eastAsia="en-IN"/>
        </w:rPr>
        <w:t>employee training and support</w:t>
      </w:r>
      <w:r w:rsidRPr="00FE27AD">
        <w:rPr>
          <w:rFonts w:ascii="Arial" w:hAnsi="Arial" w:cs="Arial"/>
          <w:sz w:val="22"/>
          <w:szCs w:val="20"/>
          <w:lang w:eastAsia="en-IN"/>
        </w:rPr>
        <w:t>. HR work</w:t>
      </w:r>
      <w:r w:rsidR="00EA6A85" w:rsidRPr="00FE27AD">
        <w:rPr>
          <w:rFonts w:ascii="Arial" w:hAnsi="Arial" w:cs="Arial"/>
          <w:sz w:val="22"/>
          <w:szCs w:val="20"/>
          <w:lang w:eastAsia="en-IN"/>
        </w:rPr>
        <w:t>s</w:t>
      </w:r>
      <w:r w:rsidRPr="00FE27AD">
        <w:rPr>
          <w:rFonts w:ascii="Arial" w:hAnsi="Arial" w:cs="Arial"/>
          <w:sz w:val="22"/>
          <w:szCs w:val="20"/>
          <w:lang w:eastAsia="en-IN"/>
        </w:rPr>
        <w:t xml:space="preserve"> with managers to ensure that employees understand their roles and responsibilities during the transition period.</w:t>
      </w:r>
    </w:p>
    <w:p w14:paraId="6F7EFE64" w14:textId="77777777" w:rsidR="005D0042" w:rsidRPr="00FE27AD" w:rsidRDefault="005D0042" w:rsidP="00FE27AD">
      <w:pPr>
        <w:spacing w:line="360" w:lineRule="auto"/>
        <w:rPr>
          <w:rFonts w:ascii="Arial" w:hAnsi="Arial" w:cs="Arial"/>
          <w:b/>
          <w:bCs/>
          <w:sz w:val="22"/>
          <w:szCs w:val="20"/>
          <w:lang w:eastAsia="en-IN"/>
        </w:rPr>
      </w:pPr>
      <w:r w:rsidRPr="005D0042">
        <w:rPr>
          <w:b/>
          <w:bCs/>
          <w:lang w:eastAsia="en-IN"/>
        </w:rPr>
        <w:t>Benefits and Compensation:</w:t>
      </w:r>
      <w:r>
        <w:rPr>
          <w:b/>
          <w:bCs/>
          <w:lang w:eastAsia="en-IN"/>
        </w:rPr>
        <w:t xml:space="preserve"> </w:t>
      </w:r>
      <w:r w:rsidRPr="00FE27AD">
        <w:rPr>
          <w:rFonts w:ascii="Arial" w:hAnsi="Arial" w:cs="Arial"/>
          <w:sz w:val="22"/>
          <w:szCs w:val="20"/>
          <w:lang w:eastAsia="en-IN"/>
        </w:rPr>
        <w:t>HR play</w:t>
      </w:r>
      <w:r w:rsidR="00EA6A85" w:rsidRPr="00FE27AD">
        <w:rPr>
          <w:rFonts w:ascii="Arial" w:hAnsi="Arial" w:cs="Arial"/>
          <w:sz w:val="22"/>
          <w:szCs w:val="20"/>
          <w:lang w:eastAsia="en-IN"/>
        </w:rPr>
        <w:t>s</w:t>
      </w:r>
      <w:r w:rsidRPr="00FE27AD">
        <w:rPr>
          <w:rFonts w:ascii="Arial" w:hAnsi="Arial" w:cs="Arial"/>
          <w:sz w:val="22"/>
          <w:szCs w:val="20"/>
          <w:lang w:eastAsia="en-IN"/>
        </w:rPr>
        <w:t xml:space="preserve"> a critical role in managing benefits and compensation during an M&amp;A. HR conduct</w:t>
      </w:r>
      <w:r w:rsidR="008B64AE" w:rsidRPr="00FE27AD">
        <w:rPr>
          <w:rFonts w:ascii="Arial" w:hAnsi="Arial" w:cs="Arial"/>
          <w:sz w:val="22"/>
          <w:szCs w:val="20"/>
          <w:lang w:eastAsia="en-IN"/>
        </w:rPr>
        <w:t>s</w:t>
      </w:r>
      <w:r w:rsidRPr="00FE27AD">
        <w:rPr>
          <w:rFonts w:ascii="Arial" w:hAnsi="Arial" w:cs="Arial"/>
          <w:sz w:val="22"/>
          <w:szCs w:val="20"/>
          <w:lang w:eastAsia="en-IN"/>
        </w:rPr>
        <w:t xml:space="preserve"> a review of the benefits and compensation packages offered by both companies and </w:t>
      </w:r>
      <w:r w:rsidR="008B64AE" w:rsidRPr="00FE27AD">
        <w:rPr>
          <w:rFonts w:ascii="Arial" w:hAnsi="Arial" w:cs="Arial"/>
          <w:sz w:val="22"/>
          <w:szCs w:val="20"/>
          <w:lang w:eastAsia="en-IN"/>
        </w:rPr>
        <w:t>develops</w:t>
      </w:r>
      <w:r w:rsidRPr="00FE27AD">
        <w:rPr>
          <w:rFonts w:ascii="Arial" w:hAnsi="Arial" w:cs="Arial"/>
          <w:sz w:val="22"/>
          <w:szCs w:val="20"/>
          <w:lang w:eastAsia="en-IN"/>
        </w:rPr>
        <w:t xml:space="preserve"> a plan for aligning them. This include</w:t>
      </w:r>
      <w:r w:rsidR="004B50B6" w:rsidRPr="00FE27AD">
        <w:rPr>
          <w:rFonts w:ascii="Arial" w:hAnsi="Arial" w:cs="Arial"/>
          <w:sz w:val="22"/>
          <w:szCs w:val="20"/>
          <w:lang w:eastAsia="en-IN"/>
        </w:rPr>
        <w:t>s</w:t>
      </w:r>
      <w:r w:rsidRPr="00FE27AD">
        <w:rPr>
          <w:rFonts w:ascii="Arial" w:hAnsi="Arial" w:cs="Arial"/>
          <w:sz w:val="22"/>
          <w:szCs w:val="20"/>
          <w:lang w:eastAsia="en-IN"/>
        </w:rPr>
        <w:t xml:space="preserve"> developing a new compensation structure, developing new benefits programs, and communicating the changes to employees</w:t>
      </w:r>
      <w:r w:rsidR="00D06AA7" w:rsidRPr="00FE27AD">
        <w:rPr>
          <w:rFonts w:ascii="Arial" w:hAnsi="Arial" w:cs="Arial"/>
          <w:sz w:val="22"/>
          <w:szCs w:val="20"/>
          <w:lang w:eastAsia="en-IN"/>
        </w:rPr>
        <w:t xml:space="preserve"> (</w:t>
      </w:r>
      <w:proofErr w:type="spellStart"/>
      <w:r w:rsidR="00D06AA7" w:rsidRPr="00FE27AD">
        <w:rPr>
          <w:rFonts w:ascii="Arial" w:hAnsi="Arial" w:cs="Arial"/>
          <w:sz w:val="22"/>
          <w:szCs w:val="20"/>
          <w:shd w:val="clear" w:color="auto" w:fill="FFFFFF"/>
        </w:rPr>
        <w:t>Desarno</w:t>
      </w:r>
      <w:proofErr w:type="spellEnd"/>
      <w:r w:rsidR="00D06AA7" w:rsidRPr="00FE27AD">
        <w:rPr>
          <w:rFonts w:ascii="Arial" w:hAnsi="Arial" w:cs="Arial"/>
          <w:sz w:val="22"/>
          <w:szCs w:val="20"/>
          <w:shd w:val="clear" w:color="auto" w:fill="FFFFFF"/>
        </w:rPr>
        <w:t>, et. al., 2021)</w:t>
      </w:r>
      <w:r w:rsidRPr="00FE27AD">
        <w:rPr>
          <w:rFonts w:ascii="Arial" w:hAnsi="Arial" w:cs="Arial"/>
          <w:sz w:val="22"/>
          <w:szCs w:val="20"/>
          <w:lang w:eastAsia="en-IN"/>
        </w:rPr>
        <w:t>.</w:t>
      </w:r>
    </w:p>
    <w:p w14:paraId="2389DE6A" w14:textId="64B5F6AD" w:rsidR="00F777F7" w:rsidRPr="00FE27AD" w:rsidRDefault="005D0042" w:rsidP="00FE27AD">
      <w:pPr>
        <w:spacing w:line="360" w:lineRule="auto"/>
        <w:rPr>
          <w:rFonts w:ascii="Arial" w:hAnsi="Arial" w:cs="Arial"/>
          <w:sz w:val="22"/>
          <w:szCs w:val="20"/>
          <w:lang w:eastAsia="en-IN"/>
        </w:rPr>
      </w:pPr>
      <w:r w:rsidRPr="00FE27AD">
        <w:rPr>
          <w:rFonts w:ascii="Arial" w:hAnsi="Arial" w:cs="Arial"/>
          <w:sz w:val="22"/>
          <w:szCs w:val="20"/>
          <w:lang w:eastAsia="en-IN"/>
        </w:rPr>
        <w:t xml:space="preserve">The success of an M&amp;A largely depends on the </w:t>
      </w:r>
      <w:r w:rsidR="00AC1058" w:rsidRPr="00FE27AD">
        <w:rPr>
          <w:rFonts w:ascii="Arial" w:hAnsi="Arial" w:cs="Arial"/>
          <w:sz w:val="22"/>
          <w:szCs w:val="20"/>
          <w:lang w:eastAsia="en-IN"/>
        </w:rPr>
        <w:t>organisation’s ability</w:t>
      </w:r>
      <w:r w:rsidRPr="00FE27AD">
        <w:rPr>
          <w:rFonts w:ascii="Arial" w:hAnsi="Arial" w:cs="Arial"/>
          <w:sz w:val="22"/>
          <w:szCs w:val="20"/>
          <w:lang w:eastAsia="en-IN"/>
        </w:rPr>
        <w:t xml:space="preserve"> to effectively manage the transition period. HR plays a critical role in planning for smoother transitions during M&amp;A between Murphy Oil Corporation and China National Petroleum Corporation. </w:t>
      </w:r>
    </w:p>
    <w:p w14:paraId="7B264918" w14:textId="29DB6FED" w:rsidR="00B55483" w:rsidRDefault="00B55483">
      <w:pPr>
        <w:spacing w:line="259" w:lineRule="auto"/>
        <w:jc w:val="left"/>
        <w:rPr>
          <w:rFonts w:eastAsiaTheme="majorEastAsia" w:cstheme="majorBidi"/>
          <w:b/>
          <w:sz w:val="28"/>
          <w:szCs w:val="32"/>
        </w:rPr>
      </w:pPr>
      <w:r>
        <w:br w:type="page"/>
      </w:r>
    </w:p>
    <w:p w14:paraId="06CF0D97" w14:textId="24648EA7" w:rsidR="003505C3" w:rsidRDefault="003505C3" w:rsidP="003505C3">
      <w:pPr>
        <w:pStyle w:val="Heading1"/>
      </w:pPr>
      <w:bookmarkStart w:id="10" w:name="_Toc129786970"/>
      <w:bookmarkStart w:id="11" w:name="_Toc131344759"/>
      <w:r w:rsidRPr="003505C3">
        <w:lastRenderedPageBreak/>
        <w:t>Conclusion</w:t>
      </w:r>
      <w:bookmarkEnd w:id="10"/>
      <w:bookmarkEnd w:id="11"/>
    </w:p>
    <w:p w14:paraId="504914AC" w14:textId="77777777" w:rsidR="003505C3" w:rsidRDefault="00D11BD3" w:rsidP="00C23754">
      <w:pPr>
        <w:rPr>
          <w:rFonts w:eastAsiaTheme="majorEastAsia" w:cstheme="majorBidi"/>
          <w:b/>
          <w:sz w:val="28"/>
          <w:szCs w:val="32"/>
        </w:rPr>
      </w:pPr>
      <w:r w:rsidRPr="00D11BD3">
        <w:t>T</w:t>
      </w:r>
      <w:r w:rsidR="00C23754" w:rsidRPr="00D11BD3">
        <w:t xml:space="preserve">he </w:t>
      </w:r>
      <w:r w:rsidR="006250B8">
        <w:t xml:space="preserve">report has concluded that HR </w:t>
      </w:r>
      <w:r w:rsidR="00990E7E">
        <w:t>will play</w:t>
      </w:r>
      <w:r w:rsidR="00C23754" w:rsidRPr="00D11BD3">
        <w:t xml:space="preserve"> a vital role in the pre-merger stages of the M&amp;A between Murphy Oil Corporation and China</w:t>
      </w:r>
      <w:r w:rsidRPr="00D11BD3">
        <w:t xml:space="preserve"> National Petroleum Corporation, </w:t>
      </w:r>
      <w:r w:rsidR="00C23754" w:rsidRPr="00D11BD3">
        <w:t>including conducting a comprehensive analysis of human resources, developing a plan for integrating the two</w:t>
      </w:r>
      <w:r w:rsidR="00C23754">
        <w:rPr>
          <w:shd w:val="clear" w:color="auto" w:fill="F7F7F8"/>
        </w:rPr>
        <w:t xml:space="preserve"> </w:t>
      </w:r>
      <w:r w:rsidR="00C23754" w:rsidRPr="00D11BD3">
        <w:t xml:space="preserve">workforces, and communicating with employees. After the successful implementation of the merger, the International Human Resource Management </w:t>
      </w:r>
      <w:r w:rsidR="00990E7E">
        <w:t xml:space="preserve">is expected </w:t>
      </w:r>
      <w:r w:rsidR="00C23754" w:rsidRPr="00D11BD3">
        <w:t>to play a crucial role in the integration process, including harmonizing HR policies and practices, integrating</w:t>
      </w:r>
      <w:r w:rsidR="00C23754">
        <w:rPr>
          <w:shd w:val="clear" w:color="auto" w:fill="F7F7F8"/>
        </w:rPr>
        <w:t xml:space="preserve"> </w:t>
      </w:r>
      <w:r w:rsidR="00C23754" w:rsidRPr="00D11BD3">
        <w:t>employees seamlessly, managing the expatriate workforce, managing talent, and managing employee relations.</w:t>
      </w:r>
      <w:r w:rsidR="003505C3">
        <w:br w:type="page"/>
      </w:r>
    </w:p>
    <w:p w14:paraId="1EAAFAE1" w14:textId="77777777" w:rsidR="003505C3" w:rsidRDefault="003505C3" w:rsidP="003505C3">
      <w:pPr>
        <w:pStyle w:val="Heading1"/>
      </w:pPr>
      <w:bookmarkStart w:id="12" w:name="_Toc129786971"/>
      <w:bookmarkStart w:id="13" w:name="_Toc131344760"/>
      <w:r>
        <w:lastRenderedPageBreak/>
        <w:t>References</w:t>
      </w:r>
      <w:bookmarkEnd w:id="12"/>
      <w:bookmarkEnd w:id="13"/>
      <w:r>
        <w:t xml:space="preserve"> </w:t>
      </w:r>
    </w:p>
    <w:p w14:paraId="20674EE6" w14:textId="77777777" w:rsidR="003F7672" w:rsidRPr="001D0D8F" w:rsidRDefault="003F7672" w:rsidP="001D0D8F">
      <w:pPr>
        <w:rPr>
          <w:b/>
        </w:rPr>
      </w:pPr>
      <w:r w:rsidRPr="001D0D8F">
        <w:rPr>
          <w:shd w:val="clear" w:color="auto" w:fill="FFFFFF"/>
        </w:rPr>
        <w:t xml:space="preserve">Bowen, D.E., </w:t>
      </w:r>
      <w:proofErr w:type="spellStart"/>
      <w:r w:rsidRPr="001D0D8F">
        <w:rPr>
          <w:shd w:val="clear" w:color="auto" w:fill="FFFFFF"/>
        </w:rPr>
        <w:t>Galang</w:t>
      </w:r>
      <w:proofErr w:type="spellEnd"/>
      <w:r w:rsidRPr="001D0D8F">
        <w:rPr>
          <w:shd w:val="clear" w:color="auto" w:fill="FFFFFF"/>
        </w:rPr>
        <w:t>, C. and Pillai, R., 2022. The role of human resource management: an exploratory study of cross</w:t>
      </w:r>
      <w:r w:rsidRPr="001D0D8F">
        <w:rPr>
          <w:rFonts w:ascii="Cambria Math" w:hAnsi="Cambria Math" w:cs="Cambria Math"/>
          <w:shd w:val="clear" w:color="auto" w:fill="FFFFFF"/>
        </w:rPr>
        <w:t>‐</w:t>
      </w:r>
      <w:r w:rsidRPr="001D0D8F">
        <w:rPr>
          <w:shd w:val="clear" w:color="auto" w:fill="FFFFFF"/>
        </w:rPr>
        <w:t>country variance. </w:t>
      </w:r>
      <w:r w:rsidRPr="001D0D8F">
        <w:rPr>
          <w:i/>
          <w:iCs/>
          <w:shd w:val="clear" w:color="auto" w:fill="FFFFFF"/>
        </w:rPr>
        <w:t>Human Resource Management: Published in Cooperation with the School of Business Administration, The University of Michigan and in alliance with the Society of Human Resources Management</w:t>
      </w:r>
      <w:r w:rsidRPr="001D0D8F">
        <w:rPr>
          <w:shd w:val="clear" w:color="auto" w:fill="FFFFFF"/>
        </w:rPr>
        <w:t>, </w:t>
      </w:r>
      <w:r w:rsidRPr="001D0D8F">
        <w:rPr>
          <w:i/>
          <w:iCs/>
          <w:shd w:val="clear" w:color="auto" w:fill="FFFFFF"/>
        </w:rPr>
        <w:t>41</w:t>
      </w:r>
      <w:r w:rsidRPr="001D0D8F">
        <w:rPr>
          <w:shd w:val="clear" w:color="auto" w:fill="FFFFFF"/>
        </w:rPr>
        <w:t>(1), pp.103-122.</w:t>
      </w:r>
    </w:p>
    <w:p w14:paraId="364A9A22" w14:textId="77777777" w:rsidR="003F7672" w:rsidRPr="001D0D8F" w:rsidRDefault="003F7672" w:rsidP="001D0D8F">
      <w:pPr>
        <w:rPr>
          <w:shd w:val="clear" w:color="auto" w:fill="FFFFFF"/>
        </w:rPr>
      </w:pPr>
      <w:r w:rsidRPr="001D0D8F">
        <w:rPr>
          <w:shd w:val="clear" w:color="auto" w:fill="FFFFFF"/>
        </w:rPr>
        <w:t>Cooke, F.L., Liu, M., Liu, L.A. and Chen, C.C., 2019. Human resource management and industrial relations in multinational corporations in and from China: Challenges and new insights. </w:t>
      </w:r>
      <w:r w:rsidRPr="001D0D8F">
        <w:rPr>
          <w:i/>
          <w:iCs/>
          <w:shd w:val="clear" w:color="auto" w:fill="FFFFFF"/>
        </w:rPr>
        <w:t>Human Resource Management</w:t>
      </w:r>
      <w:r w:rsidRPr="001D0D8F">
        <w:rPr>
          <w:shd w:val="clear" w:color="auto" w:fill="FFFFFF"/>
        </w:rPr>
        <w:t>, </w:t>
      </w:r>
      <w:r w:rsidRPr="001D0D8F">
        <w:rPr>
          <w:i/>
          <w:iCs/>
          <w:shd w:val="clear" w:color="auto" w:fill="FFFFFF"/>
        </w:rPr>
        <w:t>58</w:t>
      </w:r>
      <w:r w:rsidRPr="001D0D8F">
        <w:rPr>
          <w:shd w:val="clear" w:color="auto" w:fill="FFFFFF"/>
        </w:rPr>
        <w:t>(5), pp.455-471.</w:t>
      </w:r>
    </w:p>
    <w:p w14:paraId="6707D640" w14:textId="77777777" w:rsidR="003F7672" w:rsidRPr="001D0D8F" w:rsidRDefault="003F7672" w:rsidP="001D0D8F">
      <w:pPr>
        <w:rPr>
          <w:shd w:val="clear" w:color="auto" w:fill="FFFFFF"/>
        </w:rPr>
      </w:pPr>
      <w:r w:rsidRPr="001D0D8F">
        <w:rPr>
          <w:shd w:val="clear" w:color="auto" w:fill="FFFFFF"/>
        </w:rPr>
        <w:t>Cooke, F.L., Schuler, R. and Varma, A., 2020. Human resource management research and practice in Asia: Past, present and future. </w:t>
      </w:r>
      <w:r w:rsidRPr="001D0D8F">
        <w:rPr>
          <w:i/>
          <w:iCs/>
          <w:shd w:val="clear" w:color="auto" w:fill="FFFFFF"/>
        </w:rPr>
        <w:t>Human Resource Management Review</w:t>
      </w:r>
      <w:r w:rsidRPr="001D0D8F">
        <w:rPr>
          <w:shd w:val="clear" w:color="auto" w:fill="FFFFFF"/>
        </w:rPr>
        <w:t>, </w:t>
      </w:r>
      <w:r w:rsidRPr="001D0D8F">
        <w:rPr>
          <w:i/>
          <w:iCs/>
          <w:shd w:val="clear" w:color="auto" w:fill="FFFFFF"/>
        </w:rPr>
        <w:t>30</w:t>
      </w:r>
      <w:r w:rsidRPr="001D0D8F">
        <w:rPr>
          <w:shd w:val="clear" w:color="auto" w:fill="FFFFFF"/>
        </w:rPr>
        <w:t>(4), p.100778.</w:t>
      </w:r>
    </w:p>
    <w:p w14:paraId="32B35587" w14:textId="77777777" w:rsidR="003F7672" w:rsidRPr="001D0D8F" w:rsidRDefault="003F7672" w:rsidP="001D0D8F">
      <w:pPr>
        <w:rPr>
          <w:shd w:val="clear" w:color="auto" w:fill="FFFFFF"/>
        </w:rPr>
      </w:pPr>
      <w:proofErr w:type="spellStart"/>
      <w:r w:rsidRPr="001D0D8F">
        <w:rPr>
          <w:shd w:val="clear" w:color="auto" w:fill="FFFFFF"/>
        </w:rPr>
        <w:t>Desarno</w:t>
      </w:r>
      <w:proofErr w:type="spellEnd"/>
      <w:r w:rsidRPr="001D0D8F">
        <w:rPr>
          <w:shd w:val="clear" w:color="auto" w:fill="FFFFFF"/>
        </w:rPr>
        <w:t xml:space="preserve">, J., Perez, M., Rivas, R., </w:t>
      </w:r>
      <w:proofErr w:type="spellStart"/>
      <w:r w:rsidRPr="001D0D8F">
        <w:rPr>
          <w:shd w:val="clear" w:color="auto" w:fill="FFFFFF"/>
        </w:rPr>
        <w:t>Sandate</w:t>
      </w:r>
      <w:proofErr w:type="spellEnd"/>
      <w:r w:rsidRPr="001D0D8F">
        <w:rPr>
          <w:shd w:val="clear" w:color="auto" w:fill="FFFFFF"/>
        </w:rPr>
        <w:t>, I., Reed, C. and Fonseca, I., 2021. Succession planning within the health care organisation:: Human resources management and human capital management considerations. </w:t>
      </w:r>
      <w:r w:rsidRPr="001D0D8F">
        <w:rPr>
          <w:i/>
          <w:iCs/>
          <w:shd w:val="clear" w:color="auto" w:fill="FFFFFF"/>
        </w:rPr>
        <w:t>Nurse leader</w:t>
      </w:r>
      <w:r w:rsidRPr="001D0D8F">
        <w:rPr>
          <w:shd w:val="clear" w:color="auto" w:fill="FFFFFF"/>
        </w:rPr>
        <w:t>, </w:t>
      </w:r>
      <w:r w:rsidRPr="001D0D8F">
        <w:rPr>
          <w:i/>
          <w:iCs/>
          <w:shd w:val="clear" w:color="auto" w:fill="FFFFFF"/>
        </w:rPr>
        <w:t>19</w:t>
      </w:r>
      <w:r w:rsidRPr="001D0D8F">
        <w:rPr>
          <w:shd w:val="clear" w:color="auto" w:fill="FFFFFF"/>
        </w:rPr>
        <w:t>(4), pp.411-415.</w:t>
      </w:r>
    </w:p>
    <w:p w14:paraId="24E4F4AF" w14:textId="77777777" w:rsidR="003F7672" w:rsidRPr="001D0D8F" w:rsidRDefault="003F7672" w:rsidP="001D0D8F">
      <w:pPr>
        <w:rPr>
          <w:shd w:val="clear" w:color="auto" w:fill="FFFFFF"/>
        </w:rPr>
      </w:pPr>
      <w:r w:rsidRPr="001D0D8F">
        <w:rPr>
          <w:shd w:val="clear" w:color="auto" w:fill="FFFFFF"/>
        </w:rPr>
        <w:t>Guest, D.E. and Woodrow, C., 2021. Exploring the boundaries of human resource managers’ responsibilities. </w:t>
      </w:r>
      <w:r w:rsidRPr="001D0D8F">
        <w:rPr>
          <w:i/>
          <w:iCs/>
          <w:shd w:val="clear" w:color="auto" w:fill="FFFFFF"/>
        </w:rPr>
        <w:t>Journal of business ethics</w:t>
      </w:r>
      <w:r w:rsidRPr="001D0D8F">
        <w:rPr>
          <w:shd w:val="clear" w:color="auto" w:fill="FFFFFF"/>
        </w:rPr>
        <w:t>, </w:t>
      </w:r>
      <w:r w:rsidRPr="001D0D8F">
        <w:rPr>
          <w:i/>
          <w:iCs/>
          <w:shd w:val="clear" w:color="auto" w:fill="FFFFFF"/>
        </w:rPr>
        <w:t>111</w:t>
      </w:r>
      <w:r w:rsidRPr="001D0D8F">
        <w:rPr>
          <w:shd w:val="clear" w:color="auto" w:fill="FFFFFF"/>
        </w:rPr>
        <w:t>, pp.109-119.</w:t>
      </w:r>
    </w:p>
    <w:p w14:paraId="7E8BB2D7" w14:textId="77777777" w:rsidR="003F7672" w:rsidRPr="001D0D8F" w:rsidRDefault="003F7672" w:rsidP="001D0D8F">
      <w:pPr>
        <w:rPr>
          <w:shd w:val="clear" w:color="auto" w:fill="FFFFFF"/>
        </w:rPr>
      </w:pPr>
      <w:r w:rsidRPr="001D0D8F">
        <w:rPr>
          <w:shd w:val="clear" w:color="auto" w:fill="FFFFFF"/>
        </w:rPr>
        <w:t xml:space="preserve">Harvey, M.G., Speier, C. and </w:t>
      </w:r>
      <w:proofErr w:type="spellStart"/>
      <w:r w:rsidRPr="001D0D8F">
        <w:rPr>
          <w:shd w:val="clear" w:color="auto" w:fill="FFFFFF"/>
        </w:rPr>
        <w:t>Novicevic</w:t>
      </w:r>
      <w:proofErr w:type="spellEnd"/>
      <w:r w:rsidRPr="001D0D8F">
        <w:rPr>
          <w:shd w:val="clear" w:color="auto" w:fill="FFFFFF"/>
        </w:rPr>
        <w:t>, M.M., 2019. Strategic global human resource management: The role of inpatriate managers. </w:t>
      </w:r>
      <w:r w:rsidRPr="001D0D8F">
        <w:rPr>
          <w:i/>
          <w:iCs/>
          <w:shd w:val="clear" w:color="auto" w:fill="FFFFFF"/>
        </w:rPr>
        <w:t>Human Resource Management Review</w:t>
      </w:r>
      <w:r w:rsidRPr="001D0D8F">
        <w:rPr>
          <w:shd w:val="clear" w:color="auto" w:fill="FFFFFF"/>
        </w:rPr>
        <w:t>, </w:t>
      </w:r>
      <w:r w:rsidRPr="001D0D8F">
        <w:rPr>
          <w:i/>
          <w:iCs/>
          <w:shd w:val="clear" w:color="auto" w:fill="FFFFFF"/>
        </w:rPr>
        <w:t>10</w:t>
      </w:r>
      <w:r w:rsidRPr="001D0D8F">
        <w:rPr>
          <w:shd w:val="clear" w:color="auto" w:fill="FFFFFF"/>
        </w:rPr>
        <w:t>(2), pp.153-175.</w:t>
      </w:r>
    </w:p>
    <w:p w14:paraId="5058D711" w14:textId="77777777" w:rsidR="003F7672" w:rsidRPr="001D0D8F" w:rsidRDefault="003F7672" w:rsidP="001D0D8F">
      <w:pPr>
        <w:rPr>
          <w:shd w:val="clear" w:color="auto" w:fill="FFFFFF"/>
        </w:rPr>
      </w:pPr>
      <w:r w:rsidRPr="001D0D8F">
        <w:rPr>
          <w:shd w:val="clear" w:color="auto" w:fill="FFFFFF"/>
        </w:rPr>
        <w:t xml:space="preserve">Isa, S.S., 2021. The impact of environmental forces on Nigerian National Petroleum Corporation's growth strategy and </w:t>
      </w:r>
      <w:proofErr w:type="spellStart"/>
      <w:r w:rsidRPr="001D0D8F">
        <w:rPr>
          <w:shd w:val="clear" w:color="auto" w:fill="FFFFFF"/>
        </w:rPr>
        <w:t>profitabiliOrganisationty</w:t>
      </w:r>
      <w:proofErr w:type="spellEnd"/>
      <w:r w:rsidRPr="001D0D8F">
        <w:rPr>
          <w:shd w:val="clear" w:color="auto" w:fill="FFFFFF"/>
        </w:rPr>
        <w:t> (Doctoral dissertation).</w:t>
      </w:r>
    </w:p>
    <w:p w14:paraId="7B3F95D7" w14:textId="77777777" w:rsidR="003F7672" w:rsidRPr="001D0D8F" w:rsidRDefault="003F7672" w:rsidP="001D0D8F">
      <w:pPr>
        <w:rPr>
          <w:shd w:val="clear" w:color="auto" w:fill="FFFFFF"/>
        </w:rPr>
      </w:pPr>
      <w:r w:rsidRPr="001D0D8F">
        <w:rPr>
          <w:shd w:val="clear" w:color="auto" w:fill="FFFFFF"/>
        </w:rPr>
        <w:t>Mayrhofer, W., Gooderham, P.N. and Brewster, C., 2019. Context and HRM: Theory, evidence, and proposals. </w:t>
      </w:r>
      <w:r w:rsidRPr="001D0D8F">
        <w:rPr>
          <w:i/>
          <w:iCs/>
          <w:shd w:val="clear" w:color="auto" w:fill="FFFFFF"/>
        </w:rPr>
        <w:t>International Studies of Management &amp; Organisation</w:t>
      </w:r>
      <w:r w:rsidRPr="001D0D8F">
        <w:rPr>
          <w:shd w:val="clear" w:color="auto" w:fill="FFFFFF"/>
        </w:rPr>
        <w:t>, </w:t>
      </w:r>
      <w:r w:rsidRPr="001D0D8F">
        <w:rPr>
          <w:i/>
          <w:iCs/>
          <w:shd w:val="clear" w:color="auto" w:fill="FFFFFF"/>
        </w:rPr>
        <w:t>49</w:t>
      </w:r>
      <w:r w:rsidRPr="001D0D8F">
        <w:rPr>
          <w:shd w:val="clear" w:color="auto" w:fill="FFFFFF"/>
        </w:rPr>
        <w:t>(4), pp.355-371.</w:t>
      </w:r>
    </w:p>
    <w:p w14:paraId="5164642C" w14:textId="77777777" w:rsidR="003F7672" w:rsidRPr="001D0D8F" w:rsidRDefault="003F7672" w:rsidP="001D0D8F">
      <w:pPr>
        <w:rPr>
          <w:shd w:val="clear" w:color="auto" w:fill="FFFFFF"/>
        </w:rPr>
      </w:pPr>
      <w:proofErr w:type="spellStart"/>
      <w:r w:rsidRPr="001D0D8F">
        <w:rPr>
          <w:shd w:val="clear" w:color="auto" w:fill="FFFFFF"/>
        </w:rPr>
        <w:lastRenderedPageBreak/>
        <w:t>Oancea</w:t>
      </w:r>
      <w:proofErr w:type="spellEnd"/>
      <w:r w:rsidRPr="001D0D8F">
        <w:rPr>
          <w:shd w:val="clear" w:color="auto" w:fill="FFFFFF"/>
        </w:rPr>
        <w:t>, C. and Kamau, C., 2020.  al Psychology of mergers and acquisitions. Routledge.</w:t>
      </w:r>
    </w:p>
    <w:p w14:paraId="1363CA9F" w14:textId="77777777" w:rsidR="003F7672" w:rsidRPr="001D0D8F" w:rsidRDefault="003F7672" w:rsidP="001D0D8F">
      <w:pPr>
        <w:rPr>
          <w:b/>
          <w:bCs/>
        </w:rPr>
      </w:pPr>
      <w:r w:rsidRPr="001D0D8F">
        <w:rPr>
          <w:shd w:val="clear" w:color="auto" w:fill="FFFFFF"/>
        </w:rPr>
        <w:t>Stone, D.L. and Deadrick, D.L., 2020. Challenges and opportunities affecting the future of human resource management. Human Resource Management Review, 25(2), pp.139-145.</w:t>
      </w:r>
    </w:p>
    <w:p w14:paraId="7660F90B" w14:textId="77777777" w:rsidR="003F7672" w:rsidRPr="00A151A7" w:rsidRDefault="003F7672" w:rsidP="001D0D8F">
      <w:r w:rsidRPr="001D0D8F">
        <w:rPr>
          <w:shd w:val="clear" w:color="auto" w:fill="FFFFFF"/>
        </w:rPr>
        <w:t>Wood, S., 2019. Human resource management and performance. International journal of management reviews, 1(4), pp.367-413.</w:t>
      </w:r>
    </w:p>
    <w:p w14:paraId="013F1F8C" w14:textId="77777777" w:rsidR="003F7672" w:rsidRDefault="003F7672" w:rsidP="001D0D8F">
      <w:pPr>
        <w:rPr>
          <w:shd w:val="clear" w:color="auto" w:fill="FFFFFF"/>
        </w:rPr>
      </w:pPr>
      <w:proofErr w:type="spellStart"/>
      <w:r w:rsidRPr="001D0D8F">
        <w:rPr>
          <w:shd w:val="clear" w:color="auto" w:fill="FFFFFF"/>
        </w:rPr>
        <w:t>Yawalkar</w:t>
      </w:r>
      <w:proofErr w:type="spellEnd"/>
      <w:r w:rsidRPr="001D0D8F">
        <w:rPr>
          <w:shd w:val="clear" w:color="auto" w:fill="FFFFFF"/>
        </w:rPr>
        <w:t xml:space="preserve">, M.V.V., </w:t>
      </w:r>
      <w:r>
        <w:rPr>
          <w:shd w:val="clear" w:color="auto" w:fill="FFFFFF"/>
        </w:rPr>
        <w:t>2019. A</w:t>
      </w:r>
      <w:r w:rsidRPr="001D0D8F">
        <w:rPr>
          <w:shd w:val="clear" w:color="auto" w:fill="FFFFFF"/>
        </w:rPr>
        <w:t xml:space="preserve"> Study of Artificial Intelligence and its role in Human Resource Management. </w:t>
      </w:r>
      <w:r w:rsidRPr="001D0D8F">
        <w:rPr>
          <w:i/>
          <w:iCs/>
          <w:shd w:val="clear" w:color="auto" w:fill="FFFFFF"/>
        </w:rPr>
        <w:t>International Journal of Research and Analytical Reviews (IJRAR)</w:t>
      </w:r>
      <w:r w:rsidRPr="001D0D8F">
        <w:rPr>
          <w:shd w:val="clear" w:color="auto" w:fill="FFFFFF"/>
        </w:rPr>
        <w:t>, </w:t>
      </w:r>
      <w:r w:rsidRPr="001D0D8F">
        <w:rPr>
          <w:i/>
          <w:iCs/>
          <w:shd w:val="clear" w:color="auto" w:fill="FFFFFF"/>
        </w:rPr>
        <w:t>6</w:t>
      </w:r>
      <w:r w:rsidRPr="001D0D8F">
        <w:rPr>
          <w:shd w:val="clear" w:color="auto" w:fill="FFFFFF"/>
        </w:rPr>
        <w:t>(1), pp.20-24.</w:t>
      </w:r>
    </w:p>
    <w:p w14:paraId="6DA9FDC5" w14:textId="77777777" w:rsidR="009967B6" w:rsidRPr="001D0D8F" w:rsidRDefault="009967B6" w:rsidP="009967B6">
      <w:pPr>
        <w:rPr>
          <w:shd w:val="clear" w:color="auto" w:fill="FFFFFF"/>
        </w:rPr>
      </w:pPr>
      <w:proofErr w:type="spellStart"/>
      <w:r>
        <w:rPr>
          <w:shd w:val="clear" w:color="auto" w:fill="FFFFFF"/>
        </w:rPr>
        <w:t>Margariti</w:t>
      </w:r>
      <w:proofErr w:type="spellEnd"/>
      <w:r>
        <w:rPr>
          <w:shd w:val="clear" w:color="auto" w:fill="FFFFFF"/>
        </w:rPr>
        <w:t xml:space="preserve">, K., </w:t>
      </w:r>
      <w:proofErr w:type="spellStart"/>
      <w:r>
        <w:rPr>
          <w:shd w:val="clear" w:color="auto" w:fill="FFFFFF"/>
        </w:rPr>
        <w:t>Boutsouki</w:t>
      </w:r>
      <w:proofErr w:type="spellEnd"/>
      <w:r>
        <w:rPr>
          <w:shd w:val="clear" w:color="auto" w:fill="FFFFFF"/>
        </w:rPr>
        <w:t xml:space="preserve">, C., </w:t>
      </w:r>
      <w:proofErr w:type="spellStart"/>
      <w:r>
        <w:rPr>
          <w:shd w:val="clear" w:color="auto" w:fill="FFFFFF"/>
        </w:rPr>
        <w:t>Hatzithomas</w:t>
      </w:r>
      <w:proofErr w:type="spellEnd"/>
      <w:r>
        <w:rPr>
          <w:shd w:val="clear" w:color="auto" w:fill="FFFFFF"/>
        </w:rPr>
        <w:t xml:space="preserve">, L. and </w:t>
      </w:r>
      <w:proofErr w:type="spellStart"/>
      <w:r>
        <w:rPr>
          <w:shd w:val="clear" w:color="auto" w:fill="FFFFFF"/>
        </w:rPr>
        <w:t>Zotos</w:t>
      </w:r>
      <w:proofErr w:type="spellEnd"/>
      <w:r>
        <w:rPr>
          <w:shd w:val="clear" w:color="auto" w:fill="FFFFFF"/>
        </w:rPr>
        <w:t>, Y., 2019. Visual metaphors in food advertising: A cross-cultural study. </w:t>
      </w:r>
      <w:r>
        <w:rPr>
          <w:i/>
          <w:iCs/>
          <w:shd w:val="clear" w:color="auto" w:fill="FFFFFF"/>
        </w:rPr>
        <w:t>Food research international</w:t>
      </w:r>
      <w:r>
        <w:rPr>
          <w:shd w:val="clear" w:color="auto" w:fill="FFFFFF"/>
        </w:rPr>
        <w:t>, </w:t>
      </w:r>
      <w:r>
        <w:rPr>
          <w:i/>
          <w:iCs/>
          <w:shd w:val="clear" w:color="auto" w:fill="FFFFFF"/>
        </w:rPr>
        <w:t>115</w:t>
      </w:r>
      <w:r>
        <w:rPr>
          <w:shd w:val="clear" w:color="auto" w:fill="FFFFFF"/>
        </w:rPr>
        <w:t>, pp.338-351.</w:t>
      </w:r>
    </w:p>
    <w:p w14:paraId="2D796C73" w14:textId="77777777" w:rsidR="004842F1" w:rsidRDefault="004842F1" w:rsidP="004842F1">
      <w:pPr>
        <w:rPr>
          <w:rFonts w:eastAsia="Times New Roman" w:cs="Times New Roman"/>
          <w:szCs w:val="24"/>
        </w:rPr>
      </w:pPr>
    </w:p>
    <w:p w14:paraId="26423CCA" w14:textId="77777777" w:rsidR="004842F1" w:rsidRPr="004842F1" w:rsidRDefault="004842F1" w:rsidP="004842F1">
      <w:pPr>
        <w:rPr>
          <w:b/>
          <w:bCs/>
        </w:rPr>
      </w:pPr>
    </w:p>
    <w:sectPr w:rsidR="004842F1" w:rsidRPr="004842F1" w:rsidSect="00A22FE9">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5242B" w14:textId="77777777" w:rsidR="006511AC" w:rsidRDefault="006511AC" w:rsidP="000F0AF3">
      <w:pPr>
        <w:spacing w:after="0" w:line="240" w:lineRule="auto"/>
      </w:pPr>
      <w:r>
        <w:separator/>
      </w:r>
    </w:p>
  </w:endnote>
  <w:endnote w:type="continuationSeparator" w:id="0">
    <w:p w14:paraId="03817ED5" w14:textId="77777777" w:rsidR="006511AC" w:rsidRDefault="006511AC" w:rsidP="000F0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876982"/>
      <w:docPartObj>
        <w:docPartGallery w:val="Page Numbers (Bottom of Page)"/>
        <w:docPartUnique/>
      </w:docPartObj>
    </w:sdtPr>
    <w:sdtContent>
      <w:sdt>
        <w:sdtPr>
          <w:id w:val="-1769616900"/>
          <w:docPartObj>
            <w:docPartGallery w:val="Page Numbers (Top of Page)"/>
            <w:docPartUnique/>
          </w:docPartObj>
        </w:sdtPr>
        <w:sdtContent>
          <w:p w14:paraId="15ED3C3D" w14:textId="77777777" w:rsidR="00A22FE9" w:rsidRDefault="00A22FE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1927CB">
              <w:rPr>
                <w:b/>
                <w:bCs/>
                <w:noProof/>
              </w:rPr>
              <w:t>17</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927CB">
              <w:rPr>
                <w:b/>
                <w:bCs/>
                <w:noProof/>
              </w:rPr>
              <w:t>17</w:t>
            </w:r>
            <w:r>
              <w:rPr>
                <w:b/>
                <w:bCs/>
                <w:szCs w:val="24"/>
              </w:rPr>
              <w:fldChar w:fldCharType="end"/>
            </w:r>
          </w:p>
        </w:sdtContent>
      </w:sdt>
    </w:sdtContent>
  </w:sdt>
  <w:p w14:paraId="492CBC36" w14:textId="77777777" w:rsidR="00A22FE9" w:rsidRDefault="00A22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EA8D9" w14:textId="77777777" w:rsidR="006511AC" w:rsidRDefault="006511AC" w:rsidP="000F0AF3">
      <w:pPr>
        <w:spacing w:after="0" w:line="240" w:lineRule="auto"/>
      </w:pPr>
      <w:r>
        <w:separator/>
      </w:r>
    </w:p>
  </w:footnote>
  <w:footnote w:type="continuationSeparator" w:id="0">
    <w:p w14:paraId="5D47B495" w14:textId="77777777" w:rsidR="006511AC" w:rsidRDefault="006511AC" w:rsidP="000F0A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3A9FA" w14:textId="73E0DB1D" w:rsidR="00A22FE9" w:rsidRPr="00A22FE9" w:rsidRDefault="00A22FE9" w:rsidP="00A22FE9">
    <w:pPr>
      <w:spacing w:line="259" w:lineRule="auto"/>
      <w:jc w:val="right"/>
      <w:rPr>
        <w:b/>
        <w:bCs/>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E0F6D"/>
    <w:multiLevelType w:val="multilevel"/>
    <w:tmpl w:val="E4C4DD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7F4FCD"/>
    <w:multiLevelType w:val="multilevel"/>
    <w:tmpl w:val="5F583D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595660"/>
    <w:multiLevelType w:val="multilevel"/>
    <w:tmpl w:val="ED768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273A60"/>
    <w:multiLevelType w:val="multilevel"/>
    <w:tmpl w:val="46082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4F507B"/>
    <w:multiLevelType w:val="multilevel"/>
    <w:tmpl w:val="6B923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B16E60"/>
    <w:multiLevelType w:val="hybridMultilevel"/>
    <w:tmpl w:val="43FEEE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52E6F67"/>
    <w:multiLevelType w:val="multilevel"/>
    <w:tmpl w:val="2084D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F51C22"/>
    <w:multiLevelType w:val="multilevel"/>
    <w:tmpl w:val="F81045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14949E7"/>
    <w:multiLevelType w:val="multilevel"/>
    <w:tmpl w:val="ACFE2EE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78386E"/>
    <w:multiLevelType w:val="multilevel"/>
    <w:tmpl w:val="236E97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3819064">
    <w:abstractNumId w:val="2"/>
  </w:num>
  <w:num w:numId="2" w16cid:durableId="435249924">
    <w:abstractNumId w:val="7"/>
  </w:num>
  <w:num w:numId="3" w16cid:durableId="111367595">
    <w:abstractNumId w:val="4"/>
  </w:num>
  <w:num w:numId="4" w16cid:durableId="1274090762">
    <w:abstractNumId w:val="3"/>
  </w:num>
  <w:num w:numId="5" w16cid:durableId="2020807469">
    <w:abstractNumId w:val="1"/>
  </w:num>
  <w:num w:numId="6" w16cid:durableId="511143457">
    <w:abstractNumId w:val="9"/>
  </w:num>
  <w:num w:numId="7" w16cid:durableId="522520524">
    <w:abstractNumId w:val="0"/>
  </w:num>
  <w:num w:numId="8" w16cid:durableId="131947440">
    <w:abstractNumId w:val="8"/>
  </w:num>
  <w:num w:numId="9" w16cid:durableId="1493985259">
    <w:abstractNumId w:val="6"/>
  </w:num>
  <w:num w:numId="10" w16cid:durableId="20531897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C95"/>
    <w:rsid w:val="000867EC"/>
    <w:rsid w:val="00093E4D"/>
    <w:rsid w:val="000A1025"/>
    <w:rsid w:val="000E3ED6"/>
    <w:rsid w:val="000F0AF3"/>
    <w:rsid w:val="0013342B"/>
    <w:rsid w:val="0017155B"/>
    <w:rsid w:val="001927CB"/>
    <w:rsid w:val="00193A3D"/>
    <w:rsid w:val="001D0D8F"/>
    <w:rsid w:val="001D337D"/>
    <w:rsid w:val="00222738"/>
    <w:rsid w:val="00256782"/>
    <w:rsid w:val="002C4FF1"/>
    <w:rsid w:val="002D69DA"/>
    <w:rsid w:val="003505C3"/>
    <w:rsid w:val="00351D95"/>
    <w:rsid w:val="003F7672"/>
    <w:rsid w:val="0047525F"/>
    <w:rsid w:val="004842F1"/>
    <w:rsid w:val="004B50B6"/>
    <w:rsid w:val="005338B5"/>
    <w:rsid w:val="005A171B"/>
    <w:rsid w:val="005D0042"/>
    <w:rsid w:val="005D510E"/>
    <w:rsid w:val="00607E24"/>
    <w:rsid w:val="00613770"/>
    <w:rsid w:val="006250B8"/>
    <w:rsid w:val="006511AC"/>
    <w:rsid w:val="00707188"/>
    <w:rsid w:val="007A5C6E"/>
    <w:rsid w:val="007C099F"/>
    <w:rsid w:val="00802BA2"/>
    <w:rsid w:val="008B64AE"/>
    <w:rsid w:val="008C3F3B"/>
    <w:rsid w:val="00921A96"/>
    <w:rsid w:val="00922CC0"/>
    <w:rsid w:val="00925EFF"/>
    <w:rsid w:val="009830B6"/>
    <w:rsid w:val="00990E7E"/>
    <w:rsid w:val="009967B6"/>
    <w:rsid w:val="009D007A"/>
    <w:rsid w:val="00A151A7"/>
    <w:rsid w:val="00A22FE9"/>
    <w:rsid w:val="00A5162D"/>
    <w:rsid w:val="00A86F2F"/>
    <w:rsid w:val="00AC1058"/>
    <w:rsid w:val="00B014E1"/>
    <w:rsid w:val="00B43D42"/>
    <w:rsid w:val="00B55483"/>
    <w:rsid w:val="00B80D1A"/>
    <w:rsid w:val="00BC50D2"/>
    <w:rsid w:val="00BE638F"/>
    <w:rsid w:val="00C008C3"/>
    <w:rsid w:val="00C23754"/>
    <w:rsid w:val="00C36DA3"/>
    <w:rsid w:val="00C75597"/>
    <w:rsid w:val="00C866E3"/>
    <w:rsid w:val="00CF0BEE"/>
    <w:rsid w:val="00CF0C95"/>
    <w:rsid w:val="00D06AA7"/>
    <w:rsid w:val="00D11BD3"/>
    <w:rsid w:val="00D40F96"/>
    <w:rsid w:val="00D44275"/>
    <w:rsid w:val="00DB440D"/>
    <w:rsid w:val="00DC6E6E"/>
    <w:rsid w:val="00DF1C66"/>
    <w:rsid w:val="00DF6BC0"/>
    <w:rsid w:val="00E1487D"/>
    <w:rsid w:val="00E841D4"/>
    <w:rsid w:val="00EA6A85"/>
    <w:rsid w:val="00EF5C3C"/>
    <w:rsid w:val="00F154EF"/>
    <w:rsid w:val="00F45F4D"/>
    <w:rsid w:val="00F777F7"/>
    <w:rsid w:val="00F8322F"/>
    <w:rsid w:val="00FE27A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906CCD"/>
  <w15:chartTrackingRefBased/>
  <w15:docId w15:val="{7EA8C1EF-C1A5-4C2E-8784-7C5E33990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D9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51D95"/>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D95"/>
    <w:rPr>
      <w:rFonts w:ascii="Times New Roman" w:eastAsiaTheme="majorEastAsia" w:hAnsi="Times New Roman" w:cstheme="majorBidi"/>
      <w:b/>
      <w:sz w:val="28"/>
      <w:szCs w:val="32"/>
    </w:rPr>
  </w:style>
  <w:style w:type="paragraph" w:styleId="NormalWeb">
    <w:name w:val="Normal (Web)"/>
    <w:basedOn w:val="Normal"/>
    <w:uiPriority w:val="99"/>
    <w:semiHidden/>
    <w:unhideWhenUsed/>
    <w:rsid w:val="005D0042"/>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ListParagraph">
    <w:name w:val="List Paragraph"/>
    <w:basedOn w:val="Normal"/>
    <w:uiPriority w:val="34"/>
    <w:qFormat/>
    <w:rsid w:val="001D0D8F"/>
    <w:pPr>
      <w:ind w:left="720"/>
      <w:contextualSpacing/>
    </w:pPr>
  </w:style>
  <w:style w:type="paragraph" w:styleId="Header">
    <w:name w:val="header"/>
    <w:basedOn w:val="Normal"/>
    <w:link w:val="HeaderChar"/>
    <w:uiPriority w:val="99"/>
    <w:unhideWhenUsed/>
    <w:rsid w:val="000F0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AF3"/>
    <w:rPr>
      <w:rFonts w:ascii="Times New Roman" w:hAnsi="Times New Roman"/>
      <w:sz w:val="24"/>
    </w:rPr>
  </w:style>
  <w:style w:type="paragraph" w:styleId="Footer">
    <w:name w:val="footer"/>
    <w:basedOn w:val="Normal"/>
    <w:link w:val="FooterChar"/>
    <w:uiPriority w:val="99"/>
    <w:unhideWhenUsed/>
    <w:rsid w:val="000F0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AF3"/>
    <w:rPr>
      <w:rFonts w:ascii="Times New Roman" w:hAnsi="Times New Roman"/>
      <w:sz w:val="24"/>
    </w:rPr>
  </w:style>
  <w:style w:type="paragraph" w:styleId="TOCHeading">
    <w:name w:val="TOC Heading"/>
    <w:basedOn w:val="Heading1"/>
    <w:next w:val="Normal"/>
    <w:uiPriority w:val="39"/>
    <w:unhideWhenUsed/>
    <w:qFormat/>
    <w:rsid w:val="00A22FE9"/>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2">
    <w:name w:val="toc 2"/>
    <w:basedOn w:val="Normal"/>
    <w:next w:val="Normal"/>
    <w:autoRedefine/>
    <w:uiPriority w:val="39"/>
    <w:unhideWhenUsed/>
    <w:rsid w:val="00A22FE9"/>
    <w:pPr>
      <w:spacing w:after="100" w:line="259" w:lineRule="auto"/>
      <w:ind w:left="220"/>
      <w:jc w:val="left"/>
    </w:pPr>
    <w:rPr>
      <w:rFonts w:asciiTheme="minorHAnsi" w:eastAsiaTheme="minorEastAsia" w:hAnsiTheme="minorHAnsi" w:cs="Times New Roman"/>
      <w:kern w:val="0"/>
      <w:sz w:val="22"/>
      <w:lang w:val="en-US"/>
      <w14:ligatures w14:val="none"/>
    </w:rPr>
  </w:style>
  <w:style w:type="paragraph" w:styleId="TOC1">
    <w:name w:val="toc 1"/>
    <w:basedOn w:val="Normal"/>
    <w:next w:val="Normal"/>
    <w:autoRedefine/>
    <w:uiPriority w:val="39"/>
    <w:unhideWhenUsed/>
    <w:rsid w:val="00A22FE9"/>
    <w:pPr>
      <w:spacing w:after="100" w:line="259" w:lineRule="auto"/>
      <w:jc w:val="left"/>
    </w:pPr>
    <w:rPr>
      <w:rFonts w:asciiTheme="minorHAnsi" w:eastAsiaTheme="minorEastAsia" w:hAnsiTheme="minorHAnsi" w:cs="Times New Roman"/>
      <w:kern w:val="0"/>
      <w:sz w:val="22"/>
      <w:lang w:val="en-US"/>
      <w14:ligatures w14:val="none"/>
    </w:rPr>
  </w:style>
  <w:style w:type="paragraph" w:styleId="TOC3">
    <w:name w:val="toc 3"/>
    <w:basedOn w:val="Normal"/>
    <w:next w:val="Normal"/>
    <w:autoRedefine/>
    <w:uiPriority w:val="39"/>
    <w:unhideWhenUsed/>
    <w:rsid w:val="00A22FE9"/>
    <w:pPr>
      <w:spacing w:after="100" w:line="259" w:lineRule="auto"/>
      <w:ind w:left="440"/>
      <w:jc w:val="left"/>
    </w:pPr>
    <w:rPr>
      <w:rFonts w:asciiTheme="minorHAnsi" w:eastAsiaTheme="minorEastAsia" w:hAnsiTheme="minorHAnsi" w:cs="Times New Roman"/>
      <w:kern w:val="0"/>
      <w:sz w:val="22"/>
      <w:lang w:val="en-US"/>
      <w14:ligatures w14:val="none"/>
    </w:rPr>
  </w:style>
  <w:style w:type="character" w:styleId="Hyperlink">
    <w:name w:val="Hyperlink"/>
    <w:basedOn w:val="DefaultParagraphFont"/>
    <w:uiPriority w:val="99"/>
    <w:unhideWhenUsed/>
    <w:rsid w:val="00A22FE9"/>
    <w:rPr>
      <w:color w:val="0563C1" w:themeColor="hyperlink"/>
      <w:u w:val="single"/>
    </w:rPr>
  </w:style>
  <w:style w:type="paragraph" w:customStyle="1" w:styleId="paragraph">
    <w:name w:val="paragraph"/>
    <w:basedOn w:val="Normal"/>
    <w:rsid w:val="00256782"/>
    <w:pPr>
      <w:spacing w:before="100" w:beforeAutospacing="1" w:after="100" w:afterAutospacing="1" w:line="240" w:lineRule="auto"/>
      <w:jc w:val="left"/>
    </w:pPr>
    <w:rPr>
      <w:rFonts w:eastAsia="Times New Roman" w:cs="Times New Roman"/>
      <w:kern w:val="0"/>
      <w:szCs w:val="24"/>
      <w:lang w:val="en-GB" w:eastAsia="zh-CN"/>
      <w14:ligatures w14:val="none"/>
    </w:rPr>
  </w:style>
  <w:style w:type="character" w:customStyle="1" w:styleId="normaltextrun">
    <w:name w:val="normaltextrun"/>
    <w:basedOn w:val="DefaultParagraphFont"/>
    <w:rsid w:val="00256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94629">
      <w:bodyDiv w:val="1"/>
      <w:marLeft w:val="0"/>
      <w:marRight w:val="0"/>
      <w:marTop w:val="0"/>
      <w:marBottom w:val="0"/>
      <w:divBdr>
        <w:top w:val="none" w:sz="0" w:space="0" w:color="auto"/>
        <w:left w:val="none" w:sz="0" w:space="0" w:color="auto"/>
        <w:bottom w:val="none" w:sz="0" w:space="0" w:color="auto"/>
        <w:right w:val="none" w:sz="0" w:space="0" w:color="auto"/>
      </w:divBdr>
    </w:div>
    <w:div w:id="187259149">
      <w:bodyDiv w:val="1"/>
      <w:marLeft w:val="0"/>
      <w:marRight w:val="0"/>
      <w:marTop w:val="0"/>
      <w:marBottom w:val="0"/>
      <w:divBdr>
        <w:top w:val="none" w:sz="0" w:space="0" w:color="auto"/>
        <w:left w:val="none" w:sz="0" w:space="0" w:color="auto"/>
        <w:bottom w:val="none" w:sz="0" w:space="0" w:color="auto"/>
        <w:right w:val="none" w:sz="0" w:space="0" w:color="auto"/>
      </w:divBdr>
    </w:div>
    <w:div w:id="232012089">
      <w:bodyDiv w:val="1"/>
      <w:marLeft w:val="0"/>
      <w:marRight w:val="0"/>
      <w:marTop w:val="0"/>
      <w:marBottom w:val="0"/>
      <w:divBdr>
        <w:top w:val="none" w:sz="0" w:space="0" w:color="auto"/>
        <w:left w:val="none" w:sz="0" w:space="0" w:color="auto"/>
        <w:bottom w:val="none" w:sz="0" w:space="0" w:color="auto"/>
        <w:right w:val="none" w:sz="0" w:space="0" w:color="auto"/>
      </w:divBdr>
    </w:div>
    <w:div w:id="552889546">
      <w:bodyDiv w:val="1"/>
      <w:marLeft w:val="0"/>
      <w:marRight w:val="0"/>
      <w:marTop w:val="0"/>
      <w:marBottom w:val="0"/>
      <w:divBdr>
        <w:top w:val="none" w:sz="0" w:space="0" w:color="auto"/>
        <w:left w:val="none" w:sz="0" w:space="0" w:color="auto"/>
        <w:bottom w:val="none" w:sz="0" w:space="0" w:color="auto"/>
        <w:right w:val="none" w:sz="0" w:space="0" w:color="auto"/>
      </w:divBdr>
    </w:div>
    <w:div w:id="1032997653">
      <w:bodyDiv w:val="1"/>
      <w:marLeft w:val="0"/>
      <w:marRight w:val="0"/>
      <w:marTop w:val="0"/>
      <w:marBottom w:val="0"/>
      <w:divBdr>
        <w:top w:val="none" w:sz="0" w:space="0" w:color="auto"/>
        <w:left w:val="none" w:sz="0" w:space="0" w:color="auto"/>
        <w:bottom w:val="none" w:sz="0" w:space="0" w:color="auto"/>
        <w:right w:val="none" w:sz="0" w:space="0" w:color="auto"/>
      </w:divBdr>
    </w:div>
    <w:div w:id="1045065575">
      <w:bodyDiv w:val="1"/>
      <w:marLeft w:val="0"/>
      <w:marRight w:val="0"/>
      <w:marTop w:val="0"/>
      <w:marBottom w:val="0"/>
      <w:divBdr>
        <w:top w:val="none" w:sz="0" w:space="0" w:color="auto"/>
        <w:left w:val="none" w:sz="0" w:space="0" w:color="auto"/>
        <w:bottom w:val="none" w:sz="0" w:space="0" w:color="auto"/>
        <w:right w:val="none" w:sz="0" w:space="0" w:color="auto"/>
      </w:divBdr>
    </w:div>
    <w:div w:id="1410230225">
      <w:bodyDiv w:val="1"/>
      <w:marLeft w:val="0"/>
      <w:marRight w:val="0"/>
      <w:marTop w:val="0"/>
      <w:marBottom w:val="0"/>
      <w:divBdr>
        <w:top w:val="none" w:sz="0" w:space="0" w:color="auto"/>
        <w:left w:val="none" w:sz="0" w:space="0" w:color="auto"/>
        <w:bottom w:val="none" w:sz="0" w:space="0" w:color="auto"/>
        <w:right w:val="none" w:sz="0" w:space="0" w:color="auto"/>
      </w:divBdr>
    </w:div>
    <w:div w:id="1527714348">
      <w:bodyDiv w:val="1"/>
      <w:marLeft w:val="0"/>
      <w:marRight w:val="0"/>
      <w:marTop w:val="0"/>
      <w:marBottom w:val="0"/>
      <w:divBdr>
        <w:top w:val="none" w:sz="0" w:space="0" w:color="auto"/>
        <w:left w:val="none" w:sz="0" w:space="0" w:color="auto"/>
        <w:bottom w:val="none" w:sz="0" w:space="0" w:color="auto"/>
        <w:right w:val="none" w:sz="0" w:space="0" w:color="auto"/>
      </w:divBdr>
    </w:div>
    <w:div w:id="1835024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FDC592-862A-405B-B88D-C16F04815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3130</Words>
  <Characters>17843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Cristian Dumitru (2108821)</cp:lastModifiedBy>
  <cp:revision>17</cp:revision>
  <dcterms:created xsi:type="dcterms:W3CDTF">2023-03-15T10:59:00Z</dcterms:created>
  <dcterms:modified xsi:type="dcterms:W3CDTF">2023-04-02T15:19:00Z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3a974786-e5b7-4473-9308-2a694e9247c7</vt:lpwstr>
  </property>
</Properties>
</file>