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32508602"/>
        <w:docPartObj>
          <w:docPartGallery w:val="Cover Pages"/>
          <w:docPartUnique/>
        </w:docPartObj>
      </w:sdtPr>
      <w:sdtEndPr>
        <w:rPr>
          <w:rFonts w:ascii="Arial Black" w:hAnsi="Arial Black" w:cs="Arial"/>
          <w:color w:val="BF4E14" w:themeColor="accent2" w:themeShade="BF"/>
        </w:rPr>
      </w:sdtEndPr>
      <w:sdtContent>
        <w:p w14:paraId="21A58C32" w14:textId="5CB84854" w:rsidR="002431F1" w:rsidRDefault="002431F1"/>
        <w:p w14:paraId="70235715" w14:textId="1E29027D" w:rsidR="002431F1" w:rsidRDefault="002431F1">
          <w:pPr>
            <w:rPr>
              <w:rFonts w:ascii="Arial Black" w:hAnsi="Arial Black" w:cs="Arial"/>
              <w:color w:val="BF4E14" w:themeColor="accent2" w:themeShade="BF"/>
            </w:rPr>
          </w:pPr>
          <w:r>
            <w:rPr>
              <w:noProof/>
            </w:rPr>
            <mc:AlternateContent>
              <mc:Choice Requires="wps">
                <w:drawing>
                  <wp:anchor distT="0" distB="0" distL="114300" distR="114300" simplePos="0" relativeHeight="251662336" behindDoc="0" locked="0" layoutInCell="1" allowOverlap="1" wp14:anchorId="08BBF6E2" wp14:editId="2DFAEA6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BF4E14" w:themeColor="accen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0-31T00:00:00Z">
                                    <w:dateFormat w:val="MMMM d, yyyy"/>
                                    <w:lid w:val="en-US"/>
                                    <w:storeMappedDataAs w:val="dateTime"/>
                                    <w:calendar w:val="gregorian"/>
                                  </w:date>
                                </w:sdtPr>
                                <w:sdtContent>
                                  <w:p w14:paraId="5F7194EC" w14:textId="35AB26FD" w:rsidR="002431F1" w:rsidRDefault="002431F1">
                                    <w:pPr>
                                      <w:pStyle w:val="NoSpacing"/>
                                      <w:jc w:val="right"/>
                                      <w:rPr>
                                        <w:caps/>
                                        <w:color w:val="0A1D30" w:themeColor="text2" w:themeShade="BF"/>
                                        <w:sz w:val="40"/>
                                        <w:szCs w:val="40"/>
                                      </w:rPr>
                                    </w:pPr>
                                    <w:r w:rsidRPr="002431F1">
                                      <w:rPr>
                                        <w:rFonts w:ascii="Arial Black" w:hAnsi="Arial Black"/>
                                        <w:caps/>
                                        <w:color w:val="BF4E14" w:themeColor="accent2" w:themeShade="BF"/>
                                        <w:sz w:val="40"/>
                                        <w:szCs w:val="40"/>
                                      </w:rPr>
                                      <w:t>October 31,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08BBF6E2"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Arial Black" w:hAnsi="Arial Black"/>
                              <w:caps/>
                              <w:color w:val="BF4E14" w:themeColor="accen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0-31T00:00:00Z">
                              <w:dateFormat w:val="MMMM d, yyyy"/>
                              <w:lid w:val="en-US"/>
                              <w:storeMappedDataAs w:val="dateTime"/>
                              <w:calendar w:val="gregorian"/>
                            </w:date>
                          </w:sdtPr>
                          <w:sdtContent>
                            <w:p w14:paraId="5F7194EC" w14:textId="35AB26FD" w:rsidR="002431F1" w:rsidRDefault="002431F1">
                              <w:pPr>
                                <w:pStyle w:val="NoSpacing"/>
                                <w:jc w:val="right"/>
                                <w:rPr>
                                  <w:caps/>
                                  <w:color w:val="0A1D30" w:themeColor="text2" w:themeShade="BF"/>
                                  <w:sz w:val="40"/>
                                  <w:szCs w:val="40"/>
                                </w:rPr>
                              </w:pPr>
                              <w:r w:rsidRPr="002431F1">
                                <w:rPr>
                                  <w:rFonts w:ascii="Arial Black" w:hAnsi="Arial Black"/>
                                  <w:caps/>
                                  <w:color w:val="BF4E14" w:themeColor="accent2" w:themeShade="BF"/>
                                  <w:sz w:val="40"/>
                                  <w:szCs w:val="40"/>
                                </w:rPr>
                                <w:t>October 31,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AA9EB80" wp14:editId="2651364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A88E43" w14:textId="7CB53871" w:rsidR="002431F1" w:rsidRPr="002431F1" w:rsidRDefault="002431F1" w:rsidP="002431F1">
                                <w:pPr>
                                  <w:pStyle w:val="NoSpacing"/>
                                  <w:jc w:val="right"/>
                                  <w:rPr>
                                    <w:rFonts w:ascii="Arial Black" w:hAnsi="Arial Black"/>
                                    <w:caps/>
                                    <w:color w:val="BF4E14" w:themeColor="accent2" w:themeShade="BF"/>
                                    <w:sz w:val="52"/>
                                    <w:szCs w:val="52"/>
                                  </w:rPr>
                                </w:pPr>
                                <w:sdt>
                                  <w:sdtPr>
                                    <w:rPr>
                                      <w:rFonts w:ascii="Arial Black" w:hAnsi="Arial Black"/>
                                      <w:caps/>
                                      <w:color w:val="BF4E14" w:themeColor="accen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2431F1">
                                      <w:rPr>
                                        <w:rFonts w:ascii="Arial Black" w:hAnsi="Arial Black"/>
                                        <w:caps/>
                                        <w:color w:val="BF4E14" w:themeColor="accent2" w:themeShade="BF"/>
                                        <w:sz w:val="52"/>
                                        <w:szCs w:val="52"/>
                                      </w:rPr>
                                      <w:t>Opportunities and Threats to Social Enterprise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AA9EB80"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75A88E43" w14:textId="7CB53871" w:rsidR="002431F1" w:rsidRPr="002431F1" w:rsidRDefault="002431F1" w:rsidP="002431F1">
                          <w:pPr>
                            <w:pStyle w:val="NoSpacing"/>
                            <w:jc w:val="right"/>
                            <w:rPr>
                              <w:rFonts w:ascii="Arial Black" w:hAnsi="Arial Black"/>
                              <w:caps/>
                              <w:color w:val="BF4E14" w:themeColor="accent2" w:themeShade="BF"/>
                              <w:sz w:val="52"/>
                              <w:szCs w:val="52"/>
                            </w:rPr>
                          </w:pPr>
                          <w:sdt>
                            <w:sdtPr>
                              <w:rPr>
                                <w:rFonts w:ascii="Arial Black" w:hAnsi="Arial Black"/>
                                <w:caps/>
                                <w:color w:val="BF4E14" w:themeColor="accen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2431F1">
                                <w:rPr>
                                  <w:rFonts w:ascii="Arial Black" w:hAnsi="Arial Black"/>
                                  <w:caps/>
                                  <w:color w:val="BF4E14" w:themeColor="accent2" w:themeShade="BF"/>
                                  <w:sz w:val="52"/>
                                  <w:szCs w:val="52"/>
                                </w:rPr>
                                <w:t>Opportunities and Threats to Social Enterprise</w:t>
                              </w:r>
                            </w:sdtContent>
                          </w:sdt>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1DA4687A" wp14:editId="4748E31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88E5CBB"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Pr>
              <w:rFonts w:ascii="Arial Black" w:hAnsi="Arial Black" w:cs="Arial"/>
              <w:color w:val="BF4E14" w:themeColor="accent2" w:themeShade="BF"/>
            </w:rPr>
            <w:br w:type="page"/>
          </w:r>
        </w:p>
      </w:sdtContent>
    </w:sdt>
    <w:p w14:paraId="1F595526" w14:textId="0CBAAA48" w:rsidR="00BC59EE" w:rsidRPr="002431F1" w:rsidRDefault="00BC59EE" w:rsidP="00BC59EE">
      <w:pPr>
        <w:spacing w:line="480" w:lineRule="auto"/>
        <w:rPr>
          <w:rFonts w:ascii="Arial Black" w:hAnsi="Arial Black" w:cs="Arial"/>
          <w:color w:val="BF4E14" w:themeColor="accent2" w:themeShade="BF"/>
        </w:rPr>
      </w:pPr>
      <w:r w:rsidRPr="002431F1">
        <w:rPr>
          <w:rFonts w:ascii="Arial Black" w:hAnsi="Arial Black" w:cs="Arial"/>
          <w:color w:val="BF4E14" w:themeColor="accent2" w:themeShade="BF"/>
        </w:rPr>
        <w:lastRenderedPageBreak/>
        <w:t>Introduction</w:t>
      </w:r>
    </w:p>
    <w:p w14:paraId="619B0C1F" w14:textId="77777777" w:rsidR="00BC59EE" w:rsidRDefault="00BC59EE" w:rsidP="00BC59EE">
      <w:pPr>
        <w:spacing w:line="480" w:lineRule="auto"/>
        <w:rPr>
          <w:rFonts w:ascii="Arial" w:hAnsi="Arial" w:cs="Arial"/>
        </w:rPr>
      </w:pPr>
      <w:r w:rsidRPr="00BC59EE">
        <w:rPr>
          <w:rFonts w:ascii="Arial" w:hAnsi="Arial" w:cs="Arial"/>
        </w:rPr>
        <w:t xml:space="preserve">Social enterprises occupy the space where business efficiencies meet social purpose; they seek financial sustainability while simultaneously tackling social and environmental issues. They serve as important players for addressing issues that neither the market </w:t>
      </w:r>
      <w:r w:rsidRPr="00BC59EE">
        <w:rPr>
          <w:rFonts w:ascii="Arial" w:hAnsi="Arial" w:cs="Arial"/>
        </w:rPr>
        <w:t>nor</w:t>
      </w:r>
      <w:r w:rsidRPr="00BC59EE">
        <w:rPr>
          <w:rFonts w:ascii="Arial" w:hAnsi="Arial" w:cs="Arial"/>
        </w:rPr>
        <w:t xml:space="preserve"> the government can effectively act upon. Social enterprises exist as hybrid organi</w:t>
      </w:r>
      <w:r>
        <w:rPr>
          <w:rFonts w:ascii="Arial" w:hAnsi="Arial" w:cs="Arial"/>
        </w:rPr>
        <w:t>s</w:t>
      </w:r>
      <w:r w:rsidRPr="00BC59EE">
        <w:rPr>
          <w:rFonts w:ascii="Arial" w:hAnsi="Arial" w:cs="Arial"/>
        </w:rPr>
        <w:t xml:space="preserve">ations, straddling these competing logics of profit and mission; these motivations can generate both innovations and tensions. A SWOT analysis (strengths, weaknesses, opportunities, and threats) demonstrates the changing space of the sector and implications for the future of social enterprise. (Lee, Battilana &amp; Wang, 2014) </w:t>
      </w:r>
    </w:p>
    <w:p w14:paraId="288CEBFA" w14:textId="0B589D66" w:rsidR="00BC59EE" w:rsidRPr="002431F1" w:rsidRDefault="00BC59EE" w:rsidP="00BC59EE">
      <w:pPr>
        <w:spacing w:line="480" w:lineRule="auto"/>
        <w:rPr>
          <w:rFonts w:ascii="Arial Black" w:hAnsi="Arial Black" w:cs="Arial"/>
          <w:color w:val="BF4E14" w:themeColor="accent2" w:themeShade="BF"/>
        </w:rPr>
      </w:pPr>
      <w:r w:rsidRPr="002431F1">
        <w:rPr>
          <w:rFonts w:ascii="Arial Black" w:hAnsi="Arial Black" w:cs="Arial"/>
          <w:color w:val="BF4E14" w:themeColor="accent2" w:themeShade="BF"/>
        </w:rPr>
        <w:t xml:space="preserve">Strengths </w:t>
      </w:r>
    </w:p>
    <w:p w14:paraId="671FE949" w14:textId="77777777" w:rsidR="00BC59EE" w:rsidRDefault="00BC59EE" w:rsidP="00BC59EE">
      <w:pPr>
        <w:spacing w:line="480" w:lineRule="auto"/>
        <w:rPr>
          <w:rFonts w:ascii="Arial" w:hAnsi="Arial" w:cs="Arial"/>
        </w:rPr>
      </w:pPr>
      <w:r w:rsidRPr="00BC59EE">
        <w:rPr>
          <w:rFonts w:ascii="Arial" w:hAnsi="Arial" w:cs="Arial"/>
        </w:rPr>
        <w:t xml:space="preserve">The social enterprise sector is primarily defined by its dual mission which combines business savvy and a social purpose. This hybrid structure enables social enterprises to create value beyond financial profit through addressing inequality, exclusion, and environmental degradation. Social enterprises focus upon good governance and stakeholder governance fosters trust in the community and generates loyalty from customers and employees. By combining market discipline with a moral mission, social enterprises </w:t>
      </w:r>
      <w:r w:rsidRPr="00BC59EE">
        <w:rPr>
          <w:rFonts w:ascii="Arial" w:hAnsi="Arial" w:cs="Arial"/>
        </w:rPr>
        <w:t>can</w:t>
      </w:r>
      <w:r w:rsidRPr="00BC59EE">
        <w:rPr>
          <w:rFonts w:ascii="Arial" w:hAnsi="Arial" w:cs="Arial"/>
        </w:rPr>
        <w:t xml:space="preserve"> find operational efficiencies and social legitimacy, often surpassing the traditional responses of charities or state agencies in responsiveness and innovation (Campbell, Kelly &amp; Harrison, 2011). </w:t>
      </w:r>
    </w:p>
    <w:p w14:paraId="0E5DEC02" w14:textId="77777777" w:rsidR="00BC59EE" w:rsidRDefault="00BC59EE" w:rsidP="00BC59EE">
      <w:pPr>
        <w:spacing w:line="480" w:lineRule="auto"/>
        <w:rPr>
          <w:rFonts w:ascii="Arial" w:hAnsi="Arial" w:cs="Arial"/>
        </w:rPr>
      </w:pPr>
      <w:r w:rsidRPr="00BC59EE">
        <w:rPr>
          <w:rFonts w:ascii="Arial" w:hAnsi="Arial" w:cs="Arial"/>
        </w:rPr>
        <w:t xml:space="preserve">Leadership is another key dimension of social enterprise success. Many social enterprises develop mission driven, entrepreneurial, and collaborative leaders who can successfully manage social impact and financial sustainability tension. Such leaders promote practices such as participatory management, emotional intelligence, </w:t>
      </w:r>
      <w:r w:rsidRPr="00BC59EE">
        <w:rPr>
          <w:rFonts w:ascii="Arial" w:hAnsi="Arial" w:cs="Arial"/>
        </w:rPr>
        <w:lastRenderedPageBreak/>
        <w:t>and shared purpose, creating a cohesive work environment. Many impact driven individuals seek meaningful employment; values-based leadership appeals to these individuals, and contributes to the organi</w:t>
      </w:r>
      <w:r>
        <w:rPr>
          <w:rFonts w:ascii="Arial" w:hAnsi="Arial" w:cs="Arial"/>
        </w:rPr>
        <w:t>s</w:t>
      </w:r>
      <w:r w:rsidRPr="00BC59EE">
        <w:rPr>
          <w:rFonts w:ascii="Arial" w:hAnsi="Arial" w:cs="Arial"/>
        </w:rPr>
        <w:t>ational identity, even in complex market structures (Jackson, Nicoll &amp; Roy, 2018).</w:t>
      </w:r>
      <w:r>
        <w:rPr>
          <w:rFonts w:ascii="Arial" w:hAnsi="Arial" w:cs="Arial"/>
        </w:rPr>
        <w:t xml:space="preserve"> </w:t>
      </w:r>
      <w:r w:rsidRPr="00BC59EE">
        <w:rPr>
          <w:rFonts w:ascii="Arial" w:hAnsi="Arial" w:cs="Arial"/>
        </w:rPr>
        <w:t xml:space="preserve">A key strength is local embeddedness. Social enterprises are normally rooted in the community context, which increases their visibility to local needs and allows them to collaborate to create solutions specific to the context. Being close creates trust, social capital, and legitimacy. For instance, in rural areas, community enterprises rely on local networks to provide services and generate employment, even when the market fails to do so. Their embeddedness makes them effective brokers between governments and </w:t>
      </w:r>
      <w:r w:rsidRPr="00BC59EE">
        <w:rPr>
          <w:rFonts w:ascii="Arial" w:hAnsi="Arial" w:cs="Arial"/>
        </w:rPr>
        <w:t>citizens and</w:t>
      </w:r>
      <w:r w:rsidRPr="00BC59EE">
        <w:rPr>
          <w:rFonts w:ascii="Arial" w:hAnsi="Arial" w:cs="Arial"/>
        </w:rPr>
        <w:t xml:space="preserve"> provides social cohesion and development at the regional level (Steiner &amp; Teasdale, 2019).</w:t>
      </w:r>
    </w:p>
    <w:p w14:paraId="65D08CFE" w14:textId="77777777" w:rsidR="00BC59EE" w:rsidRPr="002431F1" w:rsidRDefault="00BC59EE" w:rsidP="00BC59EE">
      <w:pPr>
        <w:spacing w:line="480" w:lineRule="auto"/>
        <w:rPr>
          <w:rFonts w:ascii="Arial Black" w:hAnsi="Arial Black" w:cs="Arial"/>
          <w:color w:val="BF4E14" w:themeColor="accent2" w:themeShade="BF"/>
        </w:rPr>
      </w:pPr>
      <w:r w:rsidRPr="002431F1">
        <w:rPr>
          <w:rFonts w:ascii="Arial Black" w:hAnsi="Arial Black" w:cs="Arial"/>
          <w:color w:val="BF4E14" w:themeColor="accent2" w:themeShade="BF"/>
        </w:rPr>
        <w:t>Weaknesses</w:t>
      </w:r>
    </w:p>
    <w:p w14:paraId="754F4E40" w14:textId="77777777" w:rsidR="00BC59EE" w:rsidRDefault="00BC59EE" w:rsidP="00BC59EE">
      <w:pPr>
        <w:spacing w:line="480" w:lineRule="auto"/>
        <w:rPr>
          <w:rFonts w:ascii="Arial" w:hAnsi="Arial" w:cs="Arial"/>
        </w:rPr>
      </w:pPr>
      <w:r w:rsidRPr="00BC59EE">
        <w:rPr>
          <w:rFonts w:ascii="Arial" w:hAnsi="Arial" w:cs="Arial"/>
        </w:rPr>
        <w:t xml:space="preserve">Regardless of these opportunities to be valued, social enterprises also have weaknesses that can impact sustainability, and access to finance remains a persistent barrier. Investors often view them as risky or perhaps even </w:t>
      </w:r>
      <w:r w:rsidRPr="00BC59EE">
        <w:rPr>
          <w:rFonts w:ascii="Arial" w:hAnsi="Arial" w:cs="Arial"/>
        </w:rPr>
        <w:t>low return</w:t>
      </w:r>
      <w:r w:rsidRPr="00BC59EE">
        <w:rPr>
          <w:rFonts w:ascii="Arial" w:hAnsi="Arial" w:cs="Arial"/>
        </w:rPr>
        <w:t xml:space="preserve"> after considering dual objectives </w:t>
      </w:r>
      <w:r>
        <w:rPr>
          <w:rFonts w:ascii="Arial" w:hAnsi="Arial" w:cs="Arial"/>
        </w:rPr>
        <w:t>plus</w:t>
      </w:r>
      <w:r w:rsidRPr="00BC59EE">
        <w:rPr>
          <w:rFonts w:ascii="Arial" w:hAnsi="Arial" w:cs="Arial"/>
        </w:rPr>
        <w:t xml:space="preserve"> that many social enterprises operate in uncertain future profit margin conditions. The process of attempting to understand the impact of an enterprise has yet to be standardi</w:t>
      </w:r>
      <w:r>
        <w:rPr>
          <w:rFonts w:ascii="Arial" w:hAnsi="Arial" w:cs="Arial"/>
        </w:rPr>
        <w:t>s</w:t>
      </w:r>
      <w:r w:rsidRPr="00BC59EE">
        <w:rPr>
          <w:rFonts w:ascii="Arial" w:hAnsi="Arial" w:cs="Arial"/>
        </w:rPr>
        <w:t>ed, which complicates risk assessment, possibly discouraging investors. Many social enterprises often rely on grants or government subsidies, which potentially negate growth and independence. Financial management ability varies unevenly, especially for smaller social enterprises often without sophisticated systems that allow proper financial management and planning or accounting (Sch</w:t>
      </w:r>
      <w:r>
        <w:rPr>
          <w:rFonts w:ascii="Arial" w:hAnsi="Arial" w:cs="Arial"/>
        </w:rPr>
        <w:t>a</w:t>
      </w:r>
      <w:r w:rsidRPr="00BC59EE">
        <w:rPr>
          <w:rFonts w:ascii="Arial" w:hAnsi="Arial" w:cs="Arial"/>
        </w:rPr>
        <w:t>tzlein, Schl</w:t>
      </w:r>
      <w:r>
        <w:rPr>
          <w:rFonts w:ascii="Arial" w:hAnsi="Arial" w:cs="Arial"/>
        </w:rPr>
        <w:t>u</w:t>
      </w:r>
      <w:r w:rsidRPr="00BC59EE">
        <w:rPr>
          <w:rFonts w:ascii="Arial" w:hAnsi="Arial" w:cs="Arial"/>
        </w:rPr>
        <w:t>tter &amp; Hahn, 2023).</w:t>
      </w:r>
    </w:p>
    <w:p w14:paraId="7A0623D8" w14:textId="77777777" w:rsidR="00BC59EE" w:rsidRDefault="00BC59EE" w:rsidP="00BC59EE">
      <w:pPr>
        <w:spacing w:line="480" w:lineRule="auto"/>
        <w:rPr>
          <w:rFonts w:ascii="Arial" w:hAnsi="Arial" w:cs="Arial"/>
        </w:rPr>
      </w:pPr>
      <w:r w:rsidRPr="00BC59EE">
        <w:rPr>
          <w:rFonts w:ascii="Arial" w:hAnsi="Arial" w:cs="Arial"/>
        </w:rPr>
        <w:lastRenderedPageBreak/>
        <w:t xml:space="preserve">Capacity and resource constraints also compound on the financial issues felt by many social enterprises. Small and emerging social enterprises often have little or no paid staff as paid staff are often taking on multiple roles and working at or beyond capacity. Jobs are not streamlined, or roles are defined, which is often why social enterprise employees are paid poorly. Some forms of social enterprises </w:t>
      </w:r>
      <w:r w:rsidRPr="00BC59EE">
        <w:rPr>
          <w:rFonts w:ascii="Arial" w:hAnsi="Arial" w:cs="Arial"/>
        </w:rPr>
        <w:t>cannot</w:t>
      </w:r>
      <w:r w:rsidRPr="00BC59EE">
        <w:rPr>
          <w:rFonts w:ascii="Arial" w:hAnsi="Arial" w:cs="Arial"/>
        </w:rPr>
        <w:t xml:space="preserve"> track their social impact partially because their internal system is weak, which operates against the work that would allow for social enterprise growth. Social impact in some cases is not tracked or reliably reported out due to organi</w:t>
      </w:r>
      <w:r>
        <w:rPr>
          <w:rFonts w:ascii="Arial" w:hAnsi="Arial" w:cs="Arial"/>
        </w:rPr>
        <w:t>s</w:t>
      </w:r>
      <w:r w:rsidRPr="00BC59EE">
        <w:rPr>
          <w:rFonts w:ascii="Arial" w:hAnsi="Arial" w:cs="Arial"/>
        </w:rPr>
        <w:t>ational predicament, i.e., insufficient organi</w:t>
      </w:r>
      <w:r>
        <w:rPr>
          <w:rFonts w:ascii="Arial" w:hAnsi="Arial" w:cs="Arial"/>
        </w:rPr>
        <w:t>s</w:t>
      </w:r>
      <w:r w:rsidRPr="00BC59EE">
        <w:rPr>
          <w:rFonts w:ascii="Arial" w:hAnsi="Arial" w:cs="Arial"/>
        </w:rPr>
        <w:t>ational capacity to measure and report. Lack of reliable metrics for the organi</w:t>
      </w:r>
      <w:r>
        <w:rPr>
          <w:rFonts w:ascii="Arial" w:hAnsi="Arial" w:cs="Arial"/>
        </w:rPr>
        <w:t>s</w:t>
      </w:r>
      <w:r w:rsidRPr="00BC59EE">
        <w:rPr>
          <w:rFonts w:ascii="Arial" w:hAnsi="Arial" w:cs="Arial"/>
        </w:rPr>
        <w:t>ation about the social impact of their services could further limit available funding sources and encourage funders to take sides as they may potentially support other organi</w:t>
      </w:r>
      <w:r>
        <w:rPr>
          <w:rFonts w:ascii="Arial" w:hAnsi="Arial" w:cs="Arial"/>
        </w:rPr>
        <w:t>s</w:t>
      </w:r>
      <w:r w:rsidRPr="00BC59EE">
        <w:rPr>
          <w:rFonts w:ascii="Arial" w:hAnsi="Arial" w:cs="Arial"/>
        </w:rPr>
        <w:t>ations. Limited organi</w:t>
      </w:r>
      <w:r>
        <w:rPr>
          <w:rFonts w:ascii="Arial" w:hAnsi="Arial" w:cs="Arial"/>
        </w:rPr>
        <w:t>s</w:t>
      </w:r>
      <w:r w:rsidRPr="00BC59EE">
        <w:rPr>
          <w:rFonts w:ascii="Arial" w:hAnsi="Arial" w:cs="Arial"/>
        </w:rPr>
        <w:t>ational metrics for social impact often impede organi</w:t>
      </w:r>
      <w:r>
        <w:rPr>
          <w:rFonts w:ascii="Arial" w:hAnsi="Arial" w:cs="Arial"/>
        </w:rPr>
        <w:t>s</w:t>
      </w:r>
      <w:r w:rsidRPr="00BC59EE">
        <w:rPr>
          <w:rFonts w:ascii="Arial" w:hAnsi="Arial" w:cs="Arial"/>
        </w:rPr>
        <w:t>ational development in even larger social enterprises (Abedin, Douglas, Watson &amp; Bidar, 2023).</w:t>
      </w:r>
      <w:r>
        <w:rPr>
          <w:rFonts w:ascii="Arial" w:hAnsi="Arial" w:cs="Arial"/>
        </w:rPr>
        <w:t xml:space="preserve"> </w:t>
      </w:r>
      <w:r w:rsidRPr="00BC59EE">
        <w:rPr>
          <w:rFonts w:ascii="Arial" w:hAnsi="Arial" w:cs="Arial"/>
        </w:rPr>
        <w:t>Hybrid identity can also cause internal tension. Balancing the social imperative with the financial imperative is a constant negotiation with overlapping boundaries posing the risk of “mission drift</w:t>
      </w:r>
      <w:r>
        <w:rPr>
          <w:rFonts w:ascii="Arial" w:hAnsi="Arial" w:cs="Arial"/>
        </w:rPr>
        <w:t xml:space="preserve">” </w:t>
      </w:r>
      <w:r w:rsidRPr="00BC59EE">
        <w:rPr>
          <w:rFonts w:ascii="Arial" w:hAnsi="Arial" w:cs="Arial"/>
        </w:rPr>
        <w:t>(Aiken, 2010).</w:t>
      </w:r>
    </w:p>
    <w:p w14:paraId="6CEBDF80" w14:textId="77777777" w:rsidR="00BC59EE" w:rsidRPr="002431F1" w:rsidRDefault="00BC59EE" w:rsidP="00BC59EE">
      <w:pPr>
        <w:spacing w:line="480" w:lineRule="auto"/>
        <w:rPr>
          <w:rFonts w:ascii="Arial Black" w:hAnsi="Arial Black" w:cs="Arial"/>
          <w:color w:val="BF4E14" w:themeColor="accent2" w:themeShade="BF"/>
        </w:rPr>
      </w:pPr>
      <w:r w:rsidRPr="002431F1">
        <w:rPr>
          <w:rFonts w:ascii="Arial Black" w:hAnsi="Arial Black" w:cs="Arial"/>
          <w:color w:val="BF4E14" w:themeColor="accent2" w:themeShade="BF"/>
        </w:rPr>
        <w:t>Opportunities</w:t>
      </w:r>
    </w:p>
    <w:p w14:paraId="02462AD4" w14:textId="77777777" w:rsidR="00B76380" w:rsidRDefault="00BC59EE" w:rsidP="00BC59EE">
      <w:pPr>
        <w:spacing w:line="480" w:lineRule="auto"/>
        <w:rPr>
          <w:rFonts w:ascii="Arial" w:hAnsi="Arial" w:cs="Arial"/>
        </w:rPr>
      </w:pPr>
      <w:r w:rsidRPr="00BC59EE">
        <w:rPr>
          <w:rFonts w:ascii="Arial" w:hAnsi="Arial" w:cs="Arial"/>
        </w:rPr>
        <w:t xml:space="preserve">The growth of impact investing and responsible finance suggests significant opportunities. Investors, governments, and consumers are increasingly interested in aligning profit with purpose, which is likely to create a </w:t>
      </w:r>
      <w:r w:rsidRPr="00BC59EE">
        <w:rPr>
          <w:rFonts w:ascii="Arial" w:hAnsi="Arial" w:cs="Arial"/>
        </w:rPr>
        <w:t>favourable</w:t>
      </w:r>
      <w:r w:rsidRPr="00BC59EE">
        <w:rPr>
          <w:rFonts w:ascii="Arial" w:hAnsi="Arial" w:cs="Arial"/>
        </w:rPr>
        <w:t xml:space="preserve"> backdrop for social enterprises to thrive. Blended finance instruments and outcomes-based funding models are becoming more prevalent, offering access to capital where impact-based outcomes, as opposed to the expectation of short-term returns, are rewarded. The professionali</w:t>
      </w:r>
      <w:r w:rsidR="00B76380">
        <w:rPr>
          <w:rFonts w:ascii="Arial" w:hAnsi="Arial" w:cs="Arial"/>
        </w:rPr>
        <w:t>s</w:t>
      </w:r>
      <w:r w:rsidRPr="00BC59EE">
        <w:rPr>
          <w:rFonts w:ascii="Arial" w:hAnsi="Arial" w:cs="Arial"/>
        </w:rPr>
        <w:t xml:space="preserve">ation of impact investing may also lead to improvements in </w:t>
      </w:r>
      <w:r w:rsidRPr="00BC59EE">
        <w:rPr>
          <w:rFonts w:ascii="Arial" w:hAnsi="Arial" w:cs="Arial"/>
        </w:rPr>
        <w:lastRenderedPageBreak/>
        <w:t>performance metrics and accountability, therefore fostering trust between investors and social enterprises (</w:t>
      </w:r>
      <w:proofErr w:type="spellStart"/>
      <w:r w:rsidRPr="00BC59EE">
        <w:rPr>
          <w:rFonts w:ascii="Arial" w:hAnsi="Arial" w:cs="Arial"/>
        </w:rPr>
        <w:t>Barraket</w:t>
      </w:r>
      <w:proofErr w:type="spellEnd"/>
      <w:r w:rsidRPr="00BC59EE">
        <w:rPr>
          <w:rFonts w:ascii="Arial" w:hAnsi="Arial" w:cs="Arial"/>
        </w:rPr>
        <w:t xml:space="preserve"> &amp; Anderson, 2010).</w:t>
      </w:r>
    </w:p>
    <w:p w14:paraId="059DA37B" w14:textId="77777777" w:rsidR="00B76380" w:rsidRDefault="00BC59EE" w:rsidP="00BC59EE">
      <w:pPr>
        <w:spacing w:line="480" w:lineRule="auto"/>
        <w:rPr>
          <w:rFonts w:ascii="Arial" w:hAnsi="Arial" w:cs="Arial"/>
        </w:rPr>
      </w:pPr>
      <w:r w:rsidRPr="00BC59EE">
        <w:rPr>
          <w:rFonts w:ascii="Arial" w:hAnsi="Arial" w:cs="Arial"/>
        </w:rPr>
        <w:t xml:space="preserve">Technological innovation brings even more opportunity. Digital platforms, data analytics, and online </w:t>
      </w:r>
      <w:r w:rsidR="00B76380" w:rsidRPr="00BC59EE">
        <w:rPr>
          <w:rFonts w:ascii="Arial" w:hAnsi="Arial" w:cs="Arial"/>
        </w:rPr>
        <w:t>marketplaces</w:t>
      </w:r>
      <w:r w:rsidRPr="00BC59EE">
        <w:rPr>
          <w:rFonts w:ascii="Arial" w:hAnsi="Arial" w:cs="Arial"/>
        </w:rPr>
        <w:t xml:space="preserve"> offer the possibility for social enterprises to identify and reach novel audiences, to improve efficiencies, and monitor their impact in real-time. Technology also generates the possibility for collaboration and open innovation, or knowledge sharing across sectors. The adoption of digital tools may also afford organi</w:t>
      </w:r>
      <w:r w:rsidR="00B76380">
        <w:rPr>
          <w:rFonts w:ascii="Arial" w:hAnsi="Arial" w:cs="Arial"/>
        </w:rPr>
        <w:t>s</w:t>
      </w:r>
      <w:r w:rsidRPr="00BC59EE">
        <w:rPr>
          <w:rFonts w:ascii="Arial" w:hAnsi="Arial" w:cs="Arial"/>
        </w:rPr>
        <w:t>ations to reduce internal costs, increase in-comes streams within organi</w:t>
      </w:r>
      <w:r w:rsidR="00B76380">
        <w:rPr>
          <w:rFonts w:ascii="Arial" w:hAnsi="Arial" w:cs="Arial"/>
        </w:rPr>
        <w:t>s</w:t>
      </w:r>
      <w:r w:rsidRPr="00BC59EE">
        <w:rPr>
          <w:rFonts w:ascii="Arial" w:hAnsi="Arial" w:cs="Arial"/>
        </w:rPr>
        <w:t xml:space="preserve">ations, and adapt more quickly to changes in community needs. </w:t>
      </w:r>
      <w:r w:rsidR="00B76380" w:rsidRPr="00BC59EE">
        <w:rPr>
          <w:rFonts w:ascii="Arial" w:hAnsi="Arial" w:cs="Arial"/>
        </w:rPr>
        <w:t>All</w:t>
      </w:r>
      <w:r w:rsidRPr="00BC59EE">
        <w:rPr>
          <w:rFonts w:ascii="Arial" w:hAnsi="Arial" w:cs="Arial"/>
        </w:rPr>
        <w:t xml:space="preserve"> these innovations are opportunities for organi</w:t>
      </w:r>
      <w:r w:rsidR="00B76380">
        <w:rPr>
          <w:rFonts w:ascii="Arial" w:hAnsi="Arial" w:cs="Arial"/>
        </w:rPr>
        <w:t>s</w:t>
      </w:r>
      <w:r w:rsidRPr="00BC59EE">
        <w:rPr>
          <w:rFonts w:ascii="Arial" w:hAnsi="Arial" w:cs="Arial"/>
        </w:rPr>
        <w:t>ations support for continuous learning, and agility; both critical characteristics for sustainability (</w:t>
      </w:r>
      <w:proofErr w:type="spellStart"/>
      <w:r w:rsidRPr="00BC59EE">
        <w:rPr>
          <w:rFonts w:ascii="Arial" w:hAnsi="Arial" w:cs="Arial"/>
        </w:rPr>
        <w:t>Hagedoorn</w:t>
      </w:r>
      <w:proofErr w:type="spellEnd"/>
      <w:r w:rsidRPr="00BC59EE">
        <w:rPr>
          <w:rFonts w:ascii="Arial" w:hAnsi="Arial" w:cs="Arial"/>
        </w:rPr>
        <w:t>, Haugh, Robson &amp; Sugar, 2023</w:t>
      </w:r>
      <w:r w:rsidR="00B76380">
        <w:rPr>
          <w:rFonts w:ascii="Arial" w:hAnsi="Arial" w:cs="Arial"/>
        </w:rPr>
        <w:t xml:space="preserve">). </w:t>
      </w:r>
    </w:p>
    <w:p w14:paraId="0056D83F" w14:textId="77777777" w:rsidR="00B76380" w:rsidRDefault="00BC59EE" w:rsidP="00BC59EE">
      <w:pPr>
        <w:spacing w:line="480" w:lineRule="auto"/>
        <w:rPr>
          <w:rFonts w:ascii="Arial" w:hAnsi="Arial" w:cs="Arial"/>
        </w:rPr>
      </w:pPr>
      <w:r w:rsidRPr="00BC59EE">
        <w:rPr>
          <w:rFonts w:ascii="Arial" w:hAnsi="Arial" w:cs="Arial"/>
        </w:rPr>
        <w:t xml:space="preserve">Government policies that encourage opportunity help social enterprises. </w:t>
      </w:r>
      <w:r w:rsidR="00B76380" w:rsidRPr="00BC59EE">
        <w:rPr>
          <w:rFonts w:ascii="Arial" w:hAnsi="Arial" w:cs="Arial"/>
        </w:rPr>
        <w:t>More</w:t>
      </w:r>
      <w:r w:rsidRPr="00BC59EE">
        <w:rPr>
          <w:rFonts w:ascii="Arial" w:hAnsi="Arial" w:cs="Arial"/>
        </w:rPr>
        <w:t xml:space="preserve"> countries are embedding social enterprise into economic and social policy through tax policy, procurement, and capacity-building. These types of structures give appropriate legitimacy that allows the social enterprise to enter the market of competing for contracts against private enterprises. Visibility of social enterprise means that visibility is credibility. Visibility of social enterprise, partnerships demonstrate government political support, stability, and potential for innovation in public service delivery (Campbell, Kelly &amp; Harrison, 2011).</w:t>
      </w:r>
    </w:p>
    <w:p w14:paraId="4A622221" w14:textId="77777777" w:rsidR="00B76380" w:rsidRDefault="00BC59EE" w:rsidP="00BC59EE">
      <w:pPr>
        <w:spacing w:line="480" w:lineRule="auto"/>
        <w:rPr>
          <w:rFonts w:ascii="Arial" w:hAnsi="Arial" w:cs="Arial"/>
        </w:rPr>
      </w:pPr>
      <w:r w:rsidRPr="00BC59EE">
        <w:rPr>
          <w:rFonts w:ascii="Arial" w:hAnsi="Arial" w:cs="Arial"/>
        </w:rPr>
        <w:t xml:space="preserve">Global sustainability agendas are further potential markets. The United Nations Sustainable Development Goals (SDGs) highlight inclusive and sustainable business models as important contributors to sustainable development, on a global level. Social enterprises that </w:t>
      </w:r>
      <w:r w:rsidR="00B76380" w:rsidRPr="00BC59EE">
        <w:rPr>
          <w:rFonts w:ascii="Arial" w:hAnsi="Arial" w:cs="Arial"/>
        </w:rPr>
        <w:t>implement</w:t>
      </w:r>
      <w:r w:rsidRPr="00BC59EE">
        <w:rPr>
          <w:rFonts w:ascii="Arial" w:hAnsi="Arial" w:cs="Arial"/>
        </w:rPr>
        <w:t xml:space="preserve"> SDGs, such as ends poverty, and climate action </w:t>
      </w:r>
      <w:r w:rsidRPr="00BC59EE">
        <w:rPr>
          <w:rFonts w:ascii="Arial" w:hAnsi="Arial" w:cs="Arial"/>
        </w:rPr>
        <w:lastRenderedPageBreak/>
        <w:t xml:space="preserve">will create opportunities for new relationships with corporate partners, government or development agencies. These new relationships offer social enterprises a range of benefits, including access to funding, other thinking and international reach, essentially enhancing their critical role in achieving global sustainability goals (Lee, Battilana &amp; Wang, 2014). </w:t>
      </w:r>
    </w:p>
    <w:p w14:paraId="4CA9EAA9" w14:textId="6BBA2E20" w:rsidR="00B76380" w:rsidRPr="002431F1" w:rsidRDefault="00B76380" w:rsidP="00BC59EE">
      <w:pPr>
        <w:spacing w:line="480" w:lineRule="auto"/>
        <w:rPr>
          <w:rFonts w:ascii="Arial Black" w:hAnsi="Arial Black" w:cs="Arial"/>
          <w:color w:val="BF4E14" w:themeColor="accent2" w:themeShade="BF"/>
        </w:rPr>
      </w:pPr>
      <w:r w:rsidRPr="002431F1">
        <w:rPr>
          <w:rFonts w:ascii="Arial Black" w:hAnsi="Arial Black" w:cs="Arial"/>
          <w:color w:val="BF4E14" w:themeColor="accent2" w:themeShade="BF"/>
        </w:rPr>
        <w:t xml:space="preserve">Threats </w:t>
      </w:r>
    </w:p>
    <w:p w14:paraId="27AA055B" w14:textId="77777777" w:rsidR="00B76380" w:rsidRDefault="00BC59EE" w:rsidP="00BC59EE">
      <w:pPr>
        <w:spacing w:line="480" w:lineRule="auto"/>
        <w:rPr>
          <w:rFonts w:ascii="Arial" w:hAnsi="Arial" w:cs="Arial"/>
        </w:rPr>
      </w:pPr>
      <w:r w:rsidRPr="00BC59EE">
        <w:rPr>
          <w:rFonts w:ascii="Arial" w:hAnsi="Arial" w:cs="Arial"/>
        </w:rPr>
        <w:t>While opportunity exists, social enterprises face external threats. As traditional organi</w:t>
      </w:r>
      <w:r w:rsidR="00B76380">
        <w:rPr>
          <w:rFonts w:ascii="Arial" w:hAnsi="Arial" w:cs="Arial"/>
        </w:rPr>
        <w:t>s</w:t>
      </w:r>
      <w:r w:rsidRPr="00BC59EE">
        <w:rPr>
          <w:rFonts w:ascii="Arial" w:hAnsi="Arial" w:cs="Arial"/>
        </w:rPr>
        <w:t>ations adopt corporate social responsibility, and non-for-profit organi</w:t>
      </w:r>
      <w:r w:rsidR="00B76380">
        <w:rPr>
          <w:rFonts w:ascii="Arial" w:hAnsi="Arial" w:cs="Arial"/>
        </w:rPr>
        <w:t>s</w:t>
      </w:r>
      <w:r w:rsidRPr="00BC59EE">
        <w:rPr>
          <w:rFonts w:ascii="Arial" w:hAnsi="Arial" w:cs="Arial"/>
        </w:rPr>
        <w:t>ations start to moneti</w:t>
      </w:r>
      <w:r w:rsidR="00B76380">
        <w:rPr>
          <w:rFonts w:ascii="Arial" w:hAnsi="Arial" w:cs="Arial"/>
        </w:rPr>
        <w:t>s</w:t>
      </w:r>
      <w:r w:rsidRPr="00BC59EE">
        <w:rPr>
          <w:rFonts w:ascii="Arial" w:hAnsi="Arial" w:cs="Arial"/>
        </w:rPr>
        <w:t>e operationali</w:t>
      </w:r>
      <w:r w:rsidR="00B76380">
        <w:rPr>
          <w:rFonts w:ascii="Arial" w:hAnsi="Arial" w:cs="Arial"/>
        </w:rPr>
        <w:t>s</w:t>
      </w:r>
      <w:r w:rsidRPr="00BC59EE">
        <w:rPr>
          <w:rFonts w:ascii="Arial" w:hAnsi="Arial" w:cs="Arial"/>
        </w:rPr>
        <w:t>e social or health services, the boundary of social enterprise sector becomes less clear, as social enterprises adopt hybrid models distinguishing it from the for-profit or non-profit sector, based on the purpose. Traditional organi</w:t>
      </w:r>
      <w:r w:rsidR="00B76380">
        <w:rPr>
          <w:rFonts w:ascii="Arial" w:hAnsi="Arial" w:cs="Arial"/>
        </w:rPr>
        <w:t>s</w:t>
      </w:r>
      <w:r w:rsidRPr="00BC59EE">
        <w:rPr>
          <w:rFonts w:ascii="Arial" w:hAnsi="Arial" w:cs="Arial"/>
        </w:rPr>
        <w:t>ations package themselves as “purpose-driven,” in social enterprises' case, that can threaten trust and authenticity, undermining the social enterprise and sector. The risk of “mission mimicry” becomes real, where organi</w:t>
      </w:r>
      <w:r w:rsidR="00B76380">
        <w:rPr>
          <w:rFonts w:ascii="Arial" w:hAnsi="Arial" w:cs="Arial"/>
        </w:rPr>
        <w:t>s</w:t>
      </w:r>
      <w:r w:rsidRPr="00BC59EE">
        <w:rPr>
          <w:rFonts w:ascii="Arial" w:hAnsi="Arial" w:cs="Arial"/>
        </w:rPr>
        <w:t>ations move away from the original mission to profit maximi</w:t>
      </w:r>
      <w:r w:rsidR="00B76380">
        <w:rPr>
          <w:rFonts w:ascii="Arial" w:hAnsi="Arial" w:cs="Arial"/>
        </w:rPr>
        <w:t>s</w:t>
      </w:r>
      <w:r w:rsidRPr="00BC59EE">
        <w:rPr>
          <w:rFonts w:ascii="Arial" w:hAnsi="Arial" w:cs="Arial"/>
        </w:rPr>
        <w:t>ation or market-based solution, as consumers don't trust these organi</w:t>
      </w:r>
      <w:r w:rsidR="00B76380">
        <w:rPr>
          <w:rFonts w:ascii="Arial" w:hAnsi="Arial" w:cs="Arial"/>
        </w:rPr>
        <w:t>s</w:t>
      </w:r>
      <w:r w:rsidRPr="00BC59EE">
        <w:rPr>
          <w:rFonts w:ascii="Arial" w:hAnsi="Arial" w:cs="Arial"/>
        </w:rPr>
        <w:t>ations and cause harm to the entire sector. Increasing competition for limited grants/contracts creates pressure on organi</w:t>
      </w:r>
      <w:r w:rsidR="00B76380">
        <w:rPr>
          <w:rFonts w:ascii="Arial" w:hAnsi="Arial" w:cs="Arial"/>
        </w:rPr>
        <w:t>s</w:t>
      </w:r>
      <w:r w:rsidRPr="00BC59EE">
        <w:rPr>
          <w:rFonts w:ascii="Arial" w:hAnsi="Arial" w:cs="Arial"/>
        </w:rPr>
        <w:t>ations financially to dilute or mission drift to increase revenue (Aiken, 2010).</w:t>
      </w:r>
    </w:p>
    <w:p w14:paraId="13220E32" w14:textId="77777777" w:rsidR="00B76380" w:rsidRDefault="00BC59EE" w:rsidP="00BC59EE">
      <w:pPr>
        <w:spacing w:line="480" w:lineRule="auto"/>
        <w:rPr>
          <w:rFonts w:ascii="Arial" w:hAnsi="Arial" w:cs="Arial"/>
        </w:rPr>
      </w:pPr>
      <w:r w:rsidRPr="00BC59EE">
        <w:rPr>
          <w:rFonts w:ascii="Arial" w:hAnsi="Arial" w:cs="Arial"/>
        </w:rPr>
        <w:t>Another significant threat is economic instability. Inflation, high interest rates, and political instability affect consumer spending and philanthropic funding, are all external threats to social enterprises that serve vulnerable markets. For many social enterprises, they serve low income or marginali</w:t>
      </w:r>
      <w:r w:rsidR="00B76380">
        <w:rPr>
          <w:rFonts w:ascii="Arial" w:hAnsi="Arial" w:cs="Arial"/>
        </w:rPr>
        <w:t>s</w:t>
      </w:r>
      <w:r w:rsidRPr="00BC59EE">
        <w:rPr>
          <w:rFonts w:ascii="Arial" w:hAnsi="Arial" w:cs="Arial"/>
        </w:rPr>
        <w:t xml:space="preserve">ed consumers; as the economy and policy or welfare cuts service, both consumption and growth are down. </w:t>
      </w:r>
      <w:r w:rsidR="00B76380">
        <w:rPr>
          <w:rFonts w:ascii="Arial" w:hAnsi="Arial" w:cs="Arial"/>
        </w:rPr>
        <w:t>I</w:t>
      </w:r>
      <w:r w:rsidRPr="00BC59EE">
        <w:rPr>
          <w:rFonts w:ascii="Arial" w:hAnsi="Arial" w:cs="Arial"/>
        </w:rPr>
        <w:t xml:space="preserve">n </w:t>
      </w:r>
      <w:proofErr w:type="gramStart"/>
      <w:r w:rsidRPr="00BC59EE">
        <w:rPr>
          <w:rFonts w:ascii="Arial" w:hAnsi="Arial" w:cs="Arial"/>
        </w:rPr>
        <w:t>addition</w:t>
      </w:r>
      <w:proofErr w:type="gramEnd"/>
      <w:r w:rsidRPr="00BC59EE">
        <w:rPr>
          <w:rFonts w:ascii="Arial" w:hAnsi="Arial" w:cs="Arial"/>
        </w:rPr>
        <w:t xml:space="preserve"> if there is limited revenue diversification, both consumer base and business growth </w:t>
      </w:r>
      <w:r w:rsidRPr="00BC59EE">
        <w:rPr>
          <w:rFonts w:ascii="Arial" w:hAnsi="Arial" w:cs="Arial"/>
        </w:rPr>
        <w:lastRenderedPageBreak/>
        <w:t xml:space="preserve">creates </w:t>
      </w:r>
      <w:r w:rsidR="00B76380" w:rsidRPr="00BC59EE">
        <w:rPr>
          <w:rFonts w:ascii="Arial" w:hAnsi="Arial" w:cs="Arial"/>
        </w:rPr>
        <w:t>an</w:t>
      </w:r>
      <w:r w:rsidRPr="00BC59EE">
        <w:rPr>
          <w:rFonts w:ascii="Arial" w:hAnsi="Arial" w:cs="Arial"/>
        </w:rPr>
        <w:t xml:space="preserve"> economic threat. These economic external forces create the need for greater access to capital, financial sustainability and adaptive management (</w:t>
      </w:r>
      <w:proofErr w:type="spellStart"/>
      <w:r w:rsidRPr="00BC59EE">
        <w:rPr>
          <w:rFonts w:ascii="Arial" w:hAnsi="Arial" w:cs="Arial"/>
        </w:rPr>
        <w:t>Schätzlein</w:t>
      </w:r>
      <w:proofErr w:type="spellEnd"/>
      <w:r w:rsidRPr="00BC59EE">
        <w:rPr>
          <w:rFonts w:ascii="Arial" w:hAnsi="Arial" w:cs="Arial"/>
        </w:rPr>
        <w:t xml:space="preserve">, </w:t>
      </w:r>
      <w:proofErr w:type="spellStart"/>
      <w:r w:rsidRPr="00BC59EE">
        <w:rPr>
          <w:rFonts w:ascii="Arial" w:hAnsi="Arial" w:cs="Arial"/>
        </w:rPr>
        <w:t>Schlütter</w:t>
      </w:r>
      <w:proofErr w:type="spellEnd"/>
      <w:r w:rsidRPr="00BC59EE">
        <w:rPr>
          <w:rFonts w:ascii="Arial" w:hAnsi="Arial" w:cs="Arial"/>
        </w:rPr>
        <w:t xml:space="preserve"> &amp; Hahn, 2023). </w:t>
      </w:r>
    </w:p>
    <w:p w14:paraId="42D5B5D7" w14:textId="04718C5A" w:rsidR="00BC59EE" w:rsidRPr="00BC59EE" w:rsidRDefault="00BC59EE" w:rsidP="00BC59EE">
      <w:pPr>
        <w:spacing w:line="480" w:lineRule="auto"/>
        <w:rPr>
          <w:rFonts w:ascii="Arial" w:hAnsi="Arial" w:cs="Arial"/>
        </w:rPr>
      </w:pPr>
      <w:r w:rsidRPr="00BC59EE">
        <w:rPr>
          <w:rFonts w:ascii="Arial" w:hAnsi="Arial" w:cs="Arial"/>
        </w:rPr>
        <w:t>Finally, the regulatory environment and social enterprises needing to measure impact is a significant challenge. While there has been increasing pressure for trusted, rigorous and collaborate impact data, particularly with funders and policy- makers, in recent years. This requires transparency for social enterprises and social value, at the same time small organi</w:t>
      </w:r>
      <w:r w:rsidR="00B76380">
        <w:rPr>
          <w:rFonts w:ascii="Arial" w:hAnsi="Arial" w:cs="Arial"/>
        </w:rPr>
        <w:t>s</w:t>
      </w:r>
      <w:r w:rsidRPr="00BC59EE">
        <w:rPr>
          <w:rFonts w:ascii="Arial" w:hAnsi="Arial" w:cs="Arial"/>
        </w:rPr>
        <w:t>ation need compliance (with limited capacity) as disincentives. The extensive development of such frameworks in measurement and evaluation creates confusion for organi</w:t>
      </w:r>
      <w:r w:rsidR="00B76380">
        <w:rPr>
          <w:rFonts w:ascii="Arial" w:hAnsi="Arial" w:cs="Arial"/>
        </w:rPr>
        <w:t>s</w:t>
      </w:r>
      <w:r w:rsidRPr="00BC59EE">
        <w:rPr>
          <w:rFonts w:ascii="Arial" w:hAnsi="Arial" w:cs="Arial"/>
        </w:rPr>
        <w:t>ation acting locally or in their communities, while obtaining limited resources from their organi</w:t>
      </w:r>
      <w:r w:rsidR="00B76380">
        <w:rPr>
          <w:rFonts w:ascii="Arial" w:hAnsi="Arial" w:cs="Arial"/>
        </w:rPr>
        <w:t>s</w:t>
      </w:r>
      <w:r w:rsidRPr="00BC59EE">
        <w:rPr>
          <w:rFonts w:ascii="Arial" w:hAnsi="Arial" w:cs="Arial"/>
        </w:rPr>
        <w:t xml:space="preserve">ation (Lee, Battilana &amp; Wang, 2014). </w:t>
      </w:r>
    </w:p>
    <w:p w14:paraId="1BADE348" w14:textId="500E4135" w:rsidR="00BC59EE" w:rsidRPr="002431F1" w:rsidRDefault="00B76380" w:rsidP="00BC59EE">
      <w:pPr>
        <w:spacing w:line="480" w:lineRule="auto"/>
        <w:rPr>
          <w:rFonts w:ascii="Arial Black" w:hAnsi="Arial Black" w:cs="Arial"/>
          <w:color w:val="BF4E14" w:themeColor="accent2" w:themeShade="BF"/>
        </w:rPr>
      </w:pPr>
      <w:r w:rsidRPr="002431F1">
        <w:rPr>
          <w:rFonts w:ascii="Arial Black" w:hAnsi="Arial Black" w:cs="Arial"/>
          <w:color w:val="BF4E14" w:themeColor="accent2" w:themeShade="BF"/>
        </w:rPr>
        <w:t xml:space="preserve">Conclusion </w:t>
      </w:r>
    </w:p>
    <w:p w14:paraId="5B4AF015" w14:textId="731C2A27" w:rsidR="00BC59EE" w:rsidRDefault="00BC59EE" w:rsidP="00BC59EE">
      <w:pPr>
        <w:spacing w:line="480" w:lineRule="auto"/>
        <w:rPr>
          <w:rFonts w:ascii="Arial" w:hAnsi="Arial" w:cs="Arial"/>
        </w:rPr>
      </w:pPr>
      <w:r w:rsidRPr="00BC59EE">
        <w:rPr>
          <w:rFonts w:ascii="Arial" w:hAnsi="Arial" w:cs="Arial"/>
        </w:rPr>
        <w:t>In summary this SWOT analysis demonstrates that social enterprise is a niche cause distinctive opportunities and challenges. Their hybrid organi</w:t>
      </w:r>
      <w:r w:rsidR="00B76380">
        <w:rPr>
          <w:rFonts w:ascii="Arial" w:hAnsi="Arial" w:cs="Arial"/>
        </w:rPr>
        <w:t>s</w:t>
      </w:r>
      <w:r w:rsidRPr="00BC59EE">
        <w:rPr>
          <w:rFonts w:ascii="Arial" w:hAnsi="Arial" w:cs="Arial"/>
        </w:rPr>
        <w:t xml:space="preserve">ational structure and their engagement of partners and communities broadly, and their </w:t>
      </w:r>
      <w:proofErr w:type="gramStart"/>
      <w:r w:rsidRPr="00BC59EE">
        <w:rPr>
          <w:rFonts w:ascii="Arial" w:hAnsi="Arial" w:cs="Arial"/>
        </w:rPr>
        <w:t>leaders</w:t>
      </w:r>
      <w:proofErr w:type="gramEnd"/>
      <w:r w:rsidRPr="00BC59EE">
        <w:rPr>
          <w:rFonts w:ascii="Arial" w:hAnsi="Arial" w:cs="Arial"/>
        </w:rPr>
        <w:t xml:space="preserve"> values-based will be a strong base from which to further social value and tackle social enterprise sustainability issues. However, social enterprises have limitations or constraints in terms of financial capacity, governance capacity, or growth across areas. There are significant opportunities for social enterprises to develop, with an overall to expand their operation through impact investment, technology and supportive policy action; as well, there are significant threats too, competition, economic instability, and external cause and regulatory approaches institutionali</w:t>
      </w:r>
      <w:r w:rsidR="00C85D16">
        <w:rPr>
          <w:rFonts w:ascii="Arial" w:hAnsi="Arial" w:cs="Arial"/>
        </w:rPr>
        <w:t>s</w:t>
      </w:r>
      <w:r w:rsidRPr="00BC59EE">
        <w:rPr>
          <w:rFonts w:ascii="Arial" w:hAnsi="Arial" w:cs="Arial"/>
        </w:rPr>
        <w:t xml:space="preserve">ing legitimacy and legitimations for social enterprises. Overall social enterprises need to </w:t>
      </w:r>
      <w:r w:rsidRPr="00BC59EE">
        <w:rPr>
          <w:rFonts w:ascii="Arial" w:hAnsi="Arial" w:cs="Arial"/>
        </w:rPr>
        <w:lastRenderedPageBreak/>
        <w:t>develop internal capacity, if they are to become sustainable organi</w:t>
      </w:r>
      <w:r w:rsidR="00C85D16">
        <w:rPr>
          <w:rFonts w:ascii="Arial" w:hAnsi="Arial" w:cs="Arial"/>
        </w:rPr>
        <w:t>s</w:t>
      </w:r>
      <w:r w:rsidRPr="00BC59EE">
        <w:rPr>
          <w:rFonts w:ascii="Arial" w:hAnsi="Arial" w:cs="Arial"/>
        </w:rPr>
        <w:t xml:space="preserve">ations that stay true to their original </w:t>
      </w:r>
      <w:r w:rsidR="00C85D16" w:rsidRPr="00BC59EE">
        <w:rPr>
          <w:rFonts w:ascii="Arial" w:hAnsi="Arial" w:cs="Arial"/>
        </w:rPr>
        <w:t>mission,</w:t>
      </w:r>
      <w:r w:rsidRPr="00BC59EE">
        <w:rPr>
          <w:rFonts w:ascii="Arial" w:hAnsi="Arial" w:cs="Arial"/>
        </w:rPr>
        <w:t xml:space="preserve"> increasing measure the impact approach </w:t>
      </w:r>
      <w:r w:rsidR="00C85D16" w:rsidRPr="00BC59EE">
        <w:rPr>
          <w:rFonts w:ascii="Arial" w:hAnsi="Arial" w:cs="Arial"/>
        </w:rPr>
        <w:t>and</w:t>
      </w:r>
      <w:r w:rsidRPr="00BC59EE">
        <w:rPr>
          <w:rFonts w:ascii="Arial" w:hAnsi="Arial" w:cs="Arial"/>
        </w:rPr>
        <w:t xml:space="preserve"> developing strategic partnerships. It is through creating this development and working with others </w:t>
      </w:r>
      <w:r w:rsidR="00C85D16" w:rsidRPr="00BC59EE">
        <w:rPr>
          <w:rFonts w:ascii="Arial" w:hAnsi="Arial" w:cs="Arial"/>
        </w:rPr>
        <w:t>to</w:t>
      </w:r>
      <w:r w:rsidRPr="00BC59EE">
        <w:rPr>
          <w:rFonts w:ascii="Arial" w:hAnsi="Arial" w:cs="Arial"/>
        </w:rPr>
        <w:t xml:space="preserve"> continue to be a catalyst for inclusive sustainable development</w:t>
      </w:r>
      <w:r w:rsidR="00C85D16">
        <w:rPr>
          <w:rFonts w:ascii="Arial" w:hAnsi="Arial" w:cs="Arial"/>
        </w:rPr>
        <w:t xml:space="preserve"> </w:t>
      </w:r>
      <w:r w:rsidRPr="00BC59EE">
        <w:rPr>
          <w:rFonts w:ascii="Arial" w:hAnsi="Arial" w:cs="Arial"/>
        </w:rPr>
        <w:t>(Steiner &amp; Teasdale, 2019).</w:t>
      </w:r>
    </w:p>
    <w:p w14:paraId="3D1477DA" w14:textId="77777777" w:rsidR="00C85D16" w:rsidRDefault="00C85D16" w:rsidP="00BC59EE">
      <w:pPr>
        <w:spacing w:line="480" w:lineRule="auto"/>
        <w:rPr>
          <w:rFonts w:ascii="Arial" w:hAnsi="Arial" w:cs="Arial"/>
        </w:rPr>
      </w:pPr>
    </w:p>
    <w:p w14:paraId="1439A25A" w14:textId="77777777" w:rsidR="00C85D16" w:rsidRDefault="00C85D16" w:rsidP="00BC59EE">
      <w:pPr>
        <w:spacing w:line="480" w:lineRule="auto"/>
        <w:rPr>
          <w:rFonts w:ascii="Arial" w:hAnsi="Arial" w:cs="Arial"/>
        </w:rPr>
      </w:pPr>
    </w:p>
    <w:p w14:paraId="250C4F14" w14:textId="77777777" w:rsidR="00C85D16" w:rsidRDefault="00C85D16" w:rsidP="00BC59EE">
      <w:pPr>
        <w:spacing w:line="480" w:lineRule="auto"/>
        <w:rPr>
          <w:rFonts w:ascii="Arial" w:hAnsi="Arial" w:cs="Arial"/>
        </w:rPr>
      </w:pPr>
    </w:p>
    <w:p w14:paraId="63B32246" w14:textId="77777777" w:rsidR="00C85D16" w:rsidRDefault="00C85D16" w:rsidP="00BC59EE">
      <w:pPr>
        <w:spacing w:line="480" w:lineRule="auto"/>
        <w:rPr>
          <w:rFonts w:ascii="Arial" w:hAnsi="Arial" w:cs="Arial"/>
        </w:rPr>
      </w:pPr>
    </w:p>
    <w:p w14:paraId="4FDC6E7F" w14:textId="77777777" w:rsidR="00C85D16" w:rsidRDefault="00C85D16" w:rsidP="00BC59EE">
      <w:pPr>
        <w:spacing w:line="480" w:lineRule="auto"/>
        <w:rPr>
          <w:rFonts w:ascii="Arial" w:hAnsi="Arial" w:cs="Arial"/>
        </w:rPr>
      </w:pPr>
    </w:p>
    <w:p w14:paraId="344D254E" w14:textId="77777777" w:rsidR="00C85D16" w:rsidRDefault="00C85D16" w:rsidP="00BC59EE">
      <w:pPr>
        <w:spacing w:line="480" w:lineRule="auto"/>
        <w:rPr>
          <w:rFonts w:ascii="Arial" w:hAnsi="Arial" w:cs="Arial"/>
        </w:rPr>
      </w:pPr>
    </w:p>
    <w:p w14:paraId="347160A5" w14:textId="77777777" w:rsidR="00C85D16" w:rsidRDefault="00C85D16" w:rsidP="00BC59EE">
      <w:pPr>
        <w:spacing w:line="480" w:lineRule="auto"/>
        <w:rPr>
          <w:rFonts w:ascii="Arial" w:hAnsi="Arial" w:cs="Arial"/>
        </w:rPr>
      </w:pPr>
    </w:p>
    <w:p w14:paraId="0C0ED6C3" w14:textId="77777777" w:rsidR="00C85D16" w:rsidRDefault="00C85D16" w:rsidP="00BC59EE">
      <w:pPr>
        <w:spacing w:line="480" w:lineRule="auto"/>
        <w:rPr>
          <w:rFonts w:ascii="Arial" w:hAnsi="Arial" w:cs="Arial"/>
        </w:rPr>
      </w:pPr>
    </w:p>
    <w:p w14:paraId="4ADF95FD" w14:textId="77777777" w:rsidR="00C85D16" w:rsidRDefault="00C85D16" w:rsidP="00BC59EE">
      <w:pPr>
        <w:spacing w:line="480" w:lineRule="auto"/>
        <w:rPr>
          <w:rFonts w:ascii="Arial" w:hAnsi="Arial" w:cs="Arial"/>
        </w:rPr>
      </w:pPr>
    </w:p>
    <w:p w14:paraId="0DE80B18" w14:textId="77777777" w:rsidR="00C85D16" w:rsidRDefault="00C85D16" w:rsidP="00BC59EE">
      <w:pPr>
        <w:spacing w:line="480" w:lineRule="auto"/>
        <w:rPr>
          <w:rFonts w:ascii="Arial" w:hAnsi="Arial" w:cs="Arial"/>
        </w:rPr>
      </w:pPr>
    </w:p>
    <w:p w14:paraId="4C5B060B" w14:textId="77777777" w:rsidR="00C85D16" w:rsidRDefault="00C85D16" w:rsidP="00BC59EE">
      <w:pPr>
        <w:spacing w:line="480" w:lineRule="auto"/>
        <w:rPr>
          <w:rFonts w:ascii="Arial" w:hAnsi="Arial" w:cs="Arial"/>
        </w:rPr>
      </w:pPr>
    </w:p>
    <w:p w14:paraId="355F115E" w14:textId="77777777" w:rsidR="00C85D16" w:rsidRDefault="00C85D16" w:rsidP="00BC59EE">
      <w:pPr>
        <w:spacing w:line="480" w:lineRule="auto"/>
        <w:rPr>
          <w:rFonts w:ascii="Arial" w:hAnsi="Arial" w:cs="Arial"/>
        </w:rPr>
      </w:pPr>
    </w:p>
    <w:p w14:paraId="36260FEF" w14:textId="77777777" w:rsidR="00C85D16" w:rsidRDefault="00C85D16" w:rsidP="00BC59EE">
      <w:pPr>
        <w:spacing w:line="480" w:lineRule="auto"/>
        <w:rPr>
          <w:rFonts w:ascii="Arial" w:hAnsi="Arial" w:cs="Arial"/>
        </w:rPr>
      </w:pPr>
    </w:p>
    <w:p w14:paraId="002AB548" w14:textId="77777777" w:rsidR="00C85D16" w:rsidRDefault="00C85D16" w:rsidP="00BC59EE">
      <w:pPr>
        <w:spacing w:line="480" w:lineRule="auto"/>
        <w:rPr>
          <w:rFonts w:ascii="Arial" w:hAnsi="Arial" w:cs="Arial"/>
        </w:rPr>
      </w:pPr>
    </w:p>
    <w:p w14:paraId="24F70C6C" w14:textId="77777777" w:rsidR="00C85D16" w:rsidRDefault="00C85D16" w:rsidP="00BC59EE">
      <w:pPr>
        <w:spacing w:line="480" w:lineRule="auto"/>
        <w:rPr>
          <w:rFonts w:ascii="Arial" w:hAnsi="Arial" w:cs="Arial"/>
        </w:rPr>
      </w:pPr>
    </w:p>
    <w:p w14:paraId="1DE349D8" w14:textId="77777777" w:rsidR="00C85D16" w:rsidRDefault="00C85D16" w:rsidP="00BC59EE">
      <w:pPr>
        <w:spacing w:line="480" w:lineRule="auto"/>
        <w:rPr>
          <w:rFonts w:ascii="Arial" w:hAnsi="Arial" w:cs="Arial"/>
        </w:rPr>
      </w:pPr>
    </w:p>
    <w:p w14:paraId="69946F5F" w14:textId="1E063685" w:rsidR="00C85D16" w:rsidRPr="002431F1" w:rsidRDefault="00C85D16" w:rsidP="00BC59EE">
      <w:pPr>
        <w:spacing w:line="480" w:lineRule="auto"/>
        <w:rPr>
          <w:rFonts w:ascii="Arial Black" w:hAnsi="Arial Black" w:cs="Arial"/>
          <w:color w:val="BF4E14" w:themeColor="accent2" w:themeShade="BF"/>
        </w:rPr>
      </w:pPr>
      <w:r w:rsidRPr="002431F1">
        <w:rPr>
          <w:rFonts w:ascii="Arial Black" w:hAnsi="Arial Black" w:cs="Arial"/>
          <w:color w:val="BF4E14" w:themeColor="accent2" w:themeShade="BF"/>
        </w:rPr>
        <w:lastRenderedPageBreak/>
        <w:t xml:space="preserve">References </w:t>
      </w:r>
    </w:p>
    <w:p w14:paraId="4DAA5114" w14:textId="77777777" w:rsidR="00FA6534" w:rsidRDefault="00C85D16" w:rsidP="00C85D16">
      <w:pPr>
        <w:spacing w:line="480" w:lineRule="auto"/>
        <w:rPr>
          <w:rFonts w:ascii="Arial" w:hAnsi="Arial" w:cs="Arial"/>
        </w:rPr>
      </w:pPr>
      <w:r w:rsidRPr="00C85D16">
        <w:rPr>
          <w:rFonts w:ascii="Arial" w:hAnsi="Arial" w:cs="Arial"/>
        </w:rPr>
        <w:t xml:space="preserve">Abedin, B., Douglas, H., Watson, J., &amp; Bidar, R. (2023). Mitigating challenges of small social enterprises to improve performance. </w:t>
      </w:r>
      <w:r w:rsidRPr="00FA6534">
        <w:rPr>
          <w:rFonts w:ascii="Arial" w:hAnsi="Arial" w:cs="Arial"/>
          <w:i/>
          <w:iCs/>
        </w:rPr>
        <w:t>International Journal of Productivity and Performance Management, 72</w:t>
      </w:r>
      <w:r w:rsidRPr="00C85D16">
        <w:rPr>
          <w:rFonts w:ascii="Arial" w:hAnsi="Arial" w:cs="Arial"/>
        </w:rPr>
        <w:t xml:space="preserve">(1), 226–245. </w:t>
      </w:r>
    </w:p>
    <w:p w14:paraId="073FB212" w14:textId="77777777" w:rsidR="00FA6534" w:rsidRDefault="00C85D16" w:rsidP="00C85D16">
      <w:pPr>
        <w:spacing w:line="480" w:lineRule="auto"/>
        <w:rPr>
          <w:rFonts w:ascii="Arial" w:hAnsi="Arial" w:cs="Arial"/>
        </w:rPr>
      </w:pPr>
      <w:r w:rsidRPr="00C85D16">
        <w:rPr>
          <w:rFonts w:ascii="Arial" w:hAnsi="Arial" w:cs="Arial"/>
        </w:rPr>
        <w:t xml:space="preserve">Aiken, M. (2010). Social enterprises: Challenges from the field. In </w:t>
      </w:r>
      <w:r w:rsidRPr="00FA6534">
        <w:rPr>
          <w:rFonts w:ascii="Arial" w:hAnsi="Arial" w:cs="Arial"/>
          <w:i/>
          <w:iCs/>
        </w:rPr>
        <w:t>Hybrid organizations and the third sector: Challenges for practice, theory and policy</w:t>
      </w:r>
      <w:r w:rsidRPr="00C85D16">
        <w:rPr>
          <w:rFonts w:ascii="Arial" w:hAnsi="Arial" w:cs="Arial"/>
        </w:rPr>
        <w:t xml:space="preserve"> (pp. 153–174). Routledge.</w:t>
      </w:r>
    </w:p>
    <w:p w14:paraId="60EE3DE4" w14:textId="77777777" w:rsidR="00FA6534" w:rsidRDefault="00C85D16" w:rsidP="00C85D16">
      <w:pPr>
        <w:spacing w:line="480" w:lineRule="auto"/>
        <w:rPr>
          <w:rFonts w:ascii="Arial" w:hAnsi="Arial" w:cs="Arial"/>
        </w:rPr>
      </w:pPr>
      <w:proofErr w:type="spellStart"/>
      <w:r w:rsidRPr="00C85D16">
        <w:rPr>
          <w:rFonts w:ascii="Arial" w:hAnsi="Arial" w:cs="Arial"/>
        </w:rPr>
        <w:t>Barraket</w:t>
      </w:r>
      <w:proofErr w:type="spellEnd"/>
      <w:r w:rsidRPr="00C85D16">
        <w:rPr>
          <w:rFonts w:ascii="Arial" w:hAnsi="Arial" w:cs="Arial"/>
        </w:rPr>
        <w:t>, J., &amp; Anderson, H. (2010</w:t>
      </w:r>
      <w:r w:rsidRPr="00FA6534">
        <w:rPr>
          <w:rFonts w:ascii="Arial" w:hAnsi="Arial" w:cs="Arial"/>
          <w:i/>
          <w:iCs/>
        </w:rPr>
        <w:t>). Developing strong social enterprises: A documentary approach.</w:t>
      </w:r>
      <w:r w:rsidRPr="00C85D16">
        <w:rPr>
          <w:rFonts w:ascii="Arial" w:hAnsi="Arial" w:cs="Arial"/>
        </w:rPr>
        <w:t xml:space="preserve"> Queensland University of Technology.</w:t>
      </w:r>
    </w:p>
    <w:p w14:paraId="183A2697" w14:textId="77777777" w:rsidR="002431F1" w:rsidRDefault="00C85D16" w:rsidP="00C85D16">
      <w:pPr>
        <w:spacing w:line="480" w:lineRule="auto"/>
        <w:rPr>
          <w:rFonts w:ascii="Arial" w:hAnsi="Arial" w:cs="Arial"/>
        </w:rPr>
      </w:pPr>
      <w:r w:rsidRPr="00C85D16">
        <w:rPr>
          <w:rFonts w:ascii="Arial" w:hAnsi="Arial" w:cs="Arial"/>
        </w:rPr>
        <w:t xml:space="preserve">Campbell, P., Kelly, P., &amp; Harrison, L. (2011). </w:t>
      </w:r>
      <w:r w:rsidRPr="002431F1">
        <w:rPr>
          <w:rFonts w:ascii="Arial" w:hAnsi="Arial" w:cs="Arial"/>
          <w:i/>
          <w:iCs/>
        </w:rPr>
        <w:t xml:space="preserve">Social enterprise: Challenges and opportunities. </w:t>
      </w:r>
      <w:r w:rsidRPr="00C85D16">
        <w:rPr>
          <w:rFonts w:ascii="Arial" w:hAnsi="Arial" w:cs="Arial"/>
        </w:rPr>
        <w:t>Deakin University.</w:t>
      </w:r>
    </w:p>
    <w:p w14:paraId="72446FB3" w14:textId="77777777" w:rsidR="002431F1" w:rsidRDefault="00C85D16" w:rsidP="00C85D16">
      <w:pPr>
        <w:spacing w:line="480" w:lineRule="auto"/>
        <w:rPr>
          <w:rFonts w:ascii="Arial" w:hAnsi="Arial" w:cs="Arial"/>
        </w:rPr>
      </w:pPr>
      <w:proofErr w:type="spellStart"/>
      <w:r w:rsidRPr="00C85D16">
        <w:rPr>
          <w:rFonts w:ascii="Arial" w:hAnsi="Arial" w:cs="Arial"/>
        </w:rPr>
        <w:t>Hagedoorn</w:t>
      </w:r>
      <w:proofErr w:type="spellEnd"/>
      <w:r w:rsidRPr="00C85D16">
        <w:rPr>
          <w:rFonts w:ascii="Arial" w:hAnsi="Arial" w:cs="Arial"/>
        </w:rPr>
        <w:t xml:space="preserve">, J., Haugh, H., Robson, P., &amp; Sugar, K. (2023). Social innovation, goal orientation, and openness: Insights from social enterprise hybrids. </w:t>
      </w:r>
      <w:r w:rsidRPr="002431F1">
        <w:rPr>
          <w:rFonts w:ascii="Arial" w:hAnsi="Arial" w:cs="Arial"/>
          <w:i/>
          <w:iCs/>
        </w:rPr>
        <w:t>Small Business Economics, 60</w:t>
      </w:r>
      <w:r w:rsidRPr="00C85D16">
        <w:rPr>
          <w:rFonts w:ascii="Arial" w:hAnsi="Arial" w:cs="Arial"/>
        </w:rPr>
        <w:t xml:space="preserve">(1), 173–198. </w:t>
      </w:r>
    </w:p>
    <w:p w14:paraId="254DC38E" w14:textId="77777777" w:rsidR="002431F1" w:rsidRDefault="00C85D16" w:rsidP="00C85D16">
      <w:pPr>
        <w:spacing w:line="480" w:lineRule="auto"/>
        <w:rPr>
          <w:rFonts w:ascii="Arial" w:hAnsi="Arial" w:cs="Arial"/>
        </w:rPr>
      </w:pPr>
      <w:r w:rsidRPr="00C85D16">
        <w:rPr>
          <w:rFonts w:ascii="Arial" w:hAnsi="Arial" w:cs="Arial"/>
        </w:rPr>
        <w:t xml:space="preserve">Jackson, B., Nicoll, M., &amp; Roy, M. J. (2018). The distinctive challenges and opportunities for creating leadership within social enterprises. </w:t>
      </w:r>
      <w:r w:rsidRPr="002431F1">
        <w:rPr>
          <w:rFonts w:ascii="Arial" w:hAnsi="Arial" w:cs="Arial"/>
          <w:i/>
          <w:iCs/>
        </w:rPr>
        <w:t>Social Enterprise Journal, 14</w:t>
      </w:r>
      <w:r w:rsidRPr="00C85D16">
        <w:rPr>
          <w:rFonts w:ascii="Arial" w:hAnsi="Arial" w:cs="Arial"/>
        </w:rPr>
        <w:t>(1), 71–91</w:t>
      </w:r>
      <w:r w:rsidR="002431F1">
        <w:rPr>
          <w:rFonts w:ascii="Arial" w:hAnsi="Arial" w:cs="Arial"/>
        </w:rPr>
        <w:t>.</w:t>
      </w:r>
    </w:p>
    <w:p w14:paraId="4B1E3E02" w14:textId="1D10B71E" w:rsidR="00C85D16" w:rsidRPr="00C85D16" w:rsidRDefault="00C85D16" w:rsidP="00C85D16">
      <w:pPr>
        <w:spacing w:line="480" w:lineRule="auto"/>
        <w:rPr>
          <w:rFonts w:ascii="Arial" w:hAnsi="Arial" w:cs="Arial"/>
        </w:rPr>
      </w:pPr>
      <w:r w:rsidRPr="00C85D16">
        <w:rPr>
          <w:rFonts w:ascii="Arial" w:hAnsi="Arial" w:cs="Arial"/>
        </w:rPr>
        <w:t xml:space="preserve">Lee, M., Battilana, J., &amp; Wang, T. (2014). Building an infrastructure for empirical research on social enterprise: Challenges and opportunities. In </w:t>
      </w:r>
      <w:r w:rsidRPr="002431F1">
        <w:rPr>
          <w:rFonts w:ascii="Arial" w:hAnsi="Arial" w:cs="Arial"/>
          <w:i/>
          <w:iCs/>
        </w:rPr>
        <w:t>Social entrepreneurship and research methods (Vol. 9, pp. 241–264).</w:t>
      </w:r>
      <w:r w:rsidRPr="00C85D16">
        <w:rPr>
          <w:rFonts w:ascii="Arial" w:hAnsi="Arial" w:cs="Arial"/>
        </w:rPr>
        <w:t xml:space="preserve"> Emerald Group Publishing Limited.</w:t>
      </w:r>
    </w:p>
    <w:p w14:paraId="0343D22A" w14:textId="77777777" w:rsidR="002431F1" w:rsidRDefault="00C85D16" w:rsidP="00C85D16">
      <w:pPr>
        <w:spacing w:line="480" w:lineRule="auto"/>
        <w:rPr>
          <w:rFonts w:ascii="Arial" w:hAnsi="Arial" w:cs="Arial"/>
        </w:rPr>
      </w:pPr>
      <w:r w:rsidRPr="00C85D16">
        <w:rPr>
          <w:rFonts w:ascii="Arial" w:hAnsi="Arial" w:cs="Arial"/>
        </w:rPr>
        <w:lastRenderedPageBreak/>
        <w:t>Sch</w:t>
      </w:r>
      <w:r w:rsidR="002431F1">
        <w:rPr>
          <w:rFonts w:ascii="Arial" w:hAnsi="Arial" w:cs="Arial"/>
        </w:rPr>
        <w:t>a</w:t>
      </w:r>
      <w:r w:rsidRPr="00C85D16">
        <w:rPr>
          <w:rFonts w:ascii="Arial" w:hAnsi="Arial" w:cs="Arial"/>
        </w:rPr>
        <w:t>tzlein, L., Schl</w:t>
      </w:r>
      <w:r w:rsidR="002431F1">
        <w:rPr>
          <w:rFonts w:ascii="Arial" w:hAnsi="Arial" w:cs="Arial"/>
        </w:rPr>
        <w:t>u</w:t>
      </w:r>
      <w:r w:rsidRPr="00C85D16">
        <w:rPr>
          <w:rFonts w:ascii="Arial" w:hAnsi="Arial" w:cs="Arial"/>
        </w:rPr>
        <w:t>tter, D., &amp; Hahn, R. (2023). Managing the external financing constraints of social enterprises: A systematic review of a diversified research landscape</w:t>
      </w:r>
      <w:r w:rsidRPr="002431F1">
        <w:rPr>
          <w:rFonts w:ascii="Arial" w:hAnsi="Arial" w:cs="Arial"/>
          <w:i/>
          <w:iCs/>
        </w:rPr>
        <w:t>. International Journal of Management Reviews, 25</w:t>
      </w:r>
      <w:r w:rsidRPr="00C85D16">
        <w:rPr>
          <w:rFonts w:ascii="Arial" w:hAnsi="Arial" w:cs="Arial"/>
        </w:rPr>
        <w:t xml:space="preserve">(1), 176–199. </w:t>
      </w:r>
    </w:p>
    <w:p w14:paraId="45B1E67B" w14:textId="5BE240A4" w:rsidR="00C85D16" w:rsidRPr="00BC59EE" w:rsidRDefault="00C85D16" w:rsidP="00C85D16">
      <w:pPr>
        <w:spacing w:line="480" w:lineRule="auto"/>
        <w:rPr>
          <w:rFonts w:ascii="Arial" w:hAnsi="Arial" w:cs="Arial"/>
        </w:rPr>
      </w:pPr>
      <w:r w:rsidRPr="00C85D16">
        <w:rPr>
          <w:rFonts w:ascii="Arial" w:hAnsi="Arial" w:cs="Arial"/>
        </w:rPr>
        <w:t xml:space="preserve">Steiner, A., &amp; Teasdale, S. (2019). Unlocking the potential of rural social enterprise. </w:t>
      </w:r>
      <w:r w:rsidRPr="002431F1">
        <w:rPr>
          <w:rFonts w:ascii="Arial" w:hAnsi="Arial" w:cs="Arial"/>
          <w:i/>
          <w:iCs/>
        </w:rPr>
        <w:t>Journal of Rural Studies</w:t>
      </w:r>
      <w:r w:rsidRPr="00C85D16">
        <w:rPr>
          <w:rFonts w:ascii="Arial" w:hAnsi="Arial" w:cs="Arial"/>
        </w:rPr>
        <w:t xml:space="preserve">, 70, 144–154. </w:t>
      </w:r>
    </w:p>
    <w:sectPr w:rsidR="00C85D16" w:rsidRPr="00BC59EE" w:rsidSect="002431F1">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5E669" w14:textId="77777777" w:rsidR="00A01E7C" w:rsidRDefault="00A01E7C" w:rsidP="002431F1">
      <w:pPr>
        <w:spacing w:after="0" w:line="240" w:lineRule="auto"/>
      </w:pPr>
      <w:r>
        <w:separator/>
      </w:r>
    </w:p>
  </w:endnote>
  <w:endnote w:type="continuationSeparator" w:id="0">
    <w:p w14:paraId="3ABBC9A2" w14:textId="77777777" w:rsidR="00A01E7C" w:rsidRDefault="00A01E7C" w:rsidP="00243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316276"/>
      <w:docPartObj>
        <w:docPartGallery w:val="Page Numbers (Bottom of Page)"/>
        <w:docPartUnique/>
      </w:docPartObj>
    </w:sdtPr>
    <w:sdtEndPr>
      <w:rPr>
        <w:noProof/>
      </w:rPr>
    </w:sdtEndPr>
    <w:sdtContent>
      <w:p w14:paraId="59B586A8" w14:textId="09E3A5DC" w:rsidR="002431F1" w:rsidRDefault="002431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3D9544" w14:textId="77777777" w:rsidR="002431F1" w:rsidRDefault="002431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873D8" w14:textId="77777777" w:rsidR="00A01E7C" w:rsidRDefault="00A01E7C" w:rsidP="002431F1">
      <w:pPr>
        <w:spacing w:after="0" w:line="240" w:lineRule="auto"/>
      </w:pPr>
      <w:r>
        <w:separator/>
      </w:r>
    </w:p>
  </w:footnote>
  <w:footnote w:type="continuationSeparator" w:id="0">
    <w:p w14:paraId="53355194" w14:textId="77777777" w:rsidR="00A01E7C" w:rsidRDefault="00A01E7C" w:rsidP="002431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9EE"/>
    <w:rsid w:val="002431F1"/>
    <w:rsid w:val="00864D15"/>
    <w:rsid w:val="00A01E7C"/>
    <w:rsid w:val="00B76380"/>
    <w:rsid w:val="00BC59EE"/>
    <w:rsid w:val="00C85D16"/>
    <w:rsid w:val="00FA6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CAB60"/>
  <w15:chartTrackingRefBased/>
  <w15:docId w15:val="{40EECBC3-8463-47FF-9B44-6CF8F085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9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59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59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59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59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59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9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9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9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9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59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59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59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9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9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9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9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9EE"/>
    <w:rPr>
      <w:rFonts w:eastAsiaTheme="majorEastAsia" w:cstheme="majorBidi"/>
      <w:color w:val="272727" w:themeColor="text1" w:themeTint="D8"/>
    </w:rPr>
  </w:style>
  <w:style w:type="paragraph" w:styleId="Title">
    <w:name w:val="Title"/>
    <w:basedOn w:val="Normal"/>
    <w:next w:val="Normal"/>
    <w:link w:val="TitleChar"/>
    <w:uiPriority w:val="10"/>
    <w:qFormat/>
    <w:rsid w:val="00BC59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9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9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9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9EE"/>
    <w:pPr>
      <w:spacing w:before="160"/>
      <w:jc w:val="center"/>
    </w:pPr>
    <w:rPr>
      <w:i/>
      <w:iCs/>
      <w:color w:val="404040" w:themeColor="text1" w:themeTint="BF"/>
    </w:rPr>
  </w:style>
  <w:style w:type="character" w:customStyle="1" w:styleId="QuoteChar">
    <w:name w:val="Quote Char"/>
    <w:basedOn w:val="DefaultParagraphFont"/>
    <w:link w:val="Quote"/>
    <w:uiPriority w:val="29"/>
    <w:rsid w:val="00BC59EE"/>
    <w:rPr>
      <w:i/>
      <w:iCs/>
      <w:color w:val="404040" w:themeColor="text1" w:themeTint="BF"/>
    </w:rPr>
  </w:style>
  <w:style w:type="paragraph" w:styleId="ListParagraph">
    <w:name w:val="List Paragraph"/>
    <w:basedOn w:val="Normal"/>
    <w:uiPriority w:val="34"/>
    <w:qFormat/>
    <w:rsid w:val="00BC59EE"/>
    <w:pPr>
      <w:ind w:left="720"/>
      <w:contextualSpacing/>
    </w:pPr>
  </w:style>
  <w:style w:type="character" w:styleId="IntenseEmphasis">
    <w:name w:val="Intense Emphasis"/>
    <w:basedOn w:val="DefaultParagraphFont"/>
    <w:uiPriority w:val="21"/>
    <w:qFormat/>
    <w:rsid w:val="00BC59EE"/>
    <w:rPr>
      <w:i/>
      <w:iCs/>
      <w:color w:val="0F4761" w:themeColor="accent1" w:themeShade="BF"/>
    </w:rPr>
  </w:style>
  <w:style w:type="paragraph" w:styleId="IntenseQuote">
    <w:name w:val="Intense Quote"/>
    <w:basedOn w:val="Normal"/>
    <w:next w:val="Normal"/>
    <w:link w:val="IntenseQuoteChar"/>
    <w:uiPriority w:val="30"/>
    <w:qFormat/>
    <w:rsid w:val="00BC59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59EE"/>
    <w:rPr>
      <w:i/>
      <w:iCs/>
      <w:color w:val="0F4761" w:themeColor="accent1" w:themeShade="BF"/>
    </w:rPr>
  </w:style>
  <w:style w:type="character" w:styleId="IntenseReference">
    <w:name w:val="Intense Reference"/>
    <w:basedOn w:val="DefaultParagraphFont"/>
    <w:uiPriority w:val="32"/>
    <w:qFormat/>
    <w:rsid w:val="00BC59EE"/>
    <w:rPr>
      <w:b/>
      <w:bCs/>
      <w:smallCaps/>
      <w:color w:val="0F4761" w:themeColor="accent1" w:themeShade="BF"/>
      <w:spacing w:val="5"/>
    </w:rPr>
  </w:style>
  <w:style w:type="paragraph" w:styleId="Header">
    <w:name w:val="header"/>
    <w:basedOn w:val="Normal"/>
    <w:link w:val="HeaderChar"/>
    <w:uiPriority w:val="99"/>
    <w:unhideWhenUsed/>
    <w:rsid w:val="002431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1F1"/>
  </w:style>
  <w:style w:type="paragraph" w:styleId="Footer">
    <w:name w:val="footer"/>
    <w:basedOn w:val="Normal"/>
    <w:link w:val="FooterChar"/>
    <w:uiPriority w:val="99"/>
    <w:unhideWhenUsed/>
    <w:rsid w:val="002431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1F1"/>
  </w:style>
  <w:style w:type="paragraph" w:styleId="NoSpacing">
    <w:name w:val="No Spacing"/>
    <w:link w:val="NoSpacingChar"/>
    <w:uiPriority w:val="1"/>
    <w:qFormat/>
    <w:rsid w:val="002431F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431F1"/>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2025-10-31T00:00:00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1935</Words>
  <Characters>11030</Characters>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2025-10-30T19:15:00Z</dcterms:created>
  <dcterms:modified xsi:type="dcterms:W3CDTF">2025-10-30T20:20:00Z</dcterms:modified>
</cp:coreProperties>
</file>