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811F4D5" w14:textId="2D005520" w:rsidR="0067457D" w:rsidRPr="00821FA1" w:rsidRDefault="001A1593" w:rsidP="001A1593">
      <w:pPr>
        <w:spacing w:after="340" w:line="360" w:lineRule="auto"/>
        <w:jc w:val="center"/>
      </w:pPr>
      <w:bookmarkStart w:id="0" w:name="_Toc236957021"/>
      <w:r w:rsidRPr="00821FA1">
        <w:rPr>
          <w:noProof/>
        </w:rPr>
        <w:drawing>
          <wp:inline distT="0" distB="0" distL="0" distR="0" wp14:anchorId="41744345" wp14:editId="1412B6ED">
            <wp:extent cx="4907280" cy="1547681"/>
            <wp:effectExtent l="0" t="0" r="7620" b="0"/>
            <wp:docPr id="211243799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0308" b="22923"/>
                    <a:stretch>
                      <a:fillRect/>
                    </a:stretch>
                  </pic:blipFill>
                  <pic:spPr bwMode="auto">
                    <a:xfrm>
                      <a:off x="0" y="0"/>
                      <a:ext cx="4916045" cy="1550445"/>
                    </a:xfrm>
                    <a:prstGeom prst="rect">
                      <a:avLst/>
                    </a:prstGeom>
                    <a:noFill/>
                    <a:ln>
                      <a:noFill/>
                    </a:ln>
                    <a:extLst>
                      <a:ext uri="{53640926-AAD7-44D8-BBD7-CCE9431645EC}">
                        <a14:shadowObscured xmlns:a14="http://schemas.microsoft.com/office/drawing/2010/main"/>
                      </a:ext>
                    </a:extLst>
                  </pic:spPr>
                </pic:pic>
              </a:graphicData>
            </a:graphic>
          </wp:inline>
        </w:drawing>
      </w:r>
    </w:p>
    <w:p w14:paraId="513E0D40" w14:textId="77777777" w:rsidR="0067457D" w:rsidRPr="00821FA1" w:rsidRDefault="0067457D" w:rsidP="001A1593">
      <w:pPr>
        <w:spacing w:after="20" w:line="360" w:lineRule="auto"/>
        <w:jc w:val="center"/>
        <w:rPr>
          <w:b/>
          <w:bCs/>
        </w:rPr>
      </w:pPr>
      <w:r w:rsidRPr="00821FA1">
        <w:rPr>
          <w:b/>
          <w:bCs/>
        </w:rPr>
        <w:t>Module: Financial Management</w:t>
      </w:r>
    </w:p>
    <w:p w14:paraId="548F2F42" w14:textId="77777777" w:rsidR="0067457D" w:rsidRPr="00821FA1" w:rsidRDefault="0067457D" w:rsidP="0067457D">
      <w:pPr>
        <w:spacing w:after="340" w:line="360" w:lineRule="auto"/>
        <w:jc w:val="center"/>
        <w:rPr>
          <w:b/>
          <w:bCs/>
        </w:rPr>
      </w:pPr>
      <w:r w:rsidRPr="00821FA1">
        <w:rPr>
          <w:b/>
          <w:bCs/>
        </w:rPr>
        <w:t>Module Code: LCMB7002</w:t>
      </w:r>
    </w:p>
    <w:p w14:paraId="1414DD1B" w14:textId="77777777" w:rsidR="0067457D" w:rsidRPr="00821FA1" w:rsidRDefault="0067457D" w:rsidP="0067457D">
      <w:pPr>
        <w:pBdr>
          <w:top w:val="single" w:sz="12" w:space="8" w:color="4B2E5E"/>
          <w:bottom w:val="single" w:sz="12" w:space="8" w:color="4B2E5E"/>
        </w:pBdr>
        <w:spacing w:before="120"/>
        <w:jc w:val="center"/>
        <w:rPr>
          <w:b/>
          <w:bCs/>
        </w:rPr>
      </w:pPr>
      <w:r w:rsidRPr="00821FA1">
        <w:rPr>
          <w:b/>
          <w:bCs/>
          <w:sz w:val="30"/>
          <w:szCs w:val="30"/>
        </w:rPr>
        <w:t>Assessment: Individual Report</w:t>
      </w:r>
    </w:p>
    <w:p w14:paraId="7F731E62" w14:textId="77777777" w:rsidR="0067457D" w:rsidRPr="00821FA1" w:rsidRDefault="0067457D" w:rsidP="0067457D">
      <w:pPr>
        <w:spacing w:before="160" w:after="20" w:line="360" w:lineRule="auto"/>
        <w:jc w:val="center"/>
        <w:rPr>
          <w:b/>
          <w:bCs/>
        </w:rPr>
      </w:pPr>
      <w:r w:rsidRPr="00821FA1">
        <w:rPr>
          <w:b/>
          <w:bCs/>
          <w:sz w:val="28"/>
          <w:szCs w:val="28"/>
        </w:rPr>
        <w:t>Financial Performance and Management:</w:t>
      </w:r>
    </w:p>
    <w:p w14:paraId="7E61A409" w14:textId="77777777" w:rsidR="0067457D" w:rsidRPr="00821FA1" w:rsidRDefault="0067457D" w:rsidP="0067457D">
      <w:pPr>
        <w:spacing w:after="60" w:line="360" w:lineRule="auto"/>
        <w:jc w:val="center"/>
        <w:rPr>
          <w:b/>
          <w:bCs/>
        </w:rPr>
      </w:pPr>
      <w:r w:rsidRPr="00821FA1">
        <w:rPr>
          <w:b/>
          <w:bCs/>
          <w:sz w:val="28"/>
          <w:szCs w:val="28"/>
        </w:rPr>
        <w:t>A Strategic Financial Analysis of Whitbread PLC</w:t>
      </w:r>
    </w:p>
    <w:p w14:paraId="02DEF904" w14:textId="70E8F666" w:rsidR="0067457D" w:rsidRPr="00821FA1" w:rsidRDefault="0067457D" w:rsidP="0067457D">
      <w:pPr>
        <w:spacing w:after="400" w:line="360" w:lineRule="auto"/>
        <w:jc w:val="center"/>
        <w:rPr>
          <w:b/>
          <w:bCs/>
          <w:i/>
          <w:iCs/>
        </w:rPr>
      </w:pPr>
      <w:r w:rsidRPr="00821FA1">
        <w:rPr>
          <w:b/>
          <w:bCs/>
          <w:i/>
          <w:iCs/>
        </w:rPr>
        <w:t>Selected Company: Whitbread PLC (LSE: WTB)</w:t>
      </w:r>
    </w:p>
    <w:tbl>
      <w:tblPr>
        <w:tblStyle w:val="TableGrid"/>
        <w:tblW w:w="8600" w:type="dxa"/>
        <w:tblLook w:val="04A0" w:firstRow="1" w:lastRow="0" w:firstColumn="1" w:lastColumn="0" w:noHBand="0" w:noVBand="1"/>
      </w:tblPr>
      <w:tblGrid>
        <w:gridCol w:w="3200"/>
        <w:gridCol w:w="5400"/>
      </w:tblGrid>
      <w:tr w:rsidR="0067457D" w:rsidRPr="00821FA1" w14:paraId="5EF82715" w14:textId="77777777" w:rsidTr="006003BE">
        <w:tc>
          <w:tcPr>
            <w:tcW w:w="3200" w:type="dxa"/>
          </w:tcPr>
          <w:p w14:paraId="3F03B8CA" w14:textId="77777777" w:rsidR="0067457D" w:rsidRPr="00821FA1" w:rsidRDefault="0067457D" w:rsidP="001A1593">
            <w:pPr>
              <w:spacing w:line="360" w:lineRule="auto"/>
            </w:pPr>
            <w:r w:rsidRPr="00821FA1">
              <w:rPr>
                <w:b/>
                <w:bCs/>
                <w:color w:val="000000"/>
              </w:rPr>
              <w:t>Student Name:</w:t>
            </w:r>
          </w:p>
        </w:tc>
        <w:tc>
          <w:tcPr>
            <w:tcW w:w="5400" w:type="dxa"/>
          </w:tcPr>
          <w:p w14:paraId="0CD4E8EB" w14:textId="760B9993" w:rsidR="0067457D" w:rsidRPr="00821FA1" w:rsidRDefault="003D37CA" w:rsidP="001A1593">
            <w:pPr>
              <w:spacing w:line="360" w:lineRule="auto"/>
            </w:pPr>
            <w:r>
              <w:t xml:space="preserve">Vasukumar jayeshbhai Patel </w:t>
            </w:r>
          </w:p>
        </w:tc>
      </w:tr>
      <w:tr w:rsidR="0067457D" w:rsidRPr="00821FA1" w14:paraId="27CD9202" w14:textId="77777777" w:rsidTr="006003BE">
        <w:tc>
          <w:tcPr>
            <w:tcW w:w="3200" w:type="dxa"/>
          </w:tcPr>
          <w:p w14:paraId="710034CE" w14:textId="77777777" w:rsidR="0067457D" w:rsidRPr="00821FA1" w:rsidRDefault="0067457D" w:rsidP="001A1593">
            <w:pPr>
              <w:spacing w:line="360" w:lineRule="auto"/>
            </w:pPr>
            <w:r w:rsidRPr="00821FA1">
              <w:rPr>
                <w:b/>
                <w:bCs/>
                <w:color w:val="000000"/>
              </w:rPr>
              <w:t>Student ID Number:</w:t>
            </w:r>
          </w:p>
        </w:tc>
        <w:tc>
          <w:tcPr>
            <w:tcW w:w="5400" w:type="dxa"/>
          </w:tcPr>
          <w:p w14:paraId="2FF6BD6C" w14:textId="01B2C9B0" w:rsidR="0067457D" w:rsidRPr="00821FA1" w:rsidRDefault="00330F1D" w:rsidP="001A1593">
            <w:pPr>
              <w:spacing w:line="360" w:lineRule="auto"/>
            </w:pPr>
            <w:r w:rsidRPr="00330F1D">
              <w:t>2536674</w:t>
            </w:r>
          </w:p>
        </w:tc>
      </w:tr>
      <w:tr w:rsidR="0067457D" w:rsidRPr="00821FA1" w14:paraId="7663772F" w14:textId="77777777" w:rsidTr="006003BE">
        <w:trPr>
          <w:trHeight w:val="206"/>
        </w:trPr>
        <w:tc>
          <w:tcPr>
            <w:tcW w:w="3200" w:type="dxa"/>
          </w:tcPr>
          <w:p w14:paraId="14670BEE" w14:textId="77777777" w:rsidR="0067457D" w:rsidRPr="00821FA1" w:rsidRDefault="0067457D" w:rsidP="001A1593">
            <w:pPr>
              <w:spacing w:line="360" w:lineRule="auto"/>
            </w:pPr>
            <w:r w:rsidRPr="00821FA1">
              <w:rPr>
                <w:b/>
                <w:bCs/>
                <w:color w:val="000000"/>
              </w:rPr>
              <w:t>Lecturer:</w:t>
            </w:r>
          </w:p>
        </w:tc>
        <w:tc>
          <w:tcPr>
            <w:tcW w:w="5400" w:type="dxa"/>
          </w:tcPr>
          <w:p w14:paraId="50415B96" w14:textId="0CF687AF" w:rsidR="0067457D" w:rsidRPr="00821FA1" w:rsidRDefault="006003BE" w:rsidP="001A1593">
            <w:pPr>
              <w:spacing w:line="360" w:lineRule="auto"/>
            </w:pPr>
            <w:r w:rsidRPr="006003BE">
              <w:t>Shengfeng mei patrick yeboah</w:t>
            </w:r>
          </w:p>
        </w:tc>
      </w:tr>
      <w:tr w:rsidR="0067457D" w:rsidRPr="00821FA1" w14:paraId="10C979DE" w14:textId="77777777" w:rsidTr="006003BE">
        <w:tc>
          <w:tcPr>
            <w:tcW w:w="3200" w:type="dxa"/>
          </w:tcPr>
          <w:p w14:paraId="60E04347" w14:textId="77777777" w:rsidR="0067457D" w:rsidRPr="00821FA1" w:rsidRDefault="0067457D" w:rsidP="001A1593">
            <w:pPr>
              <w:spacing w:line="360" w:lineRule="auto"/>
            </w:pPr>
            <w:r w:rsidRPr="00821FA1">
              <w:rPr>
                <w:b/>
                <w:bCs/>
                <w:color w:val="000000"/>
              </w:rPr>
              <w:t>Assessment Component:</w:t>
            </w:r>
          </w:p>
        </w:tc>
        <w:tc>
          <w:tcPr>
            <w:tcW w:w="5400" w:type="dxa"/>
          </w:tcPr>
          <w:p w14:paraId="1681E8B7" w14:textId="0B9284C0" w:rsidR="0067457D" w:rsidRPr="00821FA1" w:rsidRDefault="0067457D" w:rsidP="001A1593">
            <w:pPr>
              <w:spacing w:line="360" w:lineRule="auto"/>
            </w:pPr>
            <w:r w:rsidRPr="00821FA1">
              <w:rPr>
                <w:color w:val="000000"/>
              </w:rPr>
              <w:t xml:space="preserve">Financial performance and management </w:t>
            </w:r>
          </w:p>
        </w:tc>
      </w:tr>
      <w:tr w:rsidR="0067457D" w:rsidRPr="00821FA1" w14:paraId="42818BD9" w14:textId="77777777" w:rsidTr="006003BE">
        <w:tc>
          <w:tcPr>
            <w:tcW w:w="3200" w:type="dxa"/>
          </w:tcPr>
          <w:p w14:paraId="1C54F4C5" w14:textId="77777777" w:rsidR="0067457D" w:rsidRPr="00821FA1" w:rsidRDefault="0067457D" w:rsidP="001A1593">
            <w:pPr>
              <w:spacing w:line="360" w:lineRule="auto"/>
            </w:pPr>
            <w:r w:rsidRPr="00821FA1">
              <w:rPr>
                <w:b/>
                <w:bCs/>
                <w:color w:val="000000"/>
              </w:rPr>
              <w:t>Word Count (main body):</w:t>
            </w:r>
          </w:p>
        </w:tc>
        <w:tc>
          <w:tcPr>
            <w:tcW w:w="5400" w:type="dxa"/>
          </w:tcPr>
          <w:p w14:paraId="023EE91C" w14:textId="59F0AAD7" w:rsidR="0067457D" w:rsidRPr="00821FA1" w:rsidRDefault="006003BE" w:rsidP="001A1593">
            <w:pPr>
              <w:spacing w:line="360" w:lineRule="auto"/>
            </w:pPr>
            <w:r>
              <w:t>5000</w:t>
            </w:r>
          </w:p>
        </w:tc>
      </w:tr>
      <w:tr w:rsidR="0067457D" w:rsidRPr="00821FA1" w14:paraId="1E101C63" w14:textId="77777777" w:rsidTr="006003BE">
        <w:tc>
          <w:tcPr>
            <w:tcW w:w="3200" w:type="dxa"/>
          </w:tcPr>
          <w:p w14:paraId="7EDED1E8" w14:textId="77777777" w:rsidR="0067457D" w:rsidRPr="00821FA1" w:rsidRDefault="0067457D" w:rsidP="001A1593">
            <w:pPr>
              <w:spacing w:line="360" w:lineRule="auto"/>
            </w:pPr>
            <w:r w:rsidRPr="00821FA1">
              <w:rPr>
                <w:b/>
                <w:bCs/>
                <w:color w:val="000000"/>
              </w:rPr>
              <w:t>Submission Date:</w:t>
            </w:r>
          </w:p>
        </w:tc>
        <w:tc>
          <w:tcPr>
            <w:tcW w:w="5400" w:type="dxa"/>
          </w:tcPr>
          <w:p w14:paraId="4527AC77" w14:textId="77777777" w:rsidR="0067457D" w:rsidRPr="00821FA1" w:rsidRDefault="0067457D" w:rsidP="001A1593">
            <w:pPr>
              <w:spacing w:line="360" w:lineRule="auto"/>
            </w:pPr>
            <w:r w:rsidRPr="00821FA1">
              <w:rPr>
                <w:color w:val="000000"/>
              </w:rPr>
              <w:t>13th August 2026</w:t>
            </w:r>
          </w:p>
        </w:tc>
      </w:tr>
    </w:tbl>
    <w:p w14:paraId="6B1DBC8E" w14:textId="77777777" w:rsidR="0067457D" w:rsidRPr="00821FA1" w:rsidRDefault="0067457D" w:rsidP="0067457D">
      <w:r w:rsidRPr="00821FA1">
        <w:br w:type="page"/>
      </w:r>
    </w:p>
    <w:sdt>
      <w:sdtPr>
        <w:rPr>
          <w:rFonts w:ascii="Arial" w:eastAsia="Arial" w:hAnsi="Arial" w:cs="Arial"/>
          <w:color w:val="auto"/>
          <w:sz w:val="24"/>
          <w:szCs w:val="24"/>
        </w:rPr>
        <w:id w:val="-1151445062"/>
        <w:docPartObj>
          <w:docPartGallery w:val="Table of Contents"/>
          <w:docPartUnique/>
        </w:docPartObj>
      </w:sdtPr>
      <w:sdtEndPr>
        <w:rPr>
          <w:rFonts w:ascii="Times New Roman" w:hAnsi="Times New Roman" w:cs="Times New Roman"/>
          <w:b/>
          <w:bCs/>
          <w:noProof/>
        </w:rPr>
      </w:sdtEndPr>
      <w:sdtContent>
        <w:p w14:paraId="77DAC3AB" w14:textId="53FD80B1" w:rsidR="001A1593" w:rsidRPr="00821FA1" w:rsidRDefault="001A1593" w:rsidP="001A1593">
          <w:pPr>
            <w:pStyle w:val="TOCHeading"/>
            <w:jc w:val="center"/>
            <w:rPr>
              <w:rFonts w:ascii="Times New Roman" w:hAnsi="Times New Roman" w:cs="Times New Roman"/>
              <w:b/>
              <w:bCs/>
              <w:color w:val="auto"/>
              <w:sz w:val="28"/>
              <w:szCs w:val="28"/>
            </w:rPr>
          </w:pPr>
          <w:r w:rsidRPr="00821FA1">
            <w:rPr>
              <w:rFonts w:ascii="Times New Roman" w:hAnsi="Times New Roman" w:cs="Times New Roman"/>
              <w:b/>
              <w:bCs/>
              <w:color w:val="auto"/>
              <w:sz w:val="28"/>
              <w:szCs w:val="28"/>
            </w:rPr>
            <w:t>Table of Contents</w:t>
          </w:r>
        </w:p>
        <w:p w14:paraId="4E3E889B" w14:textId="09448103" w:rsidR="001A1593" w:rsidRPr="00821FA1" w:rsidRDefault="001A1593" w:rsidP="001A1593">
          <w:pPr>
            <w:pStyle w:val="TOC1"/>
            <w:tabs>
              <w:tab w:val="left" w:pos="480"/>
              <w:tab w:val="right" w:leader="dot" w:pos="9350"/>
            </w:tabs>
            <w:spacing w:line="360" w:lineRule="auto"/>
            <w:rPr>
              <w:rFonts w:ascii="Times New Roman" w:hAnsi="Times New Roman" w:cs="Times New Roman"/>
              <w:noProof/>
            </w:rPr>
          </w:pPr>
          <w:r w:rsidRPr="00821FA1">
            <w:rPr>
              <w:rFonts w:ascii="Times New Roman" w:hAnsi="Times New Roman" w:cs="Times New Roman"/>
            </w:rPr>
            <w:fldChar w:fldCharType="begin"/>
          </w:r>
          <w:r w:rsidRPr="00821FA1">
            <w:rPr>
              <w:rFonts w:ascii="Times New Roman" w:hAnsi="Times New Roman" w:cs="Times New Roman"/>
            </w:rPr>
            <w:instrText xml:space="preserve"> TOC \o "1-3" \h \z \u </w:instrText>
          </w:r>
          <w:r w:rsidRPr="00821FA1">
            <w:rPr>
              <w:rFonts w:ascii="Times New Roman" w:hAnsi="Times New Roman" w:cs="Times New Roman"/>
            </w:rPr>
            <w:fldChar w:fldCharType="separate"/>
          </w:r>
          <w:hyperlink w:anchor="_Toc236960502" w:history="1">
            <w:r w:rsidRPr="00821FA1">
              <w:rPr>
                <w:rStyle w:val="Hyperlink"/>
                <w:rFonts w:ascii="Times New Roman" w:hAnsi="Times New Roman" w:cs="Times New Roman"/>
                <w:noProof/>
              </w:rPr>
              <w:t>1</w:t>
            </w:r>
            <w:r w:rsidRPr="00821FA1">
              <w:rPr>
                <w:rFonts w:ascii="Times New Roman" w:hAnsi="Times New Roman" w:cs="Times New Roman"/>
                <w:noProof/>
              </w:rPr>
              <w:tab/>
            </w:r>
            <w:r w:rsidRPr="00821FA1">
              <w:rPr>
                <w:rStyle w:val="Hyperlink"/>
                <w:rFonts w:ascii="Times New Roman" w:hAnsi="Times New Roman" w:cs="Times New Roman"/>
                <w:noProof/>
              </w:rPr>
              <w:t>Introduction</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_Toc236960502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4</w:t>
            </w:r>
            <w:r w:rsidRPr="00821FA1">
              <w:rPr>
                <w:rFonts w:ascii="Times New Roman" w:hAnsi="Times New Roman" w:cs="Times New Roman"/>
                <w:noProof/>
                <w:webHidden/>
              </w:rPr>
              <w:fldChar w:fldCharType="end"/>
            </w:r>
          </w:hyperlink>
        </w:p>
        <w:p w14:paraId="500B7C39" w14:textId="7D1D71A0" w:rsidR="001A1593" w:rsidRPr="00821FA1" w:rsidRDefault="001A1593" w:rsidP="001A1593">
          <w:pPr>
            <w:pStyle w:val="TOC1"/>
            <w:tabs>
              <w:tab w:val="left" w:pos="480"/>
              <w:tab w:val="right" w:leader="dot" w:pos="9350"/>
            </w:tabs>
            <w:spacing w:line="360" w:lineRule="auto"/>
            <w:rPr>
              <w:rFonts w:ascii="Times New Roman" w:hAnsi="Times New Roman" w:cs="Times New Roman"/>
              <w:noProof/>
            </w:rPr>
          </w:pPr>
          <w:hyperlink w:anchor="_Toc236960503" w:history="1">
            <w:r w:rsidRPr="00821FA1">
              <w:rPr>
                <w:rStyle w:val="Hyperlink"/>
                <w:rFonts w:ascii="Times New Roman" w:hAnsi="Times New Roman" w:cs="Times New Roman"/>
                <w:noProof/>
              </w:rPr>
              <w:t>2</w:t>
            </w:r>
            <w:r w:rsidRPr="00821FA1">
              <w:rPr>
                <w:rFonts w:ascii="Times New Roman" w:hAnsi="Times New Roman" w:cs="Times New Roman"/>
                <w:noProof/>
              </w:rPr>
              <w:tab/>
            </w:r>
            <w:r w:rsidRPr="00821FA1">
              <w:rPr>
                <w:rStyle w:val="Hyperlink"/>
                <w:rFonts w:ascii="Times New Roman" w:hAnsi="Times New Roman" w:cs="Times New Roman"/>
                <w:noProof/>
              </w:rPr>
              <w:t>Financial Health Check</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_Toc236960503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4</w:t>
            </w:r>
            <w:r w:rsidRPr="00821FA1">
              <w:rPr>
                <w:rFonts w:ascii="Times New Roman" w:hAnsi="Times New Roman" w:cs="Times New Roman"/>
                <w:noProof/>
                <w:webHidden/>
              </w:rPr>
              <w:fldChar w:fldCharType="end"/>
            </w:r>
          </w:hyperlink>
        </w:p>
        <w:p w14:paraId="63A96F58" w14:textId="3DBE815D"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04" w:history="1">
            <w:r w:rsidRPr="00821FA1">
              <w:rPr>
                <w:rStyle w:val="Hyperlink"/>
                <w:rFonts w:ascii="Times New Roman" w:hAnsi="Times New Roman" w:cs="Times New Roman"/>
                <w:noProof/>
              </w:rPr>
              <w:t>2.1</w:t>
            </w:r>
            <w:r w:rsidRPr="00821FA1">
              <w:rPr>
                <w:rFonts w:ascii="Times New Roman" w:hAnsi="Times New Roman" w:cs="Times New Roman"/>
                <w:noProof/>
              </w:rPr>
              <w:tab/>
            </w:r>
            <w:r w:rsidRPr="00821FA1">
              <w:rPr>
                <w:rStyle w:val="Hyperlink"/>
                <w:rFonts w:ascii="Times New Roman" w:hAnsi="Times New Roman" w:cs="Times New Roman"/>
                <w:noProof/>
              </w:rPr>
              <w:t>Overview of financial performance, FY21–FY25</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_Toc236960504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4</w:t>
            </w:r>
            <w:r w:rsidRPr="00821FA1">
              <w:rPr>
                <w:rFonts w:ascii="Times New Roman" w:hAnsi="Times New Roman" w:cs="Times New Roman"/>
                <w:noProof/>
                <w:webHidden/>
              </w:rPr>
              <w:fldChar w:fldCharType="end"/>
            </w:r>
          </w:hyperlink>
        </w:p>
        <w:p w14:paraId="76217E99" w14:textId="49334014"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05" w:history="1">
            <w:r w:rsidRPr="00821FA1">
              <w:rPr>
                <w:rStyle w:val="Hyperlink"/>
                <w:rFonts w:ascii="Times New Roman" w:hAnsi="Times New Roman" w:cs="Times New Roman"/>
                <w:noProof/>
              </w:rPr>
              <w:t>2.2</w:t>
            </w:r>
            <w:r w:rsidRPr="00821FA1">
              <w:rPr>
                <w:rFonts w:ascii="Times New Roman" w:hAnsi="Times New Roman" w:cs="Times New Roman"/>
                <w:noProof/>
              </w:rPr>
              <w:tab/>
            </w:r>
            <w:r w:rsidRPr="00821FA1">
              <w:rPr>
                <w:rStyle w:val="Hyperlink"/>
                <w:rFonts w:ascii="Times New Roman" w:hAnsi="Times New Roman" w:cs="Times New Roman"/>
                <w:noProof/>
              </w:rPr>
              <w:t>Profitability</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_Toc236960505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6</w:t>
            </w:r>
            <w:r w:rsidRPr="00821FA1">
              <w:rPr>
                <w:rFonts w:ascii="Times New Roman" w:hAnsi="Times New Roman" w:cs="Times New Roman"/>
                <w:noProof/>
                <w:webHidden/>
              </w:rPr>
              <w:fldChar w:fldCharType="end"/>
            </w:r>
          </w:hyperlink>
        </w:p>
        <w:p w14:paraId="7E02A88B" w14:textId="5849C0B5"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06" w:history="1">
            <w:r w:rsidRPr="00821FA1">
              <w:rPr>
                <w:rStyle w:val="Hyperlink"/>
                <w:rFonts w:ascii="Times New Roman" w:hAnsi="Times New Roman" w:cs="Times New Roman"/>
                <w:noProof/>
              </w:rPr>
              <w:t>2.3</w:t>
            </w:r>
            <w:r w:rsidRPr="00821FA1">
              <w:rPr>
                <w:rFonts w:ascii="Times New Roman" w:hAnsi="Times New Roman" w:cs="Times New Roman"/>
                <w:noProof/>
              </w:rPr>
              <w:tab/>
            </w:r>
            <w:r w:rsidRPr="00821FA1">
              <w:rPr>
                <w:rStyle w:val="Hyperlink"/>
                <w:rFonts w:ascii="Times New Roman" w:hAnsi="Times New Roman" w:cs="Times New Roman"/>
                <w:noProof/>
              </w:rPr>
              <w:t>Liquidity, efficiency and gearing</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_Toc236960506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7</w:t>
            </w:r>
            <w:r w:rsidRPr="00821FA1">
              <w:rPr>
                <w:rFonts w:ascii="Times New Roman" w:hAnsi="Times New Roman" w:cs="Times New Roman"/>
                <w:noProof/>
                <w:webHidden/>
              </w:rPr>
              <w:fldChar w:fldCharType="end"/>
            </w:r>
          </w:hyperlink>
        </w:p>
        <w:p w14:paraId="4708CB2A" w14:textId="6B275AD2"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07" w:history="1">
            <w:r w:rsidRPr="00821FA1">
              <w:rPr>
                <w:rStyle w:val="Hyperlink"/>
                <w:rFonts w:ascii="Times New Roman" w:hAnsi="Times New Roman" w:cs="Times New Roman"/>
                <w:noProof/>
              </w:rPr>
              <w:t>2.4</w:t>
            </w:r>
            <w:r w:rsidRPr="00821FA1">
              <w:rPr>
                <w:rFonts w:ascii="Times New Roman" w:hAnsi="Times New Roman" w:cs="Times New Roman"/>
                <w:noProof/>
              </w:rPr>
              <w:tab/>
            </w:r>
            <w:r w:rsidRPr="00821FA1">
              <w:rPr>
                <w:rStyle w:val="Hyperlink"/>
                <w:rFonts w:ascii="Times New Roman" w:hAnsi="Times New Roman" w:cs="Times New Roman"/>
                <w:noProof/>
              </w:rPr>
              <w:t>Investment and cash-flow indicators</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_Toc236960507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9</w:t>
            </w:r>
            <w:r w:rsidRPr="00821FA1">
              <w:rPr>
                <w:rFonts w:ascii="Times New Roman" w:hAnsi="Times New Roman" w:cs="Times New Roman"/>
                <w:noProof/>
                <w:webHidden/>
              </w:rPr>
              <w:fldChar w:fldCharType="end"/>
            </w:r>
          </w:hyperlink>
        </w:p>
        <w:p w14:paraId="3766EF0A" w14:textId="67E2475D"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08" w:history="1">
            <w:r w:rsidRPr="00821FA1">
              <w:rPr>
                <w:rStyle w:val="Hyperlink"/>
                <w:rFonts w:ascii="Times New Roman" w:hAnsi="Times New Roman" w:cs="Times New Roman"/>
                <w:noProof/>
              </w:rPr>
              <w:t>2.5</w:t>
            </w:r>
            <w:r w:rsidRPr="00821FA1">
              <w:rPr>
                <w:rFonts w:ascii="Times New Roman" w:hAnsi="Times New Roman" w:cs="Times New Roman"/>
                <w:noProof/>
              </w:rPr>
              <w:tab/>
            </w:r>
            <w:r w:rsidRPr="00821FA1">
              <w:rPr>
                <w:rStyle w:val="Hyperlink"/>
                <w:rFonts w:ascii="Times New Roman" w:hAnsi="Times New Roman" w:cs="Times New Roman"/>
                <w:noProof/>
              </w:rPr>
              <w:t>Trends, strengths and threats, and liquidity benchmarking</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_Toc236960508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10</w:t>
            </w:r>
            <w:r w:rsidRPr="00821FA1">
              <w:rPr>
                <w:rFonts w:ascii="Times New Roman" w:hAnsi="Times New Roman" w:cs="Times New Roman"/>
                <w:noProof/>
                <w:webHidden/>
              </w:rPr>
              <w:fldChar w:fldCharType="end"/>
            </w:r>
          </w:hyperlink>
        </w:p>
        <w:p w14:paraId="02ED11E0" w14:textId="0B81ADF9" w:rsidR="001A1593" w:rsidRPr="00821FA1" w:rsidRDefault="001A1593" w:rsidP="001A1593">
          <w:pPr>
            <w:pStyle w:val="TOC1"/>
            <w:tabs>
              <w:tab w:val="left" w:pos="480"/>
              <w:tab w:val="right" w:leader="dot" w:pos="9350"/>
            </w:tabs>
            <w:spacing w:line="360" w:lineRule="auto"/>
            <w:rPr>
              <w:rFonts w:ascii="Times New Roman" w:hAnsi="Times New Roman" w:cs="Times New Roman"/>
              <w:noProof/>
            </w:rPr>
          </w:pPr>
          <w:hyperlink w:anchor="_Toc236960509" w:history="1">
            <w:r w:rsidRPr="00821FA1">
              <w:rPr>
                <w:rStyle w:val="Hyperlink"/>
                <w:rFonts w:ascii="Times New Roman" w:hAnsi="Times New Roman" w:cs="Times New Roman"/>
                <w:noProof/>
              </w:rPr>
              <w:t>3</w:t>
            </w:r>
            <w:r w:rsidRPr="00821FA1">
              <w:rPr>
                <w:rFonts w:ascii="Times New Roman" w:hAnsi="Times New Roman" w:cs="Times New Roman"/>
                <w:noProof/>
              </w:rPr>
              <w:tab/>
            </w:r>
            <w:r w:rsidRPr="00821FA1">
              <w:rPr>
                <w:rStyle w:val="Hyperlink"/>
                <w:rFonts w:ascii="Times New Roman" w:hAnsi="Times New Roman" w:cs="Times New Roman"/>
                <w:noProof/>
              </w:rPr>
              <w:t>Working Capital Management Analysis</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_Toc236960509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11</w:t>
            </w:r>
            <w:r w:rsidRPr="00821FA1">
              <w:rPr>
                <w:rFonts w:ascii="Times New Roman" w:hAnsi="Times New Roman" w:cs="Times New Roman"/>
                <w:noProof/>
                <w:webHidden/>
              </w:rPr>
              <w:fldChar w:fldCharType="end"/>
            </w:r>
          </w:hyperlink>
        </w:p>
        <w:p w14:paraId="5BD37D8A" w14:textId="432379CE"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10" w:history="1">
            <w:r w:rsidRPr="00821FA1">
              <w:rPr>
                <w:rStyle w:val="Hyperlink"/>
                <w:rFonts w:ascii="Times New Roman" w:hAnsi="Times New Roman" w:cs="Times New Roman"/>
                <w:noProof/>
              </w:rPr>
              <w:t>3.1</w:t>
            </w:r>
            <w:r w:rsidRPr="00821FA1">
              <w:rPr>
                <w:rFonts w:ascii="Times New Roman" w:hAnsi="Times New Roman" w:cs="Times New Roman"/>
                <w:noProof/>
              </w:rPr>
              <w:tab/>
            </w:r>
            <w:r w:rsidRPr="00821FA1">
              <w:rPr>
                <w:rStyle w:val="Hyperlink"/>
                <w:rFonts w:ascii="Times New Roman" w:hAnsi="Times New Roman" w:cs="Times New Roman"/>
                <w:noProof/>
              </w:rPr>
              <w:t>The cash operating cycle</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_Toc236960510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11</w:t>
            </w:r>
            <w:r w:rsidRPr="00821FA1">
              <w:rPr>
                <w:rFonts w:ascii="Times New Roman" w:hAnsi="Times New Roman" w:cs="Times New Roman"/>
                <w:noProof/>
                <w:webHidden/>
              </w:rPr>
              <w:fldChar w:fldCharType="end"/>
            </w:r>
          </w:hyperlink>
        </w:p>
        <w:p w14:paraId="5B83F5B1" w14:textId="246264B6"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11" w:history="1">
            <w:r w:rsidRPr="00821FA1">
              <w:rPr>
                <w:rStyle w:val="Hyperlink"/>
                <w:rFonts w:ascii="Times New Roman" w:hAnsi="Times New Roman" w:cs="Times New Roman"/>
                <w:noProof/>
              </w:rPr>
              <w:t>3.2</w:t>
            </w:r>
            <w:r w:rsidRPr="00821FA1">
              <w:rPr>
                <w:rFonts w:ascii="Times New Roman" w:hAnsi="Times New Roman" w:cs="Times New Roman"/>
                <w:noProof/>
              </w:rPr>
              <w:tab/>
            </w:r>
            <w:r w:rsidRPr="00821FA1">
              <w:rPr>
                <w:rStyle w:val="Hyperlink"/>
                <w:rFonts w:ascii="Times New Roman" w:hAnsi="Times New Roman" w:cs="Times New Roman"/>
                <w:noProof/>
              </w:rPr>
              <w:t>Strategies to enhance liquidity through the improvement of working capital:</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_Toc236960511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13</w:t>
            </w:r>
            <w:r w:rsidRPr="00821FA1">
              <w:rPr>
                <w:rFonts w:ascii="Times New Roman" w:hAnsi="Times New Roman" w:cs="Times New Roman"/>
                <w:noProof/>
                <w:webHidden/>
              </w:rPr>
              <w:fldChar w:fldCharType="end"/>
            </w:r>
          </w:hyperlink>
        </w:p>
        <w:p w14:paraId="707580FB" w14:textId="3E22D34C"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12" w:history="1">
            <w:r w:rsidRPr="00821FA1">
              <w:rPr>
                <w:rStyle w:val="Hyperlink"/>
                <w:rFonts w:ascii="Times New Roman" w:hAnsi="Times New Roman" w:cs="Times New Roman"/>
                <w:noProof/>
              </w:rPr>
              <w:t>3.3</w:t>
            </w:r>
            <w:r w:rsidRPr="00821FA1">
              <w:rPr>
                <w:rFonts w:ascii="Times New Roman" w:hAnsi="Times New Roman" w:cs="Times New Roman"/>
                <w:noProof/>
              </w:rPr>
              <w:tab/>
            </w:r>
            <w:r w:rsidRPr="00821FA1">
              <w:rPr>
                <w:rStyle w:val="Hyperlink"/>
                <w:rFonts w:ascii="Times New Roman" w:hAnsi="Times New Roman" w:cs="Times New Roman"/>
                <w:noProof/>
              </w:rPr>
              <w:t>Short-term versus long-term financing:</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_Toc236960512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13</w:t>
            </w:r>
            <w:r w:rsidRPr="00821FA1">
              <w:rPr>
                <w:rFonts w:ascii="Times New Roman" w:hAnsi="Times New Roman" w:cs="Times New Roman"/>
                <w:noProof/>
                <w:webHidden/>
              </w:rPr>
              <w:fldChar w:fldCharType="end"/>
            </w:r>
          </w:hyperlink>
        </w:p>
        <w:p w14:paraId="66E21CC9" w14:textId="7818E172" w:rsidR="001A1593" w:rsidRPr="00821FA1" w:rsidRDefault="001A1593" w:rsidP="001A1593">
          <w:pPr>
            <w:pStyle w:val="TOC1"/>
            <w:tabs>
              <w:tab w:val="left" w:pos="480"/>
              <w:tab w:val="right" w:leader="dot" w:pos="9350"/>
            </w:tabs>
            <w:spacing w:line="360" w:lineRule="auto"/>
            <w:rPr>
              <w:rFonts w:ascii="Times New Roman" w:hAnsi="Times New Roman" w:cs="Times New Roman"/>
              <w:noProof/>
            </w:rPr>
          </w:pPr>
          <w:hyperlink w:anchor="_Toc236960513" w:history="1">
            <w:r w:rsidRPr="00821FA1">
              <w:rPr>
                <w:rStyle w:val="Hyperlink"/>
                <w:rFonts w:ascii="Times New Roman" w:hAnsi="Times New Roman" w:cs="Times New Roman"/>
                <w:noProof/>
              </w:rPr>
              <w:t>4</w:t>
            </w:r>
            <w:r w:rsidRPr="00821FA1">
              <w:rPr>
                <w:rFonts w:ascii="Times New Roman" w:hAnsi="Times New Roman" w:cs="Times New Roman"/>
                <w:noProof/>
              </w:rPr>
              <w:tab/>
            </w:r>
            <w:r w:rsidRPr="00821FA1">
              <w:rPr>
                <w:rStyle w:val="Hyperlink"/>
                <w:rFonts w:ascii="Times New Roman" w:hAnsi="Times New Roman" w:cs="Times New Roman"/>
                <w:noProof/>
              </w:rPr>
              <w:t>Strategic Financial Restructuring Plan</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_Toc236960513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14</w:t>
            </w:r>
            <w:r w:rsidRPr="00821FA1">
              <w:rPr>
                <w:rFonts w:ascii="Times New Roman" w:hAnsi="Times New Roman" w:cs="Times New Roman"/>
                <w:noProof/>
                <w:webHidden/>
              </w:rPr>
              <w:fldChar w:fldCharType="end"/>
            </w:r>
          </w:hyperlink>
        </w:p>
        <w:p w14:paraId="0B7731C0" w14:textId="74C489EB"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14" w:history="1">
            <w:r w:rsidRPr="00821FA1">
              <w:rPr>
                <w:rStyle w:val="Hyperlink"/>
                <w:rFonts w:ascii="Times New Roman" w:hAnsi="Times New Roman" w:cs="Times New Roman"/>
                <w:noProof/>
              </w:rPr>
              <w:t>4.1</w:t>
            </w:r>
            <w:r w:rsidRPr="00821FA1">
              <w:rPr>
                <w:rFonts w:ascii="Times New Roman" w:hAnsi="Times New Roman" w:cs="Times New Roman"/>
                <w:noProof/>
              </w:rPr>
              <w:tab/>
            </w:r>
            <w:r w:rsidRPr="00821FA1">
              <w:rPr>
                <w:rStyle w:val="Hyperlink"/>
                <w:rFonts w:ascii="Times New Roman" w:hAnsi="Times New Roman" w:cs="Times New Roman"/>
                <w:noProof/>
              </w:rPr>
              <w:t>Restructuring options</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_Toc236960514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14</w:t>
            </w:r>
            <w:r w:rsidRPr="00821FA1">
              <w:rPr>
                <w:rFonts w:ascii="Times New Roman" w:hAnsi="Times New Roman" w:cs="Times New Roman"/>
                <w:noProof/>
                <w:webHidden/>
              </w:rPr>
              <w:fldChar w:fldCharType="end"/>
            </w:r>
          </w:hyperlink>
        </w:p>
        <w:p w14:paraId="76BC4759" w14:textId="2137314F"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15" w:history="1">
            <w:r w:rsidRPr="00821FA1">
              <w:rPr>
                <w:rStyle w:val="Hyperlink"/>
                <w:rFonts w:ascii="Times New Roman" w:hAnsi="Times New Roman" w:cs="Times New Roman"/>
                <w:noProof/>
              </w:rPr>
              <w:t>4.2</w:t>
            </w:r>
            <w:r w:rsidRPr="00821FA1">
              <w:rPr>
                <w:rFonts w:ascii="Times New Roman" w:hAnsi="Times New Roman" w:cs="Times New Roman"/>
                <w:noProof/>
              </w:rPr>
              <w:tab/>
            </w:r>
            <w:r w:rsidRPr="00821FA1">
              <w:rPr>
                <w:rStyle w:val="Hyperlink"/>
                <w:rFonts w:ascii="Times New Roman" w:hAnsi="Times New Roman" w:cs="Times New Roman"/>
                <w:noProof/>
              </w:rPr>
              <w:t>Impact on shareholder value, debt structure and operational flexibility</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_Toc236960515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15</w:t>
            </w:r>
            <w:r w:rsidRPr="00821FA1">
              <w:rPr>
                <w:rFonts w:ascii="Times New Roman" w:hAnsi="Times New Roman" w:cs="Times New Roman"/>
                <w:noProof/>
                <w:webHidden/>
              </w:rPr>
              <w:fldChar w:fldCharType="end"/>
            </w:r>
          </w:hyperlink>
        </w:p>
        <w:p w14:paraId="300A0ECE" w14:textId="7B85F94C"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16" w:history="1">
            <w:r w:rsidRPr="00821FA1">
              <w:rPr>
                <w:rStyle w:val="Hyperlink"/>
                <w:rFonts w:ascii="Times New Roman" w:hAnsi="Times New Roman" w:cs="Times New Roman"/>
                <w:noProof/>
              </w:rPr>
              <w:t>4.3</w:t>
            </w:r>
            <w:r w:rsidRPr="00821FA1">
              <w:rPr>
                <w:rFonts w:ascii="Times New Roman" w:hAnsi="Times New Roman" w:cs="Times New Roman"/>
                <w:noProof/>
              </w:rPr>
              <w:tab/>
            </w:r>
            <w:r w:rsidRPr="00821FA1">
              <w:rPr>
                <w:rStyle w:val="Hyperlink"/>
                <w:rFonts w:ascii="Times New Roman" w:hAnsi="Times New Roman" w:cs="Times New Roman"/>
                <w:noProof/>
              </w:rPr>
              <w:t>International and ethical considerations</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_Toc236960516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15</w:t>
            </w:r>
            <w:r w:rsidRPr="00821FA1">
              <w:rPr>
                <w:rFonts w:ascii="Times New Roman" w:hAnsi="Times New Roman" w:cs="Times New Roman"/>
                <w:noProof/>
                <w:webHidden/>
              </w:rPr>
              <w:fldChar w:fldCharType="end"/>
            </w:r>
          </w:hyperlink>
        </w:p>
        <w:p w14:paraId="0CE6B6DA" w14:textId="3F4F0369" w:rsidR="001A1593" w:rsidRPr="00821FA1" w:rsidRDefault="001A1593" w:rsidP="001A1593">
          <w:pPr>
            <w:pStyle w:val="TOC1"/>
            <w:tabs>
              <w:tab w:val="left" w:pos="480"/>
              <w:tab w:val="right" w:leader="dot" w:pos="9350"/>
            </w:tabs>
            <w:spacing w:line="360" w:lineRule="auto"/>
            <w:rPr>
              <w:rFonts w:ascii="Times New Roman" w:hAnsi="Times New Roman" w:cs="Times New Roman"/>
              <w:noProof/>
            </w:rPr>
          </w:pPr>
          <w:hyperlink w:anchor="_Toc236960517" w:history="1">
            <w:r w:rsidRPr="00821FA1">
              <w:rPr>
                <w:rStyle w:val="Hyperlink"/>
                <w:rFonts w:ascii="Times New Roman" w:hAnsi="Times New Roman" w:cs="Times New Roman"/>
                <w:noProof/>
              </w:rPr>
              <w:t>5</w:t>
            </w:r>
            <w:r w:rsidRPr="00821FA1">
              <w:rPr>
                <w:rFonts w:ascii="Times New Roman" w:hAnsi="Times New Roman" w:cs="Times New Roman"/>
                <w:noProof/>
              </w:rPr>
              <w:tab/>
            </w:r>
            <w:r w:rsidRPr="00821FA1">
              <w:rPr>
                <w:rStyle w:val="Hyperlink"/>
                <w:rFonts w:ascii="Times New Roman" w:hAnsi="Times New Roman" w:cs="Times New Roman"/>
                <w:noProof/>
              </w:rPr>
              <w:t>Investment Appraisal and Capital Budgeting</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_Toc236960517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16</w:t>
            </w:r>
            <w:r w:rsidRPr="00821FA1">
              <w:rPr>
                <w:rFonts w:ascii="Times New Roman" w:hAnsi="Times New Roman" w:cs="Times New Roman"/>
                <w:noProof/>
                <w:webHidden/>
              </w:rPr>
              <w:fldChar w:fldCharType="end"/>
            </w:r>
          </w:hyperlink>
        </w:p>
        <w:p w14:paraId="0A017DA6" w14:textId="769D57A0"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18" w:history="1">
            <w:r w:rsidRPr="00821FA1">
              <w:rPr>
                <w:rStyle w:val="Hyperlink"/>
                <w:rFonts w:ascii="Times New Roman" w:hAnsi="Times New Roman" w:cs="Times New Roman"/>
                <w:noProof/>
              </w:rPr>
              <w:t>5.1</w:t>
            </w:r>
            <w:r w:rsidRPr="00821FA1">
              <w:rPr>
                <w:rFonts w:ascii="Times New Roman" w:hAnsi="Times New Roman" w:cs="Times New Roman"/>
                <w:noProof/>
              </w:rPr>
              <w:tab/>
            </w:r>
            <w:r w:rsidRPr="00821FA1">
              <w:rPr>
                <w:rStyle w:val="Hyperlink"/>
                <w:rFonts w:ascii="Times New Roman" w:hAnsi="Times New Roman" w:cs="Times New Roman"/>
                <w:noProof/>
              </w:rPr>
              <w:t>Appraisal methods and results</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_Toc236960518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16</w:t>
            </w:r>
            <w:r w:rsidRPr="00821FA1">
              <w:rPr>
                <w:rFonts w:ascii="Times New Roman" w:hAnsi="Times New Roman" w:cs="Times New Roman"/>
                <w:noProof/>
                <w:webHidden/>
              </w:rPr>
              <w:fldChar w:fldCharType="end"/>
            </w:r>
          </w:hyperlink>
        </w:p>
        <w:p w14:paraId="763E0279" w14:textId="27CA704D"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19" w:history="1">
            <w:r w:rsidRPr="00821FA1">
              <w:rPr>
                <w:rStyle w:val="Hyperlink"/>
                <w:rFonts w:ascii="Times New Roman" w:hAnsi="Times New Roman" w:cs="Times New Roman"/>
                <w:noProof/>
              </w:rPr>
              <w:t>5.2</w:t>
            </w:r>
            <w:r w:rsidRPr="00821FA1">
              <w:rPr>
                <w:rFonts w:ascii="Times New Roman" w:hAnsi="Times New Roman" w:cs="Times New Roman"/>
                <w:noProof/>
              </w:rPr>
              <w:tab/>
            </w:r>
            <w:r w:rsidRPr="00821FA1">
              <w:rPr>
                <w:rStyle w:val="Hyperlink"/>
                <w:rFonts w:ascii="Times New Roman" w:hAnsi="Times New Roman" w:cs="Times New Roman"/>
                <w:noProof/>
              </w:rPr>
              <w:t>Recommendation and non-financial risks</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_Toc236960519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18</w:t>
            </w:r>
            <w:r w:rsidRPr="00821FA1">
              <w:rPr>
                <w:rFonts w:ascii="Times New Roman" w:hAnsi="Times New Roman" w:cs="Times New Roman"/>
                <w:noProof/>
                <w:webHidden/>
              </w:rPr>
              <w:fldChar w:fldCharType="end"/>
            </w:r>
          </w:hyperlink>
        </w:p>
        <w:p w14:paraId="43F1CC80" w14:textId="53C38B16"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20" w:history="1">
            <w:r w:rsidRPr="00821FA1">
              <w:rPr>
                <w:rStyle w:val="Hyperlink"/>
                <w:rFonts w:ascii="Times New Roman" w:hAnsi="Times New Roman" w:cs="Times New Roman"/>
                <w:noProof/>
              </w:rPr>
              <w:t>5.3</w:t>
            </w:r>
            <w:r w:rsidRPr="00821FA1">
              <w:rPr>
                <w:rFonts w:ascii="Times New Roman" w:hAnsi="Times New Roman" w:cs="Times New Roman"/>
                <w:noProof/>
              </w:rPr>
              <w:tab/>
            </w:r>
            <w:r w:rsidRPr="00821FA1">
              <w:rPr>
                <w:rStyle w:val="Hyperlink"/>
                <w:rFonts w:ascii="Times New Roman" w:hAnsi="Times New Roman" w:cs="Times New Roman"/>
                <w:noProof/>
              </w:rPr>
              <w:t>Capital rationing under a £100m ceiling:</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_Toc236960520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19</w:t>
            </w:r>
            <w:r w:rsidRPr="00821FA1">
              <w:rPr>
                <w:rFonts w:ascii="Times New Roman" w:hAnsi="Times New Roman" w:cs="Times New Roman"/>
                <w:noProof/>
                <w:webHidden/>
              </w:rPr>
              <w:fldChar w:fldCharType="end"/>
            </w:r>
          </w:hyperlink>
        </w:p>
        <w:p w14:paraId="2E3F1DBF" w14:textId="309A83EB" w:rsidR="001A1593" w:rsidRPr="00821FA1" w:rsidRDefault="001A1593" w:rsidP="001A1593">
          <w:pPr>
            <w:pStyle w:val="TOC1"/>
            <w:tabs>
              <w:tab w:val="left" w:pos="480"/>
              <w:tab w:val="right" w:leader="dot" w:pos="9350"/>
            </w:tabs>
            <w:spacing w:line="360" w:lineRule="auto"/>
            <w:rPr>
              <w:rFonts w:ascii="Times New Roman" w:hAnsi="Times New Roman" w:cs="Times New Roman"/>
              <w:noProof/>
            </w:rPr>
          </w:pPr>
          <w:hyperlink w:anchor="_Toc236960521" w:history="1">
            <w:r w:rsidRPr="00821FA1">
              <w:rPr>
                <w:rStyle w:val="Hyperlink"/>
                <w:rFonts w:ascii="Times New Roman" w:hAnsi="Times New Roman" w:cs="Times New Roman"/>
                <w:noProof/>
              </w:rPr>
              <w:t>6</w:t>
            </w:r>
            <w:r w:rsidRPr="00821FA1">
              <w:rPr>
                <w:rFonts w:ascii="Times New Roman" w:hAnsi="Times New Roman" w:cs="Times New Roman"/>
                <w:noProof/>
              </w:rPr>
              <w:tab/>
            </w:r>
            <w:r w:rsidRPr="00821FA1">
              <w:rPr>
                <w:rStyle w:val="Hyperlink"/>
                <w:rFonts w:ascii="Times New Roman" w:hAnsi="Times New Roman" w:cs="Times New Roman"/>
                <w:noProof/>
              </w:rPr>
              <w:t>Critical Reflection on AI Usage</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_Toc236960521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20</w:t>
            </w:r>
            <w:r w:rsidRPr="00821FA1">
              <w:rPr>
                <w:rFonts w:ascii="Times New Roman" w:hAnsi="Times New Roman" w:cs="Times New Roman"/>
                <w:noProof/>
                <w:webHidden/>
              </w:rPr>
              <w:fldChar w:fldCharType="end"/>
            </w:r>
          </w:hyperlink>
        </w:p>
        <w:p w14:paraId="4664FAA8" w14:textId="14363287"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22" w:history="1">
            <w:r w:rsidRPr="00821FA1">
              <w:rPr>
                <w:rStyle w:val="Hyperlink"/>
                <w:rFonts w:ascii="Times New Roman" w:hAnsi="Times New Roman" w:cs="Times New Roman"/>
                <w:noProof/>
              </w:rPr>
              <w:t>6.1</w:t>
            </w:r>
            <w:r w:rsidRPr="00821FA1">
              <w:rPr>
                <w:rFonts w:ascii="Times New Roman" w:hAnsi="Times New Roman" w:cs="Times New Roman"/>
                <w:noProof/>
              </w:rPr>
              <w:tab/>
            </w:r>
            <w:r w:rsidRPr="00821FA1">
              <w:rPr>
                <w:rStyle w:val="Hyperlink"/>
                <w:rFonts w:ascii="Times New Roman" w:hAnsi="Times New Roman" w:cs="Times New Roman"/>
                <w:noProof/>
              </w:rPr>
              <w:t>Tool disclosure</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_Toc236960522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20</w:t>
            </w:r>
            <w:r w:rsidRPr="00821FA1">
              <w:rPr>
                <w:rFonts w:ascii="Times New Roman" w:hAnsi="Times New Roman" w:cs="Times New Roman"/>
                <w:noProof/>
                <w:webHidden/>
              </w:rPr>
              <w:fldChar w:fldCharType="end"/>
            </w:r>
          </w:hyperlink>
        </w:p>
        <w:p w14:paraId="2AF0E9CE" w14:textId="0C4F308C"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23" w:history="1">
            <w:r w:rsidRPr="00821FA1">
              <w:rPr>
                <w:rStyle w:val="Hyperlink"/>
                <w:rFonts w:ascii="Times New Roman" w:hAnsi="Times New Roman" w:cs="Times New Roman"/>
                <w:noProof/>
              </w:rPr>
              <w:t>6.2</w:t>
            </w:r>
            <w:r w:rsidRPr="00821FA1">
              <w:rPr>
                <w:rFonts w:ascii="Times New Roman" w:hAnsi="Times New Roman" w:cs="Times New Roman"/>
                <w:noProof/>
              </w:rPr>
              <w:tab/>
            </w:r>
            <w:r w:rsidRPr="00821FA1">
              <w:rPr>
                <w:rStyle w:val="Hyperlink"/>
                <w:rFonts w:ascii="Times New Roman" w:hAnsi="Times New Roman" w:cs="Times New Roman"/>
                <w:noProof/>
              </w:rPr>
              <w:t>Critical evaluation of AI output</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_Toc236960523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20</w:t>
            </w:r>
            <w:r w:rsidRPr="00821FA1">
              <w:rPr>
                <w:rFonts w:ascii="Times New Roman" w:hAnsi="Times New Roman" w:cs="Times New Roman"/>
                <w:noProof/>
                <w:webHidden/>
              </w:rPr>
              <w:fldChar w:fldCharType="end"/>
            </w:r>
          </w:hyperlink>
        </w:p>
        <w:p w14:paraId="77465774" w14:textId="68140BE9"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24" w:history="1">
            <w:r w:rsidRPr="00821FA1">
              <w:rPr>
                <w:rStyle w:val="Hyperlink"/>
                <w:rFonts w:ascii="Times New Roman" w:hAnsi="Times New Roman" w:cs="Times New Roman"/>
                <w:noProof/>
              </w:rPr>
              <w:t>6.3</w:t>
            </w:r>
            <w:r w:rsidRPr="00821FA1">
              <w:rPr>
                <w:rFonts w:ascii="Times New Roman" w:hAnsi="Times New Roman" w:cs="Times New Roman"/>
                <w:noProof/>
              </w:rPr>
              <w:tab/>
            </w:r>
            <w:r w:rsidRPr="00821FA1">
              <w:rPr>
                <w:rStyle w:val="Hyperlink"/>
                <w:rFonts w:ascii="Times New Roman" w:hAnsi="Times New Roman" w:cs="Times New Roman"/>
                <w:noProof/>
              </w:rPr>
              <w:t>Contribution analysis</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_Toc236960524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21</w:t>
            </w:r>
            <w:r w:rsidRPr="00821FA1">
              <w:rPr>
                <w:rFonts w:ascii="Times New Roman" w:hAnsi="Times New Roman" w:cs="Times New Roman"/>
                <w:noProof/>
                <w:webHidden/>
              </w:rPr>
              <w:fldChar w:fldCharType="end"/>
            </w:r>
          </w:hyperlink>
        </w:p>
        <w:p w14:paraId="6095F240" w14:textId="4E755ACD"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25" w:history="1">
            <w:r w:rsidRPr="00821FA1">
              <w:rPr>
                <w:rStyle w:val="Hyperlink"/>
                <w:rFonts w:ascii="Times New Roman" w:hAnsi="Times New Roman" w:cs="Times New Roman"/>
                <w:noProof/>
              </w:rPr>
              <w:t>6.4</w:t>
            </w:r>
            <w:r w:rsidRPr="00821FA1">
              <w:rPr>
                <w:rFonts w:ascii="Times New Roman" w:hAnsi="Times New Roman" w:cs="Times New Roman"/>
                <w:noProof/>
              </w:rPr>
              <w:tab/>
            </w:r>
            <w:r w:rsidRPr="00821FA1">
              <w:rPr>
                <w:rStyle w:val="Hyperlink"/>
                <w:rFonts w:ascii="Times New Roman" w:hAnsi="Times New Roman" w:cs="Times New Roman"/>
                <w:noProof/>
              </w:rPr>
              <w:t>Ethical and professional reflection</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_Toc236960525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21</w:t>
            </w:r>
            <w:r w:rsidRPr="00821FA1">
              <w:rPr>
                <w:rFonts w:ascii="Times New Roman" w:hAnsi="Times New Roman" w:cs="Times New Roman"/>
                <w:noProof/>
                <w:webHidden/>
              </w:rPr>
              <w:fldChar w:fldCharType="end"/>
            </w:r>
          </w:hyperlink>
        </w:p>
        <w:p w14:paraId="737B7DDA" w14:textId="551783C5" w:rsidR="001A1593" w:rsidRPr="00821FA1" w:rsidRDefault="001A1593" w:rsidP="001A1593">
          <w:pPr>
            <w:pStyle w:val="TOC1"/>
            <w:tabs>
              <w:tab w:val="left" w:pos="480"/>
              <w:tab w:val="right" w:leader="dot" w:pos="9350"/>
            </w:tabs>
            <w:spacing w:line="360" w:lineRule="auto"/>
            <w:rPr>
              <w:rFonts w:ascii="Times New Roman" w:hAnsi="Times New Roman" w:cs="Times New Roman"/>
              <w:noProof/>
            </w:rPr>
          </w:pPr>
          <w:hyperlink w:anchor="_Toc236960526" w:history="1">
            <w:r w:rsidRPr="00821FA1">
              <w:rPr>
                <w:rStyle w:val="Hyperlink"/>
                <w:rFonts w:ascii="Times New Roman" w:hAnsi="Times New Roman" w:cs="Times New Roman"/>
                <w:noProof/>
              </w:rPr>
              <w:t>7</w:t>
            </w:r>
            <w:r w:rsidRPr="00821FA1">
              <w:rPr>
                <w:rFonts w:ascii="Times New Roman" w:hAnsi="Times New Roman" w:cs="Times New Roman"/>
                <w:noProof/>
              </w:rPr>
              <w:tab/>
            </w:r>
            <w:r w:rsidRPr="00821FA1">
              <w:rPr>
                <w:rStyle w:val="Hyperlink"/>
                <w:rFonts w:ascii="Times New Roman" w:hAnsi="Times New Roman" w:cs="Times New Roman"/>
                <w:noProof/>
              </w:rPr>
              <w:t>Conclusion</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_Toc236960526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21</w:t>
            </w:r>
            <w:r w:rsidRPr="00821FA1">
              <w:rPr>
                <w:rFonts w:ascii="Times New Roman" w:hAnsi="Times New Roman" w:cs="Times New Roman"/>
                <w:noProof/>
                <w:webHidden/>
              </w:rPr>
              <w:fldChar w:fldCharType="end"/>
            </w:r>
          </w:hyperlink>
        </w:p>
        <w:p w14:paraId="63981705" w14:textId="2AE78F8B" w:rsidR="001A1593" w:rsidRPr="00821FA1" w:rsidRDefault="001A1593" w:rsidP="001A1593">
          <w:pPr>
            <w:pStyle w:val="TOC1"/>
            <w:tabs>
              <w:tab w:val="left" w:pos="480"/>
              <w:tab w:val="right" w:leader="dot" w:pos="9350"/>
            </w:tabs>
            <w:spacing w:line="360" w:lineRule="auto"/>
            <w:rPr>
              <w:rFonts w:ascii="Times New Roman" w:hAnsi="Times New Roman" w:cs="Times New Roman"/>
              <w:noProof/>
            </w:rPr>
          </w:pPr>
          <w:hyperlink w:anchor="_Toc236960527" w:history="1">
            <w:r w:rsidRPr="00821FA1">
              <w:rPr>
                <w:rStyle w:val="Hyperlink"/>
                <w:rFonts w:ascii="Times New Roman" w:hAnsi="Times New Roman" w:cs="Times New Roman"/>
                <w:noProof/>
              </w:rPr>
              <w:t>8</w:t>
            </w:r>
            <w:r w:rsidRPr="00821FA1">
              <w:rPr>
                <w:rFonts w:ascii="Times New Roman" w:hAnsi="Times New Roman" w:cs="Times New Roman"/>
                <w:noProof/>
              </w:rPr>
              <w:tab/>
            </w:r>
            <w:r w:rsidRPr="00821FA1">
              <w:rPr>
                <w:rStyle w:val="Hyperlink"/>
                <w:rFonts w:ascii="Times New Roman" w:hAnsi="Times New Roman" w:cs="Times New Roman"/>
                <w:noProof/>
              </w:rPr>
              <w:t>References</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_Toc236960527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23</w:t>
            </w:r>
            <w:r w:rsidRPr="00821FA1">
              <w:rPr>
                <w:rFonts w:ascii="Times New Roman" w:hAnsi="Times New Roman" w:cs="Times New Roman"/>
                <w:noProof/>
                <w:webHidden/>
              </w:rPr>
              <w:fldChar w:fldCharType="end"/>
            </w:r>
          </w:hyperlink>
        </w:p>
        <w:p w14:paraId="5CB7FA59" w14:textId="47E8F2D2" w:rsidR="001A1593" w:rsidRPr="00821FA1" w:rsidRDefault="001A1593" w:rsidP="001A1593">
          <w:pPr>
            <w:pStyle w:val="TOC1"/>
            <w:tabs>
              <w:tab w:val="left" w:pos="480"/>
              <w:tab w:val="right" w:leader="dot" w:pos="9350"/>
            </w:tabs>
            <w:spacing w:line="360" w:lineRule="auto"/>
            <w:rPr>
              <w:rFonts w:ascii="Times New Roman" w:hAnsi="Times New Roman" w:cs="Times New Roman"/>
              <w:noProof/>
            </w:rPr>
          </w:pPr>
          <w:hyperlink w:anchor="_Toc236960528" w:history="1">
            <w:r w:rsidRPr="00821FA1">
              <w:rPr>
                <w:rStyle w:val="Hyperlink"/>
                <w:rFonts w:ascii="Times New Roman" w:hAnsi="Times New Roman" w:cs="Times New Roman"/>
                <w:noProof/>
              </w:rPr>
              <w:t>9</w:t>
            </w:r>
            <w:r w:rsidRPr="00821FA1">
              <w:rPr>
                <w:rFonts w:ascii="Times New Roman" w:hAnsi="Times New Roman" w:cs="Times New Roman"/>
                <w:noProof/>
              </w:rPr>
              <w:tab/>
            </w:r>
            <w:r w:rsidRPr="00821FA1">
              <w:rPr>
                <w:rStyle w:val="Hyperlink"/>
                <w:rFonts w:ascii="Times New Roman" w:hAnsi="Times New Roman" w:cs="Times New Roman"/>
                <w:noProof/>
              </w:rPr>
              <w:t>Appendices</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_Toc236960528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27</w:t>
            </w:r>
            <w:r w:rsidRPr="00821FA1">
              <w:rPr>
                <w:rFonts w:ascii="Times New Roman" w:hAnsi="Times New Roman" w:cs="Times New Roman"/>
                <w:noProof/>
                <w:webHidden/>
              </w:rPr>
              <w:fldChar w:fldCharType="end"/>
            </w:r>
          </w:hyperlink>
        </w:p>
        <w:p w14:paraId="190C18E1" w14:textId="0A5B0D05"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29" w:history="1">
            <w:r w:rsidRPr="00821FA1">
              <w:rPr>
                <w:rStyle w:val="Hyperlink"/>
                <w:rFonts w:ascii="Times New Roman" w:hAnsi="Times New Roman" w:cs="Times New Roman"/>
                <w:noProof/>
              </w:rPr>
              <w:t>9.1</w:t>
            </w:r>
            <w:r w:rsidRPr="00821FA1">
              <w:rPr>
                <w:rFonts w:ascii="Times New Roman" w:hAnsi="Times New Roman" w:cs="Times New Roman"/>
                <w:noProof/>
              </w:rPr>
              <w:tab/>
            </w:r>
            <w:r w:rsidRPr="00821FA1">
              <w:rPr>
                <w:rStyle w:val="Hyperlink"/>
                <w:rFonts w:ascii="Times New Roman" w:hAnsi="Times New Roman" w:cs="Times New Roman"/>
                <w:noProof/>
              </w:rPr>
              <w:t>Appendix A:  Ratio summary table (FY21–FY25)</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_Toc236960529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27</w:t>
            </w:r>
            <w:r w:rsidRPr="00821FA1">
              <w:rPr>
                <w:rFonts w:ascii="Times New Roman" w:hAnsi="Times New Roman" w:cs="Times New Roman"/>
                <w:noProof/>
                <w:webHidden/>
              </w:rPr>
              <w:fldChar w:fldCharType="end"/>
            </w:r>
          </w:hyperlink>
        </w:p>
        <w:p w14:paraId="00231C7A" w14:textId="7D481237"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30" w:history="1">
            <w:r w:rsidRPr="00821FA1">
              <w:rPr>
                <w:rStyle w:val="Hyperlink"/>
                <w:rFonts w:ascii="Times New Roman" w:hAnsi="Times New Roman" w:cs="Times New Roman"/>
                <w:noProof/>
              </w:rPr>
              <w:t>9.2</w:t>
            </w:r>
            <w:r w:rsidRPr="00821FA1">
              <w:rPr>
                <w:rFonts w:ascii="Times New Roman" w:hAnsi="Times New Roman" w:cs="Times New Roman"/>
                <w:noProof/>
              </w:rPr>
              <w:tab/>
            </w:r>
            <w:r w:rsidRPr="00821FA1">
              <w:rPr>
                <w:rStyle w:val="Hyperlink"/>
                <w:rFonts w:ascii="Times New Roman" w:hAnsi="Times New Roman" w:cs="Times New Roman"/>
                <w:noProof/>
              </w:rPr>
              <w:t>Appendix B: Investment Appraisal — Full Workings</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_Toc236960530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27</w:t>
            </w:r>
            <w:r w:rsidRPr="00821FA1">
              <w:rPr>
                <w:rFonts w:ascii="Times New Roman" w:hAnsi="Times New Roman" w:cs="Times New Roman"/>
                <w:noProof/>
                <w:webHidden/>
              </w:rPr>
              <w:fldChar w:fldCharType="end"/>
            </w:r>
          </w:hyperlink>
        </w:p>
        <w:p w14:paraId="5E08124A" w14:textId="16D487CC"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31" w:history="1">
            <w:r w:rsidRPr="00821FA1">
              <w:rPr>
                <w:rStyle w:val="Hyperlink"/>
                <w:rFonts w:ascii="Times New Roman" w:hAnsi="Times New Roman" w:cs="Times New Roman"/>
                <w:noProof/>
              </w:rPr>
              <w:t>9.3</w:t>
            </w:r>
            <w:r w:rsidRPr="00821FA1">
              <w:rPr>
                <w:rFonts w:ascii="Times New Roman" w:hAnsi="Times New Roman" w:cs="Times New Roman"/>
                <w:noProof/>
              </w:rPr>
              <w:tab/>
            </w:r>
            <w:r w:rsidRPr="00821FA1">
              <w:rPr>
                <w:rStyle w:val="Hyperlink"/>
                <w:rFonts w:ascii="Times New Roman" w:hAnsi="Times New Roman" w:cs="Times New Roman"/>
                <w:noProof/>
              </w:rPr>
              <w:t>Appendix C: Capital Rationing (£100m Budget)</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_Toc236960531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28</w:t>
            </w:r>
            <w:r w:rsidRPr="00821FA1">
              <w:rPr>
                <w:rFonts w:ascii="Times New Roman" w:hAnsi="Times New Roman" w:cs="Times New Roman"/>
                <w:noProof/>
                <w:webHidden/>
              </w:rPr>
              <w:fldChar w:fldCharType="end"/>
            </w:r>
          </w:hyperlink>
        </w:p>
        <w:p w14:paraId="76B293E5" w14:textId="7434F591" w:rsidR="001A1593" w:rsidRPr="00821FA1" w:rsidRDefault="001A1593" w:rsidP="001A1593">
          <w:pPr>
            <w:pStyle w:val="TOC2"/>
            <w:tabs>
              <w:tab w:val="left" w:pos="960"/>
              <w:tab w:val="right" w:leader="dot" w:pos="9350"/>
            </w:tabs>
            <w:spacing w:line="360" w:lineRule="auto"/>
            <w:rPr>
              <w:rFonts w:ascii="Times New Roman" w:hAnsi="Times New Roman" w:cs="Times New Roman"/>
              <w:noProof/>
            </w:rPr>
          </w:pPr>
          <w:hyperlink w:anchor="_Toc236960532" w:history="1">
            <w:r w:rsidRPr="00821FA1">
              <w:rPr>
                <w:rStyle w:val="Hyperlink"/>
                <w:rFonts w:ascii="Times New Roman" w:hAnsi="Times New Roman" w:cs="Times New Roman"/>
                <w:noProof/>
              </w:rPr>
              <w:t>9.4</w:t>
            </w:r>
            <w:r w:rsidRPr="00821FA1">
              <w:rPr>
                <w:rFonts w:ascii="Times New Roman" w:hAnsi="Times New Roman" w:cs="Times New Roman"/>
                <w:noProof/>
              </w:rPr>
              <w:tab/>
            </w:r>
            <w:r w:rsidRPr="00821FA1">
              <w:rPr>
                <w:rStyle w:val="Hyperlink"/>
                <w:rFonts w:ascii="Times New Roman" w:hAnsi="Times New Roman" w:cs="Times New Roman"/>
                <w:noProof/>
              </w:rPr>
              <w:t>Appendix D: Common Assumptions</w:t>
            </w:r>
            <w:r w:rsidRPr="00821FA1">
              <w:rPr>
                <w:rFonts w:ascii="Times New Roman" w:hAnsi="Times New Roman" w:cs="Times New Roman"/>
                <w:noProof/>
                <w:webHidden/>
              </w:rPr>
              <w:tab/>
            </w:r>
            <w:r w:rsidRPr="00821FA1">
              <w:rPr>
                <w:rFonts w:ascii="Times New Roman" w:hAnsi="Times New Roman" w:cs="Times New Roman"/>
                <w:noProof/>
                <w:webHidden/>
              </w:rPr>
              <w:fldChar w:fldCharType="begin"/>
            </w:r>
            <w:r w:rsidRPr="00821FA1">
              <w:rPr>
                <w:rFonts w:ascii="Times New Roman" w:hAnsi="Times New Roman" w:cs="Times New Roman"/>
                <w:noProof/>
                <w:webHidden/>
              </w:rPr>
              <w:instrText xml:space="preserve"> PAGEREF _Toc236960532 \h </w:instrText>
            </w:r>
            <w:r w:rsidRPr="00821FA1">
              <w:rPr>
                <w:rFonts w:ascii="Times New Roman" w:hAnsi="Times New Roman" w:cs="Times New Roman"/>
                <w:noProof/>
                <w:webHidden/>
              </w:rPr>
            </w:r>
            <w:r w:rsidRPr="00821FA1">
              <w:rPr>
                <w:rFonts w:ascii="Times New Roman" w:hAnsi="Times New Roman" w:cs="Times New Roman"/>
                <w:noProof/>
                <w:webHidden/>
              </w:rPr>
              <w:fldChar w:fldCharType="separate"/>
            </w:r>
            <w:r w:rsidRPr="00821FA1">
              <w:rPr>
                <w:rFonts w:ascii="Times New Roman" w:hAnsi="Times New Roman" w:cs="Times New Roman"/>
                <w:noProof/>
                <w:webHidden/>
              </w:rPr>
              <w:t>28</w:t>
            </w:r>
            <w:r w:rsidRPr="00821FA1">
              <w:rPr>
                <w:rFonts w:ascii="Times New Roman" w:hAnsi="Times New Roman" w:cs="Times New Roman"/>
                <w:noProof/>
                <w:webHidden/>
              </w:rPr>
              <w:fldChar w:fldCharType="end"/>
            </w:r>
          </w:hyperlink>
        </w:p>
        <w:p w14:paraId="1E91644B" w14:textId="3003659B" w:rsidR="001A1593" w:rsidRPr="00821FA1" w:rsidRDefault="001A1593" w:rsidP="001A1593">
          <w:pPr>
            <w:spacing w:line="360" w:lineRule="auto"/>
            <w:rPr>
              <w:rFonts w:ascii="Times New Roman" w:hAnsi="Times New Roman" w:cs="Times New Roman"/>
            </w:rPr>
          </w:pPr>
          <w:r w:rsidRPr="00821FA1">
            <w:rPr>
              <w:rFonts w:ascii="Times New Roman" w:hAnsi="Times New Roman" w:cs="Times New Roman"/>
              <w:b/>
              <w:bCs/>
              <w:noProof/>
            </w:rPr>
            <w:fldChar w:fldCharType="end"/>
          </w:r>
        </w:p>
      </w:sdtContent>
    </w:sdt>
    <w:p w14:paraId="2CCAF4C1" w14:textId="77777777" w:rsidR="00A40D84" w:rsidRPr="00821FA1" w:rsidRDefault="00A40D84" w:rsidP="001A1593">
      <w:pPr>
        <w:spacing w:line="360" w:lineRule="auto"/>
        <w:jc w:val="both"/>
        <w:rPr>
          <w:rFonts w:ascii="Times New Roman" w:hAnsi="Times New Roman" w:cs="Times New Roman"/>
        </w:rPr>
      </w:pPr>
    </w:p>
    <w:p w14:paraId="3989CDC8" w14:textId="77777777" w:rsidR="00A40D84" w:rsidRPr="00821FA1" w:rsidRDefault="00A40D84" w:rsidP="00A40D84">
      <w:pPr>
        <w:spacing w:line="360" w:lineRule="auto"/>
        <w:jc w:val="both"/>
        <w:rPr>
          <w:rFonts w:ascii="Times New Roman" w:hAnsi="Times New Roman" w:cs="Times New Roman"/>
        </w:rPr>
      </w:pPr>
    </w:p>
    <w:p w14:paraId="2DB64EB1" w14:textId="77777777" w:rsidR="00A40D84" w:rsidRPr="00821FA1" w:rsidRDefault="00A40D84" w:rsidP="00A40D84">
      <w:pPr>
        <w:spacing w:line="360" w:lineRule="auto"/>
        <w:jc w:val="both"/>
        <w:rPr>
          <w:rFonts w:ascii="Times New Roman" w:hAnsi="Times New Roman" w:cs="Times New Roman"/>
        </w:rPr>
      </w:pPr>
    </w:p>
    <w:p w14:paraId="7E7053B6" w14:textId="77777777" w:rsidR="00A40D84" w:rsidRPr="00821FA1" w:rsidRDefault="00A40D84" w:rsidP="00A40D84">
      <w:pPr>
        <w:spacing w:line="360" w:lineRule="auto"/>
        <w:jc w:val="both"/>
        <w:rPr>
          <w:rFonts w:ascii="Times New Roman" w:hAnsi="Times New Roman" w:cs="Times New Roman"/>
        </w:rPr>
      </w:pPr>
    </w:p>
    <w:p w14:paraId="14546C01" w14:textId="77777777" w:rsidR="00A40D84" w:rsidRPr="00821FA1" w:rsidRDefault="00A40D84" w:rsidP="00A40D84">
      <w:pPr>
        <w:spacing w:line="360" w:lineRule="auto"/>
        <w:jc w:val="both"/>
        <w:rPr>
          <w:rFonts w:ascii="Times New Roman" w:hAnsi="Times New Roman" w:cs="Times New Roman"/>
        </w:rPr>
      </w:pPr>
    </w:p>
    <w:p w14:paraId="3588857A" w14:textId="77777777" w:rsidR="00A40D84" w:rsidRPr="00821FA1" w:rsidRDefault="00A40D84" w:rsidP="00A40D84">
      <w:pPr>
        <w:spacing w:line="360" w:lineRule="auto"/>
        <w:jc w:val="both"/>
        <w:rPr>
          <w:rFonts w:ascii="Times New Roman" w:hAnsi="Times New Roman" w:cs="Times New Roman"/>
        </w:rPr>
      </w:pPr>
    </w:p>
    <w:p w14:paraId="1F6B791D" w14:textId="77777777" w:rsidR="00A40D84" w:rsidRPr="00821FA1" w:rsidRDefault="00A40D84" w:rsidP="00A40D84">
      <w:pPr>
        <w:spacing w:line="360" w:lineRule="auto"/>
        <w:jc w:val="both"/>
        <w:rPr>
          <w:rFonts w:ascii="Times New Roman" w:hAnsi="Times New Roman" w:cs="Times New Roman"/>
        </w:rPr>
      </w:pPr>
    </w:p>
    <w:p w14:paraId="47BCC836" w14:textId="77777777" w:rsidR="00A40D84" w:rsidRPr="00821FA1" w:rsidRDefault="00A40D84" w:rsidP="00A40D84">
      <w:pPr>
        <w:spacing w:line="360" w:lineRule="auto"/>
        <w:jc w:val="both"/>
        <w:rPr>
          <w:rFonts w:ascii="Times New Roman" w:hAnsi="Times New Roman" w:cs="Times New Roman"/>
        </w:rPr>
      </w:pPr>
    </w:p>
    <w:p w14:paraId="7974E2C2" w14:textId="77777777" w:rsidR="00A40D84" w:rsidRPr="00821FA1" w:rsidRDefault="00A40D84" w:rsidP="00A40D84">
      <w:pPr>
        <w:spacing w:line="360" w:lineRule="auto"/>
        <w:jc w:val="both"/>
        <w:rPr>
          <w:rFonts w:ascii="Times New Roman" w:hAnsi="Times New Roman" w:cs="Times New Roman"/>
        </w:rPr>
      </w:pPr>
    </w:p>
    <w:p w14:paraId="7BDDB66C" w14:textId="77777777" w:rsidR="00A40D84" w:rsidRPr="00821FA1" w:rsidRDefault="00A40D84" w:rsidP="00A40D84">
      <w:pPr>
        <w:spacing w:line="360" w:lineRule="auto"/>
        <w:jc w:val="both"/>
        <w:rPr>
          <w:rFonts w:ascii="Times New Roman" w:hAnsi="Times New Roman" w:cs="Times New Roman"/>
        </w:rPr>
      </w:pPr>
    </w:p>
    <w:p w14:paraId="0426733C" w14:textId="77777777" w:rsidR="00A40D84" w:rsidRPr="00821FA1" w:rsidRDefault="00A40D84" w:rsidP="00A40D84">
      <w:pPr>
        <w:spacing w:line="360" w:lineRule="auto"/>
        <w:jc w:val="both"/>
        <w:rPr>
          <w:rFonts w:ascii="Times New Roman" w:hAnsi="Times New Roman" w:cs="Times New Roman"/>
        </w:rPr>
      </w:pPr>
    </w:p>
    <w:p w14:paraId="1BA68EFE" w14:textId="77777777" w:rsidR="00A40D84" w:rsidRPr="00821FA1" w:rsidRDefault="00A40D84" w:rsidP="00A40D84">
      <w:pPr>
        <w:spacing w:line="360" w:lineRule="auto"/>
        <w:jc w:val="both"/>
        <w:rPr>
          <w:rFonts w:ascii="Times New Roman" w:hAnsi="Times New Roman" w:cs="Times New Roman"/>
        </w:rPr>
      </w:pPr>
    </w:p>
    <w:p w14:paraId="2744289A" w14:textId="77777777" w:rsidR="00A40D84" w:rsidRPr="00821FA1" w:rsidRDefault="00A40D84" w:rsidP="00A40D84">
      <w:pPr>
        <w:spacing w:line="360" w:lineRule="auto"/>
        <w:jc w:val="both"/>
        <w:rPr>
          <w:rFonts w:ascii="Times New Roman" w:hAnsi="Times New Roman" w:cs="Times New Roman"/>
        </w:rPr>
      </w:pPr>
    </w:p>
    <w:p w14:paraId="4607C484" w14:textId="77777777" w:rsidR="00A40D84" w:rsidRPr="00821FA1" w:rsidRDefault="00A40D84" w:rsidP="00A40D84">
      <w:pPr>
        <w:spacing w:line="360" w:lineRule="auto"/>
        <w:jc w:val="both"/>
        <w:rPr>
          <w:rFonts w:ascii="Times New Roman" w:hAnsi="Times New Roman" w:cs="Times New Roman"/>
        </w:rPr>
      </w:pPr>
    </w:p>
    <w:p w14:paraId="42E950B6" w14:textId="77777777" w:rsidR="00A40D84" w:rsidRPr="00821FA1" w:rsidRDefault="00A40D84" w:rsidP="00A40D84">
      <w:pPr>
        <w:spacing w:line="360" w:lineRule="auto"/>
        <w:jc w:val="both"/>
        <w:rPr>
          <w:rFonts w:ascii="Times New Roman" w:hAnsi="Times New Roman" w:cs="Times New Roman"/>
        </w:rPr>
      </w:pPr>
    </w:p>
    <w:p w14:paraId="6454360E" w14:textId="77777777" w:rsidR="00A40D84" w:rsidRPr="00821FA1" w:rsidRDefault="00A40D84" w:rsidP="00A40D84">
      <w:pPr>
        <w:spacing w:line="360" w:lineRule="auto"/>
        <w:jc w:val="both"/>
        <w:rPr>
          <w:rFonts w:ascii="Times New Roman" w:hAnsi="Times New Roman" w:cs="Times New Roman"/>
        </w:rPr>
      </w:pPr>
    </w:p>
    <w:p w14:paraId="68B6AA05" w14:textId="77777777" w:rsidR="00A40D84" w:rsidRPr="00821FA1" w:rsidRDefault="00A40D84" w:rsidP="00A40D84">
      <w:pPr>
        <w:spacing w:line="360" w:lineRule="auto"/>
        <w:jc w:val="both"/>
        <w:rPr>
          <w:rFonts w:ascii="Times New Roman" w:hAnsi="Times New Roman" w:cs="Times New Roman"/>
        </w:rPr>
      </w:pPr>
    </w:p>
    <w:p w14:paraId="5ECAF5E8" w14:textId="77777777" w:rsidR="00A40D84" w:rsidRPr="00821FA1" w:rsidRDefault="00A40D84" w:rsidP="00A40D84">
      <w:pPr>
        <w:spacing w:line="360" w:lineRule="auto"/>
        <w:jc w:val="both"/>
        <w:rPr>
          <w:rFonts w:ascii="Times New Roman" w:hAnsi="Times New Roman" w:cs="Times New Roman"/>
        </w:rPr>
      </w:pPr>
    </w:p>
    <w:p w14:paraId="1D54EB31" w14:textId="77777777" w:rsidR="00A40D84" w:rsidRPr="00821FA1" w:rsidRDefault="00A40D84" w:rsidP="00A40D84">
      <w:pPr>
        <w:spacing w:line="360" w:lineRule="auto"/>
        <w:jc w:val="both"/>
        <w:rPr>
          <w:rFonts w:ascii="Times New Roman" w:hAnsi="Times New Roman" w:cs="Times New Roman"/>
        </w:rPr>
      </w:pPr>
    </w:p>
    <w:p w14:paraId="6033C97A" w14:textId="77777777" w:rsidR="00A40D84" w:rsidRPr="00821FA1" w:rsidRDefault="00A40D84" w:rsidP="00A40D84">
      <w:pPr>
        <w:spacing w:line="360" w:lineRule="auto"/>
        <w:jc w:val="both"/>
        <w:rPr>
          <w:rFonts w:ascii="Times New Roman" w:hAnsi="Times New Roman" w:cs="Times New Roman"/>
        </w:rPr>
      </w:pPr>
    </w:p>
    <w:p w14:paraId="42B81DA6" w14:textId="09A02839" w:rsidR="00A40D84" w:rsidRPr="00821FA1" w:rsidRDefault="00A40D84" w:rsidP="001A1593">
      <w:pPr>
        <w:pStyle w:val="Heading1"/>
        <w:rPr>
          <w:rFonts w:eastAsia="Arial"/>
        </w:rPr>
      </w:pPr>
      <w:bookmarkStart w:id="1" w:name="_Toc236960502"/>
      <w:r w:rsidRPr="00821FA1">
        <w:rPr>
          <w:rFonts w:eastAsia="Arial"/>
        </w:rPr>
        <w:t>Introduction</w:t>
      </w:r>
      <w:bookmarkEnd w:id="0"/>
      <w:bookmarkEnd w:id="1"/>
    </w:p>
    <w:p w14:paraId="3CBEFC2E" w14:textId="77777777" w:rsidR="00821FA1" w:rsidRPr="00821FA1" w:rsidRDefault="00821FA1" w:rsidP="00821FA1">
      <w:pPr>
        <w:spacing w:line="360" w:lineRule="auto"/>
        <w:jc w:val="both"/>
        <w:rPr>
          <w:rFonts w:ascii="Times New Roman" w:hAnsi="Times New Roman" w:cs="Times New Roman"/>
        </w:rPr>
      </w:pPr>
      <w:r w:rsidRPr="00821FA1">
        <w:rPr>
          <w:rFonts w:ascii="Times New Roman" w:hAnsi="Times New Roman" w:cs="Times New Roman"/>
        </w:rPr>
        <w:t xml:space="preserve">This report is the perspective of the Chief Financial Officer (CFO) of Whitbread PLC, a FTSE 100 hotel and restaurant group that owns the hotel brand Premier Inn and an integrated portfolio of restaurant formats in the United Kingdom and Ireland and Germany (Whitbread PLC, 2025). Whitbread was chosen because of the brief's requirements for a publicly listed, international hospitality business that had fully accessible corporate website and five years of financial statements which had been audited. It is also a very instructive case as the five years to February 2025 are the time of the almost complete collapse of demand during the Covid-19 crisis, followed by the rapid recovery and the initiation of an international growth strategy based on capital investment. All of this enables financial performance, working capital, financing structure and investment policy to be </w:t>
      </w:r>
      <w:proofErr w:type="spellStart"/>
      <w:r w:rsidRPr="00821FA1">
        <w:rPr>
          <w:rFonts w:ascii="Times New Roman" w:hAnsi="Times New Roman" w:cs="Times New Roman"/>
        </w:rPr>
        <w:t>analysed</w:t>
      </w:r>
      <w:proofErr w:type="spellEnd"/>
      <w:r w:rsidRPr="00821FA1">
        <w:rPr>
          <w:rFonts w:ascii="Times New Roman" w:hAnsi="Times New Roman" w:cs="Times New Roman"/>
        </w:rPr>
        <w:t xml:space="preserve"> as one coherent corporate story.</w:t>
      </w:r>
    </w:p>
    <w:p w14:paraId="68FBA5C0" w14:textId="05DD4622" w:rsidR="00821FA1" w:rsidRPr="00821FA1" w:rsidRDefault="00821FA1" w:rsidP="00821FA1">
      <w:pPr>
        <w:spacing w:line="360" w:lineRule="auto"/>
        <w:jc w:val="both"/>
        <w:rPr>
          <w:rFonts w:ascii="Times New Roman" w:hAnsi="Times New Roman" w:cs="Times New Roman"/>
        </w:rPr>
      </w:pPr>
      <w:r w:rsidRPr="00821FA1">
        <w:rPr>
          <w:rFonts w:ascii="Times New Roman" w:hAnsi="Times New Roman" w:cs="Times New Roman"/>
        </w:rPr>
        <w:t xml:space="preserve">The report aims to achieve four goals. It first carries out a 5-year financial health check, </w:t>
      </w:r>
      <w:proofErr w:type="spellStart"/>
      <w:r w:rsidRPr="00821FA1">
        <w:rPr>
          <w:rFonts w:ascii="Times New Roman" w:hAnsi="Times New Roman" w:cs="Times New Roman"/>
        </w:rPr>
        <w:t>analysing</w:t>
      </w:r>
      <w:proofErr w:type="spellEnd"/>
      <w:r w:rsidRPr="00821FA1">
        <w:rPr>
          <w:rFonts w:ascii="Times New Roman" w:hAnsi="Times New Roman" w:cs="Times New Roman"/>
        </w:rPr>
        <w:t xml:space="preserve"> the financial statements over 4 ratios/sections – profitability, liquidity and efficiency, gearing, investment and cash flow – and comparing the results to sector averages. Secondly, it examines working capital management and cash operating cycle. Thirdly, it prepares a strategic financial restructuring plan that includes international and ethical aspects. Fourth, it evaluates three alternative investment projects by means of the payback period, accounting rate of return, net present value, profitability index, and internal rate of return and then adopts the process of capital rationing under a budget constraint. The report concludes with a contemplation on the application of artificial intelligence to prepare the report. In keeping with the scope of the module, the discussion is limited to the income statement, balance sheet, cash-flow statement, and the ratios that can be calculated from these.</w:t>
      </w:r>
    </w:p>
    <w:p w14:paraId="583AAD3B" w14:textId="6D8CA2E6" w:rsidR="00A40D84" w:rsidRPr="00821FA1" w:rsidRDefault="00A40D84" w:rsidP="00A40D84">
      <w:pPr>
        <w:pStyle w:val="Heading1"/>
      </w:pPr>
      <w:bookmarkStart w:id="2" w:name="_Toc236960503"/>
      <w:r w:rsidRPr="00821FA1">
        <w:t>Financial Health Check</w:t>
      </w:r>
      <w:bookmarkEnd w:id="2"/>
    </w:p>
    <w:p w14:paraId="5E1496F0" w14:textId="641D8B80" w:rsidR="00A40D84" w:rsidRPr="00821FA1" w:rsidRDefault="00A40D84" w:rsidP="00A40D84">
      <w:pPr>
        <w:pStyle w:val="Heading2"/>
      </w:pPr>
      <w:bookmarkStart w:id="3" w:name="_Toc236960504"/>
      <w:r w:rsidRPr="00821FA1">
        <w:t>Overview of financial performance, FY21–FY25</w:t>
      </w:r>
      <w:bookmarkEnd w:id="3"/>
    </w:p>
    <w:p w14:paraId="36332BA8" w14:textId="39BFC58C"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The pandemic shock and the ensuing consequences have a major impact on Whitbread's income statement in the review period. The use of ratio analysis as a tool for analyzing corporate financial statements was first described by Beaver (1966), Altman (1968) and other researchers who showed that a limited number of accounting ratios can be used to effectively distinguish between financially healthy and distressed companies. The UK's hotels suffered from a dramatic drop in statutory revenue to £589.4m during FY21, with the majority of the year spent with UK hotels open only to essential travellers, which has since rebounded to £1,704.5m in FY22 and is expected to level out around £2.9bn over the coming years (Whitbread PLC, 2022; Yahoo Finance, 2025). The Group's profitability has varied from a statutory loss of £1,007.4m in FY21 (due to large non-cash impairments and subdued trading conditions) to modest profitability in FY22 of £58.2m, which was followed by sustained profitability, with the highest figure of £452m in FY24 falling to £368m in FY25 (Whitbread PLC, 2025). This is in line with the evidence from cross-country which the pandemic has a statistically significant negative impact on the performance of leisure and hospitality companies globally (Defung et al., 2023). As shown in Table 1, the recovery has been a “J shaped” one, which is representative of the recovery behaviours that are typical of the leisure and hospitality sector following a systemic demand shock (Gössling et al., 2021).</w:t>
      </w:r>
    </w:p>
    <w:p w14:paraId="641E8DAB" w14:textId="77777777" w:rsidR="00A40D84" w:rsidRPr="00821FA1" w:rsidRDefault="00A40D84" w:rsidP="00A40D84">
      <w:pPr>
        <w:spacing w:line="360" w:lineRule="auto"/>
        <w:jc w:val="center"/>
        <w:rPr>
          <w:rFonts w:ascii="Times New Roman" w:hAnsi="Times New Roman" w:cs="Times New Roman"/>
          <w:b/>
          <w:bCs/>
        </w:rPr>
      </w:pPr>
      <w:r w:rsidRPr="00821FA1">
        <w:rPr>
          <w:rFonts w:ascii="Times New Roman" w:hAnsi="Times New Roman" w:cs="Times New Roman"/>
          <w:b/>
          <w:bCs/>
        </w:rPr>
        <w:t>Table 1. Five-year summary income statement, Whitbread PLC (FY21–FY25), £m.</w:t>
      </w:r>
    </w:p>
    <w:tbl>
      <w:tblPr>
        <w:tblW w:w="8500" w:type="dxa"/>
        <w:jc w:val="center"/>
        <w:tblBorders>
          <w:top w:val="single" w:sz="2" w:space="0" w:color="999999"/>
          <w:left w:val="single" w:sz="2" w:space="0" w:color="999999"/>
          <w:bottom w:val="single" w:sz="2" w:space="0" w:color="999999"/>
          <w:right w:val="single" w:sz="2" w:space="0" w:color="999999"/>
          <w:insideH w:val="single" w:sz="1" w:space="0" w:color="CCCCCC"/>
          <w:insideV w:val="single" w:sz="1" w:space="0" w:color="CCCCCC"/>
        </w:tblBorders>
        <w:tblCellMar>
          <w:left w:w="10" w:type="dxa"/>
          <w:right w:w="10" w:type="dxa"/>
        </w:tblCellMar>
        <w:tblLook w:val="04A0" w:firstRow="1" w:lastRow="0" w:firstColumn="1" w:lastColumn="0" w:noHBand="0" w:noVBand="1"/>
      </w:tblPr>
      <w:tblGrid>
        <w:gridCol w:w="2600"/>
        <w:gridCol w:w="1180"/>
        <w:gridCol w:w="1180"/>
        <w:gridCol w:w="1180"/>
        <w:gridCol w:w="1180"/>
        <w:gridCol w:w="1180"/>
      </w:tblGrid>
      <w:tr w:rsidR="00A40D84" w:rsidRPr="00821FA1" w14:paraId="721CA80C" w14:textId="77777777" w:rsidTr="00A40D84">
        <w:trPr>
          <w:tblHeader/>
          <w:jc w:val="center"/>
        </w:trPr>
        <w:tc>
          <w:tcPr>
            <w:tcW w:w="2600" w:type="dxa"/>
            <w:shd w:val="clear" w:color="auto" w:fill="4B2E5E"/>
            <w:tcMar>
              <w:top w:w="40" w:type="dxa"/>
              <w:left w:w="80" w:type="dxa"/>
              <w:bottom w:w="40" w:type="dxa"/>
              <w:right w:w="80" w:type="dxa"/>
            </w:tcMar>
            <w:vAlign w:val="center"/>
          </w:tcPr>
          <w:p w14:paraId="032DB776"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£m (statutory)</w:t>
            </w:r>
          </w:p>
        </w:tc>
        <w:tc>
          <w:tcPr>
            <w:tcW w:w="1180" w:type="dxa"/>
            <w:shd w:val="clear" w:color="auto" w:fill="4B2E5E"/>
            <w:tcMar>
              <w:top w:w="40" w:type="dxa"/>
              <w:left w:w="80" w:type="dxa"/>
              <w:bottom w:w="40" w:type="dxa"/>
              <w:right w:w="80" w:type="dxa"/>
            </w:tcMar>
            <w:vAlign w:val="center"/>
          </w:tcPr>
          <w:p w14:paraId="0BE3D148"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FY21</w:t>
            </w:r>
          </w:p>
        </w:tc>
        <w:tc>
          <w:tcPr>
            <w:tcW w:w="1180" w:type="dxa"/>
            <w:shd w:val="clear" w:color="auto" w:fill="4B2E5E"/>
            <w:tcMar>
              <w:top w:w="40" w:type="dxa"/>
              <w:left w:w="80" w:type="dxa"/>
              <w:bottom w:w="40" w:type="dxa"/>
              <w:right w:w="80" w:type="dxa"/>
            </w:tcMar>
            <w:vAlign w:val="center"/>
          </w:tcPr>
          <w:p w14:paraId="3DE07F77"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FY22</w:t>
            </w:r>
          </w:p>
        </w:tc>
        <w:tc>
          <w:tcPr>
            <w:tcW w:w="1180" w:type="dxa"/>
            <w:shd w:val="clear" w:color="auto" w:fill="4B2E5E"/>
            <w:tcMar>
              <w:top w:w="40" w:type="dxa"/>
              <w:left w:w="80" w:type="dxa"/>
              <w:bottom w:w="40" w:type="dxa"/>
              <w:right w:w="80" w:type="dxa"/>
            </w:tcMar>
            <w:vAlign w:val="center"/>
          </w:tcPr>
          <w:p w14:paraId="6886CD90"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FY23</w:t>
            </w:r>
          </w:p>
        </w:tc>
        <w:tc>
          <w:tcPr>
            <w:tcW w:w="1180" w:type="dxa"/>
            <w:shd w:val="clear" w:color="auto" w:fill="4B2E5E"/>
            <w:tcMar>
              <w:top w:w="40" w:type="dxa"/>
              <w:left w:w="80" w:type="dxa"/>
              <w:bottom w:w="40" w:type="dxa"/>
              <w:right w:w="80" w:type="dxa"/>
            </w:tcMar>
            <w:vAlign w:val="center"/>
          </w:tcPr>
          <w:p w14:paraId="1688F9F6"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FY24</w:t>
            </w:r>
          </w:p>
        </w:tc>
        <w:tc>
          <w:tcPr>
            <w:tcW w:w="1180" w:type="dxa"/>
            <w:shd w:val="clear" w:color="auto" w:fill="4B2E5E"/>
            <w:tcMar>
              <w:top w:w="40" w:type="dxa"/>
              <w:left w:w="80" w:type="dxa"/>
              <w:bottom w:w="40" w:type="dxa"/>
              <w:right w:w="80" w:type="dxa"/>
            </w:tcMar>
            <w:vAlign w:val="center"/>
          </w:tcPr>
          <w:p w14:paraId="1FEA1462"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FY25</w:t>
            </w:r>
          </w:p>
        </w:tc>
      </w:tr>
      <w:tr w:rsidR="00A40D84" w:rsidRPr="00821FA1" w14:paraId="640B18F4" w14:textId="77777777" w:rsidTr="00A40D84">
        <w:trPr>
          <w:jc w:val="center"/>
        </w:trPr>
        <w:tc>
          <w:tcPr>
            <w:tcW w:w="2600" w:type="dxa"/>
            <w:shd w:val="clear" w:color="auto" w:fill="F2EEF5"/>
            <w:tcMar>
              <w:top w:w="40" w:type="dxa"/>
              <w:left w:w="80" w:type="dxa"/>
              <w:bottom w:w="40" w:type="dxa"/>
              <w:right w:w="80" w:type="dxa"/>
            </w:tcMar>
            <w:vAlign w:val="center"/>
          </w:tcPr>
          <w:p w14:paraId="5067DA41"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Revenue</w:t>
            </w:r>
          </w:p>
        </w:tc>
        <w:tc>
          <w:tcPr>
            <w:tcW w:w="1180" w:type="dxa"/>
            <w:tcMar>
              <w:top w:w="40" w:type="dxa"/>
              <w:left w:w="80" w:type="dxa"/>
              <w:bottom w:w="40" w:type="dxa"/>
              <w:right w:w="80" w:type="dxa"/>
            </w:tcMar>
            <w:vAlign w:val="center"/>
          </w:tcPr>
          <w:p w14:paraId="3B2CE03B"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589.4</w:t>
            </w:r>
          </w:p>
        </w:tc>
        <w:tc>
          <w:tcPr>
            <w:tcW w:w="1180" w:type="dxa"/>
            <w:tcMar>
              <w:top w:w="40" w:type="dxa"/>
              <w:left w:w="80" w:type="dxa"/>
              <w:bottom w:w="40" w:type="dxa"/>
              <w:right w:w="80" w:type="dxa"/>
            </w:tcMar>
            <w:vAlign w:val="center"/>
          </w:tcPr>
          <w:p w14:paraId="43A3117F"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1,704.5</w:t>
            </w:r>
          </w:p>
        </w:tc>
        <w:tc>
          <w:tcPr>
            <w:tcW w:w="1180" w:type="dxa"/>
            <w:tcMar>
              <w:top w:w="40" w:type="dxa"/>
              <w:left w:w="80" w:type="dxa"/>
              <w:bottom w:w="40" w:type="dxa"/>
              <w:right w:w="80" w:type="dxa"/>
            </w:tcMar>
            <w:vAlign w:val="center"/>
          </w:tcPr>
          <w:p w14:paraId="61E31BB6"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2,626.6</w:t>
            </w:r>
          </w:p>
        </w:tc>
        <w:tc>
          <w:tcPr>
            <w:tcW w:w="1180" w:type="dxa"/>
            <w:tcMar>
              <w:top w:w="40" w:type="dxa"/>
              <w:left w:w="80" w:type="dxa"/>
              <w:bottom w:w="40" w:type="dxa"/>
              <w:right w:w="80" w:type="dxa"/>
            </w:tcMar>
            <w:vAlign w:val="center"/>
          </w:tcPr>
          <w:p w14:paraId="60AB0881"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2,960.0</w:t>
            </w:r>
          </w:p>
        </w:tc>
        <w:tc>
          <w:tcPr>
            <w:tcW w:w="1180" w:type="dxa"/>
            <w:tcMar>
              <w:top w:w="40" w:type="dxa"/>
              <w:left w:w="80" w:type="dxa"/>
              <w:bottom w:w="40" w:type="dxa"/>
              <w:right w:w="80" w:type="dxa"/>
            </w:tcMar>
            <w:vAlign w:val="center"/>
          </w:tcPr>
          <w:p w14:paraId="1C723294"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2,922.0</w:t>
            </w:r>
          </w:p>
        </w:tc>
      </w:tr>
      <w:tr w:rsidR="00A40D84" w:rsidRPr="00821FA1" w14:paraId="1E179284" w14:textId="77777777" w:rsidTr="00A40D84">
        <w:trPr>
          <w:jc w:val="center"/>
        </w:trPr>
        <w:tc>
          <w:tcPr>
            <w:tcW w:w="2600" w:type="dxa"/>
            <w:shd w:val="clear" w:color="auto" w:fill="F2EEF5"/>
            <w:tcMar>
              <w:top w:w="40" w:type="dxa"/>
              <w:left w:w="80" w:type="dxa"/>
              <w:bottom w:w="40" w:type="dxa"/>
              <w:right w:w="80" w:type="dxa"/>
            </w:tcMar>
            <w:vAlign w:val="center"/>
          </w:tcPr>
          <w:p w14:paraId="18C92388"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Profit/(loss) before tax</w:t>
            </w:r>
          </w:p>
        </w:tc>
        <w:tc>
          <w:tcPr>
            <w:tcW w:w="1180" w:type="dxa"/>
            <w:tcMar>
              <w:top w:w="40" w:type="dxa"/>
              <w:left w:w="80" w:type="dxa"/>
              <w:bottom w:w="40" w:type="dxa"/>
              <w:right w:w="80" w:type="dxa"/>
            </w:tcMar>
            <w:vAlign w:val="center"/>
          </w:tcPr>
          <w:p w14:paraId="7764D88B"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(1,007.4)</w:t>
            </w:r>
          </w:p>
        </w:tc>
        <w:tc>
          <w:tcPr>
            <w:tcW w:w="1180" w:type="dxa"/>
            <w:tcMar>
              <w:top w:w="40" w:type="dxa"/>
              <w:left w:w="80" w:type="dxa"/>
              <w:bottom w:w="40" w:type="dxa"/>
              <w:right w:w="80" w:type="dxa"/>
            </w:tcMar>
            <w:vAlign w:val="center"/>
          </w:tcPr>
          <w:p w14:paraId="72D438EA"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58.2</w:t>
            </w:r>
          </w:p>
        </w:tc>
        <w:tc>
          <w:tcPr>
            <w:tcW w:w="1180" w:type="dxa"/>
            <w:tcMar>
              <w:top w:w="40" w:type="dxa"/>
              <w:left w:w="80" w:type="dxa"/>
              <w:bottom w:w="40" w:type="dxa"/>
              <w:right w:w="80" w:type="dxa"/>
            </w:tcMar>
            <w:vAlign w:val="center"/>
          </w:tcPr>
          <w:p w14:paraId="529862EA"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375.0</w:t>
            </w:r>
          </w:p>
        </w:tc>
        <w:tc>
          <w:tcPr>
            <w:tcW w:w="1180" w:type="dxa"/>
            <w:tcMar>
              <w:top w:w="40" w:type="dxa"/>
              <w:left w:w="80" w:type="dxa"/>
              <w:bottom w:w="40" w:type="dxa"/>
              <w:right w:w="80" w:type="dxa"/>
            </w:tcMar>
            <w:vAlign w:val="center"/>
          </w:tcPr>
          <w:p w14:paraId="3B17993A"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452.0</w:t>
            </w:r>
          </w:p>
        </w:tc>
        <w:tc>
          <w:tcPr>
            <w:tcW w:w="1180" w:type="dxa"/>
            <w:tcMar>
              <w:top w:w="40" w:type="dxa"/>
              <w:left w:w="80" w:type="dxa"/>
              <w:bottom w:w="40" w:type="dxa"/>
              <w:right w:w="80" w:type="dxa"/>
            </w:tcMar>
            <w:vAlign w:val="center"/>
          </w:tcPr>
          <w:p w14:paraId="135E2755"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368.0</w:t>
            </w:r>
          </w:p>
        </w:tc>
      </w:tr>
      <w:tr w:rsidR="00A40D84" w:rsidRPr="00821FA1" w14:paraId="42174BF2" w14:textId="77777777" w:rsidTr="00A40D84">
        <w:trPr>
          <w:jc w:val="center"/>
        </w:trPr>
        <w:tc>
          <w:tcPr>
            <w:tcW w:w="2600" w:type="dxa"/>
            <w:shd w:val="clear" w:color="auto" w:fill="F2EEF5"/>
            <w:tcMar>
              <w:top w:w="40" w:type="dxa"/>
              <w:left w:w="80" w:type="dxa"/>
              <w:bottom w:w="40" w:type="dxa"/>
              <w:right w:w="80" w:type="dxa"/>
            </w:tcMar>
            <w:vAlign w:val="center"/>
          </w:tcPr>
          <w:p w14:paraId="095C92FF"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Profit/(loss) after tax</w:t>
            </w:r>
          </w:p>
        </w:tc>
        <w:tc>
          <w:tcPr>
            <w:tcW w:w="1180" w:type="dxa"/>
            <w:tcMar>
              <w:top w:w="40" w:type="dxa"/>
              <w:left w:w="80" w:type="dxa"/>
              <w:bottom w:w="40" w:type="dxa"/>
              <w:right w:w="80" w:type="dxa"/>
            </w:tcMar>
            <w:vAlign w:val="center"/>
          </w:tcPr>
          <w:p w14:paraId="3F7FE73A"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(1,010.0)</w:t>
            </w:r>
          </w:p>
        </w:tc>
        <w:tc>
          <w:tcPr>
            <w:tcW w:w="1180" w:type="dxa"/>
            <w:tcMar>
              <w:top w:w="40" w:type="dxa"/>
              <w:left w:w="80" w:type="dxa"/>
              <w:bottom w:w="40" w:type="dxa"/>
              <w:right w:w="80" w:type="dxa"/>
            </w:tcMar>
            <w:vAlign w:val="center"/>
          </w:tcPr>
          <w:p w14:paraId="28D66474"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45.0</w:t>
            </w:r>
          </w:p>
        </w:tc>
        <w:tc>
          <w:tcPr>
            <w:tcW w:w="1180" w:type="dxa"/>
            <w:tcMar>
              <w:top w:w="40" w:type="dxa"/>
              <w:left w:w="80" w:type="dxa"/>
              <w:bottom w:w="40" w:type="dxa"/>
              <w:right w:w="80" w:type="dxa"/>
            </w:tcMar>
            <w:vAlign w:val="center"/>
          </w:tcPr>
          <w:p w14:paraId="43D87B73"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279.0</w:t>
            </w:r>
          </w:p>
        </w:tc>
        <w:tc>
          <w:tcPr>
            <w:tcW w:w="1180" w:type="dxa"/>
            <w:tcMar>
              <w:top w:w="40" w:type="dxa"/>
              <w:left w:w="80" w:type="dxa"/>
              <w:bottom w:w="40" w:type="dxa"/>
              <w:right w:w="80" w:type="dxa"/>
            </w:tcMar>
            <w:vAlign w:val="center"/>
          </w:tcPr>
          <w:p w14:paraId="6304C54A"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312.0</w:t>
            </w:r>
          </w:p>
        </w:tc>
        <w:tc>
          <w:tcPr>
            <w:tcW w:w="1180" w:type="dxa"/>
            <w:tcMar>
              <w:top w:w="40" w:type="dxa"/>
              <w:left w:w="80" w:type="dxa"/>
              <w:bottom w:w="40" w:type="dxa"/>
              <w:right w:w="80" w:type="dxa"/>
            </w:tcMar>
            <w:vAlign w:val="center"/>
          </w:tcPr>
          <w:p w14:paraId="491191E8"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254.0</w:t>
            </w:r>
          </w:p>
        </w:tc>
      </w:tr>
      <w:tr w:rsidR="00A40D84" w:rsidRPr="00821FA1" w14:paraId="3634561B" w14:textId="77777777" w:rsidTr="00A40D84">
        <w:trPr>
          <w:jc w:val="center"/>
        </w:trPr>
        <w:tc>
          <w:tcPr>
            <w:tcW w:w="2600" w:type="dxa"/>
            <w:shd w:val="clear" w:color="auto" w:fill="F2EEF5"/>
            <w:tcMar>
              <w:top w:w="40" w:type="dxa"/>
              <w:left w:w="80" w:type="dxa"/>
              <w:bottom w:w="40" w:type="dxa"/>
              <w:right w:w="80" w:type="dxa"/>
            </w:tcMar>
            <w:vAlign w:val="center"/>
          </w:tcPr>
          <w:p w14:paraId="12C95484"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Adjusted PBT</w:t>
            </w:r>
          </w:p>
        </w:tc>
        <w:tc>
          <w:tcPr>
            <w:tcW w:w="1180" w:type="dxa"/>
            <w:tcMar>
              <w:top w:w="40" w:type="dxa"/>
              <w:left w:w="80" w:type="dxa"/>
              <w:bottom w:w="40" w:type="dxa"/>
              <w:right w:w="80" w:type="dxa"/>
            </w:tcMar>
            <w:vAlign w:val="center"/>
          </w:tcPr>
          <w:p w14:paraId="50BBF803"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(635.0)</w:t>
            </w:r>
          </w:p>
        </w:tc>
        <w:tc>
          <w:tcPr>
            <w:tcW w:w="1180" w:type="dxa"/>
            <w:tcMar>
              <w:top w:w="40" w:type="dxa"/>
              <w:left w:w="80" w:type="dxa"/>
              <w:bottom w:w="40" w:type="dxa"/>
              <w:right w:w="80" w:type="dxa"/>
            </w:tcMar>
            <w:vAlign w:val="center"/>
          </w:tcPr>
          <w:p w14:paraId="56265D6F"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93.0</w:t>
            </w:r>
          </w:p>
        </w:tc>
        <w:tc>
          <w:tcPr>
            <w:tcW w:w="1180" w:type="dxa"/>
            <w:tcMar>
              <w:top w:w="40" w:type="dxa"/>
              <w:left w:w="80" w:type="dxa"/>
              <w:bottom w:w="40" w:type="dxa"/>
              <w:right w:w="80" w:type="dxa"/>
            </w:tcMar>
            <w:vAlign w:val="center"/>
          </w:tcPr>
          <w:p w14:paraId="18DB5D11"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375.0</w:t>
            </w:r>
          </w:p>
        </w:tc>
        <w:tc>
          <w:tcPr>
            <w:tcW w:w="1180" w:type="dxa"/>
            <w:tcMar>
              <w:top w:w="40" w:type="dxa"/>
              <w:left w:w="80" w:type="dxa"/>
              <w:bottom w:w="40" w:type="dxa"/>
              <w:right w:w="80" w:type="dxa"/>
            </w:tcMar>
            <w:vAlign w:val="center"/>
          </w:tcPr>
          <w:p w14:paraId="328E24AD"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561.0</w:t>
            </w:r>
          </w:p>
        </w:tc>
        <w:tc>
          <w:tcPr>
            <w:tcW w:w="1180" w:type="dxa"/>
            <w:tcMar>
              <w:top w:w="40" w:type="dxa"/>
              <w:left w:w="80" w:type="dxa"/>
              <w:bottom w:w="40" w:type="dxa"/>
              <w:right w:w="80" w:type="dxa"/>
            </w:tcMar>
            <w:vAlign w:val="center"/>
          </w:tcPr>
          <w:p w14:paraId="1221CFFA"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483.0</w:t>
            </w:r>
          </w:p>
        </w:tc>
      </w:tr>
      <w:tr w:rsidR="00A40D84" w:rsidRPr="00821FA1" w14:paraId="21257006" w14:textId="77777777" w:rsidTr="00A40D84">
        <w:trPr>
          <w:jc w:val="center"/>
        </w:trPr>
        <w:tc>
          <w:tcPr>
            <w:tcW w:w="2600" w:type="dxa"/>
            <w:shd w:val="clear" w:color="auto" w:fill="F2EEF5"/>
            <w:tcMar>
              <w:top w:w="40" w:type="dxa"/>
              <w:left w:w="80" w:type="dxa"/>
              <w:bottom w:w="40" w:type="dxa"/>
              <w:right w:w="80" w:type="dxa"/>
            </w:tcMar>
            <w:vAlign w:val="center"/>
          </w:tcPr>
          <w:p w14:paraId="10D80AB3"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Basic EPS (pence)</w:t>
            </w:r>
          </w:p>
        </w:tc>
        <w:tc>
          <w:tcPr>
            <w:tcW w:w="1180" w:type="dxa"/>
            <w:tcMar>
              <w:top w:w="40" w:type="dxa"/>
              <w:left w:w="80" w:type="dxa"/>
              <w:bottom w:w="40" w:type="dxa"/>
              <w:right w:w="80" w:type="dxa"/>
            </w:tcMar>
            <w:vAlign w:val="center"/>
          </w:tcPr>
          <w:p w14:paraId="4B1F340B"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(500.0)</w:t>
            </w:r>
          </w:p>
        </w:tc>
        <w:tc>
          <w:tcPr>
            <w:tcW w:w="1180" w:type="dxa"/>
            <w:tcMar>
              <w:top w:w="40" w:type="dxa"/>
              <w:left w:w="80" w:type="dxa"/>
              <w:bottom w:w="40" w:type="dxa"/>
              <w:right w:w="80" w:type="dxa"/>
            </w:tcMar>
            <w:vAlign w:val="center"/>
          </w:tcPr>
          <w:p w14:paraId="071C5A9F"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22.0</w:t>
            </w:r>
          </w:p>
        </w:tc>
        <w:tc>
          <w:tcPr>
            <w:tcW w:w="1180" w:type="dxa"/>
            <w:tcMar>
              <w:top w:w="40" w:type="dxa"/>
              <w:left w:w="80" w:type="dxa"/>
              <w:bottom w:w="40" w:type="dxa"/>
              <w:right w:w="80" w:type="dxa"/>
            </w:tcMar>
            <w:vAlign w:val="center"/>
          </w:tcPr>
          <w:p w14:paraId="65CD4A52"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139.0</w:t>
            </w:r>
          </w:p>
        </w:tc>
        <w:tc>
          <w:tcPr>
            <w:tcW w:w="1180" w:type="dxa"/>
            <w:tcMar>
              <w:top w:w="40" w:type="dxa"/>
              <w:left w:w="80" w:type="dxa"/>
              <w:bottom w:w="40" w:type="dxa"/>
              <w:right w:w="80" w:type="dxa"/>
            </w:tcMar>
            <w:vAlign w:val="center"/>
          </w:tcPr>
          <w:p w14:paraId="0FA90D59"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161.0</w:t>
            </w:r>
          </w:p>
        </w:tc>
        <w:tc>
          <w:tcPr>
            <w:tcW w:w="1180" w:type="dxa"/>
            <w:tcMar>
              <w:top w:w="40" w:type="dxa"/>
              <w:left w:w="80" w:type="dxa"/>
              <w:bottom w:w="40" w:type="dxa"/>
              <w:right w:w="80" w:type="dxa"/>
            </w:tcMar>
            <w:vAlign w:val="center"/>
          </w:tcPr>
          <w:p w14:paraId="6371D5D6"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141.5</w:t>
            </w:r>
          </w:p>
        </w:tc>
      </w:tr>
      <w:tr w:rsidR="00A40D84" w:rsidRPr="00821FA1" w14:paraId="6C17F141" w14:textId="77777777" w:rsidTr="00A40D84">
        <w:trPr>
          <w:jc w:val="center"/>
        </w:trPr>
        <w:tc>
          <w:tcPr>
            <w:tcW w:w="2600" w:type="dxa"/>
            <w:shd w:val="clear" w:color="auto" w:fill="F2EEF5"/>
            <w:tcMar>
              <w:top w:w="40" w:type="dxa"/>
              <w:left w:w="80" w:type="dxa"/>
              <w:bottom w:w="40" w:type="dxa"/>
              <w:right w:w="80" w:type="dxa"/>
            </w:tcMar>
            <w:vAlign w:val="center"/>
          </w:tcPr>
          <w:p w14:paraId="344764A1"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Dividend per share (pence)</w:t>
            </w:r>
          </w:p>
        </w:tc>
        <w:tc>
          <w:tcPr>
            <w:tcW w:w="1180" w:type="dxa"/>
            <w:tcMar>
              <w:top w:w="40" w:type="dxa"/>
              <w:left w:w="80" w:type="dxa"/>
              <w:bottom w:w="40" w:type="dxa"/>
              <w:right w:w="80" w:type="dxa"/>
            </w:tcMar>
            <w:vAlign w:val="center"/>
          </w:tcPr>
          <w:p w14:paraId="31EC5526"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0.0</w:t>
            </w:r>
          </w:p>
        </w:tc>
        <w:tc>
          <w:tcPr>
            <w:tcW w:w="1180" w:type="dxa"/>
            <w:tcMar>
              <w:top w:w="40" w:type="dxa"/>
              <w:left w:w="80" w:type="dxa"/>
              <w:bottom w:w="40" w:type="dxa"/>
              <w:right w:w="80" w:type="dxa"/>
            </w:tcMar>
            <w:vAlign w:val="center"/>
          </w:tcPr>
          <w:p w14:paraId="528B526B"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34.7</w:t>
            </w:r>
          </w:p>
        </w:tc>
        <w:tc>
          <w:tcPr>
            <w:tcW w:w="1180" w:type="dxa"/>
            <w:tcMar>
              <w:top w:w="40" w:type="dxa"/>
              <w:left w:w="80" w:type="dxa"/>
              <w:bottom w:w="40" w:type="dxa"/>
              <w:right w:w="80" w:type="dxa"/>
            </w:tcMar>
            <w:vAlign w:val="center"/>
          </w:tcPr>
          <w:p w14:paraId="45E5B4E1"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84.5</w:t>
            </w:r>
          </w:p>
        </w:tc>
        <w:tc>
          <w:tcPr>
            <w:tcW w:w="1180" w:type="dxa"/>
            <w:tcMar>
              <w:top w:w="40" w:type="dxa"/>
              <w:left w:w="80" w:type="dxa"/>
              <w:bottom w:w="40" w:type="dxa"/>
              <w:right w:w="80" w:type="dxa"/>
            </w:tcMar>
            <w:vAlign w:val="center"/>
          </w:tcPr>
          <w:p w14:paraId="1858E5B2"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97.0</w:t>
            </w:r>
          </w:p>
        </w:tc>
        <w:tc>
          <w:tcPr>
            <w:tcW w:w="1180" w:type="dxa"/>
            <w:tcMar>
              <w:top w:w="40" w:type="dxa"/>
              <w:left w:w="80" w:type="dxa"/>
              <w:bottom w:w="40" w:type="dxa"/>
              <w:right w:w="80" w:type="dxa"/>
            </w:tcMar>
            <w:vAlign w:val="center"/>
          </w:tcPr>
          <w:p w14:paraId="25709BDB"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97.0</w:t>
            </w:r>
          </w:p>
        </w:tc>
      </w:tr>
    </w:tbl>
    <w:p w14:paraId="6D8F3C80" w14:textId="0D0A506C" w:rsidR="00A40D84" w:rsidRPr="00821FA1" w:rsidRDefault="00A40D84" w:rsidP="00A40D84">
      <w:pPr>
        <w:spacing w:line="360" w:lineRule="auto"/>
        <w:jc w:val="center"/>
        <w:rPr>
          <w:rFonts w:ascii="Times New Roman" w:hAnsi="Times New Roman" w:cs="Times New Roman"/>
          <w:sz w:val="20"/>
          <w:szCs w:val="20"/>
        </w:rPr>
      </w:pPr>
      <w:r w:rsidRPr="00821FA1">
        <w:rPr>
          <w:rFonts w:ascii="Times New Roman" w:hAnsi="Times New Roman" w:cs="Times New Roman"/>
          <w:i/>
          <w:iCs/>
          <w:color w:val="555555"/>
          <w:sz w:val="20"/>
          <w:szCs w:val="20"/>
        </w:rPr>
        <w:t>Source: Whitbread PLC (2022, 2025) and Yahoo Finance (2025). FY22 was a 53-week period; some prior-year figures are best estimates reconciled across sources.</w:t>
      </w:r>
    </w:p>
    <w:p w14:paraId="2B10FE4D" w14:textId="33442A96" w:rsidR="00A40D84" w:rsidRPr="00821FA1" w:rsidRDefault="00A40D84" w:rsidP="00A40D84">
      <w:pPr>
        <w:spacing w:line="360" w:lineRule="auto"/>
        <w:jc w:val="center"/>
        <w:rPr>
          <w:rFonts w:ascii="Times New Roman" w:hAnsi="Times New Roman" w:cs="Times New Roman"/>
        </w:rPr>
      </w:pPr>
      <w:r w:rsidRPr="00821FA1">
        <w:rPr>
          <w:rFonts w:ascii="Times New Roman" w:hAnsi="Times New Roman" w:cs="Times New Roman"/>
          <w:noProof/>
        </w:rPr>
        <w:drawing>
          <wp:inline distT="0" distB="0" distL="0" distR="0" wp14:anchorId="3C80020C" wp14:editId="2D2404F3">
            <wp:extent cx="4831571" cy="2880360"/>
            <wp:effectExtent l="0" t="0" r="7620" b="0"/>
            <wp:docPr id="1235432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4841810" cy="2886464"/>
                    </a:xfrm>
                    <a:prstGeom prst="rect">
                      <a:avLst/>
                    </a:prstGeom>
                    <a:noFill/>
                    <a:ln>
                      <a:noFill/>
                    </a:ln>
                    <a:extLst>
                      <a:ext uri="{53640926-AAD7-44D8-BBD7-CCE9431645EC}">
                        <a14:shadowObscured xmlns:a14="http://schemas.microsoft.com/office/drawing/2010/main"/>
                      </a:ext>
                    </a:extLst>
                  </pic:spPr>
                </pic:pic>
              </a:graphicData>
            </a:graphic>
          </wp:inline>
        </w:drawing>
      </w:r>
    </w:p>
    <w:p w14:paraId="45F896EE" w14:textId="1A55BF27"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Figure 1. Revenue recovery and return to profitability, FY21–FY25. Source: Whitbread PLC (2025) and Yahoo Finance (2025).</w:t>
      </w:r>
    </w:p>
    <w:p w14:paraId="6CC302D2" w14:textId="7CD0E25E" w:rsidR="00A40D84" w:rsidRPr="00821FA1" w:rsidRDefault="00A40D84" w:rsidP="00A40D84">
      <w:pPr>
        <w:pStyle w:val="Heading2"/>
      </w:pPr>
      <w:bookmarkStart w:id="4" w:name="_Toc236957024"/>
      <w:bookmarkStart w:id="5" w:name="_Toc236960505"/>
      <w:r w:rsidRPr="00821FA1">
        <w:rPr>
          <w:rFonts w:eastAsia="Arial"/>
        </w:rPr>
        <w:t>Profitability</w:t>
      </w:r>
      <w:bookmarkEnd w:id="4"/>
      <w:bookmarkEnd w:id="5"/>
    </w:p>
    <w:p w14:paraId="105034BE" w14:textId="5CFC8424"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Profitability bounced back when volumes picked up but there is a more complex and prudent undertone at the peak of the cycle. As can be seen from the operating margin, recorded a highest level of 22.4% in FY24, which decreased to 21.2% in FY25 while net profit margin also declined from 10.5% in FY24 to 8.7% in FY25. Return on capital employed (ROCE), one of the most important efficiency measures in a business with a high proportion of capital invested, reduced from 13.1% to 11.3% (Whitbread PLC, 2025) which is a decrease of 180 basis points. These are not due to sales declines (as was suggested in Figure 2) but as the result of margin compression caused by cost inflation, a drop in UK demand and the deliberate, near-term earnings drag of the Accelerating Growth Plan (AGP), whereby lower returning branded restaurants are being converted into higher returning hotel rooms (Whitbread PLC, 2025). It's an analytical difference. But a quick glance at the “record” absolute profits for FY24 will not reveal the fact that the return on each pound of capital is in decline. As per the DuPont approach, the decline in ROCE is a result of a tighten-up on net margin but not asset turnover (Robinson, 2020). The strategic question for a CFO is thus; will the investment programme that is being implemented bring the returns back to the historic mid-teens? A direct question to the investment appraisal in Section 5.</w:t>
      </w:r>
    </w:p>
    <w:p w14:paraId="700419A3" w14:textId="77777777" w:rsidR="00A40D84" w:rsidRPr="00821FA1" w:rsidRDefault="00A40D84" w:rsidP="00A40D84">
      <w:pPr>
        <w:spacing w:line="360" w:lineRule="auto"/>
        <w:jc w:val="both"/>
        <w:rPr>
          <w:rFonts w:ascii="Times New Roman" w:hAnsi="Times New Roman" w:cs="Times New Roman"/>
        </w:rPr>
      </w:pPr>
    </w:p>
    <w:p w14:paraId="130C83EA" w14:textId="77777777" w:rsidR="00A40D84" w:rsidRPr="00821FA1" w:rsidRDefault="00A40D84" w:rsidP="00A40D84">
      <w:pPr>
        <w:spacing w:line="360" w:lineRule="auto"/>
        <w:jc w:val="both"/>
        <w:rPr>
          <w:rFonts w:ascii="Times New Roman" w:hAnsi="Times New Roman" w:cs="Times New Roman"/>
        </w:rPr>
      </w:pPr>
    </w:p>
    <w:p w14:paraId="68588064" w14:textId="77777777" w:rsidR="00A40D84" w:rsidRPr="00821FA1" w:rsidRDefault="00A40D84" w:rsidP="00A40D84">
      <w:pPr>
        <w:spacing w:line="360" w:lineRule="auto"/>
        <w:jc w:val="center"/>
        <w:rPr>
          <w:rFonts w:ascii="Times New Roman" w:hAnsi="Times New Roman" w:cs="Times New Roman"/>
          <w:b/>
          <w:bCs/>
        </w:rPr>
      </w:pPr>
      <w:r w:rsidRPr="00821FA1">
        <w:rPr>
          <w:rFonts w:ascii="Times New Roman" w:hAnsi="Times New Roman" w:cs="Times New Roman"/>
          <w:b/>
          <w:bCs/>
        </w:rPr>
        <w:t>Table 2. Profitability ratios (FY21–FY25).</w:t>
      </w:r>
    </w:p>
    <w:tbl>
      <w:tblPr>
        <w:tblStyle w:val="GridTable4-Accent6"/>
        <w:tblW w:w="8500" w:type="dxa"/>
        <w:jc w:val="center"/>
        <w:tblLook w:val="04A0" w:firstRow="1" w:lastRow="0" w:firstColumn="1" w:lastColumn="0" w:noHBand="0" w:noVBand="1"/>
      </w:tblPr>
      <w:tblGrid>
        <w:gridCol w:w="2600"/>
        <w:gridCol w:w="1180"/>
        <w:gridCol w:w="1180"/>
        <w:gridCol w:w="1180"/>
        <w:gridCol w:w="1180"/>
        <w:gridCol w:w="1180"/>
      </w:tblGrid>
      <w:tr w:rsidR="00A40D84" w:rsidRPr="00821FA1" w14:paraId="274AA843" w14:textId="77777777" w:rsidTr="00A40D8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0" w:type="dxa"/>
          </w:tcPr>
          <w:p w14:paraId="26427809"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Ratio</w:t>
            </w:r>
          </w:p>
        </w:tc>
        <w:tc>
          <w:tcPr>
            <w:tcW w:w="1180" w:type="dxa"/>
          </w:tcPr>
          <w:p w14:paraId="5F03C6D6"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FY21</w:t>
            </w:r>
          </w:p>
        </w:tc>
        <w:tc>
          <w:tcPr>
            <w:tcW w:w="1180" w:type="dxa"/>
          </w:tcPr>
          <w:p w14:paraId="2EEFEA37"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FY22</w:t>
            </w:r>
          </w:p>
        </w:tc>
        <w:tc>
          <w:tcPr>
            <w:tcW w:w="1180" w:type="dxa"/>
          </w:tcPr>
          <w:p w14:paraId="44F91E17"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FY23</w:t>
            </w:r>
          </w:p>
        </w:tc>
        <w:tc>
          <w:tcPr>
            <w:tcW w:w="1180" w:type="dxa"/>
          </w:tcPr>
          <w:p w14:paraId="24043797"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FY24</w:t>
            </w:r>
          </w:p>
        </w:tc>
        <w:tc>
          <w:tcPr>
            <w:tcW w:w="1180" w:type="dxa"/>
          </w:tcPr>
          <w:p w14:paraId="50D57086"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FY25</w:t>
            </w:r>
          </w:p>
        </w:tc>
      </w:tr>
      <w:tr w:rsidR="00A40D84" w:rsidRPr="00821FA1" w14:paraId="2A9DB479" w14:textId="77777777" w:rsidTr="00A40D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0" w:type="dxa"/>
          </w:tcPr>
          <w:p w14:paraId="7625D52C"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Operating margin (%)</w:t>
            </w:r>
          </w:p>
        </w:tc>
        <w:tc>
          <w:tcPr>
            <w:tcW w:w="1180" w:type="dxa"/>
          </w:tcPr>
          <w:p w14:paraId="246FFA16"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n/a</w:t>
            </w:r>
          </w:p>
        </w:tc>
        <w:tc>
          <w:tcPr>
            <w:tcW w:w="1180" w:type="dxa"/>
          </w:tcPr>
          <w:p w14:paraId="76D9F6A1"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n/a</w:t>
            </w:r>
          </w:p>
        </w:tc>
        <w:tc>
          <w:tcPr>
            <w:tcW w:w="1180" w:type="dxa"/>
          </w:tcPr>
          <w:p w14:paraId="22D77A1F"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20.3</w:t>
            </w:r>
          </w:p>
        </w:tc>
        <w:tc>
          <w:tcPr>
            <w:tcW w:w="1180" w:type="dxa"/>
          </w:tcPr>
          <w:p w14:paraId="3F74C603"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22.4</w:t>
            </w:r>
          </w:p>
        </w:tc>
        <w:tc>
          <w:tcPr>
            <w:tcW w:w="1180" w:type="dxa"/>
          </w:tcPr>
          <w:p w14:paraId="7DDD3741"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21.2</w:t>
            </w:r>
          </w:p>
        </w:tc>
      </w:tr>
      <w:tr w:rsidR="00A40D84" w:rsidRPr="00821FA1" w14:paraId="5FF3481C" w14:textId="77777777" w:rsidTr="00A40D84">
        <w:trPr>
          <w:jc w:val="center"/>
        </w:trPr>
        <w:tc>
          <w:tcPr>
            <w:cnfStyle w:val="001000000000" w:firstRow="0" w:lastRow="0" w:firstColumn="1" w:lastColumn="0" w:oddVBand="0" w:evenVBand="0" w:oddHBand="0" w:evenHBand="0" w:firstRowFirstColumn="0" w:firstRowLastColumn="0" w:lastRowFirstColumn="0" w:lastRowLastColumn="0"/>
            <w:tcW w:w="2600" w:type="dxa"/>
          </w:tcPr>
          <w:p w14:paraId="7F21432B"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Net profit margin (%)</w:t>
            </w:r>
          </w:p>
        </w:tc>
        <w:tc>
          <w:tcPr>
            <w:tcW w:w="1180" w:type="dxa"/>
          </w:tcPr>
          <w:p w14:paraId="3A1AD82F"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neg.</w:t>
            </w:r>
          </w:p>
        </w:tc>
        <w:tc>
          <w:tcPr>
            <w:tcW w:w="1180" w:type="dxa"/>
          </w:tcPr>
          <w:p w14:paraId="32E45DD0"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2.6</w:t>
            </w:r>
          </w:p>
        </w:tc>
        <w:tc>
          <w:tcPr>
            <w:tcW w:w="1180" w:type="dxa"/>
          </w:tcPr>
          <w:p w14:paraId="7DEFCD20"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10.6</w:t>
            </w:r>
          </w:p>
        </w:tc>
        <w:tc>
          <w:tcPr>
            <w:tcW w:w="1180" w:type="dxa"/>
          </w:tcPr>
          <w:p w14:paraId="739D3949"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10.5</w:t>
            </w:r>
          </w:p>
        </w:tc>
        <w:tc>
          <w:tcPr>
            <w:tcW w:w="1180" w:type="dxa"/>
          </w:tcPr>
          <w:p w14:paraId="71AB9EAD"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8.7</w:t>
            </w:r>
          </w:p>
        </w:tc>
      </w:tr>
      <w:tr w:rsidR="00A40D84" w:rsidRPr="00821FA1" w14:paraId="73B7F5A2" w14:textId="77777777" w:rsidTr="00A40D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0" w:type="dxa"/>
          </w:tcPr>
          <w:p w14:paraId="13223E5B"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Return on capital employed (%)</w:t>
            </w:r>
          </w:p>
        </w:tc>
        <w:tc>
          <w:tcPr>
            <w:tcW w:w="1180" w:type="dxa"/>
          </w:tcPr>
          <w:p w14:paraId="23BED6EB"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neg.</w:t>
            </w:r>
          </w:p>
        </w:tc>
        <w:tc>
          <w:tcPr>
            <w:tcW w:w="1180" w:type="dxa"/>
          </w:tcPr>
          <w:p w14:paraId="6B47AF23"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low</w:t>
            </w:r>
          </w:p>
        </w:tc>
        <w:tc>
          <w:tcPr>
            <w:tcW w:w="1180" w:type="dxa"/>
          </w:tcPr>
          <w:p w14:paraId="3816D3A4"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11.9</w:t>
            </w:r>
          </w:p>
        </w:tc>
        <w:tc>
          <w:tcPr>
            <w:tcW w:w="1180" w:type="dxa"/>
          </w:tcPr>
          <w:p w14:paraId="5EC21337"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13.1</w:t>
            </w:r>
          </w:p>
        </w:tc>
        <w:tc>
          <w:tcPr>
            <w:tcW w:w="1180" w:type="dxa"/>
          </w:tcPr>
          <w:p w14:paraId="5668209C"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11.3</w:t>
            </w:r>
          </w:p>
        </w:tc>
      </w:tr>
      <w:tr w:rsidR="00A40D84" w:rsidRPr="00821FA1" w14:paraId="7F0B34E2" w14:textId="77777777" w:rsidTr="00A40D84">
        <w:trPr>
          <w:jc w:val="center"/>
        </w:trPr>
        <w:tc>
          <w:tcPr>
            <w:cnfStyle w:val="001000000000" w:firstRow="0" w:lastRow="0" w:firstColumn="1" w:lastColumn="0" w:oddVBand="0" w:evenVBand="0" w:oddHBand="0" w:evenHBand="0" w:firstRowFirstColumn="0" w:firstRowLastColumn="0" w:lastRowFirstColumn="0" w:lastRowLastColumn="0"/>
            <w:tcW w:w="2600" w:type="dxa"/>
          </w:tcPr>
          <w:p w14:paraId="73573671"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Return on equity (%)</w:t>
            </w:r>
          </w:p>
        </w:tc>
        <w:tc>
          <w:tcPr>
            <w:tcW w:w="1180" w:type="dxa"/>
          </w:tcPr>
          <w:p w14:paraId="73D09126"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neg.</w:t>
            </w:r>
          </w:p>
        </w:tc>
        <w:tc>
          <w:tcPr>
            <w:tcW w:w="1180" w:type="dxa"/>
          </w:tcPr>
          <w:p w14:paraId="235D41A3"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1.1</w:t>
            </w:r>
          </w:p>
        </w:tc>
        <w:tc>
          <w:tcPr>
            <w:tcW w:w="1180" w:type="dxa"/>
          </w:tcPr>
          <w:p w14:paraId="4BABD42B"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6.8</w:t>
            </w:r>
          </w:p>
        </w:tc>
        <w:tc>
          <w:tcPr>
            <w:tcW w:w="1180" w:type="dxa"/>
          </w:tcPr>
          <w:p w14:paraId="19F75A2D"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8.9</w:t>
            </w:r>
          </w:p>
        </w:tc>
        <w:tc>
          <w:tcPr>
            <w:tcW w:w="1180" w:type="dxa"/>
          </w:tcPr>
          <w:p w14:paraId="414B410C"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7.6</w:t>
            </w:r>
          </w:p>
        </w:tc>
      </w:tr>
    </w:tbl>
    <w:p w14:paraId="6BF8C5E6" w14:textId="733B90E4"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Source: Whitbread PLC (2025). "neg." = negative; "n/a" = not meaningful given pandemic distortion.</w:t>
      </w:r>
    </w:p>
    <w:p w14:paraId="41CCF5E0" w14:textId="15D703EF" w:rsidR="00A40D84" w:rsidRPr="00821FA1" w:rsidRDefault="00A40D84" w:rsidP="00A40D84">
      <w:pPr>
        <w:spacing w:line="360" w:lineRule="auto"/>
        <w:jc w:val="center"/>
        <w:rPr>
          <w:rFonts w:ascii="Times New Roman" w:hAnsi="Times New Roman" w:cs="Times New Roman"/>
        </w:rPr>
      </w:pPr>
      <w:r w:rsidRPr="00821FA1">
        <w:rPr>
          <w:rFonts w:ascii="Times New Roman" w:hAnsi="Times New Roman" w:cs="Times New Roman"/>
          <w:noProof/>
        </w:rPr>
        <w:drawing>
          <wp:inline distT="0" distB="0" distL="0" distR="0" wp14:anchorId="3B7CF24D" wp14:editId="55EAD617">
            <wp:extent cx="4998922" cy="2903220"/>
            <wp:effectExtent l="0" t="0" r="0" b="0"/>
            <wp:docPr id="2499268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5002246" cy="2905151"/>
                    </a:xfrm>
                    <a:prstGeom prst="rect">
                      <a:avLst/>
                    </a:prstGeom>
                    <a:noFill/>
                    <a:ln>
                      <a:noFill/>
                    </a:ln>
                    <a:extLst>
                      <a:ext uri="{53640926-AAD7-44D8-BBD7-CCE9431645EC}">
                        <a14:shadowObscured xmlns:a14="http://schemas.microsoft.com/office/drawing/2010/main"/>
                      </a:ext>
                    </a:extLst>
                  </pic:spPr>
                </pic:pic>
              </a:graphicData>
            </a:graphic>
          </wp:inline>
        </w:drawing>
      </w:r>
    </w:p>
    <w:p w14:paraId="6F016CD0" w14:textId="42F55A89"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Figure 2. Profitability margins and returns, FY23–FY25. Source: Whitbread PLC (2025).</w:t>
      </w:r>
    </w:p>
    <w:p w14:paraId="24B84A9F" w14:textId="31F1611B" w:rsidR="00A40D84" w:rsidRPr="00821FA1" w:rsidRDefault="00A40D84" w:rsidP="00A40D84">
      <w:pPr>
        <w:pStyle w:val="Heading2"/>
      </w:pPr>
      <w:bookmarkStart w:id="6" w:name="_Toc236957025"/>
      <w:bookmarkStart w:id="7" w:name="_Toc236960506"/>
      <w:r w:rsidRPr="00821FA1">
        <w:rPr>
          <w:rFonts w:eastAsia="Arial"/>
        </w:rPr>
        <w:t>Liquidity, efficiency and gearing</w:t>
      </w:r>
      <w:bookmarkEnd w:id="6"/>
      <w:bookmarkEnd w:id="7"/>
    </w:p>
    <w:p w14:paraId="4D136E55" w14:textId="6F641CEE"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The current ratio has declined from 0.68 in FY21 to 0.42 in FY25 (Table 3) indicating the company has a structurally low current ratio. A current ratio of less than 1.0 in most industries would indicate distress but in the hospitality industry it is the norm and, in fact, can be said to be an indicator of efficiency. Rooms are sold at or before consumption, and suppliers are paid for on credit with most of the financing being provided by the float of the business in its daily operations (Jones and Lockwood, 2020). Comparative evidence also shows that industry norms vary significantly by industry and ratios should be interpreted in the context of industry norms, rather than generally accepted rules of thumb (Filbeck and Krueger, 2005). The current ratio is very similar to the quick ratio due to the limited amount of inventories (food, beverage and consumables) held by an asset-heavy hotel operator. Efficiency ratios support this: Inventory turns quickly and the number of days in which receivables are outstanding is short, both of which suggest a relationship with customers that is cash-based. However, the liquidity–profitability trade-off found by Eljelly (2004) is important in this regard: If a company's liquidity position is too low, the risk of financial embarrassment in the event of a demand shock can increase, a factor that proved to be relevant for the sector during the pandemic. This is the most important story: Gearing. The proportion of total liabilities to total assets increased steadily from 56.4% in FY21 to 66.3% in FY25, and the Group's leverage (e.g. net debt over net assets) rose from 2.6x in FY24 to 3.0x in FY25 as a result of the Group's cash generation in FY24, which funded its capital expenditure and returned £442m to shareholders, leaving the Group in net debt of £483m (Whitbread PLC, 2025). This increase of leverage is illustrated in figure 3. However, most importantly, the Group has headroom as the management-imposed ceiling is 3.5x, and the balance sheet is backed by a substantial property estate based on a large number of freehold properties which offer security as well as a source of liquidity through sale-and-leaseback (Whitbread PLC, 2025).</w:t>
      </w:r>
    </w:p>
    <w:p w14:paraId="7D7C9209" w14:textId="77777777"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sz w:val="20"/>
          <w:szCs w:val="20"/>
        </w:rPr>
        <w:t>Table 3. Liquidity, efficiency and gearing ratios (FY21–FY25).</w:t>
      </w:r>
    </w:p>
    <w:tbl>
      <w:tblPr>
        <w:tblStyle w:val="GridTable4-Accent4"/>
        <w:tblW w:w="8500" w:type="dxa"/>
        <w:jc w:val="center"/>
        <w:tblLook w:val="04A0" w:firstRow="1" w:lastRow="0" w:firstColumn="1" w:lastColumn="0" w:noHBand="0" w:noVBand="1"/>
      </w:tblPr>
      <w:tblGrid>
        <w:gridCol w:w="2900"/>
        <w:gridCol w:w="1120"/>
        <w:gridCol w:w="1120"/>
        <w:gridCol w:w="1120"/>
        <w:gridCol w:w="1120"/>
        <w:gridCol w:w="1120"/>
      </w:tblGrid>
      <w:tr w:rsidR="00A40D84" w:rsidRPr="00821FA1" w14:paraId="0253B906" w14:textId="77777777" w:rsidTr="00A40D8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00" w:type="dxa"/>
          </w:tcPr>
          <w:p w14:paraId="2EFB5756"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Ratio</w:t>
            </w:r>
          </w:p>
        </w:tc>
        <w:tc>
          <w:tcPr>
            <w:tcW w:w="1120" w:type="dxa"/>
          </w:tcPr>
          <w:p w14:paraId="7B523FA7"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FY21</w:t>
            </w:r>
          </w:p>
        </w:tc>
        <w:tc>
          <w:tcPr>
            <w:tcW w:w="1120" w:type="dxa"/>
          </w:tcPr>
          <w:p w14:paraId="1D60D977"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FY22</w:t>
            </w:r>
          </w:p>
        </w:tc>
        <w:tc>
          <w:tcPr>
            <w:tcW w:w="1120" w:type="dxa"/>
          </w:tcPr>
          <w:p w14:paraId="27835E02"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FY23</w:t>
            </w:r>
          </w:p>
        </w:tc>
        <w:tc>
          <w:tcPr>
            <w:tcW w:w="1120" w:type="dxa"/>
          </w:tcPr>
          <w:p w14:paraId="75BA39E8"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FY24</w:t>
            </w:r>
          </w:p>
        </w:tc>
        <w:tc>
          <w:tcPr>
            <w:tcW w:w="1120" w:type="dxa"/>
          </w:tcPr>
          <w:p w14:paraId="044C688E"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FY25</w:t>
            </w:r>
          </w:p>
        </w:tc>
      </w:tr>
      <w:tr w:rsidR="00A40D84" w:rsidRPr="00821FA1" w14:paraId="24AEE04E" w14:textId="77777777" w:rsidTr="00A40D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00" w:type="dxa"/>
          </w:tcPr>
          <w:p w14:paraId="60EDDFD0"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Current ratio (x)</w:t>
            </w:r>
          </w:p>
        </w:tc>
        <w:tc>
          <w:tcPr>
            <w:tcW w:w="1120" w:type="dxa"/>
          </w:tcPr>
          <w:p w14:paraId="20B01718"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0.68</w:t>
            </w:r>
          </w:p>
        </w:tc>
        <w:tc>
          <w:tcPr>
            <w:tcW w:w="1120" w:type="dxa"/>
          </w:tcPr>
          <w:p w14:paraId="1E72A6BF"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0.55</w:t>
            </w:r>
          </w:p>
        </w:tc>
        <w:tc>
          <w:tcPr>
            <w:tcW w:w="1120" w:type="dxa"/>
          </w:tcPr>
          <w:p w14:paraId="2F73BB9D"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0.52</w:t>
            </w:r>
          </w:p>
        </w:tc>
        <w:tc>
          <w:tcPr>
            <w:tcW w:w="1120" w:type="dxa"/>
          </w:tcPr>
          <w:p w14:paraId="05F141CB"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0.46</w:t>
            </w:r>
          </w:p>
        </w:tc>
        <w:tc>
          <w:tcPr>
            <w:tcW w:w="1120" w:type="dxa"/>
          </w:tcPr>
          <w:p w14:paraId="1375AE5D"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0.42</w:t>
            </w:r>
          </w:p>
        </w:tc>
      </w:tr>
      <w:tr w:rsidR="00A40D84" w:rsidRPr="00821FA1" w14:paraId="3D952BC0" w14:textId="77777777" w:rsidTr="00A40D84">
        <w:trPr>
          <w:jc w:val="center"/>
        </w:trPr>
        <w:tc>
          <w:tcPr>
            <w:cnfStyle w:val="001000000000" w:firstRow="0" w:lastRow="0" w:firstColumn="1" w:lastColumn="0" w:oddVBand="0" w:evenVBand="0" w:oddHBand="0" w:evenHBand="0" w:firstRowFirstColumn="0" w:firstRowLastColumn="0" w:lastRowFirstColumn="0" w:lastRowLastColumn="0"/>
            <w:tcW w:w="2900" w:type="dxa"/>
          </w:tcPr>
          <w:p w14:paraId="63DFE4DA"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Quick ratio (x)</w:t>
            </w:r>
          </w:p>
        </w:tc>
        <w:tc>
          <w:tcPr>
            <w:tcW w:w="1120" w:type="dxa"/>
          </w:tcPr>
          <w:p w14:paraId="1F5B7B34"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0.64</w:t>
            </w:r>
          </w:p>
        </w:tc>
        <w:tc>
          <w:tcPr>
            <w:tcW w:w="1120" w:type="dxa"/>
          </w:tcPr>
          <w:p w14:paraId="139244F9"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0.51</w:t>
            </w:r>
          </w:p>
        </w:tc>
        <w:tc>
          <w:tcPr>
            <w:tcW w:w="1120" w:type="dxa"/>
          </w:tcPr>
          <w:p w14:paraId="6D6CB815"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0.48</w:t>
            </w:r>
          </w:p>
        </w:tc>
        <w:tc>
          <w:tcPr>
            <w:tcW w:w="1120" w:type="dxa"/>
          </w:tcPr>
          <w:p w14:paraId="7EDEDD3C"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0.42</w:t>
            </w:r>
          </w:p>
        </w:tc>
        <w:tc>
          <w:tcPr>
            <w:tcW w:w="1120" w:type="dxa"/>
          </w:tcPr>
          <w:p w14:paraId="46DA3E4F"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0.38</w:t>
            </w:r>
          </w:p>
        </w:tc>
      </w:tr>
      <w:tr w:rsidR="00A40D84" w:rsidRPr="00821FA1" w14:paraId="1930F7CD" w14:textId="77777777" w:rsidTr="00A40D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00" w:type="dxa"/>
          </w:tcPr>
          <w:p w14:paraId="1EBC306E"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Inventory turnover (days)</w:t>
            </w:r>
          </w:p>
        </w:tc>
        <w:tc>
          <w:tcPr>
            <w:tcW w:w="1120" w:type="dxa"/>
          </w:tcPr>
          <w:p w14:paraId="349AB0F9"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w:t>
            </w:r>
          </w:p>
        </w:tc>
        <w:tc>
          <w:tcPr>
            <w:tcW w:w="1120" w:type="dxa"/>
          </w:tcPr>
          <w:p w14:paraId="2D83FF19"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6</w:t>
            </w:r>
          </w:p>
        </w:tc>
        <w:tc>
          <w:tcPr>
            <w:tcW w:w="1120" w:type="dxa"/>
          </w:tcPr>
          <w:p w14:paraId="3BDE363A"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w:t>
            </w:r>
          </w:p>
        </w:tc>
        <w:tc>
          <w:tcPr>
            <w:tcW w:w="1120" w:type="dxa"/>
          </w:tcPr>
          <w:p w14:paraId="56D3283C"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4</w:t>
            </w:r>
          </w:p>
        </w:tc>
        <w:tc>
          <w:tcPr>
            <w:tcW w:w="1120" w:type="dxa"/>
          </w:tcPr>
          <w:p w14:paraId="7DBB657A"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4</w:t>
            </w:r>
          </w:p>
        </w:tc>
      </w:tr>
      <w:tr w:rsidR="00A40D84" w:rsidRPr="00821FA1" w14:paraId="028C762C" w14:textId="77777777" w:rsidTr="00A40D84">
        <w:trPr>
          <w:jc w:val="center"/>
        </w:trPr>
        <w:tc>
          <w:tcPr>
            <w:cnfStyle w:val="001000000000" w:firstRow="0" w:lastRow="0" w:firstColumn="1" w:lastColumn="0" w:oddVBand="0" w:evenVBand="0" w:oddHBand="0" w:evenHBand="0" w:firstRowFirstColumn="0" w:firstRowLastColumn="0" w:lastRowFirstColumn="0" w:lastRowLastColumn="0"/>
            <w:tcW w:w="2900" w:type="dxa"/>
          </w:tcPr>
          <w:p w14:paraId="069F3E54"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Receivable days</w:t>
            </w:r>
          </w:p>
        </w:tc>
        <w:tc>
          <w:tcPr>
            <w:tcW w:w="1120" w:type="dxa"/>
          </w:tcPr>
          <w:p w14:paraId="2626E19A"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w:t>
            </w:r>
          </w:p>
        </w:tc>
        <w:tc>
          <w:tcPr>
            <w:tcW w:w="1120" w:type="dxa"/>
          </w:tcPr>
          <w:p w14:paraId="3CA9968E"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11</w:t>
            </w:r>
          </w:p>
        </w:tc>
        <w:tc>
          <w:tcPr>
            <w:tcW w:w="1120" w:type="dxa"/>
          </w:tcPr>
          <w:p w14:paraId="5101959C"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10</w:t>
            </w:r>
          </w:p>
        </w:tc>
        <w:tc>
          <w:tcPr>
            <w:tcW w:w="1120" w:type="dxa"/>
          </w:tcPr>
          <w:p w14:paraId="44D55B36"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9</w:t>
            </w:r>
          </w:p>
        </w:tc>
        <w:tc>
          <w:tcPr>
            <w:tcW w:w="1120" w:type="dxa"/>
          </w:tcPr>
          <w:p w14:paraId="481902C7"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9</w:t>
            </w:r>
          </w:p>
        </w:tc>
      </w:tr>
      <w:tr w:rsidR="00A40D84" w:rsidRPr="00821FA1" w14:paraId="17F5E006" w14:textId="77777777" w:rsidTr="00A40D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00" w:type="dxa"/>
          </w:tcPr>
          <w:p w14:paraId="619E1C59"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Gearing: liabilities/assets (%)</w:t>
            </w:r>
          </w:p>
        </w:tc>
        <w:tc>
          <w:tcPr>
            <w:tcW w:w="1120" w:type="dxa"/>
          </w:tcPr>
          <w:p w14:paraId="09B25C2D"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56.4</w:t>
            </w:r>
          </w:p>
        </w:tc>
        <w:tc>
          <w:tcPr>
            <w:tcW w:w="1120" w:type="dxa"/>
          </w:tcPr>
          <w:p w14:paraId="1A86ECA9"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57.0</w:t>
            </w:r>
          </w:p>
        </w:tc>
        <w:tc>
          <w:tcPr>
            <w:tcW w:w="1120" w:type="dxa"/>
          </w:tcPr>
          <w:p w14:paraId="4531DFB8"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58.6</w:t>
            </w:r>
          </w:p>
        </w:tc>
        <w:tc>
          <w:tcPr>
            <w:tcW w:w="1120" w:type="dxa"/>
          </w:tcPr>
          <w:p w14:paraId="256064E5"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63.0</w:t>
            </w:r>
          </w:p>
        </w:tc>
        <w:tc>
          <w:tcPr>
            <w:tcW w:w="1120" w:type="dxa"/>
          </w:tcPr>
          <w:p w14:paraId="7E0B70DE"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66.3</w:t>
            </w:r>
          </w:p>
        </w:tc>
      </w:tr>
      <w:tr w:rsidR="00A40D84" w:rsidRPr="00821FA1" w14:paraId="0A0D90C5" w14:textId="77777777" w:rsidTr="00A40D84">
        <w:trPr>
          <w:jc w:val="center"/>
        </w:trPr>
        <w:tc>
          <w:tcPr>
            <w:cnfStyle w:val="001000000000" w:firstRow="0" w:lastRow="0" w:firstColumn="1" w:lastColumn="0" w:oddVBand="0" w:evenVBand="0" w:oddHBand="0" w:evenHBand="0" w:firstRowFirstColumn="0" w:firstRowLastColumn="0" w:lastRowFirstColumn="0" w:lastRowLastColumn="0"/>
            <w:tcW w:w="2900" w:type="dxa"/>
          </w:tcPr>
          <w:p w14:paraId="4EA004E5"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Lease-adjusted leverage (x)</w:t>
            </w:r>
          </w:p>
        </w:tc>
        <w:tc>
          <w:tcPr>
            <w:tcW w:w="1120" w:type="dxa"/>
          </w:tcPr>
          <w:p w14:paraId="6BE8A04D"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n/a</w:t>
            </w:r>
          </w:p>
        </w:tc>
        <w:tc>
          <w:tcPr>
            <w:tcW w:w="1120" w:type="dxa"/>
          </w:tcPr>
          <w:p w14:paraId="565AA561"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n/a</w:t>
            </w:r>
          </w:p>
        </w:tc>
        <w:tc>
          <w:tcPr>
            <w:tcW w:w="1120" w:type="dxa"/>
          </w:tcPr>
          <w:p w14:paraId="6E875A5E"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2.4</w:t>
            </w:r>
          </w:p>
        </w:tc>
        <w:tc>
          <w:tcPr>
            <w:tcW w:w="1120" w:type="dxa"/>
          </w:tcPr>
          <w:p w14:paraId="59A2CA13"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2.6</w:t>
            </w:r>
          </w:p>
        </w:tc>
        <w:tc>
          <w:tcPr>
            <w:tcW w:w="1120" w:type="dxa"/>
          </w:tcPr>
          <w:p w14:paraId="552F138B"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3.0</w:t>
            </w:r>
          </w:p>
        </w:tc>
      </w:tr>
    </w:tbl>
    <w:p w14:paraId="45777DCE" w14:textId="6DE69B51"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Source: Whitbread PLC (2025). Efficiency ratios are estimates derived from published segmental data.</w:t>
      </w:r>
    </w:p>
    <w:p w14:paraId="14221012" w14:textId="61E45551" w:rsidR="00A40D84" w:rsidRPr="00821FA1" w:rsidRDefault="00A40D84" w:rsidP="00A40D84">
      <w:pPr>
        <w:spacing w:line="360" w:lineRule="auto"/>
        <w:jc w:val="center"/>
        <w:rPr>
          <w:rFonts w:ascii="Times New Roman" w:hAnsi="Times New Roman" w:cs="Times New Roman"/>
        </w:rPr>
      </w:pPr>
      <w:r w:rsidRPr="00821FA1">
        <w:rPr>
          <w:rFonts w:ascii="Times New Roman" w:hAnsi="Times New Roman" w:cs="Times New Roman"/>
          <w:noProof/>
        </w:rPr>
        <w:drawing>
          <wp:inline distT="0" distB="0" distL="0" distR="0" wp14:anchorId="2F299B86" wp14:editId="48D95DA8">
            <wp:extent cx="4556760" cy="2710688"/>
            <wp:effectExtent l="0" t="0" r="0" b="0"/>
            <wp:docPr id="21114377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a:fillRect/>
                    </a:stretch>
                  </pic:blipFill>
                  <pic:spPr bwMode="auto">
                    <a:xfrm>
                      <a:off x="0" y="0"/>
                      <a:ext cx="4562315" cy="2713993"/>
                    </a:xfrm>
                    <a:prstGeom prst="rect">
                      <a:avLst/>
                    </a:prstGeom>
                    <a:noFill/>
                    <a:ln>
                      <a:noFill/>
                    </a:ln>
                    <a:extLst>
                      <a:ext uri="{53640926-AAD7-44D8-BBD7-CCE9431645EC}">
                        <a14:shadowObscured xmlns:a14="http://schemas.microsoft.com/office/drawing/2010/main"/>
                      </a:ext>
                    </a:extLst>
                  </pic:spPr>
                </pic:pic>
              </a:graphicData>
            </a:graphic>
          </wp:inline>
        </w:drawing>
      </w:r>
    </w:p>
    <w:p w14:paraId="79CF39E8" w14:textId="368D60BB" w:rsidR="00A40D84" w:rsidRPr="00821FA1" w:rsidRDefault="00A40D84" w:rsidP="00A40D84">
      <w:pPr>
        <w:spacing w:line="360" w:lineRule="auto"/>
        <w:jc w:val="center"/>
        <w:rPr>
          <w:rFonts w:ascii="Times New Roman" w:hAnsi="Times New Roman" w:cs="Times New Roman"/>
          <w:b/>
          <w:bCs/>
          <w:i/>
          <w:iCs/>
          <w:sz w:val="20"/>
          <w:szCs w:val="20"/>
        </w:rPr>
      </w:pPr>
      <w:r w:rsidRPr="00821FA1">
        <w:rPr>
          <w:rFonts w:ascii="Times New Roman" w:hAnsi="Times New Roman" w:cs="Times New Roman"/>
          <w:b/>
          <w:bCs/>
          <w:i/>
          <w:iCs/>
          <w:sz w:val="20"/>
          <w:szCs w:val="20"/>
        </w:rPr>
        <w:t>Figure 3. Capital structure and leverage, FY21–FY25. Source: Whitbread PLC (2025).</w:t>
      </w:r>
    </w:p>
    <w:p w14:paraId="1DED8267" w14:textId="23259847" w:rsidR="00A40D84" w:rsidRPr="00821FA1" w:rsidRDefault="00A40D84" w:rsidP="00A40D84">
      <w:pPr>
        <w:pStyle w:val="Heading2"/>
      </w:pPr>
      <w:bookmarkStart w:id="8" w:name="_Toc236957026"/>
      <w:bookmarkStart w:id="9" w:name="_Toc236960507"/>
      <w:r w:rsidRPr="00821FA1">
        <w:rPr>
          <w:rFonts w:eastAsia="Arial"/>
        </w:rPr>
        <w:t>Investment and cash-flow indicators</w:t>
      </w:r>
      <w:bookmarkEnd w:id="8"/>
      <w:bookmarkEnd w:id="9"/>
    </w:p>
    <w:p w14:paraId="3BB06C7B" w14:textId="2A6B738F"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An investor's perspective is that Whitbread has re-established itself as a reliable cash producer. While dividends paid rose from nil in FY21 to 97.0p in FY24 and stayed steady in FY25, total cash returned through dividends and buy-backs have risen to £756m in FY24 and £442m in FY25, and a further £250m buy-back was launched in tandem with the FY25 results (Whitbread PLC, 2025). This recovery is illustrated on the graph (Figure 4). As can be seen from Table 4, the investment ratios are adequate, the payout is well covered by adjusted earnings, and the Group had very good operating cash flow to support its investments and payback to shareholders. The cash-flow statement thus supports the income statement, namely: high-quality profits are cash-backed, not accounting artefacts.</w:t>
      </w:r>
    </w:p>
    <w:p w14:paraId="7A3E73F6" w14:textId="77777777"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sz w:val="20"/>
          <w:szCs w:val="20"/>
        </w:rPr>
        <w:t>Table 4. Investment and cash-flow indicators (FY21–FY25).</w:t>
      </w:r>
    </w:p>
    <w:tbl>
      <w:tblPr>
        <w:tblStyle w:val="GridTable4"/>
        <w:tblW w:w="8500" w:type="dxa"/>
        <w:jc w:val="center"/>
        <w:tblLook w:val="04A0" w:firstRow="1" w:lastRow="0" w:firstColumn="1" w:lastColumn="0" w:noHBand="0" w:noVBand="1"/>
      </w:tblPr>
      <w:tblGrid>
        <w:gridCol w:w="2900"/>
        <w:gridCol w:w="1120"/>
        <w:gridCol w:w="1120"/>
        <w:gridCol w:w="1120"/>
        <w:gridCol w:w="1120"/>
        <w:gridCol w:w="1120"/>
      </w:tblGrid>
      <w:tr w:rsidR="00A40D84" w:rsidRPr="00821FA1" w14:paraId="60D4614C" w14:textId="77777777" w:rsidTr="00A40D8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00" w:type="dxa"/>
          </w:tcPr>
          <w:p w14:paraId="48F396EF"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Indicator</w:t>
            </w:r>
          </w:p>
        </w:tc>
        <w:tc>
          <w:tcPr>
            <w:tcW w:w="1120" w:type="dxa"/>
          </w:tcPr>
          <w:p w14:paraId="43F21E53"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FY21</w:t>
            </w:r>
          </w:p>
        </w:tc>
        <w:tc>
          <w:tcPr>
            <w:tcW w:w="1120" w:type="dxa"/>
          </w:tcPr>
          <w:p w14:paraId="3A822547"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FY22</w:t>
            </w:r>
          </w:p>
        </w:tc>
        <w:tc>
          <w:tcPr>
            <w:tcW w:w="1120" w:type="dxa"/>
          </w:tcPr>
          <w:p w14:paraId="2DDCE771"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FY23</w:t>
            </w:r>
          </w:p>
        </w:tc>
        <w:tc>
          <w:tcPr>
            <w:tcW w:w="1120" w:type="dxa"/>
          </w:tcPr>
          <w:p w14:paraId="0EA79AF1"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FY24</w:t>
            </w:r>
          </w:p>
        </w:tc>
        <w:tc>
          <w:tcPr>
            <w:tcW w:w="1120" w:type="dxa"/>
          </w:tcPr>
          <w:p w14:paraId="4EEFCE91"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FY25</w:t>
            </w:r>
          </w:p>
        </w:tc>
      </w:tr>
      <w:tr w:rsidR="00A40D84" w:rsidRPr="00821FA1" w14:paraId="2DB390B2" w14:textId="77777777" w:rsidTr="00A40D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00" w:type="dxa"/>
          </w:tcPr>
          <w:p w14:paraId="4EA58B88"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Dividend per share (p)</w:t>
            </w:r>
          </w:p>
        </w:tc>
        <w:tc>
          <w:tcPr>
            <w:tcW w:w="1120" w:type="dxa"/>
          </w:tcPr>
          <w:p w14:paraId="3FE6C1F7"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0.0</w:t>
            </w:r>
          </w:p>
        </w:tc>
        <w:tc>
          <w:tcPr>
            <w:tcW w:w="1120" w:type="dxa"/>
          </w:tcPr>
          <w:p w14:paraId="12ABE73E"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34.7</w:t>
            </w:r>
          </w:p>
        </w:tc>
        <w:tc>
          <w:tcPr>
            <w:tcW w:w="1120" w:type="dxa"/>
          </w:tcPr>
          <w:p w14:paraId="67D2E613"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84.5</w:t>
            </w:r>
          </w:p>
        </w:tc>
        <w:tc>
          <w:tcPr>
            <w:tcW w:w="1120" w:type="dxa"/>
          </w:tcPr>
          <w:p w14:paraId="20D15BB8"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97.0</w:t>
            </w:r>
          </w:p>
        </w:tc>
        <w:tc>
          <w:tcPr>
            <w:tcW w:w="1120" w:type="dxa"/>
          </w:tcPr>
          <w:p w14:paraId="1AB85C24"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97.0</w:t>
            </w:r>
          </w:p>
        </w:tc>
      </w:tr>
      <w:tr w:rsidR="00A40D84" w:rsidRPr="00821FA1" w14:paraId="72C3B67C" w14:textId="77777777" w:rsidTr="00A40D84">
        <w:trPr>
          <w:jc w:val="center"/>
        </w:trPr>
        <w:tc>
          <w:tcPr>
            <w:cnfStyle w:val="001000000000" w:firstRow="0" w:lastRow="0" w:firstColumn="1" w:lastColumn="0" w:oddVBand="0" w:evenVBand="0" w:oddHBand="0" w:evenHBand="0" w:firstRowFirstColumn="0" w:firstRowLastColumn="0" w:lastRowFirstColumn="0" w:lastRowLastColumn="0"/>
            <w:tcW w:w="2900" w:type="dxa"/>
          </w:tcPr>
          <w:p w14:paraId="5CC2B84E"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Dividend cover (adj., x)</w:t>
            </w:r>
          </w:p>
        </w:tc>
        <w:tc>
          <w:tcPr>
            <w:tcW w:w="1120" w:type="dxa"/>
          </w:tcPr>
          <w:p w14:paraId="352578A8"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n/a</w:t>
            </w:r>
          </w:p>
        </w:tc>
        <w:tc>
          <w:tcPr>
            <w:tcW w:w="1120" w:type="dxa"/>
          </w:tcPr>
          <w:p w14:paraId="79928338"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n/a</w:t>
            </w:r>
          </w:p>
        </w:tc>
        <w:tc>
          <w:tcPr>
            <w:tcW w:w="1120" w:type="dxa"/>
          </w:tcPr>
          <w:p w14:paraId="04C0F269"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2.1</w:t>
            </w:r>
          </w:p>
        </w:tc>
        <w:tc>
          <w:tcPr>
            <w:tcW w:w="1120" w:type="dxa"/>
          </w:tcPr>
          <w:p w14:paraId="79204B61"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2.1</w:t>
            </w:r>
          </w:p>
        </w:tc>
        <w:tc>
          <w:tcPr>
            <w:tcW w:w="1120" w:type="dxa"/>
          </w:tcPr>
          <w:p w14:paraId="66F8D301"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2.0</w:t>
            </w:r>
          </w:p>
        </w:tc>
      </w:tr>
      <w:tr w:rsidR="00A40D84" w:rsidRPr="00821FA1" w14:paraId="73E042CB" w14:textId="77777777" w:rsidTr="00A40D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00" w:type="dxa"/>
          </w:tcPr>
          <w:p w14:paraId="593CAD2E"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Cash returned (£m)</w:t>
            </w:r>
          </w:p>
        </w:tc>
        <w:tc>
          <w:tcPr>
            <w:tcW w:w="1120" w:type="dxa"/>
          </w:tcPr>
          <w:p w14:paraId="07CC9A8D"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w:t>
            </w:r>
          </w:p>
        </w:tc>
        <w:tc>
          <w:tcPr>
            <w:tcW w:w="1120" w:type="dxa"/>
          </w:tcPr>
          <w:p w14:paraId="4F51C8B9"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70</w:t>
            </w:r>
          </w:p>
        </w:tc>
        <w:tc>
          <w:tcPr>
            <w:tcW w:w="1120" w:type="dxa"/>
          </w:tcPr>
          <w:p w14:paraId="0F8E2F36"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300</w:t>
            </w:r>
          </w:p>
        </w:tc>
        <w:tc>
          <w:tcPr>
            <w:tcW w:w="1120" w:type="dxa"/>
          </w:tcPr>
          <w:p w14:paraId="5CB5E177"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756</w:t>
            </w:r>
          </w:p>
        </w:tc>
        <w:tc>
          <w:tcPr>
            <w:tcW w:w="1120" w:type="dxa"/>
          </w:tcPr>
          <w:p w14:paraId="48976A92"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442</w:t>
            </w:r>
          </w:p>
        </w:tc>
      </w:tr>
      <w:tr w:rsidR="00A40D84" w:rsidRPr="00821FA1" w14:paraId="007C1211" w14:textId="77777777" w:rsidTr="00A40D84">
        <w:trPr>
          <w:jc w:val="center"/>
        </w:trPr>
        <w:tc>
          <w:tcPr>
            <w:cnfStyle w:val="001000000000" w:firstRow="0" w:lastRow="0" w:firstColumn="1" w:lastColumn="0" w:oddVBand="0" w:evenVBand="0" w:oddHBand="0" w:evenHBand="0" w:firstRowFirstColumn="0" w:firstRowLastColumn="0" w:lastRowFirstColumn="0" w:lastRowLastColumn="0"/>
            <w:tcW w:w="2900" w:type="dxa"/>
          </w:tcPr>
          <w:p w14:paraId="7D6F6B31"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Net debt/(cash) (£m)</w:t>
            </w:r>
          </w:p>
        </w:tc>
        <w:tc>
          <w:tcPr>
            <w:tcW w:w="1120" w:type="dxa"/>
          </w:tcPr>
          <w:p w14:paraId="367023F9"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net cash</w:t>
            </w:r>
          </w:p>
        </w:tc>
        <w:tc>
          <w:tcPr>
            <w:tcW w:w="1120" w:type="dxa"/>
          </w:tcPr>
          <w:p w14:paraId="0720D3F6"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net cash</w:t>
            </w:r>
          </w:p>
        </w:tc>
        <w:tc>
          <w:tcPr>
            <w:tcW w:w="1120" w:type="dxa"/>
          </w:tcPr>
          <w:p w14:paraId="1170494E"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net cash</w:t>
            </w:r>
          </w:p>
        </w:tc>
        <w:tc>
          <w:tcPr>
            <w:tcW w:w="1120" w:type="dxa"/>
          </w:tcPr>
          <w:p w14:paraId="1BB8ED03"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298</w:t>
            </w:r>
          </w:p>
        </w:tc>
        <w:tc>
          <w:tcPr>
            <w:tcW w:w="1120" w:type="dxa"/>
          </w:tcPr>
          <w:p w14:paraId="20693DFF"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483</w:t>
            </w:r>
          </w:p>
        </w:tc>
      </w:tr>
    </w:tbl>
    <w:p w14:paraId="32CDD305" w14:textId="73B17A1B"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Source: Whitbread PLC (2025). FY24 net debt of £298m and FY25 net debt of £483m are on a management basis excluding lease liabilities.</w:t>
      </w:r>
    </w:p>
    <w:p w14:paraId="41FB9981" w14:textId="759E18A3" w:rsidR="00A40D84" w:rsidRPr="00821FA1" w:rsidRDefault="00A40D84" w:rsidP="00A40D84">
      <w:pPr>
        <w:spacing w:line="360" w:lineRule="auto"/>
        <w:jc w:val="center"/>
        <w:rPr>
          <w:rFonts w:ascii="Times New Roman" w:hAnsi="Times New Roman" w:cs="Times New Roman"/>
        </w:rPr>
      </w:pPr>
      <w:r w:rsidRPr="00821FA1">
        <w:rPr>
          <w:rFonts w:ascii="Times New Roman" w:hAnsi="Times New Roman" w:cs="Times New Roman"/>
          <w:noProof/>
        </w:rPr>
        <w:drawing>
          <wp:inline distT="0" distB="0" distL="0" distR="0" wp14:anchorId="421530BD" wp14:editId="5FAB4740">
            <wp:extent cx="4886325" cy="2606040"/>
            <wp:effectExtent l="0" t="0" r="9525" b="3810"/>
            <wp:docPr id="19044566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4887236" cy="2606526"/>
                    </a:xfrm>
                    <a:prstGeom prst="rect">
                      <a:avLst/>
                    </a:prstGeom>
                    <a:noFill/>
                    <a:ln>
                      <a:noFill/>
                    </a:ln>
                    <a:extLst>
                      <a:ext uri="{53640926-AAD7-44D8-BBD7-CCE9431645EC}">
                        <a14:shadowObscured xmlns:a14="http://schemas.microsoft.com/office/drawing/2010/main"/>
                      </a:ext>
                    </a:extLst>
                  </pic:spPr>
                </pic:pic>
              </a:graphicData>
            </a:graphic>
          </wp:inline>
        </w:drawing>
      </w:r>
    </w:p>
    <w:p w14:paraId="1D252D2D" w14:textId="1A52CB27" w:rsidR="00A40D84" w:rsidRPr="00821FA1" w:rsidRDefault="00A40D84" w:rsidP="00A40D84">
      <w:pPr>
        <w:spacing w:line="360" w:lineRule="auto"/>
        <w:jc w:val="both"/>
        <w:rPr>
          <w:rFonts w:ascii="Times New Roman" w:hAnsi="Times New Roman" w:cs="Times New Roman"/>
        </w:rPr>
      </w:pPr>
    </w:p>
    <w:p w14:paraId="3642EBD5" w14:textId="77B4E529"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Figure 4. Shareholder returns dividends and buy-backs, FY21–FY25. Source: (</w:t>
      </w:r>
      <w:r w:rsidRPr="00821FA1">
        <w:rPr>
          <w:rFonts w:ascii="Times New Roman" w:hAnsi="Times New Roman" w:cs="Times New Roman"/>
          <w:b/>
          <w:bCs/>
          <w:sz w:val="20"/>
          <w:szCs w:val="20"/>
        </w:rPr>
        <w:t>Whitbread PLC, 2025)</w:t>
      </w:r>
    </w:p>
    <w:p w14:paraId="405E095B" w14:textId="14410BC6" w:rsidR="00A40D84" w:rsidRPr="00821FA1" w:rsidRDefault="00A40D84" w:rsidP="00A40D84">
      <w:pPr>
        <w:pStyle w:val="Heading2"/>
      </w:pPr>
      <w:bookmarkStart w:id="10" w:name="_Toc236957027"/>
      <w:bookmarkStart w:id="11" w:name="_Toc236960508"/>
      <w:r w:rsidRPr="00821FA1">
        <w:rPr>
          <w:rFonts w:eastAsia="Arial"/>
        </w:rPr>
        <w:t>Trends, strengths and threats, and liquidity benchmarking</w:t>
      </w:r>
      <w:bookmarkEnd w:id="10"/>
      <w:bookmarkEnd w:id="11"/>
    </w:p>
    <w:p w14:paraId="7299C86A" w14:textId="1C050135"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Three trends emerge. Revenue is now recovering and stabilising, profitability is at its cyclical peak and is subject to margin pressure and the balance sheet is purposefully being re-engineered to support revenue growth and returns. The key strengths are the powerful, direct distribution brand in the Premier Inn, the largely freehold estate with strong vertical integration and the solid cash generation. The risks are UK cost inflation (including wages and business rates), soft discretionary demand, execution risk associated with the AGP and German business expansion, and reinvestment risk, meaning that returns may not be as strong as historical levels (Whitbread PLC, 2025; Deloitte, 2024). The pandemic highlighted the sector's sensitivity to demand shocks and supply chain disruptions and illustrated the critical importance of resilience and liquidity buffers (Aigbedo, 2021); empirical research of the biggest global hotel chains revealed that companies intentionally made liquidity, and not profitability, a top priority during the crisis to maintain their solvency (Radivojević et al., 2023).</w:t>
      </w:r>
    </w:p>
    <w:p w14:paraId="10AA7AFA" w14:textId="698CB41B"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The risk of liquidity is very low, as can be seen by comparing Whitbread's ratios to its sector. Table 5 shows that the Group's current ratio and quick ratio for FY25 are compared with the approximate hospitality-sector medians and a large listed company, InterContinental Hotels Group (IHG), which also has a current ratio below 1.0. (IHG, 2024) The comparison (shown in Figure 5) indicates that Whitbread is just under the sector median but clearly above what an asset-heavy cash-upfront operator can stomach. This is not to say that Whitbread is illiquid, but it is to say that the managing of liquidity risk is through the committed undrawn facilities and through property optionality as opposed to having a large buffer of current assets (Whitbread PLC, 2025).</w:t>
      </w:r>
    </w:p>
    <w:p w14:paraId="773C9505" w14:textId="77777777"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sz w:val="20"/>
          <w:szCs w:val="20"/>
        </w:rPr>
        <w:t>Table 5. Liquidity benchmarking against the hospitality sector (FY25).</w:t>
      </w:r>
    </w:p>
    <w:tbl>
      <w:tblPr>
        <w:tblStyle w:val="GridTable4-Accent5"/>
        <w:tblW w:w="9100" w:type="dxa"/>
        <w:jc w:val="center"/>
        <w:tblLook w:val="04A0" w:firstRow="1" w:lastRow="0" w:firstColumn="1" w:lastColumn="0" w:noHBand="0" w:noVBand="1"/>
      </w:tblPr>
      <w:tblGrid>
        <w:gridCol w:w="3400"/>
        <w:gridCol w:w="1900"/>
        <w:gridCol w:w="1900"/>
        <w:gridCol w:w="1900"/>
      </w:tblGrid>
      <w:tr w:rsidR="00A40D84" w:rsidRPr="00821FA1" w14:paraId="4722D63B" w14:textId="77777777" w:rsidTr="00A40D8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00" w:type="dxa"/>
          </w:tcPr>
          <w:p w14:paraId="6A2DD69A"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Measure</w:t>
            </w:r>
          </w:p>
        </w:tc>
        <w:tc>
          <w:tcPr>
            <w:tcW w:w="1900" w:type="dxa"/>
          </w:tcPr>
          <w:p w14:paraId="7B8EC076"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Whitbread FY25</w:t>
            </w:r>
          </w:p>
        </w:tc>
        <w:tc>
          <w:tcPr>
            <w:tcW w:w="1900" w:type="dxa"/>
          </w:tcPr>
          <w:p w14:paraId="2E7A6C00"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IHG (approx.)</w:t>
            </w:r>
          </w:p>
        </w:tc>
        <w:tc>
          <w:tcPr>
            <w:tcW w:w="1900" w:type="dxa"/>
          </w:tcPr>
          <w:p w14:paraId="298DFCAA"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Sector median (approx.)</w:t>
            </w:r>
          </w:p>
        </w:tc>
      </w:tr>
      <w:tr w:rsidR="00A40D84" w:rsidRPr="00821FA1" w14:paraId="4DE8A658" w14:textId="77777777" w:rsidTr="00A40D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00" w:type="dxa"/>
          </w:tcPr>
          <w:p w14:paraId="1E81726C"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Current ratio (x)</w:t>
            </w:r>
          </w:p>
        </w:tc>
        <w:tc>
          <w:tcPr>
            <w:tcW w:w="1900" w:type="dxa"/>
          </w:tcPr>
          <w:p w14:paraId="670F5CAB"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0.42</w:t>
            </w:r>
          </w:p>
        </w:tc>
        <w:tc>
          <w:tcPr>
            <w:tcW w:w="1900" w:type="dxa"/>
          </w:tcPr>
          <w:p w14:paraId="5362F83E"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0.55</w:t>
            </w:r>
          </w:p>
        </w:tc>
        <w:tc>
          <w:tcPr>
            <w:tcW w:w="1900" w:type="dxa"/>
          </w:tcPr>
          <w:p w14:paraId="16DA407D"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0.80</w:t>
            </w:r>
          </w:p>
        </w:tc>
      </w:tr>
      <w:tr w:rsidR="00A40D84" w:rsidRPr="00821FA1" w14:paraId="103B2FDE" w14:textId="77777777" w:rsidTr="00A40D84">
        <w:trPr>
          <w:jc w:val="center"/>
        </w:trPr>
        <w:tc>
          <w:tcPr>
            <w:cnfStyle w:val="001000000000" w:firstRow="0" w:lastRow="0" w:firstColumn="1" w:lastColumn="0" w:oddVBand="0" w:evenVBand="0" w:oddHBand="0" w:evenHBand="0" w:firstRowFirstColumn="0" w:firstRowLastColumn="0" w:lastRowFirstColumn="0" w:lastRowLastColumn="0"/>
            <w:tcW w:w="3400" w:type="dxa"/>
          </w:tcPr>
          <w:p w14:paraId="71425AE1"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Quick ratio (x)</w:t>
            </w:r>
          </w:p>
        </w:tc>
        <w:tc>
          <w:tcPr>
            <w:tcW w:w="1900" w:type="dxa"/>
          </w:tcPr>
          <w:p w14:paraId="19A54C92"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0.38</w:t>
            </w:r>
          </w:p>
        </w:tc>
        <w:tc>
          <w:tcPr>
            <w:tcW w:w="1900" w:type="dxa"/>
          </w:tcPr>
          <w:p w14:paraId="757746FE"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0.52</w:t>
            </w:r>
          </w:p>
        </w:tc>
        <w:tc>
          <w:tcPr>
            <w:tcW w:w="1900" w:type="dxa"/>
          </w:tcPr>
          <w:p w14:paraId="7BEB62D3"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0.70</w:t>
            </w:r>
          </w:p>
        </w:tc>
      </w:tr>
      <w:tr w:rsidR="00A40D84" w:rsidRPr="00821FA1" w14:paraId="387BE659" w14:textId="77777777" w:rsidTr="00A40D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00" w:type="dxa"/>
          </w:tcPr>
          <w:p w14:paraId="49A80AD3"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Interpretation</w:t>
            </w:r>
          </w:p>
        </w:tc>
        <w:tc>
          <w:tcPr>
            <w:tcW w:w="1900" w:type="dxa"/>
          </w:tcPr>
          <w:p w14:paraId="4EB41CD0"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Below median</w:t>
            </w:r>
          </w:p>
        </w:tc>
        <w:tc>
          <w:tcPr>
            <w:tcW w:w="1900" w:type="dxa"/>
          </w:tcPr>
          <w:p w14:paraId="6EC2416F"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Below median</w:t>
            </w:r>
          </w:p>
        </w:tc>
        <w:tc>
          <w:tcPr>
            <w:tcW w:w="1900" w:type="dxa"/>
          </w:tcPr>
          <w:p w14:paraId="2D55326A"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Cash-upfront norm</w:t>
            </w:r>
          </w:p>
        </w:tc>
      </w:tr>
    </w:tbl>
    <w:p w14:paraId="0440B602" w14:textId="6A268D7E"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Source: IHG (2024) and sector estimates. Benchmarks are indicative and rounded.</w:t>
      </w:r>
    </w:p>
    <w:p w14:paraId="2DD65516" w14:textId="1822A063" w:rsidR="00A40D84" w:rsidRPr="00821FA1" w:rsidRDefault="00A40D84" w:rsidP="00A40D84">
      <w:pPr>
        <w:spacing w:line="360" w:lineRule="auto"/>
        <w:jc w:val="center"/>
        <w:rPr>
          <w:rFonts w:ascii="Times New Roman" w:hAnsi="Times New Roman" w:cs="Times New Roman"/>
        </w:rPr>
      </w:pPr>
      <w:r w:rsidRPr="00821FA1">
        <w:rPr>
          <w:rFonts w:ascii="Times New Roman" w:hAnsi="Times New Roman" w:cs="Times New Roman"/>
          <w:noProof/>
        </w:rPr>
        <w:drawing>
          <wp:inline distT="0" distB="0" distL="0" distR="0" wp14:anchorId="0C1F74F3" wp14:editId="269C9275">
            <wp:extent cx="5471160" cy="3011476"/>
            <wp:effectExtent l="0" t="0" r="0" b="0"/>
            <wp:docPr id="665528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9295"/>
                    <a:stretch>
                      <a:fillRect/>
                    </a:stretch>
                  </pic:blipFill>
                  <pic:spPr bwMode="auto">
                    <a:xfrm>
                      <a:off x="0" y="0"/>
                      <a:ext cx="5477387" cy="3014903"/>
                    </a:xfrm>
                    <a:prstGeom prst="rect">
                      <a:avLst/>
                    </a:prstGeom>
                    <a:noFill/>
                    <a:ln>
                      <a:noFill/>
                    </a:ln>
                    <a:extLst>
                      <a:ext uri="{53640926-AAD7-44D8-BBD7-CCE9431645EC}">
                        <a14:shadowObscured xmlns:a14="http://schemas.microsoft.com/office/drawing/2010/main"/>
                      </a:ext>
                    </a:extLst>
                  </pic:spPr>
                </pic:pic>
              </a:graphicData>
            </a:graphic>
          </wp:inline>
        </w:drawing>
      </w:r>
    </w:p>
    <w:p w14:paraId="41931DC1" w14:textId="3C110145" w:rsidR="00A40D84" w:rsidRPr="00821FA1" w:rsidRDefault="00A40D84" w:rsidP="00A40D84">
      <w:pPr>
        <w:spacing w:line="360" w:lineRule="auto"/>
        <w:jc w:val="both"/>
        <w:rPr>
          <w:rFonts w:ascii="Times New Roman" w:hAnsi="Times New Roman" w:cs="Times New Roman"/>
        </w:rPr>
      </w:pPr>
    </w:p>
    <w:p w14:paraId="43E94357" w14:textId="7A95C243"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Figure 5. Liquidity ratios versus hospitality-sector benchmark, FY21–FY25. Source: Whitbread PLC (2025).</w:t>
      </w:r>
    </w:p>
    <w:p w14:paraId="66C92C5B" w14:textId="30727B8D" w:rsidR="00A40D84" w:rsidRPr="00821FA1" w:rsidRDefault="00A40D84" w:rsidP="00A40D84">
      <w:pPr>
        <w:pStyle w:val="Heading1"/>
      </w:pPr>
      <w:bookmarkStart w:id="12" w:name="_Toc236957028"/>
      <w:bookmarkStart w:id="13" w:name="_Toc236960509"/>
      <w:r w:rsidRPr="00821FA1">
        <w:rPr>
          <w:rFonts w:eastAsia="Arial"/>
        </w:rPr>
        <w:t>Working Capital Management Analysis</w:t>
      </w:r>
      <w:bookmarkEnd w:id="12"/>
      <w:bookmarkEnd w:id="13"/>
    </w:p>
    <w:p w14:paraId="4EB79166" w14:textId="0192D761" w:rsidR="00A40D84" w:rsidRPr="00821FA1" w:rsidRDefault="00A40D84" w:rsidP="00A40D84">
      <w:pPr>
        <w:pStyle w:val="Heading2"/>
      </w:pPr>
      <w:bookmarkStart w:id="14" w:name="_Toc236957029"/>
      <w:bookmarkStart w:id="15" w:name="_Toc236960510"/>
      <w:r w:rsidRPr="00821FA1">
        <w:rPr>
          <w:rFonts w:eastAsia="Arial"/>
        </w:rPr>
        <w:t>The cash operating cycle</w:t>
      </w:r>
      <w:bookmarkEnd w:id="14"/>
      <w:bookmarkEnd w:id="15"/>
    </w:p>
    <w:p w14:paraId="7351D6EF" w14:textId="4C045F82"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The cash operating cycle (cash conversion cycle, CCC) is the period of time between the cash payment of the supplier for inputs and the collection of the customer's cash for the output produced and can be calculated using inventory days plus receivable days minus payable days (Richards and Laughlin, 1980; Brealey et al., 2020). The length of the cash conversion cycle has been shown to have a negative correlation with the profitability of the firm in a significant number of empirical studies; Shin and Soenen (1998) and Deloof (2003) demonstrate such a negative relationship for their sample of firms in the Netherlands while Gill et al. (2010) and Nobanee et al. (2011) show a negative relationship for US and Japanese firms respectively. Whitbread's cycle is not just a short one, but a negative one. The days of receivables are low, as are the days of inventory due to the perishable nature of the food and beverages sold at the hotel and restaurant. Suppliers, on the other hand, will be paid according to regular terms of trade that are approximately 45–60 days. The arithmetic in Table 6 suggests that the cycle is about –45 days: Whitbread is cashing in money from customers ahead of paying suppliers, so growth is partly self-financed (Jose et al., 1996).</w:t>
      </w:r>
    </w:p>
    <w:p w14:paraId="25AF89B5" w14:textId="77777777"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sz w:val="20"/>
          <w:szCs w:val="20"/>
        </w:rPr>
        <w:t>Table 6. Cash operating cycle estimate (FY25).</w:t>
      </w:r>
    </w:p>
    <w:tbl>
      <w:tblPr>
        <w:tblStyle w:val="GridTable4-Accent3"/>
        <w:tblW w:w="9000" w:type="dxa"/>
        <w:jc w:val="center"/>
        <w:tblLook w:val="04A0" w:firstRow="1" w:lastRow="0" w:firstColumn="1" w:lastColumn="0" w:noHBand="0" w:noVBand="1"/>
      </w:tblPr>
      <w:tblGrid>
        <w:gridCol w:w="4200"/>
        <w:gridCol w:w="2400"/>
        <w:gridCol w:w="2400"/>
      </w:tblGrid>
      <w:tr w:rsidR="00A40D84" w:rsidRPr="00821FA1" w14:paraId="3CF82937" w14:textId="77777777" w:rsidTr="00A40D8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00" w:type="dxa"/>
          </w:tcPr>
          <w:p w14:paraId="5A42BA65"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Component</w:t>
            </w:r>
          </w:p>
        </w:tc>
        <w:tc>
          <w:tcPr>
            <w:tcW w:w="2400" w:type="dxa"/>
          </w:tcPr>
          <w:p w14:paraId="4CF5A622"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Days</w:t>
            </w:r>
          </w:p>
        </w:tc>
        <w:tc>
          <w:tcPr>
            <w:tcW w:w="2400" w:type="dxa"/>
          </w:tcPr>
          <w:p w14:paraId="06F34058"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Effect on cash</w:t>
            </w:r>
          </w:p>
        </w:tc>
      </w:tr>
      <w:tr w:rsidR="00A40D84" w:rsidRPr="00821FA1" w14:paraId="12CCE42F" w14:textId="77777777" w:rsidTr="00A40D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00" w:type="dxa"/>
          </w:tcPr>
          <w:p w14:paraId="1751F421"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Inventory holding days</w:t>
            </w:r>
          </w:p>
        </w:tc>
        <w:tc>
          <w:tcPr>
            <w:tcW w:w="2400" w:type="dxa"/>
          </w:tcPr>
          <w:p w14:paraId="3E0F64F7"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4</w:t>
            </w:r>
          </w:p>
        </w:tc>
        <w:tc>
          <w:tcPr>
            <w:tcW w:w="2400" w:type="dxa"/>
          </w:tcPr>
          <w:p w14:paraId="6FA11C70"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Cash tied up</w:t>
            </w:r>
          </w:p>
        </w:tc>
      </w:tr>
      <w:tr w:rsidR="00A40D84" w:rsidRPr="00821FA1" w14:paraId="18945D8E" w14:textId="77777777" w:rsidTr="00A40D84">
        <w:trPr>
          <w:jc w:val="center"/>
        </w:trPr>
        <w:tc>
          <w:tcPr>
            <w:cnfStyle w:val="001000000000" w:firstRow="0" w:lastRow="0" w:firstColumn="1" w:lastColumn="0" w:oddVBand="0" w:evenVBand="0" w:oddHBand="0" w:evenHBand="0" w:firstRowFirstColumn="0" w:firstRowLastColumn="0" w:lastRowFirstColumn="0" w:lastRowLastColumn="0"/>
            <w:tcW w:w="4200" w:type="dxa"/>
          </w:tcPr>
          <w:p w14:paraId="595A9D57"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Add: receivable days</w:t>
            </w:r>
          </w:p>
        </w:tc>
        <w:tc>
          <w:tcPr>
            <w:tcW w:w="2400" w:type="dxa"/>
          </w:tcPr>
          <w:p w14:paraId="0452EA47"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9</w:t>
            </w:r>
          </w:p>
        </w:tc>
        <w:tc>
          <w:tcPr>
            <w:tcW w:w="2400" w:type="dxa"/>
          </w:tcPr>
          <w:p w14:paraId="7BF246D5"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Cash tied up</w:t>
            </w:r>
          </w:p>
        </w:tc>
      </w:tr>
      <w:tr w:rsidR="00A40D84" w:rsidRPr="00821FA1" w14:paraId="35E8FAE6" w14:textId="77777777" w:rsidTr="00A40D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00" w:type="dxa"/>
          </w:tcPr>
          <w:p w14:paraId="0ED5D3F3"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Less: payable days</w:t>
            </w:r>
          </w:p>
        </w:tc>
        <w:tc>
          <w:tcPr>
            <w:tcW w:w="2400" w:type="dxa"/>
          </w:tcPr>
          <w:p w14:paraId="3C30D011"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(58)</w:t>
            </w:r>
          </w:p>
        </w:tc>
        <w:tc>
          <w:tcPr>
            <w:tcW w:w="2400" w:type="dxa"/>
          </w:tcPr>
          <w:p w14:paraId="37AAFE42"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Cash released</w:t>
            </w:r>
          </w:p>
        </w:tc>
      </w:tr>
      <w:tr w:rsidR="00A40D84" w:rsidRPr="00821FA1" w14:paraId="49F5666A" w14:textId="77777777" w:rsidTr="00A40D84">
        <w:trPr>
          <w:jc w:val="center"/>
        </w:trPr>
        <w:tc>
          <w:tcPr>
            <w:cnfStyle w:val="001000000000" w:firstRow="0" w:lastRow="0" w:firstColumn="1" w:lastColumn="0" w:oddVBand="0" w:evenVBand="0" w:oddHBand="0" w:evenHBand="0" w:firstRowFirstColumn="0" w:firstRowLastColumn="0" w:lastRowFirstColumn="0" w:lastRowLastColumn="0"/>
            <w:tcW w:w="4200" w:type="dxa"/>
          </w:tcPr>
          <w:p w14:paraId="45EE29FD"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Cash operating cycle</w:t>
            </w:r>
          </w:p>
        </w:tc>
        <w:tc>
          <w:tcPr>
            <w:tcW w:w="2400" w:type="dxa"/>
          </w:tcPr>
          <w:p w14:paraId="5CCD9FFB"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(45)</w:t>
            </w:r>
          </w:p>
        </w:tc>
        <w:tc>
          <w:tcPr>
            <w:tcW w:w="2400" w:type="dxa"/>
          </w:tcPr>
          <w:p w14:paraId="577F4E8D"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Net cash generator</w:t>
            </w:r>
          </w:p>
        </w:tc>
      </w:tr>
    </w:tbl>
    <w:p w14:paraId="6666DFA0" w14:textId="1AAE3687"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Source: Whitbread PLC (2025) segmental disclosures. Figures are indicative, illustrating the sign and scale of a negative working-capital model rather than audited working-capital balances.</w:t>
      </w:r>
    </w:p>
    <w:p w14:paraId="139DE547" w14:textId="7028C4DD" w:rsidR="00A40D84" w:rsidRPr="00821FA1" w:rsidRDefault="009E214A" w:rsidP="009E214A">
      <w:pPr>
        <w:spacing w:line="360" w:lineRule="auto"/>
        <w:jc w:val="center"/>
        <w:rPr>
          <w:rFonts w:ascii="Times New Roman" w:hAnsi="Times New Roman" w:cs="Times New Roman"/>
        </w:rPr>
      </w:pPr>
      <w:r w:rsidRPr="00821FA1">
        <w:rPr>
          <w:rFonts w:ascii="Times New Roman" w:hAnsi="Times New Roman" w:cs="Times New Roman"/>
          <w:noProof/>
        </w:rPr>
        <w:drawing>
          <wp:inline distT="0" distB="0" distL="0" distR="0" wp14:anchorId="3164B15E" wp14:editId="1A8CCCE1">
            <wp:extent cx="5600700" cy="3216812"/>
            <wp:effectExtent l="0" t="0" r="0" b="3175"/>
            <wp:docPr id="4891782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a:fillRect/>
                    </a:stretch>
                  </pic:blipFill>
                  <pic:spPr bwMode="auto">
                    <a:xfrm>
                      <a:off x="0" y="0"/>
                      <a:ext cx="5606448" cy="3220114"/>
                    </a:xfrm>
                    <a:prstGeom prst="rect">
                      <a:avLst/>
                    </a:prstGeom>
                    <a:noFill/>
                    <a:ln>
                      <a:noFill/>
                    </a:ln>
                    <a:extLst>
                      <a:ext uri="{53640926-AAD7-44D8-BBD7-CCE9431645EC}">
                        <a14:shadowObscured xmlns:a14="http://schemas.microsoft.com/office/drawing/2010/main"/>
                      </a:ext>
                    </a:extLst>
                  </pic:spPr>
                </pic:pic>
              </a:graphicData>
            </a:graphic>
          </wp:inline>
        </w:drawing>
      </w:r>
    </w:p>
    <w:p w14:paraId="2B719AB4" w14:textId="72DA1553" w:rsidR="00A40D84" w:rsidRPr="00821FA1" w:rsidRDefault="00A40D84" w:rsidP="00A40D84">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 xml:space="preserve">Figure 6. Cash operating cycle — a negative working-capital model. Source: </w:t>
      </w:r>
      <w:r w:rsidRPr="00821FA1">
        <w:rPr>
          <w:rFonts w:ascii="Times New Roman" w:hAnsi="Times New Roman" w:cs="Times New Roman"/>
          <w:b/>
          <w:bCs/>
          <w:sz w:val="20"/>
          <w:szCs w:val="20"/>
        </w:rPr>
        <w:t>Author's own calculations based on Whitbread PLC (2025).</w:t>
      </w:r>
    </w:p>
    <w:p w14:paraId="4048B0ED" w14:textId="4298CFFC"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 xml:space="preserve">A negative cycle is a real competitive edge: for every incremental room sold, working capital is freed – not spent – and is a source of expansion funding at no cost of capital (Pass and Pike, 2021). However, it also has a downside. During a demand shock like FY21, the float turns upside down as bookings plummet and fixed supplier and payroll commitments remain the same, hence Whitbread's need for a £1bn rights issue and a £550m green bond to weather the Covid-19 pandemic (The Caterer, 2021). Good working capital management for Whitbread is therefore not about pushing the receivables but about being resilient to volume shocks to the float. </w:t>
      </w:r>
    </w:p>
    <w:p w14:paraId="3FB83D27" w14:textId="45AB3171" w:rsidR="00A40D84" w:rsidRPr="00821FA1" w:rsidRDefault="00A40D84" w:rsidP="009E214A">
      <w:pPr>
        <w:pStyle w:val="Heading2"/>
      </w:pPr>
      <w:bookmarkStart w:id="16" w:name="_Toc236960511"/>
      <w:r w:rsidRPr="00821FA1">
        <w:t>Strategies to enhance liquidity through the improvement of working capital:</w:t>
      </w:r>
      <w:bookmarkEnd w:id="16"/>
    </w:p>
    <w:p w14:paraId="1A0EDED5" w14:textId="5789098C"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 xml:space="preserve">The model would not be destroyed by three reforms, strengthening liquidity. First, the negative cycle could be stretched and regularized across the expanded German estate and cash would be freed up, but only if it does not impair supplier relations (OSBC, 2021). Second, Premier Inn's revenue-management system is already based on dynamic and demand pricing, meaning there is a boost to revenue that comes from the prepayments against non-refundable prices that the system will capture; the more prepayments taken for non-refundable rates, the more cash is available. Third, disciplined handling of capital-expenditure phasing, by unlocking cash out of matured freehold assets through the Group's announced £1bn property-disposal programme – directly supports liquidity headroom, which is used to fund growth (Whitbread PLC, 2025). Every reform strengthens the already successful model instead of going against it. </w:t>
      </w:r>
    </w:p>
    <w:p w14:paraId="478746CD" w14:textId="1176D1AB" w:rsidR="00A40D84" w:rsidRPr="00821FA1" w:rsidRDefault="00A40D84" w:rsidP="009E214A">
      <w:pPr>
        <w:pStyle w:val="Heading2"/>
      </w:pPr>
      <w:bookmarkStart w:id="17" w:name="_Toc236960512"/>
      <w:r w:rsidRPr="00821FA1">
        <w:t>Short-term versus long-term financing:</w:t>
      </w:r>
      <w:bookmarkEnd w:id="17"/>
    </w:p>
    <w:p w14:paraId="2BB413DF" w14:textId="1FC9046A"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The choice of the financing of working capital and growth involves a conscious decision on short- and long-term instruments as summarised in Table 7. The Group's undrawn revolving credit facility is an example of a type of short-term facility which are flexible, relatively inexpensive and appropriate to accommodate the seasonal nature of its cash flows during the intra-year periods. They do, however, involve refinancing risk and interest-rate risk for the borrower, and, in the case of financing the purchase of long-lived hotel assets, a hazardous mismatch of maturities. The higher cost of funds from the green bond, due to the higher coupon, and the lack of flexibility as a result of the longer term instruments, is offset by the lower price of funds for the long term instruments, the £400m 5.50% bond issued for FY26 and the previous green bond — as they fix the funding cost and match the tenor of the liability with the multi-decade life of the property (Arnold and Lewis, 2019).</w:t>
      </w:r>
    </w:p>
    <w:p w14:paraId="366B0CFB" w14:textId="77777777" w:rsidR="00A40D84" w:rsidRPr="00821FA1" w:rsidRDefault="00A40D84" w:rsidP="009E214A">
      <w:pPr>
        <w:spacing w:line="360" w:lineRule="auto"/>
        <w:jc w:val="center"/>
        <w:rPr>
          <w:rFonts w:ascii="Times New Roman" w:hAnsi="Times New Roman" w:cs="Times New Roman"/>
          <w:b/>
          <w:bCs/>
          <w:sz w:val="20"/>
          <w:szCs w:val="20"/>
        </w:rPr>
      </w:pPr>
      <w:r w:rsidRPr="00821FA1">
        <w:rPr>
          <w:rFonts w:ascii="Times New Roman" w:hAnsi="Times New Roman" w:cs="Times New Roman"/>
          <w:b/>
          <w:bCs/>
          <w:sz w:val="20"/>
          <w:szCs w:val="20"/>
        </w:rPr>
        <w:t>Table 7. Short-term versus long-term financing options.</w:t>
      </w:r>
    </w:p>
    <w:tbl>
      <w:tblPr>
        <w:tblStyle w:val="GridTable4-Accent1"/>
        <w:tblW w:w="9000" w:type="dxa"/>
        <w:jc w:val="center"/>
        <w:tblLook w:val="04A0" w:firstRow="1" w:lastRow="0" w:firstColumn="1" w:lastColumn="0" w:noHBand="0" w:noVBand="1"/>
      </w:tblPr>
      <w:tblGrid>
        <w:gridCol w:w="2600"/>
        <w:gridCol w:w="3200"/>
        <w:gridCol w:w="3200"/>
      </w:tblGrid>
      <w:tr w:rsidR="00A40D84" w:rsidRPr="00821FA1" w14:paraId="59DD35A6" w14:textId="77777777" w:rsidTr="009E214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0" w:type="dxa"/>
          </w:tcPr>
          <w:p w14:paraId="43DDD126"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Dimension</w:t>
            </w:r>
          </w:p>
        </w:tc>
        <w:tc>
          <w:tcPr>
            <w:tcW w:w="3200" w:type="dxa"/>
          </w:tcPr>
          <w:p w14:paraId="2FAD8216"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Short-term financing</w:t>
            </w:r>
          </w:p>
        </w:tc>
        <w:tc>
          <w:tcPr>
            <w:tcW w:w="3200" w:type="dxa"/>
          </w:tcPr>
          <w:p w14:paraId="2E645352"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Long-term financing</w:t>
            </w:r>
          </w:p>
        </w:tc>
      </w:tr>
      <w:tr w:rsidR="00A40D84" w:rsidRPr="00821FA1" w14:paraId="03B973D3" w14:textId="77777777" w:rsidTr="009E21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0" w:type="dxa"/>
          </w:tcPr>
          <w:p w14:paraId="165FF860"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Examples</w:t>
            </w:r>
          </w:p>
        </w:tc>
        <w:tc>
          <w:tcPr>
            <w:tcW w:w="3200" w:type="dxa"/>
          </w:tcPr>
          <w:p w14:paraId="7AC830E5"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Revolving credit facility, trade credit</w:t>
            </w:r>
          </w:p>
        </w:tc>
        <w:tc>
          <w:tcPr>
            <w:tcW w:w="3200" w:type="dxa"/>
          </w:tcPr>
          <w:p w14:paraId="6D08BFF8"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Corporate bonds, long leases, equity</w:t>
            </w:r>
          </w:p>
        </w:tc>
      </w:tr>
      <w:tr w:rsidR="00A40D84" w:rsidRPr="00821FA1" w14:paraId="77DE443A" w14:textId="77777777" w:rsidTr="009E214A">
        <w:trPr>
          <w:jc w:val="center"/>
        </w:trPr>
        <w:tc>
          <w:tcPr>
            <w:cnfStyle w:val="001000000000" w:firstRow="0" w:lastRow="0" w:firstColumn="1" w:lastColumn="0" w:oddVBand="0" w:evenVBand="0" w:oddHBand="0" w:evenHBand="0" w:firstRowFirstColumn="0" w:firstRowLastColumn="0" w:lastRowFirstColumn="0" w:lastRowLastColumn="0"/>
            <w:tcW w:w="2600" w:type="dxa"/>
          </w:tcPr>
          <w:p w14:paraId="7C9D1A53"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Cost</w:t>
            </w:r>
          </w:p>
        </w:tc>
        <w:tc>
          <w:tcPr>
            <w:tcW w:w="3200" w:type="dxa"/>
          </w:tcPr>
          <w:p w14:paraId="3207D698"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Generally lower</w:t>
            </w:r>
          </w:p>
        </w:tc>
        <w:tc>
          <w:tcPr>
            <w:tcW w:w="3200" w:type="dxa"/>
          </w:tcPr>
          <w:p w14:paraId="71C0432F"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Generally higher</w:t>
            </w:r>
          </w:p>
        </w:tc>
      </w:tr>
      <w:tr w:rsidR="00A40D84" w:rsidRPr="00821FA1" w14:paraId="1DBACAFE" w14:textId="77777777" w:rsidTr="009E21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0" w:type="dxa"/>
          </w:tcPr>
          <w:p w14:paraId="24EC637A"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Flexibility</w:t>
            </w:r>
          </w:p>
        </w:tc>
        <w:tc>
          <w:tcPr>
            <w:tcW w:w="3200" w:type="dxa"/>
          </w:tcPr>
          <w:p w14:paraId="1BB10348"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High</w:t>
            </w:r>
          </w:p>
        </w:tc>
        <w:tc>
          <w:tcPr>
            <w:tcW w:w="3200" w:type="dxa"/>
          </w:tcPr>
          <w:p w14:paraId="70D7B154"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Lower</w:t>
            </w:r>
          </w:p>
        </w:tc>
      </w:tr>
      <w:tr w:rsidR="00A40D84" w:rsidRPr="00821FA1" w14:paraId="227DF06E" w14:textId="77777777" w:rsidTr="009E214A">
        <w:trPr>
          <w:jc w:val="center"/>
        </w:trPr>
        <w:tc>
          <w:tcPr>
            <w:cnfStyle w:val="001000000000" w:firstRow="0" w:lastRow="0" w:firstColumn="1" w:lastColumn="0" w:oddVBand="0" w:evenVBand="0" w:oddHBand="0" w:evenHBand="0" w:firstRowFirstColumn="0" w:firstRowLastColumn="0" w:lastRowFirstColumn="0" w:lastRowLastColumn="0"/>
            <w:tcW w:w="2600" w:type="dxa"/>
          </w:tcPr>
          <w:p w14:paraId="220A4645"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Key risk</w:t>
            </w:r>
          </w:p>
        </w:tc>
        <w:tc>
          <w:tcPr>
            <w:tcW w:w="3200" w:type="dxa"/>
          </w:tcPr>
          <w:p w14:paraId="7F36904A"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Refinancing / rate risk</w:t>
            </w:r>
          </w:p>
        </w:tc>
        <w:tc>
          <w:tcPr>
            <w:tcW w:w="3200" w:type="dxa"/>
          </w:tcPr>
          <w:p w14:paraId="6B4A752B"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Higher fixed cost of capital</w:t>
            </w:r>
          </w:p>
        </w:tc>
      </w:tr>
      <w:tr w:rsidR="00A40D84" w:rsidRPr="00821FA1" w14:paraId="30EBD65B" w14:textId="77777777" w:rsidTr="009E21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0" w:type="dxa"/>
          </w:tcPr>
          <w:p w14:paraId="547D5E89"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Best use</w:t>
            </w:r>
          </w:p>
        </w:tc>
        <w:tc>
          <w:tcPr>
            <w:tcW w:w="3200" w:type="dxa"/>
          </w:tcPr>
          <w:p w14:paraId="68A09EE9"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Seasonal working-capital swings</w:t>
            </w:r>
          </w:p>
        </w:tc>
        <w:tc>
          <w:tcPr>
            <w:tcW w:w="3200" w:type="dxa"/>
          </w:tcPr>
          <w:p w14:paraId="74FD351F"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Funding long-lived hotel assets</w:t>
            </w:r>
          </w:p>
        </w:tc>
      </w:tr>
    </w:tbl>
    <w:p w14:paraId="628B30B5" w14:textId="51BC4A7E" w:rsidR="00A40D84" w:rsidRPr="00821FA1" w:rsidRDefault="00A40D84" w:rsidP="009E214A">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Source: Arnold and Lewis (2019) and Whitbread PLC (2025).</w:t>
      </w:r>
    </w:p>
    <w:p w14:paraId="10D86CD1" w14:textId="6C4BD185"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The CFO should use flexible short-term facilities to finance the negative working-capital float and seasonal fluctuations and long-term debt and equity to finance the long-lived hotel estate, in accordance with the matching principle. Whitbread's current mix of modest net debt (of £483m) and an undrawn RCF with long-dated bonds of a multi-billion-pound freehold estate sits broadly in line with this principle and ensures the Group is well placed to fund its growth pipeline (Whitbread PLC, 2025).</w:t>
      </w:r>
    </w:p>
    <w:p w14:paraId="59D35854" w14:textId="296BFD10" w:rsidR="00A40D84" w:rsidRPr="00821FA1" w:rsidRDefault="00A40D84" w:rsidP="009E214A">
      <w:pPr>
        <w:pStyle w:val="Heading1"/>
      </w:pPr>
      <w:bookmarkStart w:id="18" w:name="_Toc236960513"/>
      <w:r w:rsidRPr="00821FA1">
        <w:t>Strategic Financial Restructuring Plan</w:t>
      </w:r>
      <w:bookmarkEnd w:id="18"/>
    </w:p>
    <w:p w14:paraId="1BF07685" w14:textId="7CCC5E03" w:rsidR="00A40D84" w:rsidRPr="00821FA1" w:rsidRDefault="00A40D84" w:rsidP="009E214A">
      <w:pPr>
        <w:pStyle w:val="Heading2"/>
      </w:pPr>
      <w:bookmarkStart w:id="19" w:name="_Toc236960514"/>
      <w:r w:rsidRPr="00821FA1">
        <w:t>Restructuring options</w:t>
      </w:r>
      <w:bookmarkEnd w:id="19"/>
    </w:p>
    <w:p w14:paraId="72FF8449" w14:textId="4925704D"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Even if the company is not experiencing any financial problems, a forward-looking CFO must continually seek to optimize the capital structure and portfolio. There are three restructuring levers that are applicable. The first is aimed at divesting selected properties via sale and leaseback and selling out the older freehold properties. The Group already pledges to recycling at least £1bn of property to invest at high marginal returns, which is creating value from an appreciating estate and reallocating it for higher returns (Whitbread PLC, 2025). The second is a continued equity-return programme: The £250m buy-back that has been launched with the FY25 results, will lead to a reduction in the number of shares, and hence improve the earnings per share, along with an indication of management confidence (Damodaran, 2015). The third – or transformational merger or acquisition – is less interesting. The sources of premium that make Premier Inn competitive are its organic, owned-and-operated growth and direct distribution, which would be lost in a large debt-funded acquisition and would raise leverage beyond the Group's comfort zone of 3.5x.</w:t>
      </w:r>
    </w:p>
    <w:p w14:paraId="4F82D8A8"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The recommended approach is thus much more leaning towards the accelerated and disciplined asset-recycling programme and measured equity returns, and less towards a leveraging acquisition. This maintains the vertical integration model and makes the capital highly efficient.</w:t>
      </w:r>
    </w:p>
    <w:p w14:paraId="69BE93D9" w14:textId="51492FB6" w:rsidR="00A40D84" w:rsidRPr="00821FA1" w:rsidRDefault="00A40D84" w:rsidP="009E214A">
      <w:pPr>
        <w:pStyle w:val="Heading2"/>
      </w:pPr>
      <w:r w:rsidRPr="00821FA1">
        <w:t xml:space="preserve"> </w:t>
      </w:r>
      <w:bookmarkStart w:id="20" w:name="_Toc236960515"/>
      <w:r w:rsidRPr="00821FA1">
        <w:t>Impact on shareholder value, debt structure and operational flexibility</w:t>
      </w:r>
      <w:bookmarkEnd w:id="20"/>
    </w:p>
    <w:p w14:paraId="4F3ADE79"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Capital-structure theory can be used to evaluate the proposed plan. In their seminal paper, Modigliani and Miller (1958) demonstrated that in frictionless markets, there is no effect of capital structure on the value of the firm and once taxes and costs of financial distress are introduced, the trade-off theory suggests that the firm must trade-off the tax shield and discipline of debt for the cost of financial distress (Myers, 1984; Fama and French, 2002). Based on the extensive literature review, a general consensus is that the leverage-employee value relationship is not necessarily monotonic, and thus the optimal leverage structure must be determined based on the composition of the assets and stability of cash flows within the company (Kruk, 2021). The freeholding assets can be recycled, which will lower the capital base over which the profits are calculated, thus directly counteracting the ROCE erosion mentioned in Section 2 above. Buy-backs maximise the value to shareholders when the funding is out of surplus cash and not take new borrowing. The primary risk is to operational flexibility – sale-and-leaseback turns flexible freehold property into long-dated lease commitments, increasing the Group's leverage (at 3.0x) and limiting the flexibility of the Group to weather a downturn in demand (Whitbread PLC, 2025). The plan needs to be scaled up accordingly, such that it operates at less than 3.5x the leverage even in a stress scenario, while maintaining the resilience that was crucial during the pandemic.</w:t>
      </w:r>
    </w:p>
    <w:p w14:paraId="20759E5A" w14:textId="3526524B" w:rsidR="00A40D84" w:rsidRPr="00821FA1" w:rsidRDefault="00A40D84" w:rsidP="009E214A">
      <w:pPr>
        <w:pStyle w:val="Heading2"/>
      </w:pPr>
      <w:r w:rsidRPr="00821FA1">
        <w:t xml:space="preserve"> </w:t>
      </w:r>
      <w:bookmarkStart w:id="21" w:name="_Toc236960516"/>
      <w:r w:rsidRPr="00821FA1">
        <w:t>International and ethical considerations</w:t>
      </w:r>
      <w:bookmarkEnd w:id="21"/>
    </w:p>
    <w:p w14:paraId="5B48A6BB" w14:textId="709A81AB"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Whitbread is a multinational with material international financial risks due to its activities in the UK, Ireland and Germany. Currency risk occurs when euro revenues are generated in Germany, while the Group's reporting currency is sterling, and can be managed through a natural hedge wherein euro assets are funded with euro-denominated debt and/or leases, with as necessary forward contracts (Madura, 2021). Taxation risk includes the divergent corporate tax regimes in the UK and Germany, as well as the OECD minimum tax regime for large multinationals, which mandates a minimum of 15% effective tax rate in every jurisdiction, which means that transparent and compliant transfer pricing is essential in order to avoid aggressive tax avoidance (OECD, 2021). Inflation risk is a particular concern in a labour and energy intensive business and Whitbread's measures to counter inflation risk, a £250m cost-efficiency programme and a pricing power that comes from brand strength — are legitimate operational measures (Whitbread PLC 2025).</w:t>
      </w:r>
    </w:p>
    <w:p w14:paraId="0D312B14" w14:textId="3C31731C"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Ethical and ESG issues are no longer a sideline issue but a mainstream concern. The supply chain-wide integration of the "Force for Good" programme, the science-based net zero targets and the investment in energy efficient hotels lead to a lower long-term operating cost and a lower cost of capital for investors and lenders that value sustainability and are concerned about ESG (Friede, Busch and Bassen, 2015). For a restructuring plan that will grow by selling assets, the social aspect is also crucial, job security and the payment of suppliers responsibly have concrete financial impacts on a brand whose products are sold to customers. Making ESG a part of the restructure then, is not only good citizenship, but good financial planning.</w:t>
      </w:r>
    </w:p>
    <w:p w14:paraId="324E5B42" w14:textId="0A14E344" w:rsidR="00A40D84" w:rsidRPr="00821FA1" w:rsidRDefault="00A40D84" w:rsidP="009E214A">
      <w:pPr>
        <w:pStyle w:val="Heading1"/>
      </w:pPr>
      <w:r w:rsidRPr="00821FA1">
        <w:t xml:space="preserve"> </w:t>
      </w:r>
      <w:bookmarkStart w:id="22" w:name="_Toc236960517"/>
      <w:r w:rsidRPr="00821FA1">
        <w:t>Investment Appraisal and Capital Budgeting</w:t>
      </w:r>
      <w:bookmarkEnd w:id="22"/>
    </w:p>
    <w:p w14:paraId="030FC746" w14:textId="6AEAF22D"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The Board has three mutually competing investment projects each costing £50m and with a net cash inflow over the next five years. The Group adopts a straight-line method of depreciation to a nil residual value, giving an annual depreciation charge of £10m, and the discount rate is equal to the Group's weighted average cost of capital, which is 8%. The projects are evaluated in this section with 5 complementary techniques: the payback period (PBP), accounting rate of return (ARR), net present value (NPV), profitability index (PI) and internal rate of return (IRR). Indeed, survey evidence indicates that these are the techniques that large firms are indeed using in practice: Graham and Harvey (2001) found that almost 75% of the CFOs of US firms always or almost always use NPV and IRR; this was confirmed by Brounen, de Jong and Koedijk (2004) for European firms and by Ryan and Ryan (2002) for the Fortune 1000 firms, though, as is often the case, simpler rules (such as payback) are also widely used alongside discounted-cash-flow methods. This section performs capital rationing after having appraised the projects. The cash-flow profiles are: Project A, £10m, £12m, £14m, £10m, £8m; Project B, a constant £11m per year; and Project C, £5m, £10m, £20m, £25m, £5m.</w:t>
      </w:r>
    </w:p>
    <w:p w14:paraId="0F5C892C" w14:textId="3E83DE87" w:rsidR="00A40D84" w:rsidRPr="00821FA1" w:rsidRDefault="00A40D84" w:rsidP="009E214A">
      <w:pPr>
        <w:pStyle w:val="Heading2"/>
      </w:pPr>
      <w:bookmarkStart w:id="23" w:name="_Toc236960518"/>
      <w:r w:rsidRPr="00821FA1">
        <w:t>Appraisal methods and results</w:t>
      </w:r>
      <w:bookmarkEnd w:id="23"/>
    </w:p>
    <w:p w14:paraId="6C070E10"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value, with a positive NPV of £0.86m. This ranking is confirmed by the other measures. Project C is the shortest-payback project with a payback of 3.6 years compared to A's 4.5 years and B's 4.55 years, has the highest ARR of 12.0% compared to 3.2% and 4.0%, and it is the only project to have a profitability index greater than 1.0 (1.017), with B's at 0.878 and A's at 0.869 (both below 1.0).</w:t>
      </w:r>
    </w:p>
    <w:p w14:paraId="65B36BAE" w14:textId="77777777" w:rsidR="00A40D84" w:rsidRPr="00821FA1" w:rsidRDefault="00A40D84" w:rsidP="009E214A">
      <w:pPr>
        <w:spacing w:line="360" w:lineRule="auto"/>
        <w:jc w:val="center"/>
        <w:rPr>
          <w:rFonts w:ascii="Times New Roman" w:hAnsi="Times New Roman" w:cs="Times New Roman"/>
          <w:b/>
          <w:bCs/>
          <w:sz w:val="20"/>
          <w:szCs w:val="20"/>
        </w:rPr>
      </w:pPr>
      <w:r w:rsidRPr="00821FA1">
        <w:rPr>
          <w:rFonts w:ascii="Times New Roman" w:hAnsi="Times New Roman" w:cs="Times New Roman"/>
          <w:b/>
          <w:bCs/>
          <w:sz w:val="20"/>
          <w:szCs w:val="20"/>
        </w:rPr>
        <w:t>Table 8. Investment appraisal results — Projects A, B and C.</w:t>
      </w:r>
    </w:p>
    <w:tbl>
      <w:tblPr>
        <w:tblStyle w:val="GridTable4"/>
        <w:tblW w:w="7800" w:type="dxa"/>
        <w:jc w:val="center"/>
        <w:tblLook w:val="04A0" w:firstRow="1" w:lastRow="0" w:firstColumn="1" w:lastColumn="0" w:noHBand="0" w:noVBand="1"/>
      </w:tblPr>
      <w:tblGrid>
        <w:gridCol w:w="3000"/>
        <w:gridCol w:w="1600"/>
        <w:gridCol w:w="1600"/>
        <w:gridCol w:w="1600"/>
      </w:tblGrid>
      <w:tr w:rsidR="00A40D84" w:rsidRPr="00821FA1" w14:paraId="01DC927A" w14:textId="77777777" w:rsidTr="009E214A">
        <w:trPr>
          <w:cnfStyle w:val="100000000000" w:firstRow="1" w:lastRow="0" w:firstColumn="0" w:lastColumn="0" w:oddVBand="0" w:evenVBand="0" w:oddHBand="0" w:evenHBand="0" w:firstRowFirstColumn="0" w:firstRowLastColumn="0" w:lastRowFirstColumn="0" w:lastRowLastColumn="0"/>
          <w:trHeight w:val="23"/>
          <w:jc w:val="center"/>
        </w:trPr>
        <w:tc>
          <w:tcPr>
            <w:cnfStyle w:val="001000000000" w:firstRow="0" w:lastRow="0" w:firstColumn="1" w:lastColumn="0" w:oddVBand="0" w:evenVBand="0" w:oddHBand="0" w:evenHBand="0" w:firstRowFirstColumn="0" w:firstRowLastColumn="0" w:lastRowFirstColumn="0" w:lastRowLastColumn="0"/>
            <w:tcW w:w="3000" w:type="dxa"/>
          </w:tcPr>
          <w:p w14:paraId="2F36D365"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Criterion</w:t>
            </w:r>
          </w:p>
        </w:tc>
        <w:tc>
          <w:tcPr>
            <w:tcW w:w="1600" w:type="dxa"/>
          </w:tcPr>
          <w:p w14:paraId="655893B8"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Project A</w:t>
            </w:r>
          </w:p>
        </w:tc>
        <w:tc>
          <w:tcPr>
            <w:tcW w:w="1600" w:type="dxa"/>
          </w:tcPr>
          <w:p w14:paraId="1227E55E"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Project B</w:t>
            </w:r>
          </w:p>
        </w:tc>
        <w:tc>
          <w:tcPr>
            <w:tcW w:w="1600" w:type="dxa"/>
          </w:tcPr>
          <w:p w14:paraId="1F9713BA"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Project C</w:t>
            </w:r>
          </w:p>
        </w:tc>
      </w:tr>
      <w:tr w:rsidR="00A40D84" w:rsidRPr="00821FA1" w14:paraId="632210DC" w14:textId="77777777" w:rsidTr="009E21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0" w:type="dxa"/>
          </w:tcPr>
          <w:p w14:paraId="05EC05E0"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Total undiscounted inflows (£m)</w:t>
            </w:r>
          </w:p>
        </w:tc>
        <w:tc>
          <w:tcPr>
            <w:tcW w:w="1600" w:type="dxa"/>
          </w:tcPr>
          <w:p w14:paraId="4AAA14A7"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54.0</w:t>
            </w:r>
          </w:p>
        </w:tc>
        <w:tc>
          <w:tcPr>
            <w:tcW w:w="1600" w:type="dxa"/>
          </w:tcPr>
          <w:p w14:paraId="79E736ED"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55.0</w:t>
            </w:r>
          </w:p>
        </w:tc>
        <w:tc>
          <w:tcPr>
            <w:tcW w:w="1600" w:type="dxa"/>
          </w:tcPr>
          <w:p w14:paraId="36332513"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65.0</w:t>
            </w:r>
          </w:p>
        </w:tc>
      </w:tr>
      <w:tr w:rsidR="00A40D84" w:rsidRPr="00821FA1" w14:paraId="7AB0B77A" w14:textId="77777777" w:rsidTr="009E214A">
        <w:trPr>
          <w:jc w:val="center"/>
        </w:trPr>
        <w:tc>
          <w:tcPr>
            <w:cnfStyle w:val="001000000000" w:firstRow="0" w:lastRow="0" w:firstColumn="1" w:lastColumn="0" w:oddVBand="0" w:evenVBand="0" w:oddHBand="0" w:evenHBand="0" w:firstRowFirstColumn="0" w:firstRowLastColumn="0" w:lastRowFirstColumn="0" w:lastRowLastColumn="0"/>
            <w:tcW w:w="3000" w:type="dxa"/>
          </w:tcPr>
          <w:p w14:paraId="2CEDA249"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Payback period (years)</w:t>
            </w:r>
          </w:p>
        </w:tc>
        <w:tc>
          <w:tcPr>
            <w:tcW w:w="1600" w:type="dxa"/>
          </w:tcPr>
          <w:p w14:paraId="3377A69C"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4.50</w:t>
            </w:r>
          </w:p>
        </w:tc>
        <w:tc>
          <w:tcPr>
            <w:tcW w:w="1600" w:type="dxa"/>
          </w:tcPr>
          <w:p w14:paraId="103F6B38"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4.55</w:t>
            </w:r>
          </w:p>
        </w:tc>
        <w:tc>
          <w:tcPr>
            <w:tcW w:w="1600" w:type="dxa"/>
          </w:tcPr>
          <w:p w14:paraId="6C00EDD3"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3.60</w:t>
            </w:r>
          </w:p>
        </w:tc>
      </w:tr>
      <w:tr w:rsidR="00A40D84" w:rsidRPr="00821FA1" w14:paraId="72696EE6" w14:textId="77777777" w:rsidTr="009E21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0" w:type="dxa"/>
          </w:tcPr>
          <w:p w14:paraId="687BBF06"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Accounting rate of return (%)</w:t>
            </w:r>
          </w:p>
        </w:tc>
        <w:tc>
          <w:tcPr>
            <w:tcW w:w="1600" w:type="dxa"/>
          </w:tcPr>
          <w:p w14:paraId="6E5C452F"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3.20</w:t>
            </w:r>
          </w:p>
        </w:tc>
        <w:tc>
          <w:tcPr>
            <w:tcW w:w="1600" w:type="dxa"/>
          </w:tcPr>
          <w:p w14:paraId="64D70D84"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4.00</w:t>
            </w:r>
          </w:p>
        </w:tc>
        <w:tc>
          <w:tcPr>
            <w:tcW w:w="1600" w:type="dxa"/>
          </w:tcPr>
          <w:p w14:paraId="292E5B18"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12.00</w:t>
            </w:r>
          </w:p>
        </w:tc>
      </w:tr>
      <w:tr w:rsidR="00A40D84" w:rsidRPr="00821FA1" w14:paraId="3A3526E4" w14:textId="77777777" w:rsidTr="009E214A">
        <w:trPr>
          <w:jc w:val="center"/>
        </w:trPr>
        <w:tc>
          <w:tcPr>
            <w:cnfStyle w:val="001000000000" w:firstRow="0" w:lastRow="0" w:firstColumn="1" w:lastColumn="0" w:oddVBand="0" w:evenVBand="0" w:oddHBand="0" w:evenHBand="0" w:firstRowFirstColumn="0" w:firstRowLastColumn="0" w:lastRowFirstColumn="0" w:lastRowLastColumn="0"/>
            <w:tcW w:w="3000" w:type="dxa"/>
          </w:tcPr>
          <w:p w14:paraId="51D05CD3"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NPV at 8% (£m)</w:t>
            </w:r>
          </w:p>
        </w:tc>
        <w:tc>
          <w:tcPr>
            <w:tcW w:w="1600" w:type="dxa"/>
          </w:tcPr>
          <w:p w14:paraId="4185DA74"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(6.54)</w:t>
            </w:r>
          </w:p>
        </w:tc>
        <w:tc>
          <w:tcPr>
            <w:tcW w:w="1600" w:type="dxa"/>
          </w:tcPr>
          <w:p w14:paraId="471A58C6"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(6.08)</w:t>
            </w:r>
          </w:p>
        </w:tc>
        <w:tc>
          <w:tcPr>
            <w:tcW w:w="1600" w:type="dxa"/>
          </w:tcPr>
          <w:p w14:paraId="58CC8C74"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0.86</w:t>
            </w:r>
          </w:p>
        </w:tc>
      </w:tr>
      <w:tr w:rsidR="00A40D84" w:rsidRPr="00821FA1" w14:paraId="0D377EC3" w14:textId="77777777" w:rsidTr="009E21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0" w:type="dxa"/>
          </w:tcPr>
          <w:p w14:paraId="2421D01F"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Profitability index</w:t>
            </w:r>
          </w:p>
        </w:tc>
        <w:tc>
          <w:tcPr>
            <w:tcW w:w="1600" w:type="dxa"/>
          </w:tcPr>
          <w:p w14:paraId="403A0031"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0.869</w:t>
            </w:r>
          </w:p>
        </w:tc>
        <w:tc>
          <w:tcPr>
            <w:tcW w:w="1600" w:type="dxa"/>
          </w:tcPr>
          <w:p w14:paraId="0C2623DB"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0.878</w:t>
            </w:r>
          </w:p>
        </w:tc>
        <w:tc>
          <w:tcPr>
            <w:tcW w:w="1600" w:type="dxa"/>
          </w:tcPr>
          <w:p w14:paraId="2E3A4A0C"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1.017</w:t>
            </w:r>
          </w:p>
        </w:tc>
      </w:tr>
      <w:tr w:rsidR="00A40D84" w:rsidRPr="00821FA1" w14:paraId="451F9202" w14:textId="77777777" w:rsidTr="009E214A">
        <w:trPr>
          <w:jc w:val="center"/>
        </w:trPr>
        <w:tc>
          <w:tcPr>
            <w:cnfStyle w:val="001000000000" w:firstRow="0" w:lastRow="0" w:firstColumn="1" w:lastColumn="0" w:oddVBand="0" w:evenVBand="0" w:oddHBand="0" w:evenHBand="0" w:firstRowFirstColumn="0" w:firstRowLastColumn="0" w:lastRowFirstColumn="0" w:lastRowLastColumn="0"/>
            <w:tcW w:w="3000" w:type="dxa"/>
          </w:tcPr>
          <w:p w14:paraId="2506AE7F"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Internal rate of return (%)</w:t>
            </w:r>
          </w:p>
        </w:tc>
        <w:tc>
          <w:tcPr>
            <w:tcW w:w="1600" w:type="dxa"/>
          </w:tcPr>
          <w:p w14:paraId="0C6105B2"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2.72</w:t>
            </w:r>
          </w:p>
        </w:tc>
        <w:tc>
          <w:tcPr>
            <w:tcW w:w="1600" w:type="dxa"/>
          </w:tcPr>
          <w:p w14:paraId="0124430D"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3.26</w:t>
            </w:r>
          </w:p>
        </w:tc>
        <w:tc>
          <w:tcPr>
            <w:tcW w:w="1600" w:type="dxa"/>
          </w:tcPr>
          <w:p w14:paraId="672D04D7"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8.59</w:t>
            </w:r>
          </w:p>
        </w:tc>
      </w:tr>
      <w:tr w:rsidR="00A40D84" w:rsidRPr="00821FA1" w14:paraId="7CD5796F" w14:textId="77777777" w:rsidTr="009E21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0" w:type="dxa"/>
          </w:tcPr>
          <w:p w14:paraId="67313D3A"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Decision</w:t>
            </w:r>
          </w:p>
        </w:tc>
        <w:tc>
          <w:tcPr>
            <w:tcW w:w="1600" w:type="dxa"/>
          </w:tcPr>
          <w:p w14:paraId="6706C67D"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1FA1">
              <w:rPr>
                <w:rFonts w:ascii="Times New Roman" w:hAnsi="Times New Roman" w:cs="Times New Roman"/>
                <w:b/>
                <w:bCs/>
                <w:color w:val="C0392B"/>
              </w:rPr>
              <w:t>Reject</w:t>
            </w:r>
          </w:p>
        </w:tc>
        <w:tc>
          <w:tcPr>
            <w:tcW w:w="1600" w:type="dxa"/>
          </w:tcPr>
          <w:p w14:paraId="09F9A33F"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1FA1">
              <w:rPr>
                <w:rFonts w:ascii="Times New Roman" w:hAnsi="Times New Roman" w:cs="Times New Roman"/>
                <w:b/>
                <w:bCs/>
                <w:color w:val="C0392B"/>
              </w:rPr>
              <w:t>Reject</w:t>
            </w:r>
          </w:p>
        </w:tc>
        <w:tc>
          <w:tcPr>
            <w:tcW w:w="1600" w:type="dxa"/>
          </w:tcPr>
          <w:p w14:paraId="48F868B3"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1FA1">
              <w:rPr>
                <w:rFonts w:ascii="Times New Roman" w:hAnsi="Times New Roman" w:cs="Times New Roman"/>
                <w:b/>
                <w:bCs/>
                <w:color w:val="2E8B57"/>
              </w:rPr>
              <w:t>Accept</w:t>
            </w:r>
          </w:p>
        </w:tc>
      </w:tr>
    </w:tbl>
    <w:p w14:paraId="24A0926F" w14:textId="18C6D992" w:rsidR="00A40D84" w:rsidRPr="00821FA1" w:rsidRDefault="00A40D84" w:rsidP="009E214A">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Source: ARR = average annual accounting profit ÷ average investment (£25m) (Appendix B)</w:t>
      </w:r>
    </w:p>
    <w:p w14:paraId="3F1E7096" w14:textId="1B10A398" w:rsidR="00A40D84" w:rsidRPr="00821FA1" w:rsidRDefault="009E214A" w:rsidP="0067457D">
      <w:pPr>
        <w:spacing w:line="360" w:lineRule="auto"/>
        <w:jc w:val="center"/>
        <w:rPr>
          <w:rFonts w:ascii="Times New Roman" w:hAnsi="Times New Roman" w:cs="Times New Roman"/>
        </w:rPr>
      </w:pPr>
      <w:r w:rsidRPr="00821FA1">
        <w:rPr>
          <w:rFonts w:ascii="Times New Roman" w:hAnsi="Times New Roman" w:cs="Times New Roman"/>
          <w:noProof/>
        </w:rPr>
        <w:drawing>
          <wp:inline distT="0" distB="0" distL="0" distR="0" wp14:anchorId="77E2AFF0" wp14:editId="139A1E65">
            <wp:extent cx="5059508" cy="2674620"/>
            <wp:effectExtent l="0" t="0" r="8255" b="0"/>
            <wp:docPr id="53997868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a:fillRect/>
                    </a:stretch>
                  </pic:blipFill>
                  <pic:spPr bwMode="auto">
                    <a:xfrm>
                      <a:off x="0" y="0"/>
                      <a:ext cx="5062793" cy="2676357"/>
                    </a:xfrm>
                    <a:prstGeom prst="rect">
                      <a:avLst/>
                    </a:prstGeom>
                    <a:noFill/>
                    <a:ln>
                      <a:noFill/>
                    </a:ln>
                    <a:extLst>
                      <a:ext uri="{53640926-AAD7-44D8-BBD7-CCE9431645EC}">
                        <a14:shadowObscured xmlns:a14="http://schemas.microsoft.com/office/drawing/2010/main"/>
                      </a:ext>
                    </a:extLst>
                  </pic:spPr>
                </pic:pic>
              </a:graphicData>
            </a:graphic>
          </wp:inline>
        </w:drawing>
      </w:r>
    </w:p>
    <w:p w14:paraId="0DD1F02E" w14:textId="12E587C2" w:rsidR="00A40D84" w:rsidRPr="00821FA1" w:rsidRDefault="00A40D84" w:rsidP="009E214A">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Figure 7. Net Present Value of the three proposed projects (8% discount rate). Source: (</w:t>
      </w:r>
      <w:r w:rsidR="00821FA1" w:rsidRPr="00821FA1">
        <w:rPr>
          <w:rFonts w:ascii="Times New Roman" w:hAnsi="Times New Roman" w:cs="Times New Roman"/>
          <w:b/>
          <w:bCs/>
          <w:sz w:val="20"/>
          <w:szCs w:val="20"/>
        </w:rPr>
        <w:t>self-made</w:t>
      </w:r>
      <w:r w:rsidRPr="00821FA1">
        <w:rPr>
          <w:rFonts w:ascii="Times New Roman" w:hAnsi="Times New Roman" w:cs="Times New Roman"/>
          <w:b/>
          <w:bCs/>
          <w:sz w:val="20"/>
          <w:szCs w:val="20"/>
        </w:rPr>
        <w:t>)</w:t>
      </w:r>
    </w:p>
    <w:p w14:paraId="49F7C557"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The concept of the ranking is based on the idea that the timing of cash flows is rewarded. While Project C generates the highest overall inflows (£65m), its benefit under NPV is due to the concentration of large inflows in years 3 and 4 even though the larger inflows occur later in the project, their large size still overpowers the smaller inflows generated by A and B once the size effect kicks in. But Projects A and B return only slightly more than their £50m investment, with the time value of money making the returns insufficient to pay back the investment. This is apparent in Figure 8, which plots the cumulative discounted cash flow – only the curve for Project C crosses the zero line within the five-year horizon.</w:t>
      </w:r>
    </w:p>
    <w:p w14:paraId="415A7006" w14:textId="77777777" w:rsidR="00A40D84" w:rsidRPr="00821FA1" w:rsidRDefault="00A40D84" w:rsidP="0067457D">
      <w:pPr>
        <w:spacing w:line="360" w:lineRule="auto"/>
        <w:jc w:val="center"/>
        <w:rPr>
          <w:rFonts w:ascii="Times New Roman" w:hAnsi="Times New Roman" w:cs="Times New Roman"/>
          <w:b/>
          <w:bCs/>
          <w:sz w:val="20"/>
          <w:szCs w:val="20"/>
        </w:rPr>
      </w:pPr>
      <w:r w:rsidRPr="00821FA1">
        <w:rPr>
          <w:rFonts w:ascii="Times New Roman" w:hAnsi="Times New Roman" w:cs="Times New Roman"/>
          <w:b/>
          <w:bCs/>
          <w:sz w:val="20"/>
          <w:szCs w:val="20"/>
        </w:rPr>
        <w:t>Table 9. Discounted cash flows and NPV workings (8% discount rate), £m.</w:t>
      </w:r>
    </w:p>
    <w:tbl>
      <w:tblPr>
        <w:tblStyle w:val="GridTable4-Accent4"/>
        <w:tblW w:w="6800" w:type="dxa"/>
        <w:jc w:val="center"/>
        <w:tblLook w:val="04A0" w:firstRow="1" w:lastRow="0" w:firstColumn="1" w:lastColumn="0" w:noHBand="0" w:noVBand="1"/>
      </w:tblPr>
      <w:tblGrid>
        <w:gridCol w:w="1400"/>
        <w:gridCol w:w="1200"/>
        <w:gridCol w:w="1400"/>
        <w:gridCol w:w="1400"/>
        <w:gridCol w:w="1400"/>
      </w:tblGrid>
      <w:tr w:rsidR="00A40D84" w:rsidRPr="00821FA1" w14:paraId="05B6BE45" w14:textId="77777777" w:rsidTr="0067457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00" w:type="dxa"/>
          </w:tcPr>
          <w:p w14:paraId="458872B7"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Year</w:t>
            </w:r>
          </w:p>
        </w:tc>
        <w:tc>
          <w:tcPr>
            <w:tcW w:w="1200" w:type="dxa"/>
          </w:tcPr>
          <w:p w14:paraId="1EA5BCD6"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DF @8%</w:t>
            </w:r>
          </w:p>
        </w:tc>
        <w:tc>
          <w:tcPr>
            <w:tcW w:w="1400" w:type="dxa"/>
          </w:tcPr>
          <w:p w14:paraId="574A15DD"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Project A (PV)</w:t>
            </w:r>
          </w:p>
        </w:tc>
        <w:tc>
          <w:tcPr>
            <w:tcW w:w="1400" w:type="dxa"/>
          </w:tcPr>
          <w:p w14:paraId="50359AFF"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Project B (PV)</w:t>
            </w:r>
          </w:p>
        </w:tc>
        <w:tc>
          <w:tcPr>
            <w:tcW w:w="1400" w:type="dxa"/>
          </w:tcPr>
          <w:p w14:paraId="33880F11"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Project C (PV)</w:t>
            </w:r>
          </w:p>
        </w:tc>
      </w:tr>
      <w:tr w:rsidR="00A40D84" w:rsidRPr="00821FA1" w14:paraId="1625827F" w14:textId="77777777" w:rsidTr="006745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00" w:type="dxa"/>
          </w:tcPr>
          <w:p w14:paraId="4EAE0E4B"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0</w:t>
            </w:r>
          </w:p>
        </w:tc>
        <w:tc>
          <w:tcPr>
            <w:tcW w:w="1200" w:type="dxa"/>
          </w:tcPr>
          <w:p w14:paraId="06673A0D"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1.0000</w:t>
            </w:r>
          </w:p>
        </w:tc>
        <w:tc>
          <w:tcPr>
            <w:tcW w:w="1400" w:type="dxa"/>
          </w:tcPr>
          <w:p w14:paraId="412AC04A"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(50.00)</w:t>
            </w:r>
          </w:p>
        </w:tc>
        <w:tc>
          <w:tcPr>
            <w:tcW w:w="1400" w:type="dxa"/>
          </w:tcPr>
          <w:p w14:paraId="201FC03C"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(50.00)</w:t>
            </w:r>
          </w:p>
        </w:tc>
        <w:tc>
          <w:tcPr>
            <w:tcW w:w="1400" w:type="dxa"/>
          </w:tcPr>
          <w:p w14:paraId="7D1E801B"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(50.00)</w:t>
            </w:r>
          </w:p>
        </w:tc>
      </w:tr>
      <w:tr w:rsidR="00A40D84" w:rsidRPr="00821FA1" w14:paraId="6983E7EC" w14:textId="77777777" w:rsidTr="0067457D">
        <w:trPr>
          <w:jc w:val="center"/>
        </w:trPr>
        <w:tc>
          <w:tcPr>
            <w:cnfStyle w:val="001000000000" w:firstRow="0" w:lastRow="0" w:firstColumn="1" w:lastColumn="0" w:oddVBand="0" w:evenVBand="0" w:oddHBand="0" w:evenHBand="0" w:firstRowFirstColumn="0" w:firstRowLastColumn="0" w:lastRowFirstColumn="0" w:lastRowLastColumn="0"/>
            <w:tcW w:w="1400" w:type="dxa"/>
          </w:tcPr>
          <w:p w14:paraId="380C1130"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1</w:t>
            </w:r>
          </w:p>
        </w:tc>
        <w:tc>
          <w:tcPr>
            <w:tcW w:w="1200" w:type="dxa"/>
          </w:tcPr>
          <w:p w14:paraId="41FC2A1E"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0.9259</w:t>
            </w:r>
          </w:p>
        </w:tc>
        <w:tc>
          <w:tcPr>
            <w:tcW w:w="1400" w:type="dxa"/>
          </w:tcPr>
          <w:p w14:paraId="01E885E9"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9.26</w:t>
            </w:r>
          </w:p>
        </w:tc>
        <w:tc>
          <w:tcPr>
            <w:tcW w:w="1400" w:type="dxa"/>
          </w:tcPr>
          <w:p w14:paraId="5065FA49"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10.19</w:t>
            </w:r>
          </w:p>
        </w:tc>
        <w:tc>
          <w:tcPr>
            <w:tcW w:w="1400" w:type="dxa"/>
          </w:tcPr>
          <w:p w14:paraId="733F96AA"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4.63</w:t>
            </w:r>
          </w:p>
        </w:tc>
      </w:tr>
      <w:tr w:rsidR="00A40D84" w:rsidRPr="00821FA1" w14:paraId="7309C11E" w14:textId="77777777" w:rsidTr="006745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00" w:type="dxa"/>
          </w:tcPr>
          <w:p w14:paraId="046545CB"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2</w:t>
            </w:r>
          </w:p>
        </w:tc>
        <w:tc>
          <w:tcPr>
            <w:tcW w:w="1200" w:type="dxa"/>
          </w:tcPr>
          <w:p w14:paraId="3C33364B"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0.8573</w:t>
            </w:r>
          </w:p>
        </w:tc>
        <w:tc>
          <w:tcPr>
            <w:tcW w:w="1400" w:type="dxa"/>
          </w:tcPr>
          <w:p w14:paraId="13B6A1E8"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10.29</w:t>
            </w:r>
          </w:p>
        </w:tc>
        <w:tc>
          <w:tcPr>
            <w:tcW w:w="1400" w:type="dxa"/>
          </w:tcPr>
          <w:p w14:paraId="606DFFC5"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9.43</w:t>
            </w:r>
          </w:p>
        </w:tc>
        <w:tc>
          <w:tcPr>
            <w:tcW w:w="1400" w:type="dxa"/>
          </w:tcPr>
          <w:p w14:paraId="76FA1522"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8.57</w:t>
            </w:r>
          </w:p>
        </w:tc>
      </w:tr>
      <w:tr w:rsidR="00A40D84" w:rsidRPr="00821FA1" w14:paraId="73202E14" w14:textId="77777777" w:rsidTr="0067457D">
        <w:trPr>
          <w:jc w:val="center"/>
        </w:trPr>
        <w:tc>
          <w:tcPr>
            <w:cnfStyle w:val="001000000000" w:firstRow="0" w:lastRow="0" w:firstColumn="1" w:lastColumn="0" w:oddVBand="0" w:evenVBand="0" w:oddHBand="0" w:evenHBand="0" w:firstRowFirstColumn="0" w:firstRowLastColumn="0" w:lastRowFirstColumn="0" w:lastRowLastColumn="0"/>
            <w:tcW w:w="1400" w:type="dxa"/>
          </w:tcPr>
          <w:p w14:paraId="5842A132"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3</w:t>
            </w:r>
          </w:p>
        </w:tc>
        <w:tc>
          <w:tcPr>
            <w:tcW w:w="1200" w:type="dxa"/>
          </w:tcPr>
          <w:p w14:paraId="0F2EDA67"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0.7938</w:t>
            </w:r>
          </w:p>
        </w:tc>
        <w:tc>
          <w:tcPr>
            <w:tcW w:w="1400" w:type="dxa"/>
          </w:tcPr>
          <w:p w14:paraId="137D4FBA"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11.11</w:t>
            </w:r>
          </w:p>
        </w:tc>
        <w:tc>
          <w:tcPr>
            <w:tcW w:w="1400" w:type="dxa"/>
          </w:tcPr>
          <w:p w14:paraId="49684FC9"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8.73</w:t>
            </w:r>
          </w:p>
        </w:tc>
        <w:tc>
          <w:tcPr>
            <w:tcW w:w="1400" w:type="dxa"/>
          </w:tcPr>
          <w:p w14:paraId="41C9BB38"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15.88</w:t>
            </w:r>
          </w:p>
        </w:tc>
      </w:tr>
      <w:tr w:rsidR="00A40D84" w:rsidRPr="00821FA1" w14:paraId="4E53526D" w14:textId="77777777" w:rsidTr="006745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00" w:type="dxa"/>
          </w:tcPr>
          <w:p w14:paraId="3494B432"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4</w:t>
            </w:r>
          </w:p>
        </w:tc>
        <w:tc>
          <w:tcPr>
            <w:tcW w:w="1200" w:type="dxa"/>
          </w:tcPr>
          <w:p w14:paraId="47D1B09D"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0.7350</w:t>
            </w:r>
          </w:p>
        </w:tc>
        <w:tc>
          <w:tcPr>
            <w:tcW w:w="1400" w:type="dxa"/>
          </w:tcPr>
          <w:p w14:paraId="527157B1"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7.35</w:t>
            </w:r>
          </w:p>
        </w:tc>
        <w:tc>
          <w:tcPr>
            <w:tcW w:w="1400" w:type="dxa"/>
          </w:tcPr>
          <w:p w14:paraId="613E0747"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8.09</w:t>
            </w:r>
          </w:p>
        </w:tc>
        <w:tc>
          <w:tcPr>
            <w:tcW w:w="1400" w:type="dxa"/>
          </w:tcPr>
          <w:p w14:paraId="23AA10CD"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18.38</w:t>
            </w:r>
          </w:p>
        </w:tc>
      </w:tr>
      <w:tr w:rsidR="00A40D84" w:rsidRPr="00821FA1" w14:paraId="69CC3B68" w14:textId="77777777" w:rsidTr="0067457D">
        <w:trPr>
          <w:jc w:val="center"/>
        </w:trPr>
        <w:tc>
          <w:tcPr>
            <w:cnfStyle w:val="001000000000" w:firstRow="0" w:lastRow="0" w:firstColumn="1" w:lastColumn="0" w:oddVBand="0" w:evenVBand="0" w:oddHBand="0" w:evenHBand="0" w:firstRowFirstColumn="0" w:firstRowLastColumn="0" w:lastRowFirstColumn="0" w:lastRowLastColumn="0"/>
            <w:tcW w:w="1400" w:type="dxa"/>
          </w:tcPr>
          <w:p w14:paraId="6D8E0426"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5</w:t>
            </w:r>
          </w:p>
        </w:tc>
        <w:tc>
          <w:tcPr>
            <w:tcW w:w="1200" w:type="dxa"/>
          </w:tcPr>
          <w:p w14:paraId="7C421CDD"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0.6806</w:t>
            </w:r>
          </w:p>
        </w:tc>
        <w:tc>
          <w:tcPr>
            <w:tcW w:w="1400" w:type="dxa"/>
          </w:tcPr>
          <w:p w14:paraId="0F5A3C41"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5.44</w:t>
            </w:r>
          </w:p>
        </w:tc>
        <w:tc>
          <w:tcPr>
            <w:tcW w:w="1400" w:type="dxa"/>
          </w:tcPr>
          <w:p w14:paraId="13C647BB"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7.49</w:t>
            </w:r>
          </w:p>
        </w:tc>
        <w:tc>
          <w:tcPr>
            <w:tcW w:w="1400" w:type="dxa"/>
          </w:tcPr>
          <w:p w14:paraId="38BA9AAA"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3.40</w:t>
            </w:r>
          </w:p>
        </w:tc>
      </w:tr>
      <w:tr w:rsidR="00A40D84" w:rsidRPr="00821FA1" w14:paraId="2AC90F2F" w14:textId="77777777" w:rsidTr="006745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00" w:type="dxa"/>
          </w:tcPr>
          <w:p w14:paraId="5B0FE1D7"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NPV</w:t>
            </w:r>
          </w:p>
        </w:tc>
        <w:tc>
          <w:tcPr>
            <w:tcW w:w="1200" w:type="dxa"/>
          </w:tcPr>
          <w:p w14:paraId="0B57E5E0"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400" w:type="dxa"/>
          </w:tcPr>
          <w:p w14:paraId="461A8403"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C0392B"/>
              </w:rPr>
              <w:t>(6.54)</w:t>
            </w:r>
          </w:p>
        </w:tc>
        <w:tc>
          <w:tcPr>
            <w:tcW w:w="1400" w:type="dxa"/>
          </w:tcPr>
          <w:p w14:paraId="0247456E"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C0392B"/>
              </w:rPr>
              <w:t>(6.08)</w:t>
            </w:r>
          </w:p>
        </w:tc>
        <w:tc>
          <w:tcPr>
            <w:tcW w:w="1400" w:type="dxa"/>
          </w:tcPr>
          <w:p w14:paraId="033F3461"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2E8B57"/>
              </w:rPr>
              <w:t>0.86</w:t>
            </w:r>
          </w:p>
        </w:tc>
      </w:tr>
    </w:tbl>
    <w:p w14:paraId="7E585369" w14:textId="09747C92" w:rsidR="00A40D84" w:rsidRPr="00821FA1" w:rsidRDefault="00A40D84" w:rsidP="0067457D">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Source: PV = cash flow × discount factor. Totals subject to rounding.</w:t>
      </w:r>
    </w:p>
    <w:p w14:paraId="1D84D770" w14:textId="77777777" w:rsidR="00A40D84" w:rsidRPr="00821FA1" w:rsidRDefault="00A40D84" w:rsidP="0067457D">
      <w:pPr>
        <w:spacing w:line="360" w:lineRule="auto"/>
        <w:jc w:val="center"/>
        <w:rPr>
          <w:rFonts w:ascii="Times New Roman" w:hAnsi="Times New Roman" w:cs="Times New Roman"/>
        </w:rPr>
      </w:pPr>
      <w:r w:rsidRPr="00821FA1">
        <w:rPr>
          <w:rFonts w:ascii="Times New Roman" w:hAnsi="Times New Roman" w:cs="Times New Roman"/>
          <w:noProof/>
        </w:rPr>
        <w:drawing>
          <wp:inline distT="0" distB="0" distL="0" distR="0" wp14:anchorId="0F1AD815" wp14:editId="7A5C4918">
            <wp:extent cx="5048250" cy="2550795"/>
            <wp:effectExtent l="0" t="0" r="0" b="1905"/>
            <wp:docPr id="453640600" name="Picture 453640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6"/>
                    <a:srcRect t="6690"/>
                    <a:stretch>
                      <a:fillRect/>
                    </a:stretch>
                  </pic:blipFill>
                  <pic:spPr bwMode="auto">
                    <a:xfrm>
                      <a:off x="0" y="0"/>
                      <a:ext cx="5048250" cy="2550795"/>
                    </a:xfrm>
                    <a:prstGeom prst="rect">
                      <a:avLst/>
                    </a:prstGeom>
                    <a:ln>
                      <a:noFill/>
                    </a:ln>
                    <a:extLst>
                      <a:ext uri="{53640926-AAD7-44D8-BBD7-CCE9431645EC}">
                        <a14:shadowObscured xmlns:a14="http://schemas.microsoft.com/office/drawing/2010/main"/>
                      </a:ext>
                    </a:extLst>
                  </pic:spPr>
                </pic:pic>
              </a:graphicData>
            </a:graphic>
          </wp:inline>
        </w:drawing>
      </w:r>
    </w:p>
    <w:p w14:paraId="0C499392" w14:textId="093C54F4" w:rsidR="00A40D84" w:rsidRPr="00821FA1" w:rsidRDefault="00A40D84" w:rsidP="0067457D">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Figure 8. NPV profile: cumulative discounted cash flow by year.</w:t>
      </w:r>
    </w:p>
    <w:p w14:paraId="7DAEFE22" w14:textId="0FAD0D3E" w:rsidR="00A40D84" w:rsidRPr="00821FA1" w:rsidRDefault="00A40D84" w:rsidP="0067457D">
      <w:pPr>
        <w:pStyle w:val="Heading2"/>
      </w:pPr>
      <w:bookmarkStart w:id="24" w:name="_Toc236957038"/>
      <w:bookmarkStart w:id="25" w:name="_Toc236960519"/>
      <w:r w:rsidRPr="00821FA1">
        <w:rPr>
          <w:rFonts w:eastAsia="Arial"/>
        </w:rPr>
        <w:t>Recommendation and non-financial risks</w:t>
      </w:r>
      <w:bookmarkEnd w:id="24"/>
      <w:bookmarkEnd w:id="25"/>
    </w:p>
    <w:p w14:paraId="3D586419" w14:textId="1FCB8EDE"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 xml:space="preserve">The recommendation is clear on purely financial terms: accept Project C and reject Projects A and B: Project C is the only proposal to satisfy all five of the criteria simultaneously, it repays capital most rapidly, it has the highest accounting return, it increases shareholder wealth and its PI is &gt;1.0 and it is &gt;8%. This recommendation should, however, be interpreted in the context of the company's own financial situation and the non-financial risks. As Section 2 has identified, Whitbread's ROCE has declined to 11.3% and margins are under threat, making it difficult for the Group to afford investing £50m in a project which will only erode value, rather than just accept a marginal project to deploy capital. The decision is also reinforced by non-financial factors but also qualified. The value of Project C is highly sensitive to cash flows in years three and four, giving it more forecasting and political risk, which for a hospitality investment also includes the stability of consumer discretionary demand, regulatory and tax changes, and for a project with a German component, currency and macroeconomic risk (Madura, 2021). It also has a back loaded profile, making it more sensitive to the discount rate: a slight increase in the discount rate would make it negative NPV, which is its case with a discount rate of 8.59%. A prudent CFO therefore would accept Project C and would run it through sensitivity analysis and stage-gating, safeguarding brand equity and customer loyalty, and protect the most important intangibles of Whitbread during the project's implementation. </w:t>
      </w:r>
    </w:p>
    <w:p w14:paraId="0304F5C4" w14:textId="2B4519C6" w:rsidR="00A40D84" w:rsidRPr="00821FA1" w:rsidRDefault="00A40D84" w:rsidP="0067457D">
      <w:pPr>
        <w:pStyle w:val="Heading2"/>
      </w:pPr>
      <w:bookmarkStart w:id="26" w:name="_Toc236960520"/>
      <w:r w:rsidRPr="00821FA1">
        <w:t>Capital rationing under a £100m ceiling:</w:t>
      </w:r>
      <w:bookmarkEnd w:id="26"/>
    </w:p>
    <w:p w14:paraId="70551C25" w14:textId="429E5788"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 xml:space="preserve"> If the total amount available for investment in this project is £100m and each project is £50m, the Group can carry out any of the three projects as long as they do not exceed £100m. In hard capital rationing the goal is to maximize total NPV given the budget (Lumby and Jones, 2019). All possible pairings are presented in Table 10. The NPV of each of Project A and Project B is negative, so any combination that contains these two projects results in a loss of total wealth: the worst case combination is A and B, with a combined NPV of –£12.62m, and the best-case combination is B and C, with a combined NPV of – £5.22m. </w:t>
      </w:r>
    </w:p>
    <w:p w14:paraId="0C259D46" w14:textId="77777777" w:rsidR="00A40D84" w:rsidRPr="00821FA1" w:rsidRDefault="00A40D84" w:rsidP="0067457D">
      <w:pPr>
        <w:spacing w:line="360" w:lineRule="auto"/>
        <w:jc w:val="center"/>
        <w:rPr>
          <w:rFonts w:ascii="Times New Roman" w:hAnsi="Times New Roman" w:cs="Times New Roman"/>
          <w:b/>
          <w:bCs/>
          <w:sz w:val="20"/>
          <w:szCs w:val="20"/>
        </w:rPr>
      </w:pPr>
      <w:r w:rsidRPr="00821FA1">
        <w:rPr>
          <w:rFonts w:ascii="Times New Roman" w:hAnsi="Times New Roman" w:cs="Times New Roman"/>
          <w:b/>
          <w:bCs/>
          <w:sz w:val="20"/>
          <w:szCs w:val="20"/>
        </w:rPr>
        <w:t>Table 10. Capital rationing — feasible combinations under a £100m ceiling.</w:t>
      </w:r>
    </w:p>
    <w:tbl>
      <w:tblPr>
        <w:tblStyle w:val="GridTable4-Accent2"/>
        <w:tblW w:w="7600" w:type="dxa"/>
        <w:jc w:val="center"/>
        <w:tblLook w:val="04A0" w:firstRow="1" w:lastRow="0" w:firstColumn="1" w:lastColumn="0" w:noHBand="0" w:noVBand="1"/>
      </w:tblPr>
      <w:tblGrid>
        <w:gridCol w:w="3200"/>
        <w:gridCol w:w="2200"/>
        <w:gridCol w:w="2200"/>
      </w:tblGrid>
      <w:tr w:rsidR="00A40D84" w:rsidRPr="00821FA1" w14:paraId="4E7EABC4" w14:textId="77777777" w:rsidTr="0067457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00" w:type="dxa"/>
          </w:tcPr>
          <w:p w14:paraId="1A0F4B24"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FFFFFF"/>
              </w:rPr>
              <w:t>Combination</w:t>
            </w:r>
          </w:p>
        </w:tc>
        <w:tc>
          <w:tcPr>
            <w:tcW w:w="2200" w:type="dxa"/>
          </w:tcPr>
          <w:p w14:paraId="57C26D35"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Total cost (£m)</w:t>
            </w:r>
          </w:p>
        </w:tc>
        <w:tc>
          <w:tcPr>
            <w:tcW w:w="2200" w:type="dxa"/>
          </w:tcPr>
          <w:p w14:paraId="58E46EE2" w14:textId="77777777" w:rsidR="00A40D84" w:rsidRPr="00821FA1" w:rsidRDefault="00A40D84" w:rsidP="00A40D8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FFFFFF"/>
              </w:rPr>
              <w:t>Total NPV (£m)</w:t>
            </w:r>
          </w:p>
        </w:tc>
      </w:tr>
      <w:tr w:rsidR="00A40D84" w:rsidRPr="00821FA1" w14:paraId="3C23E1D4" w14:textId="77777777" w:rsidTr="006745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00" w:type="dxa"/>
          </w:tcPr>
          <w:p w14:paraId="6C906BF8"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A + B</w:t>
            </w:r>
          </w:p>
        </w:tc>
        <w:tc>
          <w:tcPr>
            <w:tcW w:w="2200" w:type="dxa"/>
          </w:tcPr>
          <w:p w14:paraId="7B8B0D44"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100</w:t>
            </w:r>
          </w:p>
        </w:tc>
        <w:tc>
          <w:tcPr>
            <w:tcW w:w="2200" w:type="dxa"/>
          </w:tcPr>
          <w:p w14:paraId="2088D36E"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(12.62)</w:t>
            </w:r>
          </w:p>
        </w:tc>
      </w:tr>
      <w:tr w:rsidR="00A40D84" w:rsidRPr="00821FA1" w14:paraId="1A5D503A" w14:textId="77777777" w:rsidTr="0067457D">
        <w:trPr>
          <w:jc w:val="center"/>
        </w:trPr>
        <w:tc>
          <w:tcPr>
            <w:cnfStyle w:val="001000000000" w:firstRow="0" w:lastRow="0" w:firstColumn="1" w:lastColumn="0" w:oddVBand="0" w:evenVBand="0" w:oddHBand="0" w:evenHBand="0" w:firstRowFirstColumn="0" w:firstRowLastColumn="0" w:lastRowFirstColumn="0" w:lastRowLastColumn="0"/>
            <w:tcW w:w="3200" w:type="dxa"/>
          </w:tcPr>
          <w:p w14:paraId="479B44B4"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A + C</w:t>
            </w:r>
          </w:p>
        </w:tc>
        <w:tc>
          <w:tcPr>
            <w:tcW w:w="2200" w:type="dxa"/>
          </w:tcPr>
          <w:p w14:paraId="2AA77A32"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100</w:t>
            </w:r>
          </w:p>
        </w:tc>
        <w:tc>
          <w:tcPr>
            <w:tcW w:w="2200" w:type="dxa"/>
          </w:tcPr>
          <w:p w14:paraId="76078A9B"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(5.69)</w:t>
            </w:r>
          </w:p>
        </w:tc>
      </w:tr>
      <w:tr w:rsidR="00A40D84" w:rsidRPr="00821FA1" w14:paraId="14E7E256" w14:textId="77777777" w:rsidTr="006745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00" w:type="dxa"/>
          </w:tcPr>
          <w:p w14:paraId="08DB748D"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B + C</w:t>
            </w:r>
          </w:p>
        </w:tc>
        <w:tc>
          <w:tcPr>
            <w:tcW w:w="2200" w:type="dxa"/>
          </w:tcPr>
          <w:p w14:paraId="6612F087"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100</w:t>
            </w:r>
          </w:p>
        </w:tc>
        <w:tc>
          <w:tcPr>
            <w:tcW w:w="2200" w:type="dxa"/>
          </w:tcPr>
          <w:p w14:paraId="7FA26ACB" w14:textId="77777777" w:rsidR="00A40D84" w:rsidRPr="00821FA1" w:rsidRDefault="00A40D84" w:rsidP="00A40D8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(5.22)</w:t>
            </w:r>
          </w:p>
        </w:tc>
      </w:tr>
      <w:tr w:rsidR="00A40D84" w:rsidRPr="00821FA1" w14:paraId="7EE7F0F6" w14:textId="77777777" w:rsidTr="0067457D">
        <w:trPr>
          <w:jc w:val="center"/>
        </w:trPr>
        <w:tc>
          <w:tcPr>
            <w:cnfStyle w:val="001000000000" w:firstRow="0" w:lastRow="0" w:firstColumn="1" w:lastColumn="0" w:oddVBand="0" w:evenVBand="0" w:oddHBand="0" w:evenHBand="0" w:firstRowFirstColumn="0" w:firstRowLastColumn="0" w:lastRowFirstColumn="0" w:lastRowLastColumn="0"/>
            <w:tcW w:w="3200" w:type="dxa"/>
          </w:tcPr>
          <w:p w14:paraId="1EE2C8FF"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color w:val="000000"/>
              </w:rPr>
              <w:t>C only (optimal)</w:t>
            </w:r>
          </w:p>
        </w:tc>
        <w:tc>
          <w:tcPr>
            <w:tcW w:w="2200" w:type="dxa"/>
          </w:tcPr>
          <w:p w14:paraId="7D45AA9C"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000000"/>
              </w:rPr>
              <w:t>50</w:t>
            </w:r>
          </w:p>
        </w:tc>
        <w:tc>
          <w:tcPr>
            <w:tcW w:w="2200" w:type="dxa"/>
          </w:tcPr>
          <w:p w14:paraId="74AF29EA" w14:textId="77777777" w:rsidR="00A40D84" w:rsidRPr="00821FA1" w:rsidRDefault="00A40D84" w:rsidP="00A40D8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1FA1">
              <w:rPr>
                <w:rFonts w:ascii="Times New Roman" w:hAnsi="Times New Roman" w:cs="Times New Roman"/>
                <w:color w:val="2E8B57"/>
              </w:rPr>
              <w:t>0.86</w:t>
            </w:r>
          </w:p>
        </w:tc>
      </w:tr>
    </w:tbl>
    <w:p w14:paraId="2314106B" w14:textId="6BC96009" w:rsidR="00A40D84" w:rsidRPr="00821FA1" w:rsidRDefault="00A40D84" w:rsidP="0067457D">
      <w:pPr>
        <w:spacing w:line="360" w:lineRule="auto"/>
        <w:jc w:val="center"/>
        <w:rPr>
          <w:rFonts w:ascii="Times New Roman" w:hAnsi="Times New Roman" w:cs="Times New Roman"/>
          <w:b/>
          <w:bCs/>
          <w:sz w:val="20"/>
          <w:szCs w:val="20"/>
        </w:rPr>
      </w:pPr>
      <w:r w:rsidRPr="00821FA1">
        <w:rPr>
          <w:rFonts w:ascii="Times New Roman" w:hAnsi="Times New Roman" w:cs="Times New Roman"/>
          <w:b/>
          <w:bCs/>
          <w:i/>
          <w:iCs/>
          <w:sz w:val="20"/>
          <w:szCs w:val="20"/>
        </w:rPr>
        <w:t xml:space="preserve">Source: </w:t>
      </w:r>
      <w:r w:rsidRPr="00821FA1">
        <w:rPr>
          <w:rFonts w:ascii="Times New Roman" w:hAnsi="Times New Roman" w:cs="Times New Roman"/>
          <w:b/>
          <w:bCs/>
          <w:sz w:val="20"/>
          <w:szCs w:val="20"/>
        </w:rPr>
        <w:t xml:space="preserve">(Lumby and Jones, 2019). </w:t>
      </w:r>
      <w:r w:rsidRPr="00821FA1">
        <w:rPr>
          <w:rFonts w:ascii="Times New Roman" w:hAnsi="Times New Roman" w:cs="Times New Roman"/>
          <w:b/>
          <w:bCs/>
          <w:i/>
          <w:iCs/>
          <w:sz w:val="20"/>
          <w:szCs w:val="20"/>
        </w:rPr>
        <w:t>Projects are indivisible and mutually independent for the purpose of this analysis.</w:t>
      </w:r>
    </w:p>
    <w:p w14:paraId="53C6A6DF"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The right financial sense is therefore paradoxical but strict: The “best combination” isn't a combination. Project C is worth spending £50m out of the £100m on, and should not be coupled with anything else, given that there are no available pairings that better serve the purpose of project C. The deployment of capital just because the budget exists would cause destruction of shareholder value. This is a core tenet of capital budgeting: a budget ceiling is a constraint that is to be optimised within, rather than be used up (Lumby and Jones, 2019). The remaining £50m should be used for additional higher value-creating projects, debt reduction or returning to shareholders, all of which have a higher value-destroying project.</w:t>
      </w:r>
    </w:p>
    <w:p w14:paraId="06FC963A" w14:textId="6AB74271" w:rsidR="00A40D84" w:rsidRPr="00821FA1" w:rsidRDefault="00A40D84" w:rsidP="0067457D">
      <w:pPr>
        <w:pStyle w:val="Heading1"/>
      </w:pPr>
      <w:bookmarkStart w:id="27" w:name="_Toc236960521"/>
      <w:r w:rsidRPr="00821FA1">
        <w:t>Critical Reflection on AI Usage</w:t>
      </w:r>
      <w:bookmarkEnd w:id="27"/>
    </w:p>
    <w:p w14:paraId="231BE10D" w14:textId="0C4B86BA" w:rsidR="00A40D84" w:rsidRPr="00821FA1" w:rsidRDefault="00A40D84" w:rsidP="0067457D">
      <w:pPr>
        <w:pStyle w:val="Heading2"/>
      </w:pPr>
      <w:bookmarkStart w:id="28" w:name="_Toc236960522"/>
      <w:r w:rsidRPr="00821FA1">
        <w:t>Tool disclosure</w:t>
      </w:r>
      <w:bookmarkEnd w:id="28"/>
    </w:p>
    <w:p w14:paraId="7F95691D"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This report was prepared using generative AI as an assisting tool, following the University's acknowledgement of the use of generative AI. A large language model was used to help structure the argument, provide an initial outline that matched the brief, clarify and improve the academic register of the prose and format tables and charts. No data was fabricated with AI: All financial data has been taken from Whitbread's published results and trusted financial databases and verified independently, and all investment appraisal calculations were made and checked manually against the underlying formulae. The judgement, interpretations and recommendations are the author's own.</w:t>
      </w:r>
    </w:p>
    <w:p w14:paraId="21EE82FC" w14:textId="06B8C4BC" w:rsidR="00A40D84" w:rsidRPr="00821FA1" w:rsidRDefault="00A40D84" w:rsidP="0067457D">
      <w:pPr>
        <w:pStyle w:val="Heading2"/>
      </w:pPr>
      <w:bookmarkStart w:id="29" w:name="_Toc236960523"/>
      <w:r w:rsidRPr="00821FA1">
        <w:t>Critical evaluation of AI output</w:t>
      </w:r>
      <w:bookmarkEnd w:id="29"/>
    </w:p>
    <w:p w14:paraId="5623C45A"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Financial interpretations created by AI were not presented as facts to be accepted, but rather as hypotheses to be explored/examined. This alignment is in line with the broader literature, which emphasizes the significant potential applications of AI for finance as well as unique risks associated with data quality, model opacity and error propagation (Cao, 2022). There were three ways of verification. First, source triangulation: any figure suggested by the AI was fact-checked using information in the main source (Whitbread's FY25 results announcement) and complementary databases, and eliminated if they were incompatible. Second, mathematical re-performance: The NPV, IRR, ARR, payback and profitability-index calculations were re-calculated separately, and revealed the common tendency of language models to generate sensible but incorrect numbers. Third, logical scrutiny: the AI initially suggested that the acceptability was inevitable if the total cash inflows were the largest (Project C) and that there should be no spare money in the £100m budget. Both were found to be errors in reasoning: the first was for failing to take into account the time value of money, and the second for conflating a budget constraint with an investment objective, and both were resolved in the end. One of the interventions shows that in a financial situation, "hallucinations" are often errors of reasoning, rather than errors of fact.</w:t>
      </w:r>
    </w:p>
    <w:p w14:paraId="3530A37D" w14:textId="56467BD9" w:rsidR="00A40D84" w:rsidRPr="00821FA1" w:rsidRDefault="00A40D84" w:rsidP="0067457D">
      <w:pPr>
        <w:pStyle w:val="Heading2"/>
      </w:pPr>
      <w:bookmarkStart w:id="30" w:name="_Toc236960524"/>
      <w:r w:rsidRPr="00821FA1">
        <w:t>Contribution analysis</w:t>
      </w:r>
      <w:bookmarkEnd w:id="30"/>
    </w:p>
    <w:p w14:paraId="25FCB061"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There's a need to differentiate between AI-generated and original content. AI helped with the scaffolding by organizing sections, polishing the style, and ensuring formatting consistency. The ideas presented in the report are original. The author has analysed Whitbread's results as a case study and drawn his own conclusions on the ROCE erosion behind headline profits, the negative cash operating cycle as strength and fragility, the matching-principle argument on financing, the counter-intuitive capital-rationing conclusion and the strategic synthesis on the link between the investment decision and the overall state of the Group's finances. AI was used as a research assistant and editor, and did not write the article herself.</w:t>
      </w:r>
    </w:p>
    <w:p w14:paraId="6A073507" w14:textId="0A728EA4" w:rsidR="00A40D84" w:rsidRPr="00821FA1" w:rsidRDefault="00A40D84" w:rsidP="0067457D">
      <w:pPr>
        <w:pStyle w:val="Heading2"/>
      </w:pPr>
      <w:bookmarkStart w:id="31" w:name="_Toc236960525"/>
      <w:r w:rsidRPr="00821FA1">
        <w:t>Ethical and professional reflection</w:t>
      </w:r>
      <w:bookmarkEnd w:id="31"/>
    </w:p>
    <w:p w14:paraId="318A4BCC" w14:textId="77777777" w:rsidR="00A40D84"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AI's impact on financial careers is an ethical conundrum. The focus is on transparency: When stakeholders depend on financial analysis, they should know if AI has been involved, which is why this disclosure is made. Another concern is data privacy: None of the confidential or personal data was submitted to any AI tools, and only publicly available information was utilized, as would be required in a legitimate CFO position dealing with price-sensitive data. The greatest danger is over-reliance. Even at the top of the organisation, if the AI output is accepted uncritically, the errors in its reasoning (as described above) can lead to errors in board decisions, which may have significant financial implications. UK regulators have therefore placed a strong emphasis on the need for strong governance, explainability and human oversight when deploying machine learning in financial services (Bank of England and FCA, 2022) and professional bodies have highlighted that there is no substitute for accountability when it is placed in the hands of the algorithm (ACCA, 2019). The right posture is, hence, “augmented intelligence”: AI augments the productivity of the analyst, but professional judgement, scepticism and ethical responsibility are not reducible to AI.</w:t>
      </w:r>
    </w:p>
    <w:p w14:paraId="218AAD6C" w14:textId="3986C809" w:rsidR="00A40D84" w:rsidRPr="00821FA1" w:rsidRDefault="00A40D84" w:rsidP="0067457D">
      <w:pPr>
        <w:pStyle w:val="Heading1"/>
      </w:pPr>
      <w:bookmarkStart w:id="32" w:name="_Toc236960526"/>
      <w:r w:rsidRPr="00821FA1">
        <w:t>Conclusion</w:t>
      </w:r>
      <w:bookmarkEnd w:id="32"/>
    </w:p>
    <w:p w14:paraId="41A23385" w14:textId="602BD9AE" w:rsidR="003222EF" w:rsidRPr="00821FA1" w:rsidRDefault="00A40D84" w:rsidP="00A40D84">
      <w:pPr>
        <w:spacing w:line="360" w:lineRule="auto"/>
        <w:jc w:val="both"/>
        <w:rPr>
          <w:rFonts w:ascii="Times New Roman" w:hAnsi="Times New Roman" w:cs="Times New Roman"/>
        </w:rPr>
      </w:pPr>
      <w:r w:rsidRPr="00821FA1">
        <w:rPr>
          <w:rFonts w:ascii="Times New Roman" w:hAnsi="Times New Roman" w:cs="Times New Roman"/>
        </w:rPr>
        <w:t>The five financial dimensions that this report has looked at are from the perspective of the CFO of Whitbread PLC. A financial health check showed that the business has made a strong comeback from the pandemic and cash generation and shareholder returns have resumed their upward trend, albeit with profitability at a cyclical peak where the ROCE and margins are being pressured and the balance sheet is now fueling growth through increased leverage. The working-capital analysis highlighted the structurally negative cash operating cycle of financing growth, and pointed toward the possibility of an underlying fragility in a demand shock; and emphasized the need to finance the long-lived estate with long-term instruments, following the matching principle. The restructuring plan calls for asset recycling discipline, and assessments of equity returns are over the course of a leveraging acquisition, including taking into account international and ESG risks as financially material factors. Finally, the investment appraisal suggested that only Project C should be taken and they proved using capital rationing that the best strategy would be to invest only £50m and retain the remaining £50m as cash. Combined, the analysis suggests a viable, global and ethical turnaround-and-optimisation strategy which would allow Whitbread to survive the pandemic while also allowing it to return to the profitability it needs for the next.</w:t>
      </w:r>
    </w:p>
    <w:p w14:paraId="3D9AC931" w14:textId="77777777" w:rsidR="0067457D" w:rsidRPr="00821FA1" w:rsidRDefault="0067457D" w:rsidP="00A40D84">
      <w:pPr>
        <w:spacing w:line="360" w:lineRule="auto"/>
        <w:jc w:val="both"/>
        <w:rPr>
          <w:rFonts w:ascii="Times New Roman" w:hAnsi="Times New Roman" w:cs="Times New Roman"/>
        </w:rPr>
      </w:pPr>
    </w:p>
    <w:p w14:paraId="0B0D3601" w14:textId="77777777" w:rsidR="0067457D" w:rsidRPr="00821FA1" w:rsidRDefault="0067457D" w:rsidP="00A40D84">
      <w:pPr>
        <w:spacing w:line="360" w:lineRule="auto"/>
        <w:jc w:val="both"/>
        <w:rPr>
          <w:rFonts w:ascii="Times New Roman" w:hAnsi="Times New Roman" w:cs="Times New Roman"/>
        </w:rPr>
      </w:pPr>
    </w:p>
    <w:p w14:paraId="128CDF47" w14:textId="77777777" w:rsidR="0067457D" w:rsidRPr="00821FA1" w:rsidRDefault="0067457D" w:rsidP="00A40D84">
      <w:pPr>
        <w:spacing w:line="360" w:lineRule="auto"/>
        <w:jc w:val="both"/>
        <w:rPr>
          <w:rFonts w:ascii="Times New Roman" w:hAnsi="Times New Roman" w:cs="Times New Roman"/>
        </w:rPr>
      </w:pPr>
    </w:p>
    <w:p w14:paraId="5AC8659A" w14:textId="77777777" w:rsidR="0067457D" w:rsidRPr="00821FA1" w:rsidRDefault="0067457D" w:rsidP="00A40D84">
      <w:pPr>
        <w:spacing w:line="360" w:lineRule="auto"/>
        <w:jc w:val="both"/>
        <w:rPr>
          <w:rFonts w:ascii="Times New Roman" w:hAnsi="Times New Roman" w:cs="Times New Roman"/>
        </w:rPr>
      </w:pPr>
    </w:p>
    <w:p w14:paraId="615F95EA" w14:textId="77777777" w:rsidR="0067457D" w:rsidRPr="00821FA1" w:rsidRDefault="0067457D" w:rsidP="00A40D84">
      <w:pPr>
        <w:spacing w:line="360" w:lineRule="auto"/>
        <w:jc w:val="both"/>
        <w:rPr>
          <w:rFonts w:ascii="Times New Roman" w:hAnsi="Times New Roman" w:cs="Times New Roman"/>
        </w:rPr>
      </w:pPr>
    </w:p>
    <w:p w14:paraId="4A583EBE" w14:textId="77777777" w:rsidR="0067457D" w:rsidRPr="00821FA1" w:rsidRDefault="0067457D" w:rsidP="00A40D84">
      <w:pPr>
        <w:spacing w:line="360" w:lineRule="auto"/>
        <w:jc w:val="both"/>
        <w:rPr>
          <w:rFonts w:ascii="Times New Roman" w:hAnsi="Times New Roman" w:cs="Times New Roman"/>
        </w:rPr>
      </w:pPr>
    </w:p>
    <w:p w14:paraId="62E42286" w14:textId="77777777" w:rsidR="0067457D" w:rsidRPr="00821FA1" w:rsidRDefault="0067457D" w:rsidP="00A40D84">
      <w:pPr>
        <w:spacing w:line="360" w:lineRule="auto"/>
        <w:jc w:val="both"/>
        <w:rPr>
          <w:rFonts w:ascii="Times New Roman" w:hAnsi="Times New Roman" w:cs="Times New Roman"/>
        </w:rPr>
      </w:pPr>
    </w:p>
    <w:p w14:paraId="4C61486F" w14:textId="77777777" w:rsidR="0067457D" w:rsidRPr="00821FA1" w:rsidRDefault="0067457D" w:rsidP="00A40D84">
      <w:pPr>
        <w:spacing w:line="360" w:lineRule="auto"/>
        <w:jc w:val="both"/>
        <w:rPr>
          <w:rFonts w:ascii="Times New Roman" w:hAnsi="Times New Roman" w:cs="Times New Roman"/>
        </w:rPr>
      </w:pPr>
    </w:p>
    <w:p w14:paraId="5672FFAC" w14:textId="77777777" w:rsidR="0067457D" w:rsidRPr="00821FA1" w:rsidRDefault="0067457D" w:rsidP="00A40D84">
      <w:pPr>
        <w:spacing w:line="360" w:lineRule="auto"/>
        <w:jc w:val="both"/>
        <w:rPr>
          <w:rFonts w:ascii="Times New Roman" w:hAnsi="Times New Roman" w:cs="Times New Roman"/>
        </w:rPr>
      </w:pPr>
    </w:p>
    <w:p w14:paraId="3CC7894E" w14:textId="77777777" w:rsidR="0067457D" w:rsidRPr="00821FA1" w:rsidRDefault="0067457D" w:rsidP="00A40D84">
      <w:pPr>
        <w:spacing w:line="360" w:lineRule="auto"/>
        <w:jc w:val="both"/>
        <w:rPr>
          <w:rFonts w:ascii="Times New Roman" w:hAnsi="Times New Roman" w:cs="Times New Roman"/>
        </w:rPr>
      </w:pPr>
    </w:p>
    <w:p w14:paraId="57D8FC8D" w14:textId="77777777" w:rsidR="0067457D" w:rsidRPr="00821FA1" w:rsidRDefault="0067457D" w:rsidP="00A40D84">
      <w:pPr>
        <w:spacing w:line="360" w:lineRule="auto"/>
        <w:jc w:val="both"/>
        <w:rPr>
          <w:rFonts w:ascii="Times New Roman" w:hAnsi="Times New Roman" w:cs="Times New Roman"/>
        </w:rPr>
      </w:pPr>
    </w:p>
    <w:p w14:paraId="349F999E" w14:textId="77777777" w:rsidR="0067457D" w:rsidRPr="00821FA1" w:rsidRDefault="0067457D" w:rsidP="00A40D84">
      <w:pPr>
        <w:spacing w:line="360" w:lineRule="auto"/>
        <w:jc w:val="both"/>
        <w:rPr>
          <w:rFonts w:ascii="Times New Roman" w:hAnsi="Times New Roman" w:cs="Times New Roman"/>
        </w:rPr>
      </w:pPr>
    </w:p>
    <w:p w14:paraId="2FE85EFD" w14:textId="77777777" w:rsidR="0067457D" w:rsidRPr="00821FA1" w:rsidRDefault="0067457D" w:rsidP="00A40D84">
      <w:pPr>
        <w:spacing w:line="360" w:lineRule="auto"/>
        <w:jc w:val="both"/>
        <w:rPr>
          <w:rFonts w:ascii="Times New Roman" w:hAnsi="Times New Roman" w:cs="Times New Roman"/>
        </w:rPr>
      </w:pPr>
    </w:p>
    <w:p w14:paraId="503C5540" w14:textId="77777777" w:rsidR="0067457D" w:rsidRPr="00821FA1" w:rsidRDefault="0067457D" w:rsidP="00A40D84">
      <w:pPr>
        <w:spacing w:line="360" w:lineRule="auto"/>
        <w:jc w:val="both"/>
        <w:rPr>
          <w:rFonts w:ascii="Times New Roman" w:hAnsi="Times New Roman" w:cs="Times New Roman"/>
        </w:rPr>
      </w:pPr>
    </w:p>
    <w:p w14:paraId="3FA3B0E2" w14:textId="77777777" w:rsidR="0067457D" w:rsidRPr="00821FA1" w:rsidRDefault="0067457D" w:rsidP="00A40D84">
      <w:pPr>
        <w:spacing w:line="360" w:lineRule="auto"/>
        <w:jc w:val="both"/>
        <w:rPr>
          <w:rFonts w:ascii="Times New Roman" w:hAnsi="Times New Roman" w:cs="Times New Roman"/>
        </w:rPr>
      </w:pPr>
    </w:p>
    <w:p w14:paraId="0B1076FE" w14:textId="77777777" w:rsidR="0067457D" w:rsidRPr="00821FA1" w:rsidRDefault="0067457D" w:rsidP="00A40D84">
      <w:pPr>
        <w:spacing w:line="360" w:lineRule="auto"/>
        <w:jc w:val="both"/>
        <w:rPr>
          <w:rFonts w:ascii="Times New Roman" w:hAnsi="Times New Roman" w:cs="Times New Roman"/>
        </w:rPr>
      </w:pPr>
    </w:p>
    <w:p w14:paraId="6854A060" w14:textId="77777777" w:rsidR="0067457D" w:rsidRPr="00821FA1" w:rsidRDefault="0067457D" w:rsidP="00A40D84">
      <w:pPr>
        <w:spacing w:line="360" w:lineRule="auto"/>
        <w:jc w:val="both"/>
        <w:rPr>
          <w:rFonts w:ascii="Times New Roman" w:hAnsi="Times New Roman" w:cs="Times New Roman"/>
        </w:rPr>
      </w:pPr>
    </w:p>
    <w:p w14:paraId="30EA653D" w14:textId="77777777" w:rsidR="0067457D" w:rsidRPr="00821FA1" w:rsidRDefault="0067457D" w:rsidP="00A40D84">
      <w:pPr>
        <w:spacing w:line="360" w:lineRule="auto"/>
        <w:jc w:val="both"/>
        <w:rPr>
          <w:rFonts w:ascii="Times New Roman" w:hAnsi="Times New Roman" w:cs="Times New Roman"/>
        </w:rPr>
      </w:pPr>
    </w:p>
    <w:p w14:paraId="411EC68A" w14:textId="77777777" w:rsidR="0067457D" w:rsidRPr="00821FA1" w:rsidRDefault="0067457D" w:rsidP="0067457D">
      <w:pPr>
        <w:pStyle w:val="Heading1"/>
      </w:pPr>
      <w:bookmarkStart w:id="33" w:name="_Toc236957046"/>
      <w:bookmarkStart w:id="34" w:name="_Toc236960527"/>
      <w:r w:rsidRPr="00821FA1">
        <w:t>References</w:t>
      </w:r>
      <w:bookmarkEnd w:id="33"/>
      <w:bookmarkEnd w:id="34"/>
    </w:p>
    <w:p w14:paraId="582AB10B"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 xml:space="preserve">ACCA (2019) Machine learning: more science than fiction. Written by N. Vaidyanathan. London: Association of Chartered Certified Accountants. Available at: </w:t>
      </w:r>
      <w:hyperlink r:id="rId17" w:history="1">
        <w:r w:rsidRPr="00821FA1">
          <w:rPr>
            <w:rStyle w:val="Hyperlink"/>
            <w:rFonts w:ascii="Times New Roman" w:hAnsi="Times New Roman" w:cs="Times New Roman"/>
          </w:rPr>
          <w:t>https://www.accaglobal.com/us/en/professional-insights/technology/machine-learning.html</w:t>
        </w:r>
      </w:hyperlink>
    </w:p>
    <w:p w14:paraId="78D6C8C9"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Aigbedo, H. (2021) ‘Impact of COVID-19 on the hospitality industry: a supply chain resilience perspective’, International Journal of Hospitality Management, 98, 103012.</w:t>
      </w:r>
    </w:p>
    <w:p w14:paraId="62E1C665"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Altman, E.I. (1968) ‘Financial ratios, discriminant analysis and the prediction of corporate bankruptcy’, The Journal of Finance, 23(4), pp. 589–609.</w:t>
      </w:r>
    </w:p>
    <w:p w14:paraId="0A8508CE"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Arnold, G. and Lewis, D. (2019) Corporate financial management. 6th edn. Harlow: Pearson Education.</w:t>
      </w:r>
    </w:p>
    <w:p w14:paraId="2CAF80D5"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 xml:space="preserve">Bank of England and FCA (2022) Machine learning in UK financial services. London: Bank of England and Financial Conduct Authority. Available at: </w:t>
      </w:r>
      <w:hyperlink r:id="rId18" w:history="1">
        <w:r w:rsidRPr="00821FA1">
          <w:rPr>
            <w:rStyle w:val="Hyperlink"/>
            <w:rFonts w:ascii="Times New Roman" w:hAnsi="Times New Roman" w:cs="Times New Roman"/>
          </w:rPr>
          <w:t>https://www.bankofengland.co.uk/report/2022/machine-learning-in-uk-financial-services</w:t>
        </w:r>
      </w:hyperlink>
    </w:p>
    <w:p w14:paraId="63EE357B"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Beaver, W.H. (1966) ‘Financial ratios as predictors of failure’, Journal of Accounting Research, 4, pp. 71–111.</w:t>
      </w:r>
    </w:p>
    <w:p w14:paraId="4486A22D"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Brealey, R.A., Myers, S.C. and Allen, F. (2020) Principles of corporate finance. 13th edn. New York: McGraw-Hill Education.</w:t>
      </w:r>
    </w:p>
    <w:p w14:paraId="7C0860CD"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Brounen, D., de Jong, A. and Koedijk, K. (2004) ‘Corporate finance in Europe: confronting theory with practice’, Financial Management, 33(4), pp. 71–101.</w:t>
      </w:r>
    </w:p>
    <w:p w14:paraId="68768B1C"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Cao, L. (2022) ‘AI in finance: challenges, techniques, and opportunities’, ACM Computing Surveys, 55(3), pp. 1–38.</w:t>
      </w:r>
    </w:p>
    <w:p w14:paraId="26C3AE14"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Damodaran, A. (2015) Applied corporate finance. 4th edn. Hoboken, NJ: John Wiley &amp; Sons.</w:t>
      </w:r>
    </w:p>
    <w:p w14:paraId="3BFA073D"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Defung, F., Hadjaat, M. and Yudaruddin, R. (2023) ‘COVID-19 pandemic and firm performance in leisure, arts, and hospitality industries: international evidence’, Investment Management and Financial Innovations, 20(4), pp. 112–126.</w:t>
      </w:r>
    </w:p>
    <w:p w14:paraId="01F47E10"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 xml:space="preserve">Deloitte (2024) 2024 travel industry outlook. New York: Deloitte Development LLC. Available at: </w:t>
      </w:r>
      <w:hyperlink r:id="rId19" w:history="1">
        <w:r w:rsidRPr="00821FA1">
          <w:rPr>
            <w:rStyle w:val="Hyperlink"/>
            <w:rFonts w:ascii="Times New Roman" w:hAnsi="Times New Roman" w:cs="Times New Roman"/>
          </w:rPr>
          <w:t>https://www2.deloitte.com/content/dam/Deloitte/us/Documents/consumer-business/us-travel-hospitality-industry-outlook-2024.pdf</w:t>
        </w:r>
      </w:hyperlink>
    </w:p>
    <w:p w14:paraId="1B94E98E"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Deloof, M. (2003) ‘Does working capital management affect profitability of Belgian firms?’, Journal of Business Finance &amp; Accounting, 30(3–4), pp. 573–588.</w:t>
      </w:r>
    </w:p>
    <w:p w14:paraId="3AD0B9D7"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Eljelly, A.M.A. (2004) ‘Liquidity–profitability tradeoff: an empirical investigation in an emerging market’, International Journal of Commerce and Management, 14(2), pp. 48–61.</w:t>
      </w:r>
    </w:p>
    <w:p w14:paraId="747641FF"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Fama, E.F. and French, K.R. (2002) ‘Testing trade-off and pecking order predictions about dividends and debt’, The Review of Financial Studies, 15(1), pp. 1–33.</w:t>
      </w:r>
    </w:p>
    <w:p w14:paraId="77CECC1E"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Filbeck, G. and Krueger, T.M. (2005) ‘An analysis of working capital management results across industries’, Mid-American Journal of Business, 20(2), pp. 11–18.</w:t>
      </w:r>
    </w:p>
    <w:p w14:paraId="53799E19"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Friede, G., Busch, T. and Bassen, A. (2015) ‘ESG and financial performance: aggregated evidence from more than 2000 empirical studies’, Journal of Sustainable Finance &amp; Investment, 5(4), pp. 210–233.</w:t>
      </w:r>
    </w:p>
    <w:p w14:paraId="7BB30104"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Gill, A., Biger, N. and Mathur, N. (2010) ‘The relationship between working capital management and profitability: evidence from the United States’, Business and Economics Journal, 2010(BEJ-10), pp. 1–9.</w:t>
      </w:r>
    </w:p>
    <w:p w14:paraId="1D3AF1CA"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Gössling, S., Scott, D. and Hall, C.M. (2021) ‘Pandemics, tourism and global change: a rapid assessment of COVID-19’, Journal of Sustainable Tourism, 29(1), pp. 1–20.</w:t>
      </w:r>
    </w:p>
    <w:p w14:paraId="795A8542"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Graham, J.R. and Harvey, C.R. (2001) ‘The theory and practice of corporate finance: evidence from the field’, Journal of Financial Economics, 60(2–3), pp. 187–243.</w:t>
      </w:r>
    </w:p>
    <w:p w14:paraId="20B71BA1"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 xml:space="preserve">IHG (2024) Annual report and form 20-F 2023. Windsor: InterContinental Hotels Group PLC. Available at: </w:t>
      </w:r>
      <w:hyperlink r:id="rId20" w:history="1">
        <w:r w:rsidRPr="00821FA1">
          <w:rPr>
            <w:rStyle w:val="Hyperlink"/>
            <w:rFonts w:ascii="Times New Roman" w:hAnsi="Times New Roman" w:cs="Times New Roman"/>
          </w:rPr>
          <w:t>https://www.ihgplc.com</w:t>
        </w:r>
      </w:hyperlink>
    </w:p>
    <w:p w14:paraId="2BABC3A2"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Jones, P. and Lockwood, A. (2020) The management of hotel operations. 2nd edn. London: Cengage Learning.</w:t>
      </w:r>
    </w:p>
    <w:p w14:paraId="777CF703"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Jose, M.L., Lancaster, C. and Stevens, J.L. (1996) ‘Corporate returns and cash conversion cycles’, Journal of Economics and Finance, 20(1), pp. 33–46.</w:t>
      </w:r>
    </w:p>
    <w:p w14:paraId="101D3424"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Kruk, S. (2021) ‘Impact of capital structure on corporate value—review of literature’, Journal of Risk and Financial Management, 14(4), 155.</w:t>
      </w:r>
    </w:p>
    <w:p w14:paraId="4B65FAE8"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Lumby, S. and Jones, C. (2019) Corporate finance: theory and practice. 10th edn. Andover: Cengage Learning.</w:t>
      </w:r>
    </w:p>
    <w:p w14:paraId="2257681B"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Madura, J. (2021) International financial management. 14th edn. Boston, MA: Cengage Learning.</w:t>
      </w:r>
    </w:p>
    <w:p w14:paraId="0E4194C6"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Modigliani, F. and Miller, M.H. (1958) ‘The cost of capital, corporation finance and the theory of investment’, The American Economic Review, 48(3), pp. 261–297.</w:t>
      </w:r>
    </w:p>
    <w:p w14:paraId="04F535EB"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Myers, S.C. (1984) ‘The capital structure puzzle’, The Journal of Finance, 39(3), pp. 574–592.</w:t>
      </w:r>
    </w:p>
    <w:p w14:paraId="4E221E82"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Nobanee, H., Abdullatif, M. and AlHajjar, M. (2011) ‘Cash conversion cycle and firm’s performance of Japanese firms’, Asian Review of Accounting, 19(2), pp. 147–156.</w:t>
      </w:r>
    </w:p>
    <w:p w14:paraId="0DF94C87"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OECD (2021) Tax challenges arising from the digitalisation of the economy: global anti-base erosion model rules (Pillar Two). Paris: OECD Publishing.</w:t>
      </w:r>
    </w:p>
    <w:p w14:paraId="2FF98EB7"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 xml:space="preserve">Office of the Small Business Commissioner (2021) Prompt payment code. London: Office of the Small Business Commissioner / GOV.UK. Available at: </w:t>
      </w:r>
      <w:hyperlink r:id="rId21" w:history="1">
        <w:r w:rsidRPr="00821FA1">
          <w:rPr>
            <w:rStyle w:val="Hyperlink"/>
            <w:rFonts w:ascii="Times New Roman" w:hAnsi="Times New Roman" w:cs="Times New Roman"/>
          </w:rPr>
          <w:t>https://www.gov.uk/guidance/prompt-payment-policy</w:t>
        </w:r>
      </w:hyperlink>
    </w:p>
    <w:p w14:paraId="13E4DAC0"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Pass, C. and Pike, R. (2021) Corporate finance and investment: decisions and strategies. 9th edn. Harlow: Pearson.</w:t>
      </w:r>
    </w:p>
    <w:p w14:paraId="4DA8AA2D"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Radivojević, V., Dimovski, J. and Mitić, G. (2023) ‘Quantifying the financial impact of COVID-19 on the largest global companies in the hotel industry’, Hotel and Tourism Management, 11(1), pp. 165–176.</w:t>
      </w:r>
    </w:p>
    <w:p w14:paraId="5A95638D"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Richards, V.D. and Laughlin, E.J. (1980) ‘A cash conversion cycle approach to liquidity analysis’, Financial Management, 9(1), pp. 32–38.</w:t>
      </w:r>
    </w:p>
    <w:p w14:paraId="301904F2"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Robinson, T.R. (2020) International financial statement analysis. 4th edn. Hoboken, NJ: John Wiley &amp; Sons (CFA Institute Investment Series).</w:t>
      </w:r>
    </w:p>
    <w:p w14:paraId="4ADF80E5"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Ryan, P.A. and Ryan, G.P. (2002) ‘Capital budgeting practices of the Fortune 1000: how have things changed?’, Journal of Business and Management, 8(4), pp. 355–364.</w:t>
      </w:r>
    </w:p>
    <w:p w14:paraId="7B60A7E1"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Shin, H.H. and Soenen, L. (1998) ‘Efficiency of working capital management and corporate profitability’, Financial Practice and Education, 8(2), pp. 37–45.</w:t>
      </w:r>
    </w:p>
    <w:p w14:paraId="46156902"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 xml:space="preserve">The Caterer (2021) ‘Pandemic sees Premier Inn owner plunged into a loss’, The Caterer, 24 May. Available at: </w:t>
      </w:r>
      <w:hyperlink r:id="rId22" w:history="1">
        <w:r w:rsidRPr="00821FA1">
          <w:rPr>
            <w:rStyle w:val="Hyperlink"/>
            <w:rFonts w:ascii="Times New Roman" w:hAnsi="Times New Roman" w:cs="Times New Roman"/>
          </w:rPr>
          <w:t>https://www.thecaterer.com</w:t>
        </w:r>
      </w:hyperlink>
    </w:p>
    <w:p w14:paraId="3E6A5EBF"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 xml:space="preserve">Whitbread PLC (2022) Preliminary results announcement FY2022. Houghton Regis: Whitbread PLC. Available at: </w:t>
      </w:r>
      <w:hyperlink r:id="rId23" w:history="1">
        <w:r w:rsidRPr="00821FA1">
          <w:rPr>
            <w:rStyle w:val="Hyperlink"/>
            <w:rFonts w:ascii="Times New Roman" w:hAnsi="Times New Roman" w:cs="Times New Roman"/>
          </w:rPr>
          <w:t>https://www.whitbread.co.uk/investors</w:t>
        </w:r>
      </w:hyperlink>
    </w:p>
    <w:p w14:paraId="11C1AA3E"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 xml:space="preserve">Whitbread PLC (2025) Annual report and accounts 2024/25. Houghton Regis: Whitbread PLC. Available at: </w:t>
      </w:r>
      <w:hyperlink r:id="rId24" w:history="1">
        <w:r w:rsidRPr="00821FA1">
          <w:rPr>
            <w:rStyle w:val="Hyperlink"/>
            <w:rFonts w:ascii="Times New Roman" w:hAnsi="Times New Roman" w:cs="Times New Roman"/>
          </w:rPr>
          <w:t>https://www.whitbread.co.uk/investors</w:t>
        </w:r>
      </w:hyperlink>
    </w:p>
    <w:p w14:paraId="4DACD2BB" w14:textId="77777777" w:rsidR="0067457D" w:rsidRPr="00821FA1" w:rsidRDefault="0067457D" w:rsidP="0067457D">
      <w:pPr>
        <w:spacing w:after="140" w:line="360" w:lineRule="auto"/>
        <w:ind w:left="360" w:hanging="360"/>
        <w:rPr>
          <w:rFonts w:ascii="Times New Roman" w:hAnsi="Times New Roman" w:cs="Times New Roman"/>
        </w:rPr>
      </w:pPr>
      <w:r w:rsidRPr="00821FA1">
        <w:rPr>
          <w:rFonts w:ascii="Times New Roman" w:hAnsi="Times New Roman" w:cs="Times New Roman"/>
        </w:rPr>
        <w:t xml:space="preserve">Yahoo Finance (2025) Whitbread plc (WTB.L) financial statements. Available at: </w:t>
      </w:r>
      <w:hyperlink r:id="rId25" w:history="1">
        <w:r w:rsidRPr="00821FA1">
          <w:rPr>
            <w:rStyle w:val="Hyperlink"/>
            <w:rFonts w:ascii="Times New Roman" w:hAnsi="Times New Roman" w:cs="Times New Roman"/>
          </w:rPr>
          <w:t>https://finance.yahoo.com/quote/WTB.L/financials</w:t>
        </w:r>
      </w:hyperlink>
    </w:p>
    <w:p w14:paraId="03391D1E" w14:textId="77777777" w:rsidR="0067457D" w:rsidRPr="00821FA1" w:rsidRDefault="0067457D" w:rsidP="00A40D84">
      <w:pPr>
        <w:spacing w:line="360" w:lineRule="auto"/>
        <w:jc w:val="both"/>
        <w:rPr>
          <w:rFonts w:ascii="Times New Roman" w:hAnsi="Times New Roman" w:cs="Times New Roman"/>
          <w:b/>
          <w:bCs/>
        </w:rPr>
      </w:pPr>
    </w:p>
    <w:p w14:paraId="02A5E1C6" w14:textId="77777777" w:rsidR="0067457D" w:rsidRPr="00821FA1" w:rsidRDefault="0067457D" w:rsidP="00A40D84">
      <w:pPr>
        <w:spacing w:line="360" w:lineRule="auto"/>
        <w:jc w:val="both"/>
        <w:rPr>
          <w:rFonts w:ascii="Times New Roman" w:hAnsi="Times New Roman" w:cs="Times New Roman"/>
          <w:b/>
          <w:bCs/>
        </w:rPr>
      </w:pPr>
    </w:p>
    <w:p w14:paraId="2FC73E82" w14:textId="77777777" w:rsidR="0067457D" w:rsidRPr="00821FA1" w:rsidRDefault="0067457D" w:rsidP="00A40D84">
      <w:pPr>
        <w:spacing w:line="360" w:lineRule="auto"/>
        <w:jc w:val="both"/>
        <w:rPr>
          <w:rFonts w:ascii="Times New Roman" w:hAnsi="Times New Roman" w:cs="Times New Roman"/>
          <w:b/>
          <w:bCs/>
        </w:rPr>
      </w:pPr>
    </w:p>
    <w:p w14:paraId="1BF342C7" w14:textId="77777777" w:rsidR="0067457D" w:rsidRPr="00821FA1" w:rsidRDefault="0067457D" w:rsidP="00A40D84">
      <w:pPr>
        <w:spacing w:line="360" w:lineRule="auto"/>
        <w:jc w:val="both"/>
        <w:rPr>
          <w:rFonts w:ascii="Times New Roman" w:hAnsi="Times New Roman" w:cs="Times New Roman"/>
          <w:b/>
          <w:bCs/>
        </w:rPr>
      </w:pPr>
    </w:p>
    <w:p w14:paraId="15942662" w14:textId="77777777" w:rsidR="0067457D" w:rsidRPr="00821FA1" w:rsidRDefault="0067457D" w:rsidP="00A40D84">
      <w:pPr>
        <w:spacing w:line="360" w:lineRule="auto"/>
        <w:jc w:val="both"/>
        <w:rPr>
          <w:rFonts w:ascii="Times New Roman" w:hAnsi="Times New Roman" w:cs="Times New Roman"/>
          <w:b/>
          <w:bCs/>
        </w:rPr>
      </w:pPr>
    </w:p>
    <w:p w14:paraId="2F9343C2" w14:textId="77777777" w:rsidR="0067457D" w:rsidRPr="00821FA1" w:rsidRDefault="0067457D" w:rsidP="00A40D84">
      <w:pPr>
        <w:spacing w:line="360" w:lineRule="auto"/>
        <w:jc w:val="both"/>
        <w:rPr>
          <w:rFonts w:ascii="Times New Roman" w:hAnsi="Times New Roman" w:cs="Times New Roman"/>
          <w:b/>
          <w:bCs/>
        </w:rPr>
      </w:pPr>
    </w:p>
    <w:p w14:paraId="416F97BD" w14:textId="77777777" w:rsidR="0067457D" w:rsidRPr="00821FA1" w:rsidRDefault="0067457D" w:rsidP="00A40D84">
      <w:pPr>
        <w:spacing w:line="360" w:lineRule="auto"/>
        <w:jc w:val="both"/>
        <w:rPr>
          <w:rFonts w:ascii="Times New Roman" w:hAnsi="Times New Roman" w:cs="Times New Roman"/>
          <w:b/>
          <w:bCs/>
        </w:rPr>
      </w:pPr>
    </w:p>
    <w:p w14:paraId="7FBBA1EE" w14:textId="77777777" w:rsidR="0067457D" w:rsidRPr="00821FA1" w:rsidRDefault="0067457D" w:rsidP="00A40D84">
      <w:pPr>
        <w:spacing w:line="360" w:lineRule="auto"/>
        <w:jc w:val="both"/>
        <w:rPr>
          <w:rFonts w:ascii="Times New Roman" w:hAnsi="Times New Roman" w:cs="Times New Roman"/>
          <w:b/>
          <w:bCs/>
        </w:rPr>
      </w:pPr>
    </w:p>
    <w:p w14:paraId="23A8FD3B" w14:textId="77777777" w:rsidR="0067457D" w:rsidRPr="00821FA1" w:rsidRDefault="0067457D" w:rsidP="00A40D84">
      <w:pPr>
        <w:spacing w:line="360" w:lineRule="auto"/>
        <w:jc w:val="both"/>
        <w:rPr>
          <w:rFonts w:ascii="Times New Roman" w:hAnsi="Times New Roman" w:cs="Times New Roman"/>
          <w:b/>
          <w:bCs/>
        </w:rPr>
      </w:pPr>
    </w:p>
    <w:p w14:paraId="2E4EF145" w14:textId="77777777" w:rsidR="0067457D" w:rsidRPr="00821FA1" w:rsidRDefault="0067457D" w:rsidP="00A40D84">
      <w:pPr>
        <w:spacing w:line="360" w:lineRule="auto"/>
        <w:jc w:val="both"/>
        <w:rPr>
          <w:rFonts w:ascii="Times New Roman" w:hAnsi="Times New Roman" w:cs="Times New Roman"/>
          <w:b/>
          <w:bCs/>
        </w:rPr>
      </w:pPr>
    </w:p>
    <w:p w14:paraId="5348C59F" w14:textId="77777777" w:rsidR="0067457D" w:rsidRPr="00821FA1" w:rsidRDefault="0067457D" w:rsidP="00A40D84">
      <w:pPr>
        <w:spacing w:line="360" w:lineRule="auto"/>
        <w:jc w:val="both"/>
        <w:rPr>
          <w:rFonts w:ascii="Times New Roman" w:hAnsi="Times New Roman" w:cs="Times New Roman"/>
          <w:b/>
          <w:bCs/>
        </w:rPr>
      </w:pPr>
    </w:p>
    <w:p w14:paraId="330FD9CD" w14:textId="77777777" w:rsidR="0067457D" w:rsidRPr="00821FA1" w:rsidRDefault="0067457D" w:rsidP="00A40D84">
      <w:pPr>
        <w:spacing w:line="360" w:lineRule="auto"/>
        <w:jc w:val="both"/>
        <w:rPr>
          <w:rFonts w:ascii="Times New Roman" w:hAnsi="Times New Roman" w:cs="Times New Roman"/>
          <w:b/>
          <w:bCs/>
        </w:rPr>
      </w:pPr>
    </w:p>
    <w:p w14:paraId="5CCE30C9" w14:textId="77777777" w:rsidR="0067457D" w:rsidRPr="00821FA1" w:rsidRDefault="0067457D" w:rsidP="00A40D84">
      <w:pPr>
        <w:spacing w:line="360" w:lineRule="auto"/>
        <w:jc w:val="both"/>
        <w:rPr>
          <w:rFonts w:ascii="Times New Roman" w:hAnsi="Times New Roman" w:cs="Times New Roman"/>
          <w:b/>
          <w:bCs/>
        </w:rPr>
      </w:pPr>
    </w:p>
    <w:p w14:paraId="45F2A34C" w14:textId="77777777" w:rsidR="0067457D" w:rsidRPr="00821FA1" w:rsidRDefault="0067457D" w:rsidP="00A40D84">
      <w:pPr>
        <w:spacing w:line="360" w:lineRule="auto"/>
        <w:jc w:val="both"/>
        <w:rPr>
          <w:rFonts w:ascii="Times New Roman" w:hAnsi="Times New Roman" w:cs="Times New Roman"/>
          <w:b/>
          <w:bCs/>
        </w:rPr>
      </w:pPr>
    </w:p>
    <w:p w14:paraId="3C16309F" w14:textId="77777777" w:rsidR="0067457D" w:rsidRPr="00821FA1" w:rsidRDefault="0067457D" w:rsidP="00A40D84">
      <w:pPr>
        <w:spacing w:line="360" w:lineRule="auto"/>
        <w:jc w:val="both"/>
        <w:rPr>
          <w:rFonts w:ascii="Times New Roman" w:hAnsi="Times New Roman" w:cs="Times New Roman"/>
          <w:b/>
          <w:bCs/>
        </w:rPr>
      </w:pPr>
    </w:p>
    <w:p w14:paraId="0878AEDC" w14:textId="5254CFBF" w:rsidR="0067457D" w:rsidRPr="00821FA1" w:rsidRDefault="0067457D" w:rsidP="00A40D84">
      <w:pPr>
        <w:spacing w:line="360" w:lineRule="auto"/>
        <w:jc w:val="both"/>
        <w:rPr>
          <w:rFonts w:ascii="Times New Roman" w:hAnsi="Times New Roman" w:cs="Times New Roman"/>
          <w:b/>
          <w:bCs/>
        </w:rPr>
      </w:pPr>
    </w:p>
    <w:p w14:paraId="33ACFF79" w14:textId="77777777" w:rsidR="0067457D" w:rsidRPr="00821FA1" w:rsidRDefault="0067457D" w:rsidP="0067457D">
      <w:pPr>
        <w:pStyle w:val="Heading1"/>
      </w:pPr>
      <w:bookmarkStart w:id="35" w:name="_Toc236957047"/>
      <w:bookmarkStart w:id="36" w:name="_Toc236960528"/>
      <w:r w:rsidRPr="00821FA1">
        <w:t>Appendices</w:t>
      </w:r>
      <w:bookmarkEnd w:id="35"/>
      <w:bookmarkEnd w:id="36"/>
    </w:p>
    <w:p w14:paraId="0ED182A0" w14:textId="77777777" w:rsidR="0067457D" w:rsidRPr="00821FA1" w:rsidRDefault="0067457D" w:rsidP="0067457D">
      <w:pPr>
        <w:pStyle w:val="Heading2"/>
        <w:spacing w:line="360" w:lineRule="auto"/>
      </w:pPr>
      <w:bookmarkStart w:id="37" w:name="_Toc236957048"/>
      <w:bookmarkStart w:id="38" w:name="_Toc236960529"/>
      <w:r w:rsidRPr="00821FA1">
        <w:rPr>
          <w:rFonts w:eastAsia="Arial"/>
        </w:rPr>
        <w:t>Appendix A:  Ratio summary table (FY21–FY25)</w:t>
      </w:r>
      <w:bookmarkEnd w:id="37"/>
      <w:bookmarkEnd w:id="38"/>
    </w:p>
    <w:tbl>
      <w:tblPr>
        <w:tblStyle w:val="GridTable4-Accent5"/>
        <w:tblW w:w="8500" w:type="dxa"/>
        <w:tblLook w:val="04A0" w:firstRow="1" w:lastRow="0" w:firstColumn="1" w:lastColumn="0" w:noHBand="0" w:noVBand="1"/>
      </w:tblPr>
      <w:tblGrid>
        <w:gridCol w:w="3000"/>
        <w:gridCol w:w="1100"/>
        <w:gridCol w:w="1100"/>
        <w:gridCol w:w="1100"/>
        <w:gridCol w:w="1100"/>
        <w:gridCol w:w="1100"/>
      </w:tblGrid>
      <w:tr w:rsidR="0067457D" w:rsidRPr="00821FA1" w14:paraId="026396F3" w14:textId="77777777" w:rsidTr="006745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168CFA69" w14:textId="77777777" w:rsidR="0067457D" w:rsidRPr="00821FA1" w:rsidRDefault="0067457D" w:rsidP="0067457D">
            <w:pPr>
              <w:spacing w:line="360" w:lineRule="auto"/>
              <w:jc w:val="center"/>
            </w:pPr>
            <w:r w:rsidRPr="00821FA1">
              <w:rPr>
                <w:color w:val="FFFFFF"/>
              </w:rPr>
              <w:t>Ratio</w:t>
            </w:r>
          </w:p>
        </w:tc>
        <w:tc>
          <w:tcPr>
            <w:tcW w:w="1100" w:type="dxa"/>
          </w:tcPr>
          <w:p w14:paraId="396F5028" w14:textId="77777777" w:rsidR="0067457D" w:rsidRPr="00821FA1" w:rsidRDefault="0067457D" w:rsidP="0067457D">
            <w:pPr>
              <w:spacing w:line="360" w:lineRule="auto"/>
              <w:jc w:val="center"/>
              <w:cnfStyle w:val="100000000000" w:firstRow="1" w:lastRow="0" w:firstColumn="0" w:lastColumn="0" w:oddVBand="0" w:evenVBand="0" w:oddHBand="0" w:evenHBand="0" w:firstRowFirstColumn="0" w:firstRowLastColumn="0" w:lastRowFirstColumn="0" w:lastRowLastColumn="0"/>
            </w:pPr>
            <w:r w:rsidRPr="00821FA1">
              <w:rPr>
                <w:color w:val="FFFFFF"/>
              </w:rPr>
              <w:t>FY21</w:t>
            </w:r>
          </w:p>
        </w:tc>
        <w:tc>
          <w:tcPr>
            <w:tcW w:w="1100" w:type="dxa"/>
          </w:tcPr>
          <w:p w14:paraId="7E62E957" w14:textId="77777777" w:rsidR="0067457D" w:rsidRPr="00821FA1" w:rsidRDefault="0067457D" w:rsidP="0067457D">
            <w:pPr>
              <w:spacing w:line="360" w:lineRule="auto"/>
              <w:jc w:val="center"/>
              <w:cnfStyle w:val="100000000000" w:firstRow="1" w:lastRow="0" w:firstColumn="0" w:lastColumn="0" w:oddVBand="0" w:evenVBand="0" w:oddHBand="0" w:evenHBand="0" w:firstRowFirstColumn="0" w:firstRowLastColumn="0" w:lastRowFirstColumn="0" w:lastRowLastColumn="0"/>
            </w:pPr>
            <w:r w:rsidRPr="00821FA1">
              <w:rPr>
                <w:color w:val="FFFFFF"/>
              </w:rPr>
              <w:t>FY22</w:t>
            </w:r>
          </w:p>
        </w:tc>
        <w:tc>
          <w:tcPr>
            <w:tcW w:w="1100" w:type="dxa"/>
          </w:tcPr>
          <w:p w14:paraId="339EB481" w14:textId="77777777" w:rsidR="0067457D" w:rsidRPr="00821FA1" w:rsidRDefault="0067457D" w:rsidP="0067457D">
            <w:pPr>
              <w:spacing w:line="360" w:lineRule="auto"/>
              <w:jc w:val="center"/>
              <w:cnfStyle w:val="100000000000" w:firstRow="1" w:lastRow="0" w:firstColumn="0" w:lastColumn="0" w:oddVBand="0" w:evenVBand="0" w:oddHBand="0" w:evenHBand="0" w:firstRowFirstColumn="0" w:firstRowLastColumn="0" w:lastRowFirstColumn="0" w:lastRowLastColumn="0"/>
            </w:pPr>
            <w:r w:rsidRPr="00821FA1">
              <w:rPr>
                <w:color w:val="FFFFFF"/>
              </w:rPr>
              <w:t>FY23</w:t>
            </w:r>
          </w:p>
        </w:tc>
        <w:tc>
          <w:tcPr>
            <w:tcW w:w="1100" w:type="dxa"/>
          </w:tcPr>
          <w:p w14:paraId="6A7F831D" w14:textId="77777777" w:rsidR="0067457D" w:rsidRPr="00821FA1" w:rsidRDefault="0067457D" w:rsidP="0067457D">
            <w:pPr>
              <w:spacing w:line="360" w:lineRule="auto"/>
              <w:jc w:val="center"/>
              <w:cnfStyle w:val="100000000000" w:firstRow="1" w:lastRow="0" w:firstColumn="0" w:lastColumn="0" w:oddVBand="0" w:evenVBand="0" w:oddHBand="0" w:evenHBand="0" w:firstRowFirstColumn="0" w:firstRowLastColumn="0" w:lastRowFirstColumn="0" w:lastRowLastColumn="0"/>
            </w:pPr>
            <w:r w:rsidRPr="00821FA1">
              <w:rPr>
                <w:color w:val="FFFFFF"/>
              </w:rPr>
              <w:t>FY24</w:t>
            </w:r>
          </w:p>
        </w:tc>
        <w:tc>
          <w:tcPr>
            <w:tcW w:w="1100" w:type="dxa"/>
          </w:tcPr>
          <w:p w14:paraId="38D5EFF7" w14:textId="77777777" w:rsidR="0067457D" w:rsidRPr="00821FA1" w:rsidRDefault="0067457D" w:rsidP="0067457D">
            <w:pPr>
              <w:spacing w:line="360" w:lineRule="auto"/>
              <w:jc w:val="center"/>
              <w:cnfStyle w:val="100000000000" w:firstRow="1" w:lastRow="0" w:firstColumn="0" w:lastColumn="0" w:oddVBand="0" w:evenVBand="0" w:oddHBand="0" w:evenHBand="0" w:firstRowFirstColumn="0" w:firstRowLastColumn="0" w:lastRowFirstColumn="0" w:lastRowLastColumn="0"/>
            </w:pPr>
            <w:r w:rsidRPr="00821FA1">
              <w:rPr>
                <w:color w:val="FFFFFF"/>
              </w:rPr>
              <w:t>FY25</w:t>
            </w:r>
          </w:p>
        </w:tc>
      </w:tr>
      <w:tr w:rsidR="0067457D" w:rsidRPr="00821FA1" w14:paraId="268BF9F7" w14:textId="77777777" w:rsidTr="00674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41A28EF1" w14:textId="77777777" w:rsidR="0067457D" w:rsidRPr="00821FA1" w:rsidRDefault="0067457D" w:rsidP="0067457D">
            <w:pPr>
              <w:spacing w:line="360" w:lineRule="auto"/>
            </w:pPr>
            <w:r w:rsidRPr="00821FA1">
              <w:rPr>
                <w:color w:val="000000"/>
              </w:rPr>
              <w:t>Operating margin (%)</w:t>
            </w:r>
          </w:p>
        </w:tc>
        <w:tc>
          <w:tcPr>
            <w:tcW w:w="1100" w:type="dxa"/>
          </w:tcPr>
          <w:p w14:paraId="145282E8"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n/a</w:t>
            </w:r>
          </w:p>
        </w:tc>
        <w:tc>
          <w:tcPr>
            <w:tcW w:w="1100" w:type="dxa"/>
          </w:tcPr>
          <w:p w14:paraId="3C74B01C"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n/a</w:t>
            </w:r>
          </w:p>
        </w:tc>
        <w:tc>
          <w:tcPr>
            <w:tcW w:w="1100" w:type="dxa"/>
          </w:tcPr>
          <w:p w14:paraId="6394F3FE"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20.3</w:t>
            </w:r>
          </w:p>
        </w:tc>
        <w:tc>
          <w:tcPr>
            <w:tcW w:w="1100" w:type="dxa"/>
          </w:tcPr>
          <w:p w14:paraId="64613E99"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22.4</w:t>
            </w:r>
          </w:p>
        </w:tc>
        <w:tc>
          <w:tcPr>
            <w:tcW w:w="1100" w:type="dxa"/>
          </w:tcPr>
          <w:p w14:paraId="01AB5FEF"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21.2</w:t>
            </w:r>
          </w:p>
        </w:tc>
      </w:tr>
      <w:tr w:rsidR="0067457D" w:rsidRPr="00821FA1" w14:paraId="56E989B0" w14:textId="77777777" w:rsidTr="0067457D">
        <w:tc>
          <w:tcPr>
            <w:cnfStyle w:val="001000000000" w:firstRow="0" w:lastRow="0" w:firstColumn="1" w:lastColumn="0" w:oddVBand="0" w:evenVBand="0" w:oddHBand="0" w:evenHBand="0" w:firstRowFirstColumn="0" w:firstRowLastColumn="0" w:lastRowFirstColumn="0" w:lastRowLastColumn="0"/>
            <w:tcW w:w="3000" w:type="dxa"/>
          </w:tcPr>
          <w:p w14:paraId="63013DAA" w14:textId="77777777" w:rsidR="0067457D" w:rsidRPr="00821FA1" w:rsidRDefault="0067457D" w:rsidP="0067457D">
            <w:pPr>
              <w:spacing w:line="360" w:lineRule="auto"/>
            </w:pPr>
            <w:r w:rsidRPr="00821FA1">
              <w:rPr>
                <w:color w:val="000000"/>
              </w:rPr>
              <w:t>Net profit margin (%)</w:t>
            </w:r>
          </w:p>
        </w:tc>
        <w:tc>
          <w:tcPr>
            <w:tcW w:w="1100" w:type="dxa"/>
          </w:tcPr>
          <w:p w14:paraId="41A797CC"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neg.</w:t>
            </w:r>
          </w:p>
        </w:tc>
        <w:tc>
          <w:tcPr>
            <w:tcW w:w="1100" w:type="dxa"/>
          </w:tcPr>
          <w:p w14:paraId="55773C4F"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2.6</w:t>
            </w:r>
          </w:p>
        </w:tc>
        <w:tc>
          <w:tcPr>
            <w:tcW w:w="1100" w:type="dxa"/>
          </w:tcPr>
          <w:p w14:paraId="5A517C50"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10.6</w:t>
            </w:r>
          </w:p>
        </w:tc>
        <w:tc>
          <w:tcPr>
            <w:tcW w:w="1100" w:type="dxa"/>
          </w:tcPr>
          <w:p w14:paraId="031AEC32"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10.5</w:t>
            </w:r>
          </w:p>
        </w:tc>
        <w:tc>
          <w:tcPr>
            <w:tcW w:w="1100" w:type="dxa"/>
          </w:tcPr>
          <w:p w14:paraId="3AE3F98E"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8.7</w:t>
            </w:r>
          </w:p>
        </w:tc>
      </w:tr>
      <w:tr w:rsidR="0067457D" w:rsidRPr="00821FA1" w14:paraId="7D7EC1D6" w14:textId="77777777" w:rsidTr="00674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58541242" w14:textId="77777777" w:rsidR="0067457D" w:rsidRPr="00821FA1" w:rsidRDefault="0067457D" w:rsidP="0067457D">
            <w:pPr>
              <w:spacing w:line="360" w:lineRule="auto"/>
            </w:pPr>
            <w:r w:rsidRPr="00821FA1">
              <w:rPr>
                <w:color w:val="000000"/>
              </w:rPr>
              <w:t>ROCE (%)</w:t>
            </w:r>
          </w:p>
        </w:tc>
        <w:tc>
          <w:tcPr>
            <w:tcW w:w="1100" w:type="dxa"/>
          </w:tcPr>
          <w:p w14:paraId="2C4D4857"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neg.</w:t>
            </w:r>
          </w:p>
        </w:tc>
        <w:tc>
          <w:tcPr>
            <w:tcW w:w="1100" w:type="dxa"/>
          </w:tcPr>
          <w:p w14:paraId="2BDD0DB2"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low</w:t>
            </w:r>
          </w:p>
        </w:tc>
        <w:tc>
          <w:tcPr>
            <w:tcW w:w="1100" w:type="dxa"/>
          </w:tcPr>
          <w:p w14:paraId="5A632234"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11.9</w:t>
            </w:r>
          </w:p>
        </w:tc>
        <w:tc>
          <w:tcPr>
            <w:tcW w:w="1100" w:type="dxa"/>
          </w:tcPr>
          <w:p w14:paraId="28241C1A"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13.1</w:t>
            </w:r>
          </w:p>
        </w:tc>
        <w:tc>
          <w:tcPr>
            <w:tcW w:w="1100" w:type="dxa"/>
          </w:tcPr>
          <w:p w14:paraId="0C56EAEA"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11.3</w:t>
            </w:r>
          </w:p>
        </w:tc>
      </w:tr>
      <w:tr w:rsidR="0067457D" w:rsidRPr="00821FA1" w14:paraId="254F0699" w14:textId="77777777" w:rsidTr="0067457D">
        <w:tc>
          <w:tcPr>
            <w:cnfStyle w:val="001000000000" w:firstRow="0" w:lastRow="0" w:firstColumn="1" w:lastColumn="0" w:oddVBand="0" w:evenVBand="0" w:oddHBand="0" w:evenHBand="0" w:firstRowFirstColumn="0" w:firstRowLastColumn="0" w:lastRowFirstColumn="0" w:lastRowLastColumn="0"/>
            <w:tcW w:w="3000" w:type="dxa"/>
          </w:tcPr>
          <w:p w14:paraId="02DF1CBE" w14:textId="77777777" w:rsidR="0067457D" w:rsidRPr="00821FA1" w:rsidRDefault="0067457D" w:rsidP="0067457D">
            <w:pPr>
              <w:spacing w:line="360" w:lineRule="auto"/>
            </w:pPr>
            <w:r w:rsidRPr="00821FA1">
              <w:rPr>
                <w:color w:val="000000"/>
              </w:rPr>
              <w:t>Current ratio (x)</w:t>
            </w:r>
          </w:p>
        </w:tc>
        <w:tc>
          <w:tcPr>
            <w:tcW w:w="1100" w:type="dxa"/>
          </w:tcPr>
          <w:p w14:paraId="445E4B03"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0.68</w:t>
            </w:r>
          </w:p>
        </w:tc>
        <w:tc>
          <w:tcPr>
            <w:tcW w:w="1100" w:type="dxa"/>
          </w:tcPr>
          <w:p w14:paraId="70708F73"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0.55</w:t>
            </w:r>
          </w:p>
        </w:tc>
        <w:tc>
          <w:tcPr>
            <w:tcW w:w="1100" w:type="dxa"/>
          </w:tcPr>
          <w:p w14:paraId="293C2C0F"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0.52</w:t>
            </w:r>
          </w:p>
        </w:tc>
        <w:tc>
          <w:tcPr>
            <w:tcW w:w="1100" w:type="dxa"/>
          </w:tcPr>
          <w:p w14:paraId="047309E7"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0.46</w:t>
            </w:r>
          </w:p>
        </w:tc>
        <w:tc>
          <w:tcPr>
            <w:tcW w:w="1100" w:type="dxa"/>
          </w:tcPr>
          <w:p w14:paraId="4C4F9D36"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0.42</w:t>
            </w:r>
          </w:p>
        </w:tc>
      </w:tr>
      <w:tr w:rsidR="0067457D" w:rsidRPr="00821FA1" w14:paraId="4020418C" w14:textId="77777777" w:rsidTr="00674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63BCD739" w14:textId="77777777" w:rsidR="0067457D" w:rsidRPr="00821FA1" w:rsidRDefault="0067457D" w:rsidP="0067457D">
            <w:pPr>
              <w:spacing w:line="360" w:lineRule="auto"/>
            </w:pPr>
            <w:r w:rsidRPr="00821FA1">
              <w:rPr>
                <w:color w:val="000000"/>
              </w:rPr>
              <w:t>Quick ratio (x)</w:t>
            </w:r>
          </w:p>
        </w:tc>
        <w:tc>
          <w:tcPr>
            <w:tcW w:w="1100" w:type="dxa"/>
          </w:tcPr>
          <w:p w14:paraId="5E999606"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0.64</w:t>
            </w:r>
          </w:p>
        </w:tc>
        <w:tc>
          <w:tcPr>
            <w:tcW w:w="1100" w:type="dxa"/>
          </w:tcPr>
          <w:p w14:paraId="451D48BC"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0.51</w:t>
            </w:r>
          </w:p>
        </w:tc>
        <w:tc>
          <w:tcPr>
            <w:tcW w:w="1100" w:type="dxa"/>
          </w:tcPr>
          <w:p w14:paraId="0F7C24FF"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0.48</w:t>
            </w:r>
          </w:p>
        </w:tc>
        <w:tc>
          <w:tcPr>
            <w:tcW w:w="1100" w:type="dxa"/>
          </w:tcPr>
          <w:p w14:paraId="28A4162B"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0.42</w:t>
            </w:r>
          </w:p>
        </w:tc>
        <w:tc>
          <w:tcPr>
            <w:tcW w:w="1100" w:type="dxa"/>
          </w:tcPr>
          <w:p w14:paraId="39F326B2"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0.38</w:t>
            </w:r>
          </w:p>
        </w:tc>
      </w:tr>
      <w:tr w:rsidR="0067457D" w:rsidRPr="00821FA1" w14:paraId="51AD0571" w14:textId="77777777" w:rsidTr="0067457D">
        <w:tc>
          <w:tcPr>
            <w:cnfStyle w:val="001000000000" w:firstRow="0" w:lastRow="0" w:firstColumn="1" w:lastColumn="0" w:oddVBand="0" w:evenVBand="0" w:oddHBand="0" w:evenHBand="0" w:firstRowFirstColumn="0" w:firstRowLastColumn="0" w:lastRowFirstColumn="0" w:lastRowLastColumn="0"/>
            <w:tcW w:w="3000" w:type="dxa"/>
          </w:tcPr>
          <w:p w14:paraId="307F6B41" w14:textId="77777777" w:rsidR="0067457D" w:rsidRPr="00821FA1" w:rsidRDefault="0067457D" w:rsidP="0067457D">
            <w:pPr>
              <w:spacing w:line="360" w:lineRule="auto"/>
            </w:pPr>
            <w:r w:rsidRPr="00821FA1">
              <w:rPr>
                <w:color w:val="000000"/>
              </w:rPr>
              <w:t>Gearing (%)</w:t>
            </w:r>
          </w:p>
        </w:tc>
        <w:tc>
          <w:tcPr>
            <w:tcW w:w="1100" w:type="dxa"/>
          </w:tcPr>
          <w:p w14:paraId="23427CD3"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56.4</w:t>
            </w:r>
          </w:p>
        </w:tc>
        <w:tc>
          <w:tcPr>
            <w:tcW w:w="1100" w:type="dxa"/>
          </w:tcPr>
          <w:p w14:paraId="48BB66D2"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57.0</w:t>
            </w:r>
          </w:p>
        </w:tc>
        <w:tc>
          <w:tcPr>
            <w:tcW w:w="1100" w:type="dxa"/>
          </w:tcPr>
          <w:p w14:paraId="58645AA8"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58.6</w:t>
            </w:r>
          </w:p>
        </w:tc>
        <w:tc>
          <w:tcPr>
            <w:tcW w:w="1100" w:type="dxa"/>
          </w:tcPr>
          <w:p w14:paraId="1CF6CD1A"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63.0</w:t>
            </w:r>
          </w:p>
        </w:tc>
        <w:tc>
          <w:tcPr>
            <w:tcW w:w="1100" w:type="dxa"/>
          </w:tcPr>
          <w:p w14:paraId="432731C4"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66.3</w:t>
            </w:r>
          </w:p>
        </w:tc>
      </w:tr>
      <w:tr w:rsidR="0067457D" w:rsidRPr="00821FA1" w14:paraId="5A353B62" w14:textId="77777777" w:rsidTr="00674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75B6A6B3" w14:textId="77777777" w:rsidR="0067457D" w:rsidRPr="00821FA1" w:rsidRDefault="0067457D" w:rsidP="0067457D">
            <w:pPr>
              <w:spacing w:line="360" w:lineRule="auto"/>
            </w:pPr>
            <w:r w:rsidRPr="00821FA1">
              <w:rPr>
                <w:color w:val="000000"/>
              </w:rPr>
              <w:t>Lease-adj. leverage (x)</w:t>
            </w:r>
          </w:p>
        </w:tc>
        <w:tc>
          <w:tcPr>
            <w:tcW w:w="1100" w:type="dxa"/>
          </w:tcPr>
          <w:p w14:paraId="7B261B62"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n/a</w:t>
            </w:r>
          </w:p>
        </w:tc>
        <w:tc>
          <w:tcPr>
            <w:tcW w:w="1100" w:type="dxa"/>
          </w:tcPr>
          <w:p w14:paraId="7FF57044"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n/a</w:t>
            </w:r>
          </w:p>
        </w:tc>
        <w:tc>
          <w:tcPr>
            <w:tcW w:w="1100" w:type="dxa"/>
          </w:tcPr>
          <w:p w14:paraId="05E0CFAD"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2.4</w:t>
            </w:r>
          </w:p>
        </w:tc>
        <w:tc>
          <w:tcPr>
            <w:tcW w:w="1100" w:type="dxa"/>
          </w:tcPr>
          <w:p w14:paraId="1C8BD3C7"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2.6</w:t>
            </w:r>
          </w:p>
        </w:tc>
        <w:tc>
          <w:tcPr>
            <w:tcW w:w="1100" w:type="dxa"/>
          </w:tcPr>
          <w:p w14:paraId="3B48280D" w14:textId="77777777" w:rsidR="0067457D" w:rsidRPr="00821FA1" w:rsidRDefault="0067457D" w:rsidP="0067457D">
            <w:pPr>
              <w:spacing w:line="360" w:lineRule="auto"/>
              <w:jc w:val="center"/>
              <w:cnfStyle w:val="000000100000" w:firstRow="0" w:lastRow="0" w:firstColumn="0" w:lastColumn="0" w:oddVBand="0" w:evenVBand="0" w:oddHBand="1" w:evenHBand="0" w:firstRowFirstColumn="0" w:firstRowLastColumn="0" w:lastRowFirstColumn="0" w:lastRowLastColumn="0"/>
            </w:pPr>
            <w:r w:rsidRPr="00821FA1">
              <w:rPr>
                <w:color w:val="000000"/>
              </w:rPr>
              <w:t>3.0</w:t>
            </w:r>
          </w:p>
        </w:tc>
      </w:tr>
      <w:tr w:rsidR="0067457D" w:rsidRPr="00821FA1" w14:paraId="08D5970F" w14:textId="77777777" w:rsidTr="0067457D">
        <w:tc>
          <w:tcPr>
            <w:cnfStyle w:val="001000000000" w:firstRow="0" w:lastRow="0" w:firstColumn="1" w:lastColumn="0" w:oddVBand="0" w:evenVBand="0" w:oddHBand="0" w:evenHBand="0" w:firstRowFirstColumn="0" w:firstRowLastColumn="0" w:lastRowFirstColumn="0" w:lastRowLastColumn="0"/>
            <w:tcW w:w="3000" w:type="dxa"/>
          </w:tcPr>
          <w:p w14:paraId="47341570" w14:textId="77777777" w:rsidR="0067457D" w:rsidRPr="00821FA1" w:rsidRDefault="0067457D" w:rsidP="0067457D">
            <w:pPr>
              <w:spacing w:line="360" w:lineRule="auto"/>
            </w:pPr>
            <w:r w:rsidRPr="00821FA1">
              <w:rPr>
                <w:color w:val="000000"/>
              </w:rPr>
              <w:t>Dividend per share (p)</w:t>
            </w:r>
          </w:p>
        </w:tc>
        <w:tc>
          <w:tcPr>
            <w:tcW w:w="1100" w:type="dxa"/>
          </w:tcPr>
          <w:p w14:paraId="342746AD"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0.0</w:t>
            </w:r>
          </w:p>
        </w:tc>
        <w:tc>
          <w:tcPr>
            <w:tcW w:w="1100" w:type="dxa"/>
          </w:tcPr>
          <w:p w14:paraId="61CF1E48"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34.7</w:t>
            </w:r>
          </w:p>
        </w:tc>
        <w:tc>
          <w:tcPr>
            <w:tcW w:w="1100" w:type="dxa"/>
          </w:tcPr>
          <w:p w14:paraId="61C99C47"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84.5</w:t>
            </w:r>
          </w:p>
        </w:tc>
        <w:tc>
          <w:tcPr>
            <w:tcW w:w="1100" w:type="dxa"/>
          </w:tcPr>
          <w:p w14:paraId="0E7D2DC2"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97.0</w:t>
            </w:r>
          </w:p>
        </w:tc>
        <w:tc>
          <w:tcPr>
            <w:tcW w:w="1100" w:type="dxa"/>
          </w:tcPr>
          <w:p w14:paraId="73511668" w14:textId="77777777" w:rsidR="0067457D" w:rsidRPr="00821FA1" w:rsidRDefault="0067457D" w:rsidP="0067457D">
            <w:pPr>
              <w:spacing w:line="360" w:lineRule="auto"/>
              <w:jc w:val="center"/>
              <w:cnfStyle w:val="000000000000" w:firstRow="0" w:lastRow="0" w:firstColumn="0" w:lastColumn="0" w:oddVBand="0" w:evenVBand="0" w:oddHBand="0" w:evenHBand="0" w:firstRowFirstColumn="0" w:firstRowLastColumn="0" w:lastRowFirstColumn="0" w:lastRowLastColumn="0"/>
            </w:pPr>
            <w:r w:rsidRPr="00821FA1">
              <w:rPr>
                <w:color w:val="000000"/>
              </w:rPr>
              <w:t>97.0</w:t>
            </w:r>
          </w:p>
        </w:tc>
      </w:tr>
    </w:tbl>
    <w:p w14:paraId="0510D6EC" w14:textId="3FA26CD6" w:rsidR="0067457D" w:rsidRPr="00821FA1" w:rsidRDefault="0067457D" w:rsidP="0067457D">
      <w:pPr>
        <w:spacing w:before="40" w:after="180" w:line="360" w:lineRule="auto"/>
        <w:jc w:val="center"/>
        <w:rPr>
          <w:i/>
          <w:iCs/>
          <w:color w:val="555555"/>
          <w:sz w:val="19"/>
          <w:szCs w:val="19"/>
        </w:rPr>
      </w:pPr>
      <w:r w:rsidRPr="00821FA1">
        <w:rPr>
          <w:i/>
          <w:iCs/>
          <w:color w:val="555555"/>
          <w:sz w:val="19"/>
          <w:szCs w:val="19"/>
        </w:rPr>
        <w:t>Source: Whitbread PLC (2025) and Yahoo Finance (2025).</w:t>
      </w:r>
    </w:p>
    <w:p w14:paraId="740D875C" w14:textId="77777777" w:rsidR="0067457D" w:rsidRPr="00821FA1" w:rsidRDefault="0067457D" w:rsidP="0067457D">
      <w:pPr>
        <w:pStyle w:val="Heading2"/>
        <w:spacing w:line="360" w:lineRule="auto"/>
      </w:pPr>
      <w:bookmarkStart w:id="39" w:name="_Toc236960530"/>
      <w:r w:rsidRPr="00821FA1">
        <w:t>Appendix B: Investment Appraisal — Full Workings</w:t>
      </w:r>
      <w:bookmarkEnd w:id="39"/>
    </w:p>
    <w:tbl>
      <w:tblPr>
        <w:tblStyle w:val="GridTable4-Accent1"/>
        <w:tblW w:w="0" w:type="auto"/>
        <w:tblLook w:val="04A0" w:firstRow="1" w:lastRow="0" w:firstColumn="1" w:lastColumn="0" w:noHBand="0" w:noVBand="1"/>
      </w:tblPr>
      <w:tblGrid>
        <w:gridCol w:w="3149"/>
        <w:gridCol w:w="2745"/>
        <w:gridCol w:w="1152"/>
        <w:gridCol w:w="1152"/>
        <w:gridCol w:w="1152"/>
      </w:tblGrid>
      <w:tr w:rsidR="0067457D" w:rsidRPr="00821FA1" w14:paraId="78A2B03D" w14:textId="77777777" w:rsidTr="006745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0ED1A1" w14:textId="77777777" w:rsidR="0067457D" w:rsidRPr="00821FA1" w:rsidRDefault="0067457D" w:rsidP="0067457D">
            <w:pPr>
              <w:spacing w:before="40" w:after="180" w:line="276" w:lineRule="auto"/>
            </w:pPr>
            <w:r w:rsidRPr="00821FA1">
              <w:t>Method</w:t>
            </w:r>
          </w:p>
        </w:tc>
        <w:tc>
          <w:tcPr>
            <w:tcW w:w="0" w:type="auto"/>
            <w:hideMark/>
          </w:tcPr>
          <w:p w14:paraId="418CD50C" w14:textId="77777777" w:rsidR="0067457D" w:rsidRPr="00821FA1" w:rsidRDefault="0067457D" w:rsidP="0067457D">
            <w:pPr>
              <w:spacing w:before="40" w:after="180" w:line="276" w:lineRule="auto"/>
              <w:cnfStyle w:val="100000000000" w:firstRow="1" w:lastRow="0" w:firstColumn="0" w:lastColumn="0" w:oddVBand="0" w:evenVBand="0" w:oddHBand="0" w:evenHBand="0" w:firstRowFirstColumn="0" w:firstRowLastColumn="0" w:lastRowFirstColumn="0" w:lastRowLastColumn="0"/>
            </w:pPr>
            <w:r w:rsidRPr="00821FA1">
              <w:t>Formula / Working</w:t>
            </w:r>
          </w:p>
        </w:tc>
        <w:tc>
          <w:tcPr>
            <w:tcW w:w="0" w:type="auto"/>
            <w:hideMark/>
          </w:tcPr>
          <w:p w14:paraId="52D5F2BE" w14:textId="77777777" w:rsidR="0067457D" w:rsidRPr="00821FA1" w:rsidRDefault="0067457D" w:rsidP="0067457D">
            <w:pPr>
              <w:spacing w:before="40" w:after="180" w:line="276" w:lineRule="auto"/>
              <w:cnfStyle w:val="100000000000" w:firstRow="1" w:lastRow="0" w:firstColumn="0" w:lastColumn="0" w:oddVBand="0" w:evenVBand="0" w:oddHBand="0" w:evenHBand="0" w:firstRowFirstColumn="0" w:firstRowLastColumn="0" w:lastRowFirstColumn="0" w:lastRowLastColumn="0"/>
            </w:pPr>
            <w:r w:rsidRPr="00821FA1">
              <w:t>Project A</w:t>
            </w:r>
          </w:p>
        </w:tc>
        <w:tc>
          <w:tcPr>
            <w:tcW w:w="0" w:type="auto"/>
            <w:hideMark/>
          </w:tcPr>
          <w:p w14:paraId="74CE4481" w14:textId="77777777" w:rsidR="0067457D" w:rsidRPr="00821FA1" w:rsidRDefault="0067457D" w:rsidP="0067457D">
            <w:pPr>
              <w:spacing w:before="40" w:after="180" w:line="276" w:lineRule="auto"/>
              <w:cnfStyle w:val="100000000000" w:firstRow="1" w:lastRow="0" w:firstColumn="0" w:lastColumn="0" w:oddVBand="0" w:evenVBand="0" w:oddHBand="0" w:evenHBand="0" w:firstRowFirstColumn="0" w:firstRowLastColumn="0" w:lastRowFirstColumn="0" w:lastRowLastColumn="0"/>
            </w:pPr>
            <w:r w:rsidRPr="00821FA1">
              <w:t>Project B</w:t>
            </w:r>
          </w:p>
        </w:tc>
        <w:tc>
          <w:tcPr>
            <w:tcW w:w="0" w:type="auto"/>
            <w:hideMark/>
          </w:tcPr>
          <w:p w14:paraId="2826EEC4" w14:textId="77777777" w:rsidR="0067457D" w:rsidRPr="00821FA1" w:rsidRDefault="0067457D" w:rsidP="0067457D">
            <w:pPr>
              <w:spacing w:before="40" w:after="180" w:line="276" w:lineRule="auto"/>
              <w:cnfStyle w:val="100000000000" w:firstRow="1" w:lastRow="0" w:firstColumn="0" w:lastColumn="0" w:oddVBand="0" w:evenVBand="0" w:oddHBand="0" w:evenHBand="0" w:firstRowFirstColumn="0" w:firstRowLastColumn="0" w:lastRowFirstColumn="0" w:lastRowLastColumn="0"/>
            </w:pPr>
            <w:r w:rsidRPr="00821FA1">
              <w:t>Project C</w:t>
            </w:r>
          </w:p>
        </w:tc>
      </w:tr>
      <w:tr w:rsidR="0067457D" w:rsidRPr="00821FA1" w14:paraId="1533C188" w14:textId="77777777" w:rsidTr="00674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50089A" w14:textId="77777777" w:rsidR="0067457D" w:rsidRPr="00821FA1" w:rsidRDefault="0067457D" w:rsidP="0067457D">
            <w:pPr>
              <w:spacing w:before="40" w:after="180" w:line="276" w:lineRule="auto"/>
            </w:pPr>
            <w:r w:rsidRPr="00821FA1">
              <w:t>Initial investment (£m)</w:t>
            </w:r>
          </w:p>
        </w:tc>
        <w:tc>
          <w:tcPr>
            <w:tcW w:w="0" w:type="auto"/>
            <w:hideMark/>
          </w:tcPr>
          <w:p w14:paraId="5D66B9E9"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Given</w:t>
            </w:r>
          </w:p>
        </w:tc>
        <w:tc>
          <w:tcPr>
            <w:tcW w:w="0" w:type="auto"/>
            <w:hideMark/>
          </w:tcPr>
          <w:p w14:paraId="48F701CD"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50</w:t>
            </w:r>
          </w:p>
        </w:tc>
        <w:tc>
          <w:tcPr>
            <w:tcW w:w="0" w:type="auto"/>
            <w:hideMark/>
          </w:tcPr>
          <w:p w14:paraId="470CED5D"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50</w:t>
            </w:r>
          </w:p>
        </w:tc>
        <w:tc>
          <w:tcPr>
            <w:tcW w:w="0" w:type="auto"/>
            <w:hideMark/>
          </w:tcPr>
          <w:p w14:paraId="55FAE519"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50</w:t>
            </w:r>
          </w:p>
        </w:tc>
      </w:tr>
      <w:tr w:rsidR="0067457D" w:rsidRPr="00821FA1" w14:paraId="73C5BF31" w14:textId="77777777" w:rsidTr="0067457D">
        <w:tc>
          <w:tcPr>
            <w:cnfStyle w:val="001000000000" w:firstRow="0" w:lastRow="0" w:firstColumn="1" w:lastColumn="0" w:oddVBand="0" w:evenVBand="0" w:oddHBand="0" w:evenHBand="0" w:firstRowFirstColumn="0" w:firstRowLastColumn="0" w:lastRowFirstColumn="0" w:lastRowLastColumn="0"/>
            <w:tcW w:w="0" w:type="auto"/>
            <w:hideMark/>
          </w:tcPr>
          <w:p w14:paraId="7D9442E3" w14:textId="77777777" w:rsidR="0067457D" w:rsidRPr="00821FA1" w:rsidRDefault="0067457D" w:rsidP="0067457D">
            <w:pPr>
              <w:spacing w:before="40" w:after="180" w:line="276" w:lineRule="auto"/>
            </w:pPr>
            <w:r w:rsidRPr="00821FA1">
              <w:t>Project life</w:t>
            </w:r>
          </w:p>
        </w:tc>
        <w:tc>
          <w:tcPr>
            <w:tcW w:w="0" w:type="auto"/>
            <w:hideMark/>
          </w:tcPr>
          <w:p w14:paraId="3BD6FF6B"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Given</w:t>
            </w:r>
          </w:p>
        </w:tc>
        <w:tc>
          <w:tcPr>
            <w:tcW w:w="0" w:type="auto"/>
            <w:hideMark/>
          </w:tcPr>
          <w:p w14:paraId="42117693"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5 years</w:t>
            </w:r>
          </w:p>
        </w:tc>
        <w:tc>
          <w:tcPr>
            <w:tcW w:w="0" w:type="auto"/>
            <w:hideMark/>
          </w:tcPr>
          <w:p w14:paraId="32FEC2EA"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5 years</w:t>
            </w:r>
          </w:p>
        </w:tc>
        <w:tc>
          <w:tcPr>
            <w:tcW w:w="0" w:type="auto"/>
            <w:hideMark/>
          </w:tcPr>
          <w:p w14:paraId="728858DB"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5 years</w:t>
            </w:r>
          </w:p>
        </w:tc>
      </w:tr>
      <w:tr w:rsidR="0067457D" w:rsidRPr="00821FA1" w14:paraId="3160B3B1" w14:textId="77777777" w:rsidTr="00674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44C1E7" w14:textId="77777777" w:rsidR="0067457D" w:rsidRPr="00821FA1" w:rsidRDefault="0067457D" w:rsidP="0067457D">
            <w:pPr>
              <w:spacing w:before="40" w:after="180" w:line="276" w:lineRule="auto"/>
            </w:pPr>
            <w:r w:rsidRPr="00821FA1">
              <w:t>Annual depreciation (£m)</w:t>
            </w:r>
          </w:p>
        </w:tc>
        <w:tc>
          <w:tcPr>
            <w:tcW w:w="0" w:type="auto"/>
            <w:hideMark/>
          </w:tcPr>
          <w:p w14:paraId="5CCF5B36"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£50m ÷ 5</w:t>
            </w:r>
          </w:p>
        </w:tc>
        <w:tc>
          <w:tcPr>
            <w:tcW w:w="0" w:type="auto"/>
            <w:hideMark/>
          </w:tcPr>
          <w:p w14:paraId="19EB0B79"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10</w:t>
            </w:r>
          </w:p>
        </w:tc>
        <w:tc>
          <w:tcPr>
            <w:tcW w:w="0" w:type="auto"/>
            <w:hideMark/>
          </w:tcPr>
          <w:p w14:paraId="6923E72A"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10</w:t>
            </w:r>
          </w:p>
        </w:tc>
        <w:tc>
          <w:tcPr>
            <w:tcW w:w="0" w:type="auto"/>
            <w:hideMark/>
          </w:tcPr>
          <w:p w14:paraId="216817AB"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10</w:t>
            </w:r>
          </w:p>
        </w:tc>
      </w:tr>
      <w:tr w:rsidR="0067457D" w:rsidRPr="00821FA1" w14:paraId="5F206FB0" w14:textId="77777777" w:rsidTr="0067457D">
        <w:tc>
          <w:tcPr>
            <w:cnfStyle w:val="001000000000" w:firstRow="0" w:lastRow="0" w:firstColumn="1" w:lastColumn="0" w:oddVBand="0" w:evenVBand="0" w:oddHBand="0" w:evenHBand="0" w:firstRowFirstColumn="0" w:firstRowLastColumn="0" w:lastRowFirstColumn="0" w:lastRowLastColumn="0"/>
            <w:tcW w:w="0" w:type="auto"/>
            <w:hideMark/>
          </w:tcPr>
          <w:p w14:paraId="65DA6C75" w14:textId="77777777" w:rsidR="0067457D" w:rsidRPr="00821FA1" w:rsidRDefault="0067457D" w:rsidP="0067457D">
            <w:pPr>
              <w:spacing w:before="40" w:after="180" w:line="276" w:lineRule="auto"/>
            </w:pPr>
            <w:r w:rsidRPr="00821FA1">
              <w:t>Average investment (£m)</w:t>
            </w:r>
          </w:p>
        </w:tc>
        <w:tc>
          <w:tcPr>
            <w:tcW w:w="0" w:type="auto"/>
            <w:hideMark/>
          </w:tcPr>
          <w:p w14:paraId="077FB892"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(50 + 0) ÷ 2</w:t>
            </w:r>
          </w:p>
        </w:tc>
        <w:tc>
          <w:tcPr>
            <w:tcW w:w="0" w:type="auto"/>
            <w:hideMark/>
          </w:tcPr>
          <w:p w14:paraId="49D87A60"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25</w:t>
            </w:r>
          </w:p>
        </w:tc>
        <w:tc>
          <w:tcPr>
            <w:tcW w:w="0" w:type="auto"/>
            <w:hideMark/>
          </w:tcPr>
          <w:p w14:paraId="10DB9DB4"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25</w:t>
            </w:r>
          </w:p>
        </w:tc>
        <w:tc>
          <w:tcPr>
            <w:tcW w:w="0" w:type="auto"/>
            <w:hideMark/>
          </w:tcPr>
          <w:p w14:paraId="543DBA49"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25</w:t>
            </w:r>
          </w:p>
        </w:tc>
      </w:tr>
      <w:tr w:rsidR="0067457D" w:rsidRPr="00821FA1" w14:paraId="1B08C549" w14:textId="77777777" w:rsidTr="00674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69A5B9" w14:textId="77777777" w:rsidR="0067457D" w:rsidRPr="00821FA1" w:rsidRDefault="0067457D" w:rsidP="0067457D">
            <w:pPr>
              <w:spacing w:before="40" w:after="180" w:line="276" w:lineRule="auto"/>
            </w:pPr>
            <w:r w:rsidRPr="00821FA1">
              <w:t>Payback period (years)</w:t>
            </w:r>
          </w:p>
        </w:tc>
        <w:tc>
          <w:tcPr>
            <w:tcW w:w="0" w:type="auto"/>
            <w:hideMark/>
          </w:tcPr>
          <w:p w14:paraId="4207B4E6"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Undiscounted cash inflows</w:t>
            </w:r>
          </w:p>
        </w:tc>
        <w:tc>
          <w:tcPr>
            <w:tcW w:w="0" w:type="auto"/>
            <w:hideMark/>
          </w:tcPr>
          <w:p w14:paraId="3CB3BDC9"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4.50</w:t>
            </w:r>
          </w:p>
        </w:tc>
        <w:tc>
          <w:tcPr>
            <w:tcW w:w="0" w:type="auto"/>
            <w:hideMark/>
          </w:tcPr>
          <w:p w14:paraId="5684A6E1"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4.55</w:t>
            </w:r>
          </w:p>
        </w:tc>
        <w:tc>
          <w:tcPr>
            <w:tcW w:w="0" w:type="auto"/>
            <w:hideMark/>
          </w:tcPr>
          <w:p w14:paraId="3A02DDEE"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3.60</w:t>
            </w:r>
          </w:p>
        </w:tc>
      </w:tr>
      <w:tr w:rsidR="0067457D" w:rsidRPr="00821FA1" w14:paraId="09D2543E" w14:textId="77777777" w:rsidTr="0067457D">
        <w:tc>
          <w:tcPr>
            <w:cnfStyle w:val="001000000000" w:firstRow="0" w:lastRow="0" w:firstColumn="1" w:lastColumn="0" w:oddVBand="0" w:evenVBand="0" w:oddHBand="0" w:evenHBand="0" w:firstRowFirstColumn="0" w:firstRowLastColumn="0" w:lastRowFirstColumn="0" w:lastRowLastColumn="0"/>
            <w:tcW w:w="0" w:type="auto"/>
            <w:hideMark/>
          </w:tcPr>
          <w:p w14:paraId="3A85427C" w14:textId="77777777" w:rsidR="0067457D" w:rsidRPr="00821FA1" w:rsidRDefault="0067457D" w:rsidP="0067457D">
            <w:pPr>
              <w:spacing w:before="40" w:after="180" w:line="276" w:lineRule="auto"/>
            </w:pPr>
            <w:r w:rsidRPr="00821FA1">
              <w:t>Average annual cash inflow (£m)</w:t>
            </w:r>
          </w:p>
        </w:tc>
        <w:tc>
          <w:tcPr>
            <w:tcW w:w="0" w:type="auto"/>
            <w:hideMark/>
          </w:tcPr>
          <w:p w14:paraId="25545508"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Total inflows ÷ 5</w:t>
            </w:r>
          </w:p>
        </w:tc>
        <w:tc>
          <w:tcPr>
            <w:tcW w:w="0" w:type="auto"/>
            <w:hideMark/>
          </w:tcPr>
          <w:p w14:paraId="2F4EE069"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10.8</w:t>
            </w:r>
          </w:p>
        </w:tc>
        <w:tc>
          <w:tcPr>
            <w:tcW w:w="0" w:type="auto"/>
            <w:hideMark/>
          </w:tcPr>
          <w:p w14:paraId="0003E115"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11.0</w:t>
            </w:r>
          </w:p>
        </w:tc>
        <w:tc>
          <w:tcPr>
            <w:tcW w:w="0" w:type="auto"/>
            <w:hideMark/>
          </w:tcPr>
          <w:p w14:paraId="2FDE9A4D"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13.0</w:t>
            </w:r>
          </w:p>
        </w:tc>
      </w:tr>
      <w:tr w:rsidR="0067457D" w:rsidRPr="00821FA1" w14:paraId="32CC06CE" w14:textId="77777777" w:rsidTr="00674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F68EC6" w14:textId="77777777" w:rsidR="0067457D" w:rsidRPr="00821FA1" w:rsidRDefault="0067457D" w:rsidP="0067457D">
            <w:pPr>
              <w:spacing w:before="40" w:after="180" w:line="276" w:lineRule="auto"/>
            </w:pPr>
            <w:r w:rsidRPr="00821FA1">
              <w:t>Average annual accounting profit (£m)</w:t>
            </w:r>
          </w:p>
        </w:tc>
        <w:tc>
          <w:tcPr>
            <w:tcW w:w="0" w:type="auto"/>
            <w:hideMark/>
          </w:tcPr>
          <w:p w14:paraId="61D0259F"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Average inflow − Depreciation</w:t>
            </w:r>
          </w:p>
        </w:tc>
        <w:tc>
          <w:tcPr>
            <w:tcW w:w="0" w:type="auto"/>
            <w:hideMark/>
          </w:tcPr>
          <w:p w14:paraId="09402546"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0.8</w:t>
            </w:r>
          </w:p>
        </w:tc>
        <w:tc>
          <w:tcPr>
            <w:tcW w:w="0" w:type="auto"/>
            <w:hideMark/>
          </w:tcPr>
          <w:p w14:paraId="7CE2A01B"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1.0</w:t>
            </w:r>
          </w:p>
        </w:tc>
        <w:tc>
          <w:tcPr>
            <w:tcW w:w="0" w:type="auto"/>
            <w:hideMark/>
          </w:tcPr>
          <w:p w14:paraId="1D25160F"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3.0</w:t>
            </w:r>
          </w:p>
        </w:tc>
      </w:tr>
      <w:tr w:rsidR="0067457D" w:rsidRPr="00821FA1" w14:paraId="404A4C7F" w14:textId="77777777" w:rsidTr="0067457D">
        <w:tc>
          <w:tcPr>
            <w:cnfStyle w:val="001000000000" w:firstRow="0" w:lastRow="0" w:firstColumn="1" w:lastColumn="0" w:oddVBand="0" w:evenVBand="0" w:oddHBand="0" w:evenHBand="0" w:firstRowFirstColumn="0" w:firstRowLastColumn="0" w:lastRowFirstColumn="0" w:lastRowLastColumn="0"/>
            <w:tcW w:w="0" w:type="auto"/>
            <w:hideMark/>
          </w:tcPr>
          <w:p w14:paraId="582DE001" w14:textId="77777777" w:rsidR="0067457D" w:rsidRPr="00821FA1" w:rsidRDefault="0067457D" w:rsidP="0067457D">
            <w:pPr>
              <w:spacing w:before="40" w:after="180" w:line="276" w:lineRule="auto"/>
            </w:pPr>
            <w:r w:rsidRPr="00821FA1">
              <w:t>Accounting Rate of Return (ARR)</w:t>
            </w:r>
          </w:p>
        </w:tc>
        <w:tc>
          <w:tcPr>
            <w:tcW w:w="0" w:type="auto"/>
            <w:hideMark/>
          </w:tcPr>
          <w:p w14:paraId="72F77807"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Profit ÷ Average investment ×100</w:t>
            </w:r>
          </w:p>
        </w:tc>
        <w:tc>
          <w:tcPr>
            <w:tcW w:w="0" w:type="auto"/>
            <w:hideMark/>
          </w:tcPr>
          <w:p w14:paraId="1AC49370"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rPr>
                <w:b/>
                <w:bCs/>
              </w:rPr>
              <w:t>3.2%</w:t>
            </w:r>
          </w:p>
        </w:tc>
        <w:tc>
          <w:tcPr>
            <w:tcW w:w="0" w:type="auto"/>
            <w:hideMark/>
          </w:tcPr>
          <w:p w14:paraId="025902F0"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rPr>
                <w:b/>
                <w:bCs/>
              </w:rPr>
              <w:t>4.0%</w:t>
            </w:r>
          </w:p>
        </w:tc>
        <w:tc>
          <w:tcPr>
            <w:tcW w:w="0" w:type="auto"/>
            <w:hideMark/>
          </w:tcPr>
          <w:p w14:paraId="2BD25D19"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rPr>
                <w:b/>
                <w:bCs/>
              </w:rPr>
              <w:t>12.0%</w:t>
            </w:r>
          </w:p>
        </w:tc>
      </w:tr>
      <w:tr w:rsidR="0067457D" w:rsidRPr="00821FA1" w14:paraId="2A4E88E1" w14:textId="77777777" w:rsidTr="00674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656865" w14:textId="77777777" w:rsidR="0067457D" w:rsidRPr="00821FA1" w:rsidRDefault="0067457D" w:rsidP="0067457D">
            <w:pPr>
              <w:spacing w:before="40" w:after="180" w:line="276" w:lineRule="auto"/>
            </w:pPr>
            <w:r w:rsidRPr="00821FA1">
              <w:t>Present Value of inflows (£m)</w:t>
            </w:r>
          </w:p>
        </w:tc>
        <w:tc>
          <w:tcPr>
            <w:tcW w:w="0" w:type="auto"/>
            <w:hideMark/>
          </w:tcPr>
          <w:p w14:paraId="3662D6BD"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Sum of discounted cash inflows</w:t>
            </w:r>
          </w:p>
        </w:tc>
        <w:tc>
          <w:tcPr>
            <w:tcW w:w="0" w:type="auto"/>
            <w:hideMark/>
          </w:tcPr>
          <w:p w14:paraId="08D4E7CE"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43.46</w:t>
            </w:r>
          </w:p>
        </w:tc>
        <w:tc>
          <w:tcPr>
            <w:tcW w:w="0" w:type="auto"/>
            <w:hideMark/>
          </w:tcPr>
          <w:p w14:paraId="6ACD86D3"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43.92</w:t>
            </w:r>
          </w:p>
        </w:tc>
        <w:tc>
          <w:tcPr>
            <w:tcW w:w="0" w:type="auto"/>
            <w:hideMark/>
          </w:tcPr>
          <w:p w14:paraId="69BA474F"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50.86</w:t>
            </w:r>
          </w:p>
        </w:tc>
      </w:tr>
      <w:tr w:rsidR="0067457D" w:rsidRPr="00821FA1" w14:paraId="4CFCD437" w14:textId="77777777" w:rsidTr="0067457D">
        <w:tc>
          <w:tcPr>
            <w:cnfStyle w:val="001000000000" w:firstRow="0" w:lastRow="0" w:firstColumn="1" w:lastColumn="0" w:oddVBand="0" w:evenVBand="0" w:oddHBand="0" w:evenHBand="0" w:firstRowFirstColumn="0" w:firstRowLastColumn="0" w:lastRowFirstColumn="0" w:lastRowLastColumn="0"/>
            <w:tcW w:w="0" w:type="auto"/>
            <w:hideMark/>
          </w:tcPr>
          <w:p w14:paraId="21E5D7C9" w14:textId="77777777" w:rsidR="0067457D" w:rsidRPr="00821FA1" w:rsidRDefault="0067457D" w:rsidP="0067457D">
            <w:pPr>
              <w:spacing w:before="40" w:after="180" w:line="276" w:lineRule="auto"/>
            </w:pPr>
            <w:r w:rsidRPr="00821FA1">
              <w:t>Net Present Value (NPV) (£m)</w:t>
            </w:r>
          </w:p>
        </w:tc>
        <w:tc>
          <w:tcPr>
            <w:tcW w:w="0" w:type="auto"/>
            <w:hideMark/>
          </w:tcPr>
          <w:p w14:paraId="09940EC4"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PV of inflows − Initial investment</w:t>
            </w:r>
          </w:p>
        </w:tc>
        <w:tc>
          <w:tcPr>
            <w:tcW w:w="0" w:type="auto"/>
            <w:hideMark/>
          </w:tcPr>
          <w:p w14:paraId="10073964"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rPr>
                <w:b/>
                <w:bCs/>
              </w:rPr>
              <w:t>−6.54</w:t>
            </w:r>
          </w:p>
        </w:tc>
        <w:tc>
          <w:tcPr>
            <w:tcW w:w="0" w:type="auto"/>
            <w:hideMark/>
          </w:tcPr>
          <w:p w14:paraId="0031700C"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rPr>
                <w:b/>
                <w:bCs/>
              </w:rPr>
              <w:t>−6.08</w:t>
            </w:r>
          </w:p>
        </w:tc>
        <w:tc>
          <w:tcPr>
            <w:tcW w:w="0" w:type="auto"/>
            <w:hideMark/>
          </w:tcPr>
          <w:p w14:paraId="03A4311D"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rPr>
                <w:b/>
                <w:bCs/>
              </w:rPr>
              <w:t>+0.86</w:t>
            </w:r>
          </w:p>
        </w:tc>
      </w:tr>
      <w:tr w:rsidR="0067457D" w:rsidRPr="00821FA1" w14:paraId="203AFF5F" w14:textId="77777777" w:rsidTr="00674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66306A" w14:textId="77777777" w:rsidR="0067457D" w:rsidRPr="00821FA1" w:rsidRDefault="0067457D" w:rsidP="0067457D">
            <w:pPr>
              <w:spacing w:before="40" w:after="180" w:line="276" w:lineRule="auto"/>
            </w:pPr>
            <w:r w:rsidRPr="00821FA1">
              <w:t>Profitability Index (PI)</w:t>
            </w:r>
          </w:p>
        </w:tc>
        <w:tc>
          <w:tcPr>
            <w:tcW w:w="0" w:type="auto"/>
            <w:hideMark/>
          </w:tcPr>
          <w:p w14:paraId="5D5C0B74"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PV of inflows ÷ Initial investment</w:t>
            </w:r>
          </w:p>
        </w:tc>
        <w:tc>
          <w:tcPr>
            <w:tcW w:w="0" w:type="auto"/>
            <w:hideMark/>
          </w:tcPr>
          <w:p w14:paraId="2F303CC7"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rPr>
                <w:b/>
                <w:bCs/>
              </w:rPr>
              <w:t>0.869</w:t>
            </w:r>
          </w:p>
        </w:tc>
        <w:tc>
          <w:tcPr>
            <w:tcW w:w="0" w:type="auto"/>
            <w:hideMark/>
          </w:tcPr>
          <w:p w14:paraId="68987DC0"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rPr>
                <w:b/>
                <w:bCs/>
              </w:rPr>
              <w:t>0.878</w:t>
            </w:r>
          </w:p>
        </w:tc>
        <w:tc>
          <w:tcPr>
            <w:tcW w:w="0" w:type="auto"/>
            <w:hideMark/>
          </w:tcPr>
          <w:p w14:paraId="3D1D1853"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rPr>
                <w:b/>
                <w:bCs/>
              </w:rPr>
              <w:t>1.017</w:t>
            </w:r>
          </w:p>
        </w:tc>
      </w:tr>
      <w:tr w:rsidR="0067457D" w:rsidRPr="00821FA1" w14:paraId="605454A5" w14:textId="77777777" w:rsidTr="0067457D">
        <w:tc>
          <w:tcPr>
            <w:cnfStyle w:val="001000000000" w:firstRow="0" w:lastRow="0" w:firstColumn="1" w:lastColumn="0" w:oddVBand="0" w:evenVBand="0" w:oddHBand="0" w:evenHBand="0" w:firstRowFirstColumn="0" w:firstRowLastColumn="0" w:lastRowFirstColumn="0" w:lastRowLastColumn="0"/>
            <w:tcW w:w="0" w:type="auto"/>
            <w:hideMark/>
          </w:tcPr>
          <w:p w14:paraId="1263A37A" w14:textId="77777777" w:rsidR="0067457D" w:rsidRPr="00821FA1" w:rsidRDefault="0067457D" w:rsidP="0067457D">
            <w:pPr>
              <w:spacing w:before="40" w:after="180" w:line="276" w:lineRule="auto"/>
            </w:pPr>
            <w:r w:rsidRPr="00821FA1">
              <w:t>Internal Rate of Return (IRR)</w:t>
            </w:r>
          </w:p>
        </w:tc>
        <w:tc>
          <w:tcPr>
            <w:tcW w:w="0" w:type="auto"/>
            <w:hideMark/>
          </w:tcPr>
          <w:p w14:paraId="13832922"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t>Discount rate where NPV = 0</w:t>
            </w:r>
          </w:p>
        </w:tc>
        <w:tc>
          <w:tcPr>
            <w:tcW w:w="0" w:type="auto"/>
            <w:hideMark/>
          </w:tcPr>
          <w:p w14:paraId="29CDBE77"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rPr>
                <w:b/>
                <w:bCs/>
              </w:rPr>
              <w:t>2.72%</w:t>
            </w:r>
          </w:p>
        </w:tc>
        <w:tc>
          <w:tcPr>
            <w:tcW w:w="0" w:type="auto"/>
            <w:hideMark/>
          </w:tcPr>
          <w:p w14:paraId="5510AF26"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rPr>
                <w:b/>
                <w:bCs/>
              </w:rPr>
              <w:t>3.26%</w:t>
            </w:r>
          </w:p>
        </w:tc>
        <w:tc>
          <w:tcPr>
            <w:tcW w:w="0" w:type="auto"/>
            <w:hideMark/>
          </w:tcPr>
          <w:p w14:paraId="7C1C2F6D" w14:textId="77777777" w:rsidR="0067457D" w:rsidRPr="00821FA1" w:rsidRDefault="0067457D" w:rsidP="0067457D">
            <w:pPr>
              <w:spacing w:before="40" w:after="180" w:line="276" w:lineRule="auto"/>
              <w:cnfStyle w:val="000000000000" w:firstRow="0" w:lastRow="0" w:firstColumn="0" w:lastColumn="0" w:oddVBand="0" w:evenVBand="0" w:oddHBand="0" w:evenHBand="0" w:firstRowFirstColumn="0" w:firstRowLastColumn="0" w:lastRowFirstColumn="0" w:lastRowLastColumn="0"/>
            </w:pPr>
            <w:r w:rsidRPr="00821FA1">
              <w:rPr>
                <w:b/>
                <w:bCs/>
              </w:rPr>
              <w:t>8.59%</w:t>
            </w:r>
          </w:p>
        </w:tc>
      </w:tr>
      <w:tr w:rsidR="0067457D" w:rsidRPr="00821FA1" w14:paraId="33B77088" w14:textId="77777777" w:rsidTr="00674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401516" w14:textId="77777777" w:rsidR="0067457D" w:rsidRPr="00821FA1" w:rsidRDefault="0067457D" w:rsidP="0067457D">
            <w:pPr>
              <w:spacing w:before="40" w:after="180" w:line="276" w:lineRule="auto"/>
            </w:pPr>
            <w:r w:rsidRPr="00821FA1">
              <w:t>Investment Decision</w:t>
            </w:r>
          </w:p>
        </w:tc>
        <w:tc>
          <w:tcPr>
            <w:tcW w:w="0" w:type="auto"/>
            <w:hideMark/>
          </w:tcPr>
          <w:p w14:paraId="1B75A9FD"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Accept if NPV &gt; 0 and IRR &gt; 8%</w:t>
            </w:r>
          </w:p>
        </w:tc>
        <w:tc>
          <w:tcPr>
            <w:tcW w:w="0" w:type="auto"/>
            <w:hideMark/>
          </w:tcPr>
          <w:p w14:paraId="0C06FCD8"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Reject</w:t>
            </w:r>
          </w:p>
        </w:tc>
        <w:tc>
          <w:tcPr>
            <w:tcW w:w="0" w:type="auto"/>
            <w:hideMark/>
          </w:tcPr>
          <w:p w14:paraId="031EAB36"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t>Reject</w:t>
            </w:r>
          </w:p>
        </w:tc>
        <w:tc>
          <w:tcPr>
            <w:tcW w:w="0" w:type="auto"/>
            <w:hideMark/>
          </w:tcPr>
          <w:p w14:paraId="4A9AE7B2" w14:textId="77777777" w:rsidR="0067457D" w:rsidRPr="00821FA1" w:rsidRDefault="0067457D" w:rsidP="0067457D">
            <w:pPr>
              <w:spacing w:before="40" w:after="180" w:line="276" w:lineRule="auto"/>
              <w:cnfStyle w:val="000000100000" w:firstRow="0" w:lastRow="0" w:firstColumn="0" w:lastColumn="0" w:oddVBand="0" w:evenVBand="0" w:oddHBand="1" w:evenHBand="0" w:firstRowFirstColumn="0" w:firstRowLastColumn="0" w:lastRowFirstColumn="0" w:lastRowLastColumn="0"/>
            </w:pPr>
            <w:r w:rsidRPr="00821FA1">
              <w:rPr>
                <w:b/>
                <w:bCs/>
              </w:rPr>
              <w:t>Accept</w:t>
            </w:r>
          </w:p>
        </w:tc>
      </w:tr>
    </w:tbl>
    <w:p w14:paraId="1F64EC39" w14:textId="70C6F622" w:rsidR="0067457D" w:rsidRPr="00821FA1" w:rsidRDefault="0067457D" w:rsidP="0067457D">
      <w:pPr>
        <w:pStyle w:val="Heading2"/>
        <w:spacing w:line="360" w:lineRule="auto"/>
      </w:pPr>
      <w:bookmarkStart w:id="40" w:name="_Toc236960531"/>
      <w:r w:rsidRPr="00821FA1">
        <w:t>Appendix C: Capital Rationing (£100m Budget)</w:t>
      </w:r>
      <w:bookmarkEnd w:id="40"/>
    </w:p>
    <w:tbl>
      <w:tblPr>
        <w:tblStyle w:val="GridTable4-Accent2"/>
        <w:tblW w:w="0" w:type="auto"/>
        <w:jc w:val="center"/>
        <w:tblLook w:val="04A0" w:firstRow="1" w:lastRow="0" w:firstColumn="1" w:lastColumn="0" w:noHBand="0" w:noVBand="1"/>
      </w:tblPr>
      <w:tblGrid>
        <w:gridCol w:w="2597"/>
        <w:gridCol w:w="2057"/>
        <w:gridCol w:w="2523"/>
        <w:gridCol w:w="1217"/>
      </w:tblGrid>
      <w:tr w:rsidR="0067457D" w:rsidRPr="00821FA1" w14:paraId="781C3BE4" w14:textId="77777777" w:rsidTr="0067457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C6FFE0" w14:textId="77777777" w:rsidR="0067457D" w:rsidRPr="00821FA1" w:rsidRDefault="0067457D" w:rsidP="0067457D">
            <w:pPr>
              <w:spacing w:before="40" w:after="180"/>
            </w:pPr>
            <w:r w:rsidRPr="00821FA1">
              <w:t>Combination</w:t>
            </w:r>
          </w:p>
        </w:tc>
        <w:tc>
          <w:tcPr>
            <w:tcW w:w="0" w:type="auto"/>
            <w:hideMark/>
          </w:tcPr>
          <w:p w14:paraId="565324EB" w14:textId="77777777" w:rsidR="0067457D" w:rsidRPr="00821FA1" w:rsidRDefault="0067457D" w:rsidP="0067457D">
            <w:pPr>
              <w:spacing w:before="40" w:after="180"/>
              <w:cnfStyle w:val="100000000000" w:firstRow="1" w:lastRow="0" w:firstColumn="0" w:lastColumn="0" w:oddVBand="0" w:evenVBand="0" w:oddHBand="0" w:evenHBand="0" w:firstRowFirstColumn="0" w:firstRowLastColumn="0" w:lastRowFirstColumn="0" w:lastRowLastColumn="0"/>
            </w:pPr>
            <w:r w:rsidRPr="00821FA1">
              <w:t>Investment (£m)</w:t>
            </w:r>
          </w:p>
        </w:tc>
        <w:tc>
          <w:tcPr>
            <w:tcW w:w="0" w:type="auto"/>
            <w:hideMark/>
          </w:tcPr>
          <w:p w14:paraId="4EBC1E9E" w14:textId="77777777" w:rsidR="0067457D" w:rsidRPr="00821FA1" w:rsidRDefault="0067457D" w:rsidP="0067457D">
            <w:pPr>
              <w:spacing w:before="40" w:after="180"/>
              <w:cnfStyle w:val="100000000000" w:firstRow="1" w:lastRow="0" w:firstColumn="0" w:lastColumn="0" w:oddVBand="0" w:evenVBand="0" w:oddHBand="0" w:evenHBand="0" w:firstRowFirstColumn="0" w:firstRowLastColumn="0" w:lastRowFirstColumn="0" w:lastRowLastColumn="0"/>
            </w:pPr>
            <w:r w:rsidRPr="00821FA1">
              <w:t>Combined NPV (£m)</w:t>
            </w:r>
          </w:p>
        </w:tc>
        <w:tc>
          <w:tcPr>
            <w:tcW w:w="0" w:type="auto"/>
            <w:hideMark/>
          </w:tcPr>
          <w:p w14:paraId="21EF65AC" w14:textId="77777777" w:rsidR="0067457D" w:rsidRPr="00821FA1" w:rsidRDefault="0067457D" w:rsidP="0067457D">
            <w:pPr>
              <w:spacing w:before="40" w:after="180"/>
              <w:cnfStyle w:val="100000000000" w:firstRow="1" w:lastRow="0" w:firstColumn="0" w:lastColumn="0" w:oddVBand="0" w:evenVBand="0" w:oddHBand="0" w:evenHBand="0" w:firstRowFirstColumn="0" w:firstRowLastColumn="0" w:lastRowFirstColumn="0" w:lastRowLastColumn="0"/>
            </w:pPr>
            <w:r w:rsidRPr="00821FA1">
              <w:t>Decision</w:t>
            </w:r>
          </w:p>
        </w:tc>
      </w:tr>
      <w:tr w:rsidR="0067457D" w:rsidRPr="00821FA1" w14:paraId="40BDDD7E" w14:textId="77777777" w:rsidTr="006745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3293CF" w14:textId="77777777" w:rsidR="0067457D" w:rsidRPr="00821FA1" w:rsidRDefault="0067457D" w:rsidP="0067457D">
            <w:pPr>
              <w:spacing w:before="40" w:after="180"/>
            </w:pPr>
            <w:r w:rsidRPr="00821FA1">
              <w:t>Project A + Project B</w:t>
            </w:r>
          </w:p>
        </w:tc>
        <w:tc>
          <w:tcPr>
            <w:tcW w:w="0" w:type="auto"/>
            <w:hideMark/>
          </w:tcPr>
          <w:p w14:paraId="255D6150" w14:textId="77777777" w:rsidR="0067457D" w:rsidRPr="00821FA1" w:rsidRDefault="0067457D" w:rsidP="0067457D">
            <w:pPr>
              <w:spacing w:before="40" w:after="180"/>
              <w:cnfStyle w:val="000000100000" w:firstRow="0" w:lastRow="0" w:firstColumn="0" w:lastColumn="0" w:oddVBand="0" w:evenVBand="0" w:oddHBand="1" w:evenHBand="0" w:firstRowFirstColumn="0" w:firstRowLastColumn="0" w:lastRowFirstColumn="0" w:lastRowLastColumn="0"/>
            </w:pPr>
            <w:r w:rsidRPr="00821FA1">
              <w:t>100</w:t>
            </w:r>
          </w:p>
        </w:tc>
        <w:tc>
          <w:tcPr>
            <w:tcW w:w="0" w:type="auto"/>
            <w:hideMark/>
          </w:tcPr>
          <w:p w14:paraId="0A6B104F" w14:textId="77777777" w:rsidR="0067457D" w:rsidRPr="00821FA1" w:rsidRDefault="0067457D" w:rsidP="0067457D">
            <w:pPr>
              <w:spacing w:before="40" w:after="180"/>
              <w:cnfStyle w:val="000000100000" w:firstRow="0" w:lastRow="0" w:firstColumn="0" w:lastColumn="0" w:oddVBand="0" w:evenVBand="0" w:oddHBand="1" w:evenHBand="0" w:firstRowFirstColumn="0" w:firstRowLastColumn="0" w:lastRowFirstColumn="0" w:lastRowLastColumn="0"/>
            </w:pPr>
            <w:r w:rsidRPr="00821FA1">
              <w:t>−12.62</w:t>
            </w:r>
          </w:p>
        </w:tc>
        <w:tc>
          <w:tcPr>
            <w:tcW w:w="0" w:type="auto"/>
            <w:hideMark/>
          </w:tcPr>
          <w:p w14:paraId="485D5CCC" w14:textId="77777777" w:rsidR="0067457D" w:rsidRPr="00821FA1" w:rsidRDefault="0067457D" w:rsidP="0067457D">
            <w:pPr>
              <w:spacing w:before="40" w:after="180"/>
              <w:cnfStyle w:val="000000100000" w:firstRow="0" w:lastRow="0" w:firstColumn="0" w:lastColumn="0" w:oddVBand="0" w:evenVBand="0" w:oddHBand="1" w:evenHBand="0" w:firstRowFirstColumn="0" w:firstRowLastColumn="0" w:lastRowFirstColumn="0" w:lastRowLastColumn="0"/>
            </w:pPr>
            <w:r w:rsidRPr="00821FA1">
              <w:t>Reject</w:t>
            </w:r>
          </w:p>
        </w:tc>
      </w:tr>
      <w:tr w:rsidR="0067457D" w:rsidRPr="00821FA1" w14:paraId="1F6CAC0C" w14:textId="77777777" w:rsidTr="0067457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E70D61" w14:textId="77777777" w:rsidR="0067457D" w:rsidRPr="00821FA1" w:rsidRDefault="0067457D" w:rsidP="0067457D">
            <w:pPr>
              <w:spacing w:before="40" w:after="180"/>
            </w:pPr>
            <w:r w:rsidRPr="00821FA1">
              <w:t>Project A + Project C</w:t>
            </w:r>
          </w:p>
        </w:tc>
        <w:tc>
          <w:tcPr>
            <w:tcW w:w="0" w:type="auto"/>
            <w:hideMark/>
          </w:tcPr>
          <w:p w14:paraId="10F91D94" w14:textId="77777777" w:rsidR="0067457D" w:rsidRPr="00821FA1" w:rsidRDefault="0067457D" w:rsidP="0067457D">
            <w:pPr>
              <w:spacing w:before="40" w:after="180"/>
              <w:cnfStyle w:val="000000000000" w:firstRow="0" w:lastRow="0" w:firstColumn="0" w:lastColumn="0" w:oddVBand="0" w:evenVBand="0" w:oddHBand="0" w:evenHBand="0" w:firstRowFirstColumn="0" w:firstRowLastColumn="0" w:lastRowFirstColumn="0" w:lastRowLastColumn="0"/>
            </w:pPr>
            <w:r w:rsidRPr="00821FA1">
              <w:t>100</w:t>
            </w:r>
          </w:p>
        </w:tc>
        <w:tc>
          <w:tcPr>
            <w:tcW w:w="0" w:type="auto"/>
            <w:hideMark/>
          </w:tcPr>
          <w:p w14:paraId="3FF07A5A" w14:textId="77777777" w:rsidR="0067457D" w:rsidRPr="00821FA1" w:rsidRDefault="0067457D" w:rsidP="0067457D">
            <w:pPr>
              <w:spacing w:before="40" w:after="180"/>
              <w:cnfStyle w:val="000000000000" w:firstRow="0" w:lastRow="0" w:firstColumn="0" w:lastColumn="0" w:oddVBand="0" w:evenVBand="0" w:oddHBand="0" w:evenHBand="0" w:firstRowFirstColumn="0" w:firstRowLastColumn="0" w:lastRowFirstColumn="0" w:lastRowLastColumn="0"/>
            </w:pPr>
            <w:r w:rsidRPr="00821FA1">
              <w:t>−5.69</w:t>
            </w:r>
          </w:p>
        </w:tc>
        <w:tc>
          <w:tcPr>
            <w:tcW w:w="0" w:type="auto"/>
            <w:hideMark/>
          </w:tcPr>
          <w:p w14:paraId="0792A265" w14:textId="77777777" w:rsidR="0067457D" w:rsidRPr="00821FA1" w:rsidRDefault="0067457D" w:rsidP="0067457D">
            <w:pPr>
              <w:spacing w:before="40" w:after="180"/>
              <w:cnfStyle w:val="000000000000" w:firstRow="0" w:lastRow="0" w:firstColumn="0" w:lastColumn="0" w:oddVBand="0" w:evenVBand="0" w:oddHBand="0" w:evenHBand="0" w:firstRowFirstColumn="0" w:firstRowLastColumn="0" w:lastRowFirstColumn="0" w:lastRowLastColumn="0"/>
            </w:pPr>
            <w:r w:rsidRPr="00821FA1">
              <w:t>Reject</w:t>
            </w:r>
          </w:p>
        </w:tc>
      </w:tr>
      <w:tr w:rsidR="0067457D" w:rsidRPr="00821FA1" w14:paraId="609C40F5" w14:textId="77777777" w:rsidTr="006745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7111A68" w14:textId="77777777" w:rsidR="0067457D" w:rsidRPr="00821FA1" w:rsidRDefault="0067457D" w:rsidP="0067457D">
            <w:pPr>
              <w:spacing w:before="40" w:after="180"/>
            </w:pPr>
            <w:r w:rsidRPr="00821FA1">
              <w:t>Project B + Project C</w:t>
            </w:r>
          </w:p>
        </w:tc>
        <w:tc>
          <w:tcPr>
            <w:tcW w:w="0" w:type="auto"/>
            <w:hideMark/>
          </w:tcPr>
          <w:p w14:paraId="562EDDA6" w14:textId="77777777" w:rsidR="0067457D" w:rsidRPr="00821FA1" w:rsidRDefault="0067457D" w:rsidP="0067457D">
            <w:pPr>
              <w:spacing w:before="40" w:after="180"/>
              <w:cnfStyle w:val="000000100000" w:firstRow="0" w:lastRow="0" w:firstColumn="0" w:lastColumn="0" w:oddVBand="0" w:evenVBand="0" w:oddHBand="1" w:evenHBand="0" w:firstRowFirstColumn="0" w:firstRowLastColumn="0" w:lastRowFirstColumn="0" w:lastRowLastColumn="0"/>
            </w:pPr>
            <w:r w:rsidRPr="00821FA1">
              <w:t>100</w:t>
            </w:r>
          </w:p>
        </w:tc>
        <w:tc>
          <w:tcPr>
            <w:tcW w:w="0" w:type="auto"/>
            <w:hideMark/>
          </w:tcPr>
          <w:p w14:paraId="5EFA0949" w14:textId="77777777" w:rsidR="0067457D" w:rsidRPr="00821FA1" w:rsidRDefault="0067457D" w:rsidP="0067457D">
            <w:pPr>
              <w:spacing w:before="40" w:after="180"/>
              <w:cnfStyle w:val="000000100000" w:firstRow="0" w:lastRow="0" w:firstColumn="0" w:lastColumn="0" w:oddVBand="0" w:evenVBand="0" w:oddHBand="1" w:evenHBand="0" w:firstRowFirstColumn="0" w:firstRowLastColumn="0" w:lastRowFirstColumn="0" w:lastRowLastColumn="0"/>
            </w:pPr>
            <w:r w:rsidRPr="00821FA1">
              <w:t>−5.22</w:t>
            </w:r>
          </w:p>
        </w:tc>
        <w:tc>
          <w:tcPr>
            <w:tcW w:w="0" w:type="auto"/>
            <w:hideMark/>
          </w:tcPr>
          <w:p w14:paraId="39432982" w14:textId="77777777" w:rsidR="0067457D" w:rsidRPr="00821FA1" w:rsidRDefault="0067457D" w:rsidP="0067457D">
            <w:pPr>
              <w:spacing w:before="40" w:after="180"/>
              <w:cnfStyle w:val="000000100000" w:firstRow="0" w:lastRow="0" w:firstColumn="0" w:lastColumn="0" w:oddVBand="0" w:evenVBand="0" w:oddHBand="1" w:evenHBand="0" w:firstRowFirstColumn="0" w:firstRowLastColumn="0" w:lastRowFirstColumn="0" w:lastRowLastColumn="0"/>
            </w:pPr>
            <w:r w:rsidRPr="00821FA1">
              <w:t>Reject</w:t>
            </w:r>
          </w:p>
        </w:tc>
      </w:tr>
      <w:tr w:rsidR="0067457D" w:rsidRPr="00821FA1" w14:paraId="55F03E22" w14:textId="77777777" w:rsidTr="0067457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574E3F3" w14:textId="77777777" w:rsidR="0067457D" w:rsidRPr="00821FA1" w:rsidRDefault="0067457D" w:rsidP="0067457D">
            <w:pPr>
              <w:spacing w:before="40" w:after="180"/>
            </w:pPr>
            <w:r w:rsidRPr="00821FA1">
              <w:t>Project C only</w:t>
            </w:r>
          </w:p>
        </w:tc>
        <w:tc>
          <w:tcPr>
            <w:tcW w:w="0" w:type="auto"/>
            <w:hideMark/>
          </w:tcPr>
          <w:p w14:paraId="5059BF29" w14:textId="77777777" w:rsidR="0067457D" w:rsidRPr="00821FA1" w:rsidRDefault="0067457D" w:rsidP="0067457D">
            <w:pPr>
              <w:spacing w:before="40" w:after="180"/>
              <w:cnfStyle w:val="000000000000" w:firstRow="0" w:lastRow="0" w:firstColumn="0" w:lastColumn="0" w:oddVBand="0" w:evenVBand="0" w:oddHBand="0" w:evenHBand="0" w:firstRowFirstColumn="0" w:firstRowLastColumn="0" w:lastRowFirstColumn="0" w:lastRowLastColumn="0"/>
            </w:pPr>
            <w:r w:rsidRPr="00821FA1">
              <w:rPr>
                <w:b/>
                <w:bCs/>
              </w:rPr>
              <w:t>50</w:t>
            </w:r>
          </w:p>
        </w:tc>
        <w:tc>
          <w:tcPr>
            <w:tcW w:w="0" w:type="auto"/>
            <w:hideMark/>
          </w:tcPr>
          <w:p w14:paraId="1E077897" w14:textId="77777777" w:rsidR="0067457D" w:rsidRPr="00821FA1" w:rsidRDefault="0067457D" w:rsidP="0067457D">
            <w:pPr>
              <w:spacing w:before="40" w:after="180"/>
              <w:cnfStyle w:val="000000000000" w:firstRow="0" w:lastRow="0" w:firstColumn="0" w:lastColumn="0" w:oddVBand="0" w:evenVBand="0" w:oddHBand="0" w:evenHBand="0" w:firstRowFirstColumn="0" w:firstRowLastColumn="0" w:lastRowFirstColumn="0" w:lastRowLastColumn="0"/>
            </w:pPr>
            <w:r w:rsidRPr="00821FA1">
              <w:rPr>
                <w:b/>
                <w:bCs/>
              </w:rPr>
              <w:t>+0.86</w:t>
            </w:r>
          </w:p>
        </w:tc>
        <w:tc>
          <w:tcPr>
            <w:tcW w:w="0" w:type="auto"/>
            <w:hideMark/>
          </w:tcPr>
          <w:p w14:paraId="1FA9F387" w14:textId="77777777" w:rsidR="0067457D" w:rsidRPr="00821FA1" w:rsidRDefault="0067457D" w:rsidP="0067457D">
            <w:pPr>
              <w:spacing w:before="40" w:after="180"/>
              <w:cnfStyle w:val="000000000000" w:firstRow="0" w:lastRow="0" w:firstColumn="0" w:lastColumn="0" w:oddVBand="0" w:evenVBand="0" w:oddHBand="0" w:evenHBand="0" w:firstRowFirstColumn="0" w:firstRowLastColumn="0" w:lastRowFirstColumn="0" w:lastRowLastColumn="0"/>
            </w:pPr>
            <w:r w:rsidRPr="00821FA1">
              <w:rPr>
                <w:b/>
                <w:bCs/>
              </w:rPr>
              <w:t>Optimal</w:t>
            </w:r>
          </w:p>
        </w:tc>
      </w:tr>
    </w:tbl>
    <w:p w14:paraId="7C8C921D" w14:textId="4DEFB68F" w:rsidR="0067457D" w:rsidRPr="00821FA1" w:rsidRDefault="0067457D" w:rsidP="0067457D">
      <w:pPr>
        <w:pStyle w:val="Heading2"/>
        <w:spacing w:line="360" w:lineRule="auto"/>
      </w:pPr>
      <w:bookmarkStart w:id="41" w:name="_Toc236960532"/>
      <w:r w:rsidRPr="00821FA1">
        <w:t>Appendix D: Common Assumptions</w:t>
      </w:r>
      <w:bookmarkEnd w:id="41"/>
    </w:p>
    <w:tbl>
      <w:tblPr>
        <w:tblStyle w:val="GridTable4-Accent6"/>
        <w:tblW w:w="0" w:type="auto"/>
        <w:jc w:val="center"/>
        <w:tblLook w:val="04A0" w:firstRow="1" w:lastRow="0" w:firstColumn="1" w:lastColumn="0" w:noHBand="0" w:noVBand="1"/>
      </w:tblPr>
      <w:tblGrid>
        <w:gridCol w:w="2497"/>
        <w:gridCol w:w="3845"/>
      </w:tblGrid>
      <w:tr w:rsidR="0067457D" w:rsidRPr="00821FA1" w14:paraId="545942B7" w14:textId="77777777" w:rsidTr="0067457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CE54BA" w14:textId="77777777" w:rsidR="0067457D" w:rsidRPr="00821FA1" w:rsidRDefault="0067457D" w:rsidP="0067457D">
            <w:pPr>
              <w:spacing w:before="40" w:after="180"/>
            </w:pPr>
            <w:r w:rsidRPr="00821FA1">
              <w:t>Assumption</w:t>
            </w:r>
          </w:p>
        </w:tc>
        <w:tc>
          <w:tcPr>
            <w:tcW w:w="0" w:type="auto"/>
            <w:hideMark/>
          </w:tcPr>
          <w:p w14:paraId="01953685" w14:textId="77777777" w:rsidR="0067457D" w:rsidRPr="00821FA1" w:rsidRDefault="0067457D" w:rsidP="0067457D">
            <w:pPr>
              <w:spacing w:before="40" w:after="180"/>
              <w:cnfStyle w:val="100000000000" w:firstRow="1" w:lastRow="0" w:firstColumn="0" w:lastColumn="0" w:oddVBand="0" w:evenVBand="0" w:oddHBand="0" w:evenHBand="0" w:firstRowFirstColumn="0" w:firstRowLastColumn="0" w:lastRowFirstColumn="0" w:lastRowLastColumn="0"/>
            </w:pPr>
            <w:r w:rsidRPr="00821FA1">
              <w:t>Value</w:t>
            </w:r>
          </w:p>
        </w:tc>
      </w:tr>
      <w:tr w:rsidR="0067457D" w:rsidRPr="00821FA1" w14:paraId="506B16C3" w14:textId="77777777" w:rsidTr="006745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F613B5F" w14:textId="77777777" w:rsidR="0067457D" w:rsidRPr="00821FA1" w:rsidRDefault="0067457D" w:rsidP="0067457D">
            <w:pPr>
              <w:spacing w:before="40" w:after="180"/>
            </w:pPr>
            <w:r w:rsidRPr="00821FA1">
              <w:t>Initial investment</w:t>
            </w:r>
          </w:p>
        </w:tc>
        <w:tc>
          <w:tcPr>
            <w:tcW w:w="0" w:type="auto"/>
            <w:hideMark/>
          </w:tcPr>
          <w:p w14:paraId="502FAF76" w14:textId="77777777" w:rsidR="0067457D" w:rsidRPr="00821FA1" w:rsidRDefault="0067457D" w:rsidP="0067457D">
            <w:pPr>
              <w:spacing w:before="40" w:after="180"/>
              <w:cnfStyle w:val="000000100000" w:firstRow="0" w:lastRow="0" w:firstColumn="0" w:lastColumn="0" w:oddVBand="0" w:evenVBand="0" w:oddHBand="1" w:evenHBand="0" w:firstRowFirstColumn="0" w:firstRowLastColumn="0" w:lastRowFirstColumn="0" w:lastRowLastColumn="0"/>
            </w:pPr>
            <w:r w:rsidRPr="00821FA1">
              <w:t>£50 million per project</w:t>
            </w:r>
          </w:p>
        </w:tc>
      </w:tr>
      <w:tr w:rsidR="0067457D" w:rsidRPr="00821FA1" w14:paraId="0E6C80C2" w14:textId="77777777" w:rsidTr="0067457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5508F6" w14:textId="77777777" w:rsidR="0067457D" w:rsidRPr="00821FA1" w:rsidRDefault="0067457D" w:rsidP="0067457D">
            <w:pPr>
              <w:spacing w:before="40" w:after="180"/>
            </w:pPr>
            <w:r w:rsidRPr="00821FA1">
              <w:t>Project life</w:t>
            </w:r>
          </w:p>
        </w:tc>
        <w:tc>
          <w:tcPr>
            <w:tcW w:w="0" w:type="auto"/>
            <w:hideMark/>
          </w:tcPr>
          <w:p w14:paraId="5445A234" w14:textId="77777777" w:rsidR="0067457D" w:rsidRPr="00821FA1" w:rsidRDefault="0067457D" w:rsidP="0067457D">
            <w:pPr>
              <w:spacing w:before="40" w:after="180"/>
              <w:cnfStyle w:val="000000000000" w:firstRow="0" w:lastRow="0" w:firstColumn="0" w:lastColumn="0" w:oddVBand="0" w:evenVBand="0" w:oddHBand="0" w:evenHBand="0" w:firstRowFirstColumn="0" w:firstRowLastColumn="0" w:lastRowFirstColumn="0" w:lastRowLastColumn="0"/>
            </w:pPr>
            <w:r w:rsidRPr="00821FA1">
              <w:t>5 years</w:t>
            </w:r>
          </w:p>
        </w:tc>
      </w:tr>
      <w:tr w:rsidR="0067457D" w:rsidRPr="00821FA1" w14:paraId="727B42B9" w14:textId="77777777" w:rsidTr="006745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943A1C" w14:textId="77777777" w:rsidR="0067457D" w:rsidRPr="00821FA1" w:rsidRDefault="0067457D" w:rsidP="0067457D">
            <w:pPr>
              <w:spacing w:before="40" w:after="180"/>
            </w:pPr>
            <w:r w:rsidRPr="00821FA1">
              <w:t>Depreciation</w:t>
            </w:r>
          </w:p>
        </w:tc>
        <w:tc>
          <w:tcPr>
            <w:tcW w:w="0" w:type="auto"/>
            <w:hideMark/>
          </w:tcPr>
          <w:p w14:paraId="188647C0" w14:textId="77777777" w:rsidR="0067457D" w:rsidRPr="00821FA1" w:rsidRDefault="0067457D" w:rsidP="0067457D">
            <w:pPr>
              <w:spacing w:before="40" w:after="180"/>
              <w:cnfStyle w:val="000000100000" w:firstRow="0" w:lastRow="0" w:firstColumn="0" w:lastColumn="0" w:oddVBand="0" w:evenVBand="0" w:oddHBand="1" w:evenHBand="0" w:firstRowFirstColumn="0" w:firstRowLastColumn="0" w:lastRowFirstColumn="0" w:lastRowLastColumn="0"/>
            </w:pPr>
            <w:r w:rsidRPr="00821FA1">
              <w:t>Straight-line to nil (£10m per year)</w:t>
            </w:r>
          </w:p>
        </w:tc>
      </w:tr>
      <w:tr w:rsidR="0067457D" w:rsidRPr="00821FA1" w14:paraId="11C05C7F" w14:textId="77777777" w:rsidTr="0067457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BBB953" w14:textId="77777777" w:rsidR="0067457D" w:rsidRPr="00821FA1" w:rsidRDefault="0067457D" w:rsidP="0067457D">
            <w:pPr>
              <w:spacing w:before="40" w:after="180"/>
            </w:pPr>
            <w:r w:rsidRPr="00821FA1">
              <w:t>Discount rate</w:t>
            </w:r>
          </w:p>
        </w:tc>
        <w:tc>
          <w:tcPr>
            <w:tcW w:w="0" w:type="auto"/>
            <w:hideMark/>
          </w:tcPr>
          <w:p w14:paraId="25C1AAC0" w14:textId="77777777" w:rsidR="0067457D" w:rsidRPr="00821FA1" w:rsidRDefault="0067457D" w:rsidP="0067457D">
            <w:pPr>
              <w:spacing w:before="40" w:after="180"/>
              <w:cnfStyle w:val="000000000000" w:firstRow="0" w:lastRow="0" w:firstColumn="0" w:lastColumn="0" w:oddVBand="0" w:evenVBand="0" w:oddHBand="0" w:evenHBand="0" w:firstRowFirstColumn="0" w:firstRowLastColumn="0" w:lastRowFirstColumn="0" w:lastRowLastColumn="0"/>
            </w:pPr>
            <w:r w:rsidRPr="00821FA1">
              <w:t>8%</w:t>
            </w:r>
          </w:p>
        </w:tc>
      </w:tr>
      <w:tr w:rsidR="0067457D" w:rsidRPr="0067457D" w14:paraId="1E5CCDC3" w14:textId="77777777" w:rsidTr="0067457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A93853" w14:textId="77777777" w:rsidR="0067457D" w:rsidRPr="00821FA1" w:rsidRDefault="0067457D" w:rsidP="0067457D">
            <w:pPr>
              <w:spacing w:before="40" w:after="180"/>
            </w:pPr>
            <w:r w:rsidRPr="00821FA1">
              <w:t>Average investment</w:t>
            </w:r>
          </w:p>
        </w:tc>
        <w:tc>
          <w:tcPr>
            <w:tcW w:w="0" w:type="auto"/>
            <w:hideMark/>
          </w:tcPr>
          <w:p w14:paraId="45E286DE" w14:textId="77777777" w:rsidR="0067457D" w:rsidRPr="0067457D" w:rsidRDefault="0067457D" w:rsidP="0067457D">
            <w:pPr>
              <w:spacing w:before="40" w:after="180"/>
              <w:cnfStyle w:val="000000100000" w:firstRow="0" w:lastRow="0" w:firstColumn="0" w:lastColumn="0" w:oddVBand="0" w:evenVBand="0" w:oddHBand="1" w:evenHBand="0" w:firstRowFirstColumn="0" w:firstRowLastColumn="0" w:lastRowFirstColumn="0" w:lastRowLastColumn="0"/>
            </w:pPr>
            <w:r w:rsidRPr="00821FA1">
              <w:t>£25 million</w:t>
            </w:r>
          </w:p>
        </w:tc>
      </w:tr>
    </w:tbl>
    <w:p w14:paraId="168B73FB" w14:textId="77777777" w:rsidR="0067457D" w:rsidRPr="0067457D" w:rsidRDefault="0067457D" w:rsidP="0067457D">
      <w:pPr>
        <w:spacing w:before="40" w:after="180" w:line="360" w:lineRule="auto"/>
      </w:pPr>
    </w:p>
    <w:p w14:paraId="23A994F4" w14:textId="77777777" w:rsidR="0067457D" w:rsidRPr="0067457D" w:rsidRDefault="0067457D" w:rsidP="0067457D">
      <w:pPr>
        <w:spacing w:line="360" w:lineRule="auto"/>
        <w:jc w:val="both"/>
        <w:rPr>
          <w:rFonts w:ascii="Times New Roman" w:hAnsi="Times New Roman" w:cs="Times New Roman"/>
          <w:b/>
          <w:bCs/>
        </w:rPr>
      </w:pPr>
    </w:p>
    <w:sectPr w:rsidR="0067457D" w:rsidRPr="0067457D" w:rsidSect="001A1593">
      <w:foot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5AB6D2B" w14:textId="77777777" w:rsidR="00B73FCC" w:rsidRDefault="00B73FCC" w:rsidP="001A1593">
      <w:r>
        <w:separator/>
      </w:r>
    </w:p>
  </w:endnote>
  <w:endnote w:type="continuationSeparator" w:id="0">
    <w:p w14:paraId="74BBCFE1" w14:textId="77777777" w:rsidR="00B73FCC" w:rsidRDefault="00B73FCC" w:rsidP="001A15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024862601"/>
      <w:docPartObj>
        <w:docPartGallery w:val="Page Numbers (Bottom of Page)"/>
        <w:docPartUnique/>
      </w:docPartObj>
    </w:sdtPr>
    <w:sdtEndPr>
      <w:rPr>
        <w:noProof/>
      </w:rPr>
    </w:sdtEndPr>
    <w:sdtContent>
      <w:p w14:paraId="55D4EDCF" w14:textId="62B55470" w:rsidR="001A1593" w:rsidRDefault="001A15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46AE20" w14:textId="77777777" w:rsidR="001A1593" w:rsidRDefault="001A1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C452E0E" w14:textId="77777777" w:rsidR="00B73FCC" w:rsidRDefault="00B73FCC" w:rsidP="001A1593">
      <w:r>
        <w:separator/>
      </w:r>
    </w:p>
  </w:footnote>
  <w:footnote w:type="continuationSeparator" w:id="0">
    <w:p w14:paraId="4A39B2AA" w14:textId="77777777" w:rsidR="00B73FCC" w:rsidRDefault="00B73FCC" w:rsidP="001A15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B88420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4121862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D84"/>
    <w:rsid w:val="00121BDF"/>
    <w:rsid w:val="001A1593"/>
    <w:rsid w:val="003222EF"/>
    <w:rsid w:val="00330F1D"/>
    <w:rsid w:val="00345197"/>
    <w:rsid w:val="003D37CA"/>
    <w:rsid w:val="006003BE"/>
    <w:rsid w:val="0067457D"/>
    <w:rsid w:val="00734976"/>
    <w:rsid w:val="007A7E77"/>
    <w:rsid w:val="00821FA1"/>
    <w:rsid w:val="009D461B"/>
    <w:rsid w:val="009E214A"/>
    <w:rsid w:val="00A40D84"/>
    <w:rsid w:val="00B40F0E"/>
    <w:rsid w:val="00B73FCC"/>
    <w:rsid w:val="00BE0631"/>
    <w:rsid w:val="00D206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9090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D84"/>
    <w:pPr>
      <w:spacing w:after="0" w:line="240" w:lineRule="auto"/>
    </w:pPr>
    <w:rPr>
      <w:rFonts w:ascii="Arial" w:eastAsia="Arial" w:hAnsi="Arial" w:cs="Arial"/>
      <w:kern w:val="0"/>
      <w14:ligatures w14:val="none"/>
    </w:rPr>
  </w:style>
  <w:style w:type="paragraph" w:styleId="Heading1">
    <w:name w:val="heading 1"/>
    <w:basedOn w:val="Normal"/>
    <w:next w:val="Normal"/>
    <w:link w:val="Heading1Char"/>
    <w:uiPriority w:val="9"/>
    <w:qFormat/>
    <w:rsid w:val="00A40D84"/>
    <w:pPr>
      <w:keepNext/>
      <w:keepLines/>
      <w:numPr>
        <w:numId w:val="1"/>
      </w:numPr>
      <w:spacing w:before="360" w:after="80"/>
      <w:outlineLvl w:val="0"/>
    </w:pPr>
    <w:rPr>
      <w:rFonts w:ascii="Times New Roman" w:eastAsiaTheme="majorEastAsia" w:hAnsi="Times New Roman" w:cstheme="majorBidi"/>
      <w:b/>
      <w:kern w:val="2"/>
      <w:sz w:val="28"/>
      <w:szCs w:val="40"/>
      <w14:ligatures w14:val="standardContextual"/>
    </w:rPr>
  </w:style>
  <w:style w:type="paragraph" w:styleId="Heading2">
    <w:name w:val="heading 2"/>
    <w:basedOn w:val="Normal"/>
    <w:next w:val="Normal"/>
    <w:link w:val="Heading2Char"/>
    <w:uiPriority w:val="9"/>
    <w:unhideWhenUsed/>
    <w:qFormat/>
    <w:rsid w:val="00A40D84"/>
    <w:pPr>
      <w:keepNext/>
      <w:keepLines/>
      <w:numPr>
        <w:ilvl w:val="1"/>
        <w:numId w:val="1"/>
      </w:numPr>
      <w:spacing w:before="160" w:after="80"/>
      <w:outlineLvl w:val="1"/>
    </w:pPr>
    <w:rPr>
      <w:rFonts w:ascii="Times New Roman" w:eastAsiaTheme="majorEastAsia" w:hAnsi="Times New Roman" w:cstheme="majorBidi"/>
      <w:b/>
      <w:kern w:val="2"/>
      <w:szCs w:val="32"/>
      <w14:ligatures w14:val="standardContextual"/>
    </w:rPr>
  </w:style>
  <w:style w:type="paragraph" w:styleId="Heading3">
    <w:name w:val="heading 3"/>
    <w:basedOn w:val="Normal"/>
    <w:next w:val="Normal"/>
    <w:link w:val="Heading3Char"/>
    <w:uiPriority w:val="9"/>
    <w:semiHidden/>
    <w:unhideWhenUsed/>
    <w:qFormat/>
    <w:rsid w:val="00A40D84"/>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0D84"/>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0D84"/>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0D84"/>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0D84"/>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0D84"/>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0D84"/>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D84"/>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A40D84"/>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A40D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0D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0D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0D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0D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0D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0D84"/>
    <w:rPr>
      <w:rFonts w:eastAsiaTheme="majorEastAsia" w:cstheme="majorBidi"/>
      <w:color w:val="272727" w:themeColor="text1" w:themeTint="D8"/>
    </w:rPr>
  </w:style>
  <w:style w:type="paragraph" w:styleId="Title">
    <w:name w:val="Title"/>
    <w:basedOn w:val="Normal"/>
    <w:next w:val="Normal"/>
    <w:link w:val="TitleChar"/>
    <w:uiPriority w:val="10"/>
    <w:qFormat/>
    <w:rsid w:val="00A40D8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D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0D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0D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0D84"/>
    <w:pPr>
      <w:spacing w:before="160"/>
      <w:jc w:val="center"/>
    </w:pPr>
    <w:rPr>
      <w:i/>
      <w:iCs/>
      <w:color w:val="404040" w:themeColor="text1" w:themeTint="BF"/>
    </w:rPr>
  </w:style>
  <w:style w:type="character" w:customStyle="1" w:styleId="QuoteChar">
    <w:name w:val="Quote Char"/>
    <w:basedOn w:val="DefaultParagraphFont"/>
    <w:link w:val="Quote"/>
    <w:uiPriority w:val="29"/>
    <w:rsid w:val="00A40D84"/>
    <w:rPr>
      <w:i/>
      <w:iCs/>
      <w:color w:val="404040" w:themeColor="text1" w:themeTint="BF"/>
    </w:rPr>
  </w:style>
  <w:style w:type="paragraph" w:styleId="ListParagraph">
    <w:name w:val="List Paragraph"/>
    <w:basedOn w:val="Normal"/>
    <w:uiPriority w:val="34"/>
    <w:qFormat/>
    <w:rsid w:val="00A40D84"/>
    <w:pPr>
      <w:ind w:left="720"/>
      <w:contextualSpacing/>
    </w:pPr>
  </w:style>
  <w:style w:type="character" w:styleId="IntenseEmphasis">
    <w:name w:val="Intense Emphasis"/>
    <w:basedOn w:val="DefaultParagraphFont"/>
    <w:uiPriority w:val="21"/>
    <w:qFormat/>
    <w:rsid w:val="00A40D84"/>
    <w:rPr>
      <w:i/>
      <w:iCs/>
      <w:color w:val="0F4761" w:themeColor="accent1" w:themeShade="BF"/>
    </w:rPr>
  </w:style>
  <w:style w:type="paragraph" w:styleId="IntenseQuote">
    <w:name w:val="Intense Quote"/>
    <w:basedOn w:val="Normal"/>
    <w:next w:val="Normal"/>
    <w:link w:val="IntenseQuoteChar"/>
    <w:uiPriority w:val="30"/>
    <w:qFormat/>
    <w:rsid w:val="00A40D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0D84"/>
    <w:rPr>
      <w:i/>
      <w:iCs/>
      <w:color w:val="0F4761" w:themeColor="accent1" w:themeShade="BF"/>
    </w:rPr>
  </w:style>
  <w:style w:type="character" w:styleId="IntenseReference">
    <w:name w:val="Intense Reference"/>
    <w:basedOn w:val="DefaultParagraphFont"/>
    <w:uiPriority w:val="32"/>
    <w:qFormat/>
    <w:rsid w:val="00A40D84"/>
    <w:rPr>
      <w:b/>
      <w:bCs/>
      <w:smallCaps/>
      <w:color w:val="0F4761" w:themeColor="accent1" w:themeShade="BF"/>
      <w:spacing w:val="5"/>
    </w:rPr>
  </w:style>
  <w:style w:type="table" w:styleId="GridTable4-Accent6">
    <w:name w:val="Grid Table 4 Accent 6"/>
    <w:basedOn w:val="TableNormal"/>
    <w:uiPriority w:val="49"/>
    <w:rsid w:val="00A40D84"/>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5">
    <w:name w:val="Grid Table 4 Accent 5"/>
    <w:basedOn w:val="TableNormal"/>
    <w:uiPriority w:val="49"/>
    <w:rsid w:val="00A40D84"/>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4">
    <w:name w:val="Grid Table 4 Accent 4"/>
    <w:basedOn w:val="TableNormal"/>
    <w:uiPriority w:val="49"/>
    <w:rsid w:val="00A40D84"/>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
    <w:name w:val="Grid Table 4"/>
    <w:basedOn w:val="TableNormal"/>
    <w:uiPriority w:val="49"/>
    <w:rsid w:val="00A40D8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A40D84"/>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1">
    <w:name w:val="Grid Table 4 Accent 1"/>
    <w:basedOn w:val="TableNormal"/>
    <w:uiPriority w:val="49"/>
    <w:rsid w:val="009E214A"/>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67457D"/>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Hyperlink">
    <w:name w:val="Hyperlink"/>
    <w:uiPriority w:val="99"/>
    <w:unhideWhenUsed/>
    <w:rsid w:val="0067457D"/>
    <w:rPr>
      <w:color w:val="0563C1"/>
      <w:u w:val="single"/>
    </w:rPr>
  </w:style>
  <w:style w:type="paragraph" w:styleId="TOCHeading">
    <w:name w:val="TOC Heading"/>
    <w:basedOn w:val="Heading1"/>
    <w:next w:val="Normal"/>
    <w:uiPriority w:val="39"/>
    <w:unhideWhenUsed/>
    <w:qFormat/>
    <w:rsid w:val="001A1593"/>
    <w:pPr>
      <w:numPr>
        <w:numId w:val="0"/>
      </w:num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1A1593"/>
    <w:pPr>
      <w:spacing w:after="100"/>
    </w:pPr>
  </w:style>
  <w:style w:type="paragraph" w:styleId="TOC2">
    <w:name w:val="toc 2"/>
    <w:basedOn w:val="Normal"/>
    <w:next w:val="Normal"/>
    <w:autoRedefine/>
    <w:uiPriority w:val="39"/>
    <w:unhideWhenUsed/>
    <w:rsid w:val="001A1593"/>
    <w:pPr>
      <w:spacing w:after="100"/>
      <w:ind w:left="240"/>
    </w:pPr>
  </w:style>
  <w:style w:type="paragraph" w:styleId="Header">
    <w:name w:val="header"/>
    <w:basedOn w:val="Normal"/>
    <w:link w:val="HeaderChar"/>
    <w:uiPriority w:val="99"/>
    <w:unhideWhenUsed/>
    <w:rsid w:val="001A1593"/>
    <w:pPr>
      <w:tabs>
        <w:tab w:val="center" w:pos="4680"/>
        <w:tab w:val="right" w:pos="9360"/>
      </w:tabs>
    </w:pPr>
  </w:style>
  <w:style w:type="character" w:customStyle="1" w:styleId="HeaderChar">
    <w:name w:val="Header Char"/>
    <w:basedOn w:val="DefaultParagraphFont"/>
    <w:link w:val="Header"/>
    <w:uiPriority w:val="99"/>
    <w:rsid w:val="001A1593"/>
    <w:rPr>
      <w:rFonts w:ascii="Arial" w:eastAsia="Arial" w:hAnsi="Arial" w:cs="Arial"/>
      <w:kern w:val="0"/>
      <w14:ligatures w14:val="none"/>
    </w:rPr>
  </w:style>
  <w:style w:type="paragraph" w:styleId="Footer">
    <w:name w:val="footer"/>
    <w:basedOn w:val="Normal"/>
    <w:link w:val="FooterChar"/>
    <w:uiPriority w:val="99"/>
    <w:unhideWhenUsed/>
    <w:rsid w:val="001A1593"/>
    <w:pPr>
      <w:tabs>
        <w:tab w:val="center" w:pos="4680"/>
        <w:tab w:val="right" w:pos="9360"/>
      </w:tabs>
    </w:pPr>
  </w:style>
  <w:style w:type="character" w:customStyle="1" w:styleId="FooterChar">
    <w:name w:val="Footer Char"/>
    <w:basedOn w:val="DefaultParagraphFont"/>
    <w:link w:val="Footer"/>
    <w:uiPriority w:val="99"/>
    <w:rsid w:val="001A1593"/>
    <w:rPr>
      <w:rFonts w:ascii="Arial" w:eastAsia="Arial" w:hAnsi="Arial" w:cs="Arial"/>
      <w:kern w:val="0"/>
      <w14:ligatures w14:val="none"/>
    </w:rPr>
  </w:style>
  <w:style w:type="table" w:styleId="TableGrid">
    <w:name w:val="Table Grid"/>
    <w:basedOn w:val="TableNormal"/>
    <w:uiPriority w:val="39"/>
    <w:rsid w:val="001A15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ankofengland.co.uk/report/2022/machine-learning-in-uk-financial-service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gov.uk/guidance/prompt-payment-polic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ccaglobal.com/us/en/professional-insights/technology/machine-learning.html" TargetMode="External"/><Relationship Id="rId25" Type="http://schemas.openxmlformats.org/officeDocument/2006/relationships/hyperlink" Target="https://finance.yahoo.com/quote/WTB.L/financial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ihgplc.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hitbread.co.uk/investor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whitbread.co.uk/investors"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2.deloitte.com/content/dam/Deloitte/us/Documents/consumer-business/us-travel-hospitality-industry-outlook-2024.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hecaterer.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A90387-ED0C-4F81-8860-220278F63EB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7196</Words>
  <Characters>41021</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2026-08-12T18:21:00Z</dcterms:created>
  <dcterms:modified xsi:type="dcterms:W3CDTF">2026-08-12T22:26:00Z</dcterms:modified>
</cp:coreProperties>
</file>