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855A9" w14:textId="727FC1FB" w:rsidR="00A27214" w:rsidRDefault="00A6340A" w:rsidP="00E3292E">
      <w:pPr>
        <w:rPr>
          <w:rFonts w:ascii="Arial" w:eastAsia="Times New Roman" w:hAnsi="Arial" w:cs="Arial"/>
          <w:color w:val="0E101A"/>
          <w:lang w:eastAsia="en-GB"/>
        </w:rPr>
      </w:pPr>
      <w:r>
        <w:rPr>
          <w:noProof/>
        </w:rPr>
        <w:drawing>
          <wp:inline distT="0" distB="0" distL="0" distR="0" wp14:anchorId="1ABAA102" wp14:editId="1DB6881B">
            <wp:extent cx="2750185" cy="1952058"/>
            <wp:effectExtent l="0" t="0" r="0" b="0"/>
            <wp:docPr id="130869179"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3418" cy="2004038"/>
                    </a:xfrm>
                    <a:prstGeom prst="rect">
                      <a:avLst/>
                    </a:prstGeom>
                    <a:noFill/>
                    <a:ln>
                      <a:noFill/>
                    </a:ln>
                  </pic:spPr>
                </pic:pic>
              </a:graphicData>
            </a:graphic>
          </wp:inline>
        </w:drawing>
      </w:r>
    </w:p>
    <w:p w14:paraId="71BC5C26" w14:textId="77777777" w:rsidR="00E00195" w:rsidRPr="00E3292E" w:rsidRDefault="00E00195" w:rsidP="00E3292E">
      <w:pPr>
        <w:rPr>
          <w:rFonts w:ascii="Arial" w:eastAsia="Times New Roman" w:hAnsi="Arial" w:cs="Arial"/>
          <w:color w:val="0E101A"/>
          <w:lang w:eastAsia="en-GB"/>
        </w:rPr>
      </w:pPr>
    </w:p>
    <w:p w14:paraId="3DDAD7B2" w14:textId="29750A43" w:rsidR="00E3292E" w:rsidRDefault="00E3292E" w:rsidP="00336253">
      <w:pPr>
        <w:pStyle w:val="NormalWeb"/>
        <w:spacing w:before="240" w:beforeAutospacing="0" w:after="160" w:afterAutospacing="0" w:line="360" w:lineRule="auto"/>
        <w:jc w:val="both"/>
        <w:rPr>
          <w:rFonts w:ascii="Arial" w:hAnsi="Arial" w:cs="Arial"/>
          <w:color w:val="0E101A"/>
          <w:sz w:val="22"/>
          <w:szCs w:val="22"/>
        </w:rPr>
      </w:pPr>
    </w:p>
    <w:p w14:paraId="2D2ED685" w14:textId="31F3231B" w:rsidR="00E877DD" w:rsidRPr="00FE3C43" w:rsidRDefault="009D30C8"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b/>
          <w:bCs/>
          <w:color w:val="0E101A"/>
          <w:sz w:val="22"/>
          <w:szCs w:val="22"/>
        </w:rPr>
        <w:t xml:space="preserve">Module </w:t>
      </w:r>
      <w:r w:rsidR="0002488C" w:rsidRPr="00FE3C43">
        <w:rPr>
          <w:rFonts w:ascii="Arial" w:hAnsi="Arial" w:cs="Arial"/>
          <w:b/>
          <w:bCs/>
          <w:color w:val="0E101A"/>
          <w:sz w:val="22"/>
          <w:szCs w:val="22"/>
        </w:rPr>
        <w:t>Tittle</w:t>
      </w:r>
      <w:r w:rsidRPr="00FE3C43">
        <w:rPr>
          <w:rFonts w:ascii="Arial" w:hAnsi="Arial" w:cs="Arial"/>
          <w:b/>
          <w:bCs/>
          <w:color w:val="0E101A"/>
          <w:sz w:val="22"/>
          <w:szCs w:val="22"/>
        </w:rPr>
        <w:t>:</w:t>
      </w:r>
      <w:r w:rsidR="00FE03AC" w:rsidRPr="00FE3C43">
        <w:rPr>
          <w:rFonts w:ascii="Arial" w:hAnsi="Arial" w:cs="Arial"/>
          <w:color w:val="0E101A"/>
          <w:sz w:val="22"/>
          <w:szCs w:val="22"/>
        </w:rPr>
        <w:t xml:space="preserve"> S</w:t>
      </w:r>
      <w:r w:rsidR="00C62291" w:rsidRPr="00FE3C43">
        <w:rPr>
          <w:rFonts w:ascii="Arial" w:hAnsi="Arial" w:cs="Arial"/>
          <w:color w:val="0E101A"/>
          <w:sz w:val="22"/>
          <w:szCs w:val="22"/>
        </w:rPr>
        <w:t>ocial Epidemiology</w:t>
      </w:r>
      <w:r w:rsidR="00FE05B1" w:rsidRPr="00FE3C43">
        <w:rPr>
          <w:rFonts w:ascii="Arial" w:hAnsi="Arial" w:cs="Arial"/>
          <w:color w:val="0E101A"/>
          <w:sz w:val="22"/>
          <w:szCs w:val="22"/>
        </w:rPr>
        <w:t xml:space="preserve"> and Public Health</w:t>
      </w:r>
      <w:r w:rsidR="00C746F2" w:rsidRPr="00FE3C43">
        <w:rPr>
          <w:rFonts w:ascii="Arial" w:hAnsi="Arial" w:cs="Arial"/>
          <w:color w:val="0E101A"/>
          <w:sz w:val="22"/>
          <w:szCs w:val="22"/>
        </w:rPr>
        <w:t xml:space="preserve"> Development</w:t>
      </w:r>
    </w:p>
    <w:p w14:paraId="4E3B921A" w14:textId="721C516C" w:rsidR="002C4110" w:rsidRPr="00FE3C43" w:rsidRDefault="00E765C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b/>
          <w:bCs/>
          <w:color w:val="0E101A"/>
          <w:sz w:val="22"/>
          <w:szCs w:val="22"/>
        </w:rPr>
        <w:t>Module Code:</w:t>
      </w:r>
      <w:r w:rsidR="00C746F2" w:rsidRPr="00FE3C43">
        <w:rPr>
          <w:rFonts w:ascii="Arial" w:hAnsi="Arial" w:cs="Arial"/>
          <w:color w:val="0E101A"/>
          <w:sz w:val="22"/>
          <w:szCs w:val="22"/>
        </w:rPr>
        <w:t xml:space="preserve"> LCHS7</w:t>
      </w:r>
      <w:r w:rsidR="00C14D6D" w:rsidRPr="00FE3C43">
        <w:rPr>
          <w:rFonts w:ascii="Arial" w:hAnsi="Arial" w:cs="Arial"/>
          <w:color w:val="0E101A"/>
          <w:sz w:val="22"/>
          <w:szCs w:val="22"/>
        </w:rPr>
        <w:t>000_LON</w:t>
      </w:r>
    </w:p>
    <w:p w14:paraId="30681BC1" w14:textId="26B35AB5" w:rsidR="00E765C0" w:rsidRPr="00FE3C43" w:rsidRDefault="00E765C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b/>
          <w:bCs/>
          <w:color w:val="0E101A"/>
          <w:sz w:val="22"/>
          <w:szCs w:val="22"/>
        </w:rPr>
        <w:t>Assessment Tittle:</w:t>
      </w:r>
      <w:r w:rsidR="00AC1159" w:rsidRPr="00FE3C43">
        <w:rPr>
          <w:rFonts w:ascii="Arial" w:hAnsi="Arial" w:cs="Arial"/>
          <w:color w:val="0E101A"/>
          <w:sz w:val="22"/>
          <w:szCs w:val="22"/>
        </w:rPr>
        <w:t xml:space="preserve"> Age</w:t>
      </w:r>
      <w:r w:rsidR="006261B0" w:rsidRPr="00FE3C43">
        <w:rPr>
          <w:rFonts w:ascii="Arial" w:hAnsi="Arial" w:cs="Arial"/>
          <w:color w:val="0E101A"/>
          <w:sz w:val="22"/>
          <w:szCs w:val="22"/>
        </w:rPr>
        <w:t xml:space="preserve"> and Inequalities </w:t>
      </w:r>
      <w:r w:rsidR="00FF5E72" w:rsidRPr="00FE3C43">
        <w:rPr>
          <w:rFonts w:ascii="Arial" w:hAnsi="Arial" w:cs="Arial"/>
          <w:color w:val="0E101A"/>
          <w:sz w:val="22"/>
          <w:szCs w:val="22"/>
        </w:rPr>
        <w:t>in Health</w:t>
      </w:r>
      <w:r w:rsidR="009968DF" w:rsidRPr="00FE3C43">
        <w:rPr>
          <w:rFonts w:ascii="Arial" w:hAnsi="Arial" w:cs="Arial"/>
          <w:color w:val="0E101A"/>
          <w:sz w:val="22"/>
          <w:szCs w:val="22"/>
        </w:rPr>
        <w:t xml:space="preserve"> Outcomes Among the Elderl</w:t>
      </w:r>
      <w:r w:rsidR="00992688" w:rsidRPr="00FE3C43">
        <w:rPr>
          <w:rFonts w:ascii="Arial" w:hAnsi="Arial" w:cs="Arial"/>
          <w:color w:val="0E101A"/>
          <w:sz w:val="22"/>
          <w:szCs w:val="22"/>
        </w:rPr>
        <w:t>y Population in the UK</w:t>
      </w:r>
    </w:p>
    <w:p w14:paraId="08329D3B" w14:textId="7D66FD8F" w:rsidR="00E04A2B" w:rsidRPr="00FE3C43" w:rsidRDefault="00E04A2B"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b/>
          <w:bCs/>
          <w:color w:val="0E101A"/>
          <w:sz w:val="22"/>
          <w:szCs w:val="22"/>
        </w:rPr>
        <w:t>Student Name:</w:t>
      </w:r>
      <w:r w:rsidRPr="00FE3C43">
        <w:rPr>
          <w:rFonts w:ascii="Arial" w:hAnsi="Arial" w:cs="Arial"/>
          <w:color w:val="0E101A"/>
          <w:sz w:val="22"/>
          <w:szCs w:val="22"/>
        </w:rPr>
        <w:t xml:space="preserve"> </w:t>
      </w:r>
      <w:r w:rsidR="00507966" w:rsidRPr="00FE3C43">
        <w:rPr>
          <w:rFonts w:ascii="Arial" w:hAnsi="Arial" w:cs="Arial"/>
          <w:color w:val="0E101A"/>
          <w:sz w:val="22"/>
          <w:szCs w:val="22"/>
        </w:rPr>
        <w:t>Ohikhuare Irogho</w:t>
      </w:r>
    </w:p>
    <w:p w14:paraId="64357C65" w14:textId="77777777" w:rsidR="00C805C8" w:rsidRPr="00FE3C43" w:rsidRDefault="00230EF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b/>
          <w:bCs/>
          <w:color w:val="0E101A"/>
          <w:sz w:val="22"/>
          <w:szCs w:val="22"/>
        </w:rPr>
        <w:t>Student ID:</w:t>
      </w:r>
      <w:r w:rsidR="00507966" w:rsidRPr="00FE3C43">
        <w:rPr>
          <w:rFonts w:ascii="Arial" w:hAnsi="Arial" w:cs="Arial"/>
          <w:color w:val="0E101A"/>
          <w:sz w:val="22"/>
          <w:szCs w:val="22"/>
        </w:rPr>
        <w:t xml:space="preserve"> 212836</w:t>
      </w:r>
    </w:p>
    <w:p w14:paraId="6ACF4E1F" w14:textId="42A58D96" w:rsidR="00E04A2B" w:rsidRPr="00FE3C43" w:rsidRDefault="0000537F"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 </w:t>
      </w:r>
      <w:r w:rsidR="006C7496" w:rsidRPr="00FE3C43">
        <w:rPr>
          <w:rFonts w:ascii="Arial" w:hAnsi="Arial" w:cs="Arial"/>
          <w:color w:val="0E101A"/>
          <w:sz w:val="22"/>
          <w:szCs w:val="22"/>
        </w:rPr>
        <w:br/>
      </w:r>
      <w:r w:rsidR="006C7496" w:rsidRPr="00FE3C43">
        <w:rPr>
          <w:rFonts w:ascii="Arial" w:hAnsi="Arial" w:cs="Arial"/>
          <w:b/>
          <w:bCs/>
          <w:color w:val="0E101A"/>
          <w:sz w:val="22"/>
          <w:szCs w:val="22"/>
        </w:rPr>
        <w:t>Lecturer Name</w:t>
      </w:r>
      <w:r w:rsidR="00230EF0" w:rsidRPr="00FE3C43">
        <w:rPr>
          <w:rFonts w:ascii="Arial" w:hAnsi="Arial" w:cs="Arial"/>
          <w:b/>
          <w:bCs/>
          <w:color w:val="0E101A"/>
          <w:sz w:val="22"/>
          <w:szCs w:val="22"/>
        </w:rPr>
        <w:t>:</w:t>
      </w:r>
      <w:r w:rsidR="00507966" w:rsidRPr="00FE3C43">
        <w:rPr>
          <w:rFonts w:ascii="Arial" w:hAnsi="Arial" w:cs="Arial"/>
          <w:color w:val="0E101A"/>
          <w:sz w:val="22"/>
          <w:szCs w:val="22"/>
        </w:rPr>
        <w:t xml:space="preserve"> Dr J</w:t>
      </w:r>
      <w:r w:rsidR="006B7299" w:rsidRPr="00FE3C43">
        <w:rPr>
          <w:rFonts w:ascii="Arial" w:hAnsi="Arial" w:cs="Arial"/>
          <w:color w:val="0E101A"/>
          <w:sz w:val="22"/>
          <w:szCs w:val="22"/>
        </w:rPr>
        <w:t xml:space="preserve">olly </w:t>
      </w:r>
      <w:r w:rsidR="00404CB3" w:rsidRPr="00FE3C43">
        <w:rPr>
          <w:rFonts w:ascii="Arial" w:hAnsi="Arial" w:cs="Arial"/>
          <w:color w:val="0E101A"/>
          <w:sz w:val="22"/>
          <w:szCs w:val="22"/>
        </w:rPr>
        <w:t>N</w:t>
      </w:r>
      <w:r w:rsidR="00854DD3" w:rsidRPr="00FE3C43">
        <w:rPr>
          <w:rFonts w:ascii="Arial" w:hAnsi="Arial" w:cs="Arial"/>
          <w:color w:val="0E101A"/>
          <w:sz w:val="22"/>
          <w:szCs w:val="22"/>
        </w:rPr>
        <w:t>wankwo</w:t>
      </w:r>
    </w:p>
    <w:p w14:paraId="5E8C3EF3" w14:textId="77777777" w:rsidR="00E3292E" w:rsidRPr="00FE3C43" w:rsidRDefault="00E3292E" w:rsidP="00FE3C43">
      <w:pPr>
        <w:pStyle w:val="NormalWeb"/>
        <w:spacing w:before="240" w:beforeAutospacing="0" w:after="160" w:afterAutospacing="0" w:line="360" w:lineRule="auto"/>
        <w:jc w:val="both"/>
        <w:rPr>
          <w:rFonts w:ascii="Arial" w:hAnsi="Arial" w:cs="Arial"/>
          <w:color w:val="0E101A"/>
          <w:sz w:val="22"/>
          <w:szCs w:val="22"/>
        </w:rPr>
      </w:pPr>
    </w:p>
    <w:p w14:paraId="5852C022" w14:textId="77777777" w:rsidR="00E3292E" w:rsidRPr="00FE3C43" w:rsidRDefault="00E3292E" w:rsidP="00FE3C43">
      <w:pPr>
        <w:pStyle w:val="NormalWeb"/>
        <w:spacing w:before="240" w:beforeAutospacing="0" w:after="160" w:afterAutospacing="0" w:line="360" w:lineRule="auto"/>
        <w:jc w:val="both"/>
        <w:rPr>
          <w:rFonts w:ascii="Arial" w:hAnsi="Arial" w:cs="Arial"/>
          <w:color w:val="0E101A"/>
          <w:sz w:val="22"/>
          <w:szCs w:val="22"/>
        </w:rPr>
      </w:pPr>
    </w:p>
    <w:p w14:paraId="4BC7CD44" w14:textId="77777777" w:rsidR="00E3292E" w:rsidRPr="00FE3C43" w:rsidRDefault="00E3292E" w:rsidP="00FE3C43">
      <w:pPr>
        <w:pStyle w:val="NormalWeb"/>
        <w:spacing w:before="240" w:beforeAutospacing="0" w:after="160" w:afterAutospacing="0" w:line="360" w:lineRule="auto"/>
        <w:jc w:val="both"/>
        <w:rPr>
          <w:rFonts w:ascii="Arial" w:hAnsi="Arial" w:cs="Arial"/>
          <w:color w:val="0E101A"/>
          <w:sz w:val="22"/>
          <w:szCs w:val="22"/>
        </w:rPr>
      </w:pPr>
    </w:p>
    <w:p w14:paraId="5243C808" w14:textId="4F6DDC8C" w:rsidR="00E3292E" w:rsidRPr="00FE3C43" w:rsidRDefault="00E3292E"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br/>
      </w:r>
      <w:r w:rsidRPr="00FE3C43">
        <w:rPr>
          <w:rFonts w:ascii="Arial" w:hAnsi="Arial" w:cs="Arial"/>
          <w:color w:val="0E101A"/>
          <w:sz w:val="22"/>
          <w:szCs w:val="22"/>
        </w:rPr>
        <w:br/>
      </w:r>
      <w:r w:rsidRPr="00FE3C43">
        <w:rPr>
          <w:rFonts w:ascii="Arial" w:hAnsi="Arial" w:cs="Arial"/>
          <w:color w:val="0E101A"/>
          <w:sz w:val="22"/>
          <w:szCs w:val="22"/>
        </w:rPr>
        <w:br/>
      </w:r>
      <w:r w:rsidRPr="00FE3C43">
        <w:rPr>
          <w:rFonts w:ascii="Arial" w:hAnsi="Arial" w:cs="Arial"/>
          <w:color w:val="0E101A"/>
          <w:sz w:val="22"/>
          <w:szCs w:val="22"/>
        </w:rPr>
        <w:br/>
      </w:r>
    </w:p>
    <w:p w14:paraId="7AE77FD1" w14:textId="0879A26E" w:rsidR="000104DF" w:rsidRPr="00FE3C43" w:rsidRDefault="00EC6C05" w:rsidP="00FE3C43">
      <w:pPr>
        <w:spacing w:before="240" w:line="360" w:lineRule="auto"/>
        <w:jc w:val="both"/>
        <w:outlineLvl w:val="1"/>
        <w:rPr>
          <w:rFonts w:ascii="Arial" w:eastAsia="Times New Roman" w:hAnsi="Arial" w:cs="Arial"/>
          <w:b/>
          <w:bCs/>
          <w:lang w:eastAsia="en-GB"/>
        </w:rPr>
      </w:pPr>
      <w:r w:rsidRPr="00FE3C43">
        <w:rPr>
          <w:rFonts w:ascii="Arial" w:eastAsia="Times New Roman" w:hAnsi="Arial" w:cs="Arial"/>
          <w:b/>
          <w:bCs/>
          <w:lang w:eastAsia="en-GB"/>
        </w:rPr>
        <w:lastRenderedPageBreak/>
        <w:t>Ta</w:t>
      </w:r>
      <w:r w:rsidR="00A14A54" w:rsidRPr="00FE3C43">
        <w:rPr>
          <w:rFonts w:ascii="Arial" w:eastAsia="Times New Roman" w:hAnsi="Arial" w:cs="Arial"/>
          <w:b/>
          <w:bCs/>
          <w:lang w:eastAsia="en-GB"/>
        </w:rPr>
        <w:t>sk1</w:t>
      </w:r>
    </w:p>
    <w:p w14:paraId="2CC5C62B" w14:textId="5F1D1045" w:rsidR="00050948" w:rsidRPr="00FE3C43" w:rsidRDefault="00E03ED6" w:rsidP="00FE3C43">
      <w:pPr>
        <w:spacing w:before="240" w:line="360" w:lineRule="auto"/>
        <w:jc w:val="both"/>
        <w:outlineLvl w:val="1"/>
        <w:rPr>
          <w:rFonts w:ascii="Arial" w:eastAsia="Times New Roman" w:hAnsi="Arial" w:cs="Arial"/>
          <w:b/>
          <w:bCs/>
          <w:lang w:eastAsia="en-GB"/>
        </w:rPr>
      </w:pPr>
      <w:r w:rsidRPr="00FE3C43">
        <w:rPr>
          <w:rFonts w:ascii="Arial" w:eastAsia="Times New Roman" w:hAnsi="Arial" w:cs="Arial"/>
          <w:b/>
          <w:bCs/>
          <w:lang w:eastAsia="en-GB"/>
        </w:rPr>
        <w:t>Age and Inequality in Health Outcomes Among the Elderly Population in the UK</w:t>
      </w:r>
    </w:p>
    <w:p w14:paraId="403C133D" w14:textId="77777777" w:rsidR="006A0E3E" w:rsidRPr="00FE3C43" w:rsidRDefault="006A0E3E" w:rsidP="00FE3C43">
      <w:pPr>
        <w:pStyle w:val="NormalWeb"/>
        <w:spacing w:before="240" w:beforeAutospacing="0" w:after="160" w:afterAutospacing="0" w:line="360" w:lineRule="auto"/>
        <w:jc w:val="both"/>
        <w:rPr>
          <w:rFonts w:ascii="Arial" w:hAnsi="Arial" w:cs="Arial"/>
          <w:color w:val="0E101A"/>
          <w:sz w:val="22"/>
          <w:szCs w:val="22"/>
        </w:rPr>
      </w:pPr>
      <w:r w:rsidRPr="00FE3C43">
        <w:rPr>
          <w:rStyle w:val="Strong"/>
          <w:rFonts w:ascii="Arial" w:hAnsi="Arial" w:cs="Arial"/>
          <w:color w:val="0E101A"/>
          <w:sz w:val="22"/>
          <w:szCs w:val="22"/>
        </w:rPr>
        <w:t>Introduction</w:t>
      </w:r>
    </w:p>
    <w:p w14:paraId="2D74B67C" w14:textId="0F64FACE" w:rsidR="00217F70" w:rsidRPr="00FE3C43" w:rsidRDefault="006A0E3E"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The United Kingdom has disproportionately high risks of health disparities among the elderly population, who are generally described as adults aged 65 years and above, the effects of ageing on physiological functions, cumulative life-course adversity, and the barriers to care (Grundy, 2023). Health inequalities are preventable and unreasonable differences in health statuses between groups (United Kingdom Government, 2018). </w:t>
      </w:r>
    </w:p>
    <w:p w14:paraId="718973A2"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Contextual Background and Underlying Factors</w:t>
      </w:r>
    </w:p>
    <w:p w14:paraId="4125FDB8"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Higher Rates of Mental Illness</w:t>
      </w:r>
    </w:p>
    <w:p w14:paraId="77B7A678" w14:textId="251B052D" w:rsidR="00BA0C1C"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Compared to the younger population, older adults have a greater burden of mental illness, which includes depression, anxiety and cognitive decline, and it is compounded by social isolation, bereavement and multimorbidity. The available empirical studies show that socioeconomic disadvantage is linked with the high rate of prevalence of mental health among older persons (Puyanés et al., 2025). The inequality mechanism, in its turn, occurs after older adults who are less educated, socially isolated, and economically disadvantaged have a higher risk of developing mental illnesses and a lower risk of getting a proper diagnosis and proper treatment (Victor et al., 2023). One of the suggested measures is the scale of community-based mental-health service</w:t>
      </w:r>
      <w:r w:rsidR="00415C68">
        <w:rPr>
          <w:rFonts w:ascii="Arial" w:hAnsi="Arial" w:cs="Arial"/>
          <w:color w:val="0E101A"/>
          <w:sz w:val="22"/>
          <w:szCs w:val="22"/>
        </w:rPr>
        <w:t>s.</w:t>
      </w:r>
    </w:p>
    <w:p w14:paraId="6F949F92"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Low Rates of Access to Healthcare</w:t>
      </w:r>
    </w:p>
    <w:p w14:paraId="33BA8F90"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Although the health needs of the elderly increase, they have unequal access to health services. As an example, the barriers to accessing primary and specialist care reported by older people living in low-income or deprived regions are more in the form of limited mobility, transportation issues, lack of digital access, and smaller local services (Gao et al., 2021; Age UK, 2024). It is indicated that older individuals who have poorer socioeconomic status or reside in rural and coastal areas are at risk of reporting unmet needs (LSE Health Working Paper, 2020).</w:t>
      </w:r>
    </w:p>
    <w:p w14:paraId="172253F8" w14:textId="7A4E38FB"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Solution: Policies are needed to increase access to services, such as setting up home visits, transport </w:t>
      </w:r>
      <w:r w:rsidR="00336253" w:rsidRPr="00FE3C43">
        <w:rPr>
          <w:rFonts w:ascii="Arial" w:hAnsi="Arial" w:cs="Arial"/>
          <w:color w:val="0E101A"/>
          <w:sz w:val="22"/>
          <w:szCs w:val="22"/>
        </w:rPr>
        <w:t>supports and</w:t>
      </w:r>
      <w:r w:rsidRPr="00FE3C43">
        <w:rPr>
          <w:rFonts w:ascii="Arial" w:hAnsi="Arial" w:cs="Arial"/>
          <w:color w:val="0E101A"/>
          <w:sz w:val="22"/>
          <w:szCs w:val="22"/>
        </w:rPr>
        <w:t xml:space="preserve"> providing other access points to digitally excluded elders; they must also ensure access to age-friendly services and address ageism or bias in healthcare institutions.</w:t>
      </w:r>
    </w:p>
    <w:p w14:paraId="1AFBFD9B"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Mortality Rates Among the Elderly Group</w:t>
      </w:r>
    </w:p>
    <w:p w14:paraId="503CD2BD"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There are high mortality and healthy life expectancy disparities in older adults. The socioeconomic gradient is clearly shown by the values of the mortality hazard ratio, which are significantly higher in individuals aged 65+ who live in the most deprived regions compared to those who live in the least deprived regions (Alarilla et al., 2023; Chan et al., 2019). As an example, a hazard ratio of 1.71 (95 per cent Interval of 1.61 to 1.81) was observed between older adults (65 and above) in the most deprived decile and the least deprived decile in England (Alarilla et al., 2023). Such differences are caused by cumulative disadvantage, housing of a substandard quality, unfavourable lifestyle risk factors and deficient preventive care. Solution: To reduce mortality disparity, deprived communities must have targeted preventive health programmes (screening and chronic disease management), which are complemented with policies on upstream determinants (income, housing, nutrition).</w:t>
      </w:r>
    </w:p>
    <w:p w14:paraId="486D75AD"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Social Isolation and Loneliness</w:t>
      </w:r>
    </w:p>
    <w:p w14:paraId="2A483F99"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The significant social determinants of health among older adults are social isolation and loneliness. The existing literature suggests that close to 20 per cent of elderly people in Europe reside alone and report feeling lonely, which is significantly linked to worse physical and mental health results (Puyané et al., 2025). The UK research also indicates that people of advanced age who often feel lonely are significantly at increased risk of reporting depressive symptoms (Age UK, 2024). The unfairness is in the fact that older adults, who have fewer social contacts, widows, living alone or having mobility difficulties, are even more isolated. Intervention: Isolation can be diminished, and the negative health outcomes associated with isolation can be mitigated through community-based befriending and outreach services, intergenerational programmes, amenities that are easy to use, and age-friendly neighbourhood planning.</w:t>
      </w:r>
    </w:p>
    <w:p w14:paraId="30BC8A94"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Poverty</w:t>
      </w:r>
    </w:p>
    <w:p w14:paraId="4C1D19DF"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A considerable percentage of the elderly citizens live in poverty or with low income, and this limits their ability to have a healthy diet, proper heating, decent housing and access to social activities. It has been empirically shown that a poor person has higher chances of reporting health status as less than good at every age, even in older adults (Health Foundation, 2024). Age UK reports show that around two million homes with elderly citizens might not be able to cover their primary needs in spending (Watts et al., 2022). This disparity is explained by the fact that the old people are often characterised by low income, diminished asset building, and rising living standards in old age. One of the solutions to this is to guarantee sufficient pension and benefit rates, simplify the taking of benefits among the elderly, increase specific forms of financial assistance (e.g., fuel subsidies, food programmes), and reduce the impact of cost-of-living pressures.</w:t>
      </w:r>
    </w:p>
    <w:p w14:paraId="13764C24"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Housing Issues</w:t>
      </w:r>
    </w:p>
    <w:p w14:paraId="3C53C989"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The elderly are overrepresented in lower-quality homes (cold, damp, and without adaptability needed) and are thus at an increased risk of housing-related health detriments, including falls, respiratory diseases, and winter death. It has been shown that living conditions and geographic location (e.g., rural or coastal deprivation) are the essential causes of health disparities in later life (Public Health England evidence summary, 2019). As an example, the elderly, who live in poor housing, are more susceptible to falls, hip fractures, and thus, increased expenses to the NHS (Sheffield University report, 2025). The disparity is maintained by the fact that older adults who are part of disadvantaged groups have less access or accessibility to housing adaptations, insulation and affordable and safe housing. One of the suggested solutions includes increasing funding and grants for home adaptations and insulation, prioritising older adults in warm-home schemes, and integrating housing policy and health and social care to facilitate safe and suitable housing in old age.</w:t>
      </w:r>
    </w:p>
    <w:p w14:paraId="7567590B"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National Response to Reduce Health Inequalities in the Elderly Population</w:t>
      </w:r>
    </w:p>
    <w:p w14:paraId="18CFF7C1"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NHS Long Term Plan &amp; Ageing Well Initiatives</w:t>
      </w:r>
    </w:p>
    <w:p w14:paraId="7D606B38" w14:textId="05BD7BDC"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The National Health Service Long Term Plan contains statements about the intentions regarding the integrated care of older people, the decrease in the number of preventable hospitalisations, and the improvement of the management of frailty (NHS England, 2019). The 2024 Policy Position Paper of AgeUK notes that older adults still face disproportionate barriers to important services such as mental health, oncology, and end-of-life care and recommends specific interventions to ensure that all socioeconomic groups have an equal chance of healthy ageing </w:t>
      </w:r>
      <w:r w:rsidR="00584788" w:rsidRPr="00FE3C43">
        <w:rPr>
          <w:rFonts w:ascii="Arial" w:hAnsi="Arial" w:cs="Arial"/>
          <w:color w:val="0E101A"/>
          <w:sz w:val="22"/>
          <w:szCs w:val="22"/>
        </w:rPr>
        <w:t>(AgeUK</w:t>
      </w:r>
      <w:r w:rsidRPr="00FE3C43">
        <w:rPr>
          <w:rFonts w:ascii="Arial" w:hAnsi="Arial" w:cs="Arial"/>
          <w:color w:val="0E101A"/>
          <w:sz w:val="22"/>
          <w:szCs w:val="22"/>
        </w:rPr>
        <w:t>, 2024). These national policy frameworks are concerted actions to reduce health inequalities later in life using service redesign and preventive practice.</w:t>
      </w:r>
    </w:p>
    <w:p w14:paraId="76FE47D0"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Financial Supports: Pension Credit, Winter Fuel Payment</w:t>
      </w:r>
    </w:p>
    <w:p w14:paraId="1415FC2A"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Older people are covered by national benefits, which include Pension Credit and Winter Fuel payment, which aim to mitigate the material disadvantage of the old and hence limit poverty and fuel insecurity experienced by the elderly. These funding sources rank among the upstream interventions to curb socioeconomic determinants of health disparities among the aged.</w:t>
      </w:r>
    </w:p>
    <w:p w14:paraId="2A7785A4"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Organisations That Support the Chosen Group</w:t>
      </w:r>
    </w:p>
    <w:p w14:paraId="464EA8C3" w14:textId="77777777" w:rsidR="00217F70" w:rsidRPr="00FE3C43" w:rsidRDefault="00217F70" w:rsidP="00FE3C43">
      <w:pPr>
        <w:pStyle w:val="NormalWeb"/>
        <w:spacing w:before="240" w:beforeAutospacing="0" w:after="160" w:afterAutospacing="0" w:line="360" w:lineRule="auto"/>
        <w:jc w:val="both"/>
        <w:rPr>
          <w:rFonts w:ascii="Arial" w:hAnsi="Arial" w:cs="Arial"/>
          <w:b/>
          <w:bCs/>
          <w:i/>
          <w:iCs/>
          <w:color w:val="0E101A"/>
          <w:sz w:val="22"/>
          <w:szCs w:val="22"/>
        </w:rPr>
      </w:pPr>
      <w:r w:rsidRPr="00FE3C43">
        <w:rPr>
          <w:rStyle w:val="Emphasis"/>
          <w:rFonts w:ascii="Arial" w:hAnsi="Arial" w:cs="Arial"/>
          <w:b/>
          <w:bCs/>
          <w:i w:val="0"/>
          <w:iCs w:val="0"/>
          <w:color w:val="0E101A"/>
          <w:sz w:val="22"/>
          <w:szCs w:val="22"/>
        </w:rPr>
        <w:t>Age UK</w:t>
      </w:r>
    </w:p>
    <w:p w14:paraId="2EA071AC" w14:textId="2AAA461D" w:rsidR="00830F65"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Age UK is a UK charity that strives to make late adulthood and old age a better experience. It increases awareness of disparities against older adults, such as access to care, poverty, isolation and housing, and conducts research, policy lobbying and direct support services. As an illustration, it publishes reports of the state of health and care of older adults, like The State of Health and Care of Older People in England (2025), which reveals the existence of disparities based on geographic and income levels (Age UK, 2025). Its objectives are to enable financial security, social isolation, maintain the right to health and care services and alter policy to have a more just later life for every older adult.</w:t>
      </w:r>
    </w:p>
    <w:p w14:paraId="6AAA1120"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104A20AB"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0BBF2B8F"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7A82AD46"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29161EA3"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760998E4"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25110A24"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462FBDF0"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17641543"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3F97DDD4" w14:textId="77777777" w:rsidR="001C5A06"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0A78C002" w14:textId="77777777" w:rsidR="001C5A06" w:rsidRPr="00FE3C43" w:rsidRDefault="001C5A06" w:rsidP="00FE3C43">
      <w:pPr>
        <w:pStyle w:val="NormalWeb"/>
        <w:spacing w:before="240" w:beforeAutospacing="0" w:after="160" w:afterAutospacing="0" w:line="360" w:lineRule="auto"/>
        <w:jc w:val="both"/>
        <w:rPr>
          <w:rFonts w:ascii="Arial" w:hAnsi="Arial" w:cs="Arial"/>
          <w:color w:val="0E101A"/>
          <w:sz w:val="22"/>
          <w:szCs w:val="22"/>
        </w:rPr>
      </w:pPr>
    </w:p>
    <w:p w14:paraId="118C433C" w14:textId="77777777" w:rsidR="00830F65" w:rsidRPr="00FE3C43" w:rsidRDefault="00830F65" w:rsidP="00FE3C43">
      <w:pPr>
        <w:pStyle w:val="NormalWeb"/>
        <w:spacing w:before="240" w:beforeAutospacing="0" w:after="160" w:afterAutospacing="0" w:line="360" w:lineRule="auto"/>
        <w:jc w:val="both"/>
        <w:rPr>
          <w:rFonts w:ascii="Arial" w:hAnsi="Arial" w:cs="Arial"/>
          <w:color w:val="0E101A"/>
          <w:sz w:val="22"/>
          <w:szCs w:val="22"/>
        </w:rPr>
      </w:pPr>
    </w:p>
    <w:p w14:paraId="5794837C" w14:textId="77777777" w:rsidR="00217F70" w:rsidRPr="00FE3C43" w:rsidRDefault="00217F70" w:rsidP="00FE3C43">
      <w:pPr>
        <w:pStyle w:val="NormalWeb"/>
        <w:spacing w:before="240" w:beforeAutospacing="0" w:after="160" w:afterAutospacing="0" w:line="360" w:lineRule="auto"/>
        <w:jc w:val="both"/>
        <w:rPr>
          <w:rFonts w:ascii="Arial" w:hAnsi="Arial" w:cs="Arial"/>
          <w:b/>
          <w:i/>
          <w:color w:val="0E101A"/>
          <w:sz w:val="22"/>
          <w:szCs w:val="22"/>
        </w:rPr>
      </w:pPr>
      <w:r w:rsidRPr="00FE3C43">
        <w:rPr>
          <w:rStyle w:val="Emphasis"/>
          <w:rFonts w:ascii="Arial" w:hAnsi="Arial" w:cs="Arial"/>
          <w:b/>
          <w:i w:val="0"/>
          <w:color w:val="0E101A"/>
          <w:sz w:val="22"/>
          <w:szCs w:val="22"/>
        </w:rPr>
        <w:t> </w:t>
      </w:r>
      <w:r w:rsidR="00AE75DB" w:rsidRPr="00FE3C43">
        <w:rPr>
          <w:rStyle w:val="Emphasis"/>
          <w:rFonts w:ascii="Arial" w:hAnsi="Arial" w:cs="Arial"/>
          <w:b/>
          <w:i w:val="0"/>
          <w:color w:val="0E101A"/>
          <w:sz w:val="22"/>
          <w:szCs w:val="22"/>
        </w:rPr>
        <w:t>Task 2</w:t>
      </w:r>
      <w:r w:rsidRPr="00FE3C43">
        <w:rPr>
          <w:rStyle w:val="Emphasis"/>
          <w:rFonts w:ascii="Arial" w:hAnsi="Arial" w:cs="Arial"/>
          <w:b/>
          <w:i w:val="0"/>
          <w:color w:val="0E101A"/>
          <w:sz w:val="22"/>
          <w:szCs w:val="22"/>
        </w:rPr>
        <w:t xml:space="preserve">                                                              </w:t>
      </w:r>
    </w:p>
    <w:p w14:paraId="77850116"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Style w:val="Strong"/>
          <w:rFonts w:ascii="Arial" w:hAnsi="Arial" w:cs="Arial"/>
          <w:color w:val="0E101A"/>
          <w:sz w:val="22"/>
          <w:szCs w:val="22"/>
        </w:rPr>
        <w:t xml:space="preserve">Introduction  </w:t>
      </w:r>
    </w:p>
    <w:p w14:paraId="4487AF6A" w14:textId="17071B17" w:rsidR="00217F70" w:rsidRPr="00FE3C43" w:rsidRDefault="00217F70" w:rsidP="00FE3C43">
      <w:pPr>
        <w:pStyle w:val="NormalWeb"/>
        <w:spacing w:before="240" w:beforeAutospacing="0" w:after="160" w:afterAutospacing="0" w:line="360" w:lineRule="auto"/>
        <w:jc w:val="both"/>
        <w:rPr>
          <w:rFonts w:ascii="Arial" w:hAnsi="Arial" w:cs="Arial"/>
          <w:b/>
          <w:color w:val="0E101A"/>
          <w:sz w:val="22"/>
          <w:szCs w:val="22"/>
        </w:rPr>
      </w:pPr>
      <w:r w:rsidRPr="00FE3C43">
        <w:rPr>
          <w:rStyle w:val="Strong"/>
          <w:rFonts w:ascii="Arial" w:hAnsi="Arial" w:cs="Arial"/>
          <w:b w:val="0"/>
          <w:color w:val="0E101A"/>
          <w:sz w:val="22"/>
          <w:szCs w:val="22"/>
        </w:rPr>
        <w:t xml:space="preserve">Early-onset dementia (EOD), also known as young-onset dementia, is dementia diagnosed before the age of 65 years, with the cohort of 18-45 years being the most socially and economically disruptive. Dementia can be described as a progressive syndrome that is characterised by a progressive impairment of memory, cognition and executive functioning, which eventually affects daily living and independence (WHO, 2021). </w:t>
      </w:r>
      <w:r w:rsidR="00584788" w:rsidRPr="00FE3C43">
        <w:rPr>
          <w:rStyle w:val="Strong"/>
          <w:rFonts w:ascii="Arial" w:hAnsi="Arial" w:cs="Arial"/>
          <w:b w:val="0"/>
          <w:color w:val="0E101A"/>
          <w:sz w:val="22"/>
          <w:szCs w:val="22"/>
        </w:rPr>
        <w:t>Even though</w:t>
      </w:r>
      <w:r w:rsidRPr="00FE3C43">
        <w:rPr>
          <w:rStyle w:val="Strong"/>
          <w:rFonts w:ascii="Arial" w:hAnsi="Arial" w:cs="Arial"/>
          <w:b w:val="0"/>
          <w:color w:val="0E101A"/>
          <w:sz w:val="22"/>
          <w:szCs w:val="22"/>
        </w:rPr>
        <w:t xml:space="preserve"> most of the cases take place after the age of 65, EOD has devastating impacts on younger adults, such as loss of employment, premature disability, financial stress in the home, psychological distress and family responsibility of individuals who continue to work and parent (Carter et al., 2022). EOD is estimated to be affecting around 3.9 million people all over the world (about 6 to 9 per cent of all dementia) (Nichols et al., 2022). Based on international estimates, there are approximately 42.3 per 100,000 adults aged 30</w:t>
      </w:r>
      <w:r w:rsidR="00584788" w:rsidRPr="00FE3C43">
        <w:rPr>
          <w:rStyle w:val="Strong"/>
          <w:rFonts w:ascii="Arial" w:hAnsi="Arial" w:cs="Arial"/>
          <w:b w:val="0"/>
          <w:color w:val="0E101A"/>
          <w:sz w:val="22"/>
          <w:szCs w:val="22"/>
        </w:rPr>
        <w:t xml:space="preserve"> –</w:t>
      </w:r>
      <w:r w:rsidRPr="00FE3C43">
        <w:rPr>
          <w:rStyle w:val="Strong"/>
          <w:rFonts w:ascii="Arial" w:hAnsi="Arial" w:cs="Arial"/>
          <w:b w:val="0"/>
          <w:color w:val="0E101A"/>
          <w:sz w:val="22"/>
          <w:szCs w:val="22"/>
        </w:rPr>
        <w:t xml:space="preserve"> 64</w:t>
      </w:r>
      <w:r w:rsidR="00584788" w:rsidRPr="00FE3C43">
        <w:rPr>
          <w:rStyle w:val="Strong"/>
          <w:rFonts w:ascii="Arial" w:hAnsi="Arial" w:cs="Arial"/>
          <w:b w:val="0"/>
          <w:color w:val="0E101A"/>
          <w:sz w:val="22"/>
          <w:szCs w:val="22"/>
        </w:rPr>
        <w:t xml:space="preserve"> years</w:t>
      </w:r>
      <w:r w:rsidRPr="00FE3C43">
        <w:rPr>
          <w:rStyle w:val="Strong"/>
          <w:rFonts w:ascii="Arial" w:hAnsi="Arial" w:cs="Arial"/>
          <w:b w:val="0"/>
          <w:color w:val="0E101A"/>
          <w:sz w:val="22"/>
          <w:szCs w:val="22"/>
        </w:rPr>
        <w:t xml:space="preserve"> (Harvey et al., 2019). The prevalence of the disease among the population under 65 years of age in the United Kingdom is estimated to be about 70,800, and cases of the disease are especially highly prevalent among the 18</w:t>
      </w:r>
      <w:r w:rsidR="00584788" w:rsidRPr="00FE3C43">
        <w:rPr>
          <w:rStyle w:val="Strong"/>
          <w:rFonts w:ascii="Arial" w:hAnsi="Arial" w:cs="Arial"/>
          <w:b w:val="0"/>
          <w:color w:val="0E101A"/>
          <w:sz w:val="22"/>
          <w:szCs w:val="22"/>
        </w:rPr>
        <w:t xml:space="preserve"> –</w:t>
      </w:r>
      <w:r w:rsidRPr="00FE3C43">
        <w:rPr>
          <w:rStyle w:val="Strong"/>
          <w:rFonts w:ascii="Arial" w:hAnsi="Arial" w:cs="Arial"/>
          <w:b w:val="0"/>
          <w:color w:val="0E101A"/>
          <w:sz w:val="22"/>
          <w:szCs w:val="22"/>
        </w:rPr>
        <w:t xml:space="preserve"> 45</w:t>
      </w:r>
      <w:r w:rsidR="006771E1" w:rsidRPr="00FE3C43">
        <w:rPr>
          <w:rStyle w:val="Strong"/>
          <w:rFonts w:ascii="Arial" w:hAnsi="Arial" w:cs="Arial"/>
          <w:b w:val="0"/>
          <w:color w:val="0E101A"/>
          <w:sz w:val="22"/>
          <w:szCs w:val="22"/>
        </w:rPr>
        <w:t xml:space="preserve"> </w:t>
      </w:r>
      <w:r w:rsidRPr="00FE3C43">
        <w:rPr>
          <w:rStyle w:val="Strong"/>
          <w:rFonts w:ascii="Arial" w:hAnsi="Arial" w:cs="Arial"/>
          <w:b w:val="0"/>
          <w:color w:val="0E101A"/>
          <w:sz w:val="22"/>
          <w:szCs w:val="22"/>
        </w:rPr>
        <w:t>old group, especially in the regions that are characterised by a high level of deprivation, substance misuse, and neurological comorbidities (Alzheimer’s Society, 2023). Hackney is a socio-economically disadvantaged and ethnically diverse borough in London with a high rate of alcohol dependency, HIV-related cases, traumatic brain injuries (TBI), and mental illness, thus putting young people in Hackney at higher risk of EOD (Hackney Council, 2022).</w:t>
      </w:r>
    </w:p>
    <w:p w14:paraId="24614A41" w14:textId="77777777" w:rsidR="00217F70" w:rsidRPr="00FE3C43" w:rsidRDefault="00217F70" w:rsidP="00FE3C43">
      <w:pPr>
        <w:pStyle w:val="NormalWeb"/>
        <w:spacing w:before="240" w:beforeAutospacing="0" w:after="160" w:afterAutospacing="0" w:line="360" w:lineRule="auto"/>
        <w:jc w:val="both"/>
        <w:rPr>
          <w:rFonts w:ascii="Arial" w:hAnsi="Arial" w:cs="Arial"/>
          <w:bCs/>
          <w:iCs/>
          <w:color w:val="0E101A"/>
          <w:sz w:val="22"/>
          <w:szCs w:val="22"/>
        </w:rPr>
      </w:pPr>
      <w:r w:rsidRPr="00FE3C43">
        <w:rPr>
          <w:rStyle w:val="Strong"/>
          <w:rFonts w:ascii="Arial" w:hAnsi="Arial" w:cs="Arial"/>
          <w:bCs w:val="0"/>
          <w:iCs/>
          <w:color w:val="0E101A"/>
          <w:sz w:val="22"/>
          <w:szCs w:val="22"/>
        </w:rPr>
        <w:t xml:space="preserve">Public Health Measures to Manage and Reduce Impact.  </w:t>
      </w:r>
    </w:p>
    <w:p w14:paraId="436A63CC" w14:textId="42005C4B" w:rsidR="00217F70" w:rsidRPr="00FE3C43" w:rsidRDefault="00217F70" w:rsidP="00FE3C43">
      <w:pPr>
        <w:pStyle w:val="NormalWeb"/>
        <w:spacing w:before="240" w:beforeAutospacing="0" w:after="160" w:afterAutospacing="0" w:line="360" w:lineRule="auto"/>
        <w:jc w:val="both"/>
        <w:rPr>
          <w:rFonts w:ascii="Arial" w:hAnsi="Arial" w:cs="Arial"/>
          <w:b/>
          <w:color w:val="0E101A"/>
          <w:sz w:val="22"/>
          <w:szCs w:val="22"/>
        </w:rPr>
      </w:pPr>
      <w:r w:rsidRPr="00FE3C43">
        <w:rPr>
          <w:rStyle w:val="Strong"/>
          <w:rFonts w:ascii="Arial" w:hAnsi="Arial" w:cs="Arial"/>
          <w:b w:val="0"/>
          <w:color w:val="0E101A"/>
          <w:sz w:val="22"/>
          <w:szCs w:val="22"/>
        </w:rPr>
        <w:t>Health promotion, prevention and protection are operationalised as health promotions to EOD working in Hackney. Health promotion is aimed at increasing awareness of the early symptoms and help-seeking, especially since the early symptoms of dementia in young adults are often confused with stress or mental health issues. Local campaigns go hand in hand with national ones, like NHS England, through its campaign, which encourages earlier recognition (NHS England, 2020). Prevention measures are aimed at minimising risk factors. It has been shown that as much as 40 per cent of the dementia cases may be prevented or postponed by alcohol intake cuts, cardiovascular well-being and mitigation of the dangers of smoking and TBI (Livingston et al., 2020). The public health system of Hackney provides alcohol-reduction services, HIV treatment-adherence programmes and health cheques aimed to change these risk factors in adults aged 18</w:t>
      </w:r>
      <w:r w:rsidR="00584788" w:rsidRPr="00FE3C43">
        <w:rPr>
          <w:rStyle w:val="Strong"/>
          <w:rFonts w:ascii="Arial" w:hAnsi="Arial" w:cs="Arial"/>
          <w:b w:val="0"/>
          <w:color w:val="0E101A"/>
          <w:sz w:val="22"/>
          <w:szCs w:val="22"/>
        </w:rPr>
        <w:t xml:space="preserve"> – </w:t>
      </w:r>
      <w:r w:rsidRPr="00FE3C43">
        <w:rPr>
          <w:rStyle w:val="Strong"/>
          <w:rFonts w:ascii="Arial" w:hAnsi="Arial" w:cs="Arial"/>
          <w:b w:val="0"/>
          <w:color w:val="0E101A"/>
          <w:sz w:val="22"/>
          <w:szCs w:val="22"/>
        </w:rPr>
        <w:t>45</w:t>
      </w:r>
      <w:r w:rsidR="00584788" w:rsidRPr="00FE3C43">
        <w:rPr>
          <w:rStyle w:val="Strong"/>
          <w:rFonts w:ascii="Arial" w:hAnsi="Arial" w:cs="Arial"/>
          <w:b w:val="0"/>
          <w:color w:val="0E101A"/>
          <w:sz w:val="22"/>
          <w:szCs w:val="22"/>
        </w:rPr>
        <w:t xml:space="preserve"> years</w:t>
      </w:r>
      <w:r w:rsidRPr="00FE3C43">
        <w:rPr>
          <w:rStyle w:val="Strong"/>
          <w:rFonts w:ascii="Arial" w:hAnsi="Arial" w:cs="Arial"/>
          <w:b w:val="0"/>
          <w:color w:val="0E101A"/>
          <w:sz w:val="22"/>
          <w:szCs w:val="22"/>
        </w:rPr>
        <w:t>. The protection measures involve vulnerable adults, family support and early access to diagnostic evaluation via the Memory Assessment Service in Hackney, which has enhanced generic practitioner sensitisation on presentations of EOD (Hackney GP Confederation, 2023).</w:t>
      </w:r>
    </w:p>
    <w:p w14:paraId="63836E30" w14:textId="77777777" w:rsidR="00217F70" w:rsidRPr="00FE3C43" w:rsidRDefault="00217F70" w:rsidP="00FE3C43">
      <w:pPr>
        <w:pStyle w:val="NormalWeb"/>
        <w:spacing w:before="240" w:beforeAutospacing="0" w:after="160" w:afterAutospacing="0" w:line="360" w:lineRule="auto"/>
        <w:jc w:val="both"/>
        <w:rPr>
          <w:rFonts w:ascii="Arial" w:hAnsi="Arial" w:cs="Arial"/>
          <w:bCs/>
          <w:iCs/>
          <w:color w:val="0E101A"/>
          <w:sz w:val="22"/>
          <w:szCs w:val="22"/>
        </w:rPr>
      </w:pPr>
      <w:r w:rsidRPr="00FE3C43">
        <w:rPr>
          <w:rStyle w:val="Strong"/>
          <w:rFonts w:ascii="Arial" w:hAnsi="Arial" w:cs="Arial"/>
          <w:bCs w:val="0"/>
          <w:iCs/>
          <w:color w:val="0E101A"/>
          <w:sz w:val="22"/>
          <w:szCs w:val="22"/>
        </w:rPr>
        <w:t>Key Determinants and Risk Factors</w:t>
      </w:r>
    </w:p>
    <w:p w14:paraId="4427028D" w14:textId="4B78481F" w:rsidR="00217F70" w:rsidRPr="00FE3C43" w:rsidRDefault="00217F70" w:rsidP="00FE3C43">
      <w:pPr>
        <w:pStyle w:val="NormalWeb"/>
        <w:spacing w:before="240" w:beforeAutospacing="0" w:after="160" w:afterAutospacing="0" w:line="360" w:lineRule="auto"/>
        <w:jc w:val="both"/>
        <w:rPr>
          <w:rFonts w:ascii="Arial" w:hAnsi="Arial" w:cs="Arial"/>
          <w:b/>
          <w:color w:val="0E101A"/>
          <w:sz w:val="22"/>
          <w:szCs w:val="22"/>
        </w:rPr>
      </w:pPr>
      <w:r w:rsidRPr="00FE3C43">
        <w:rPr>
          <w:rStyle w:val="Strong"/>
          <w:rFonts w:ascii="Arial" w:hAnsi="Arial" w:cs="Arial"/>
          <w:b w:val="0"/>
          <w:color w:val="0E101A"/>
          <w:sz w:val="22"/>
          <w:szCs w:val="22"/>
        </w:rPr>
        <w:t>Dementia in its early stages is linked to the presence of numerous biological, behavioural, and social factors. Rare familial forms of Alzheimer's disease that are genetically determined due to the mutation in PSEN1, PSEN2 or APP may result in the onset of the disease in the 30s or 40s (Guerreiro </w:t>
      </w:r>
      <w:r w:rsidR="00584788" w:rsidRPr="00FE3C43">
        <w:rPr>
          <w:rStyle w:val="Strong"/>
          <w:rFonts w:ascii="Arial" w:hAnsi="Arial" w:cs="Arial"/>
          <w:b w:val="0"/>
          <w:color w:val="0E101A"/>
          <w:sz w:val="22"/>
          <w:szCs w:val="22"/>
        </w:rPr>
        <w:t xml:space="preserve">and </w:t>
      </w:r>
      <w:r w:rsidRPr="00FE3C43">
        <w:rPr>
          <w:rStyle w:val="Strong"/>
          <w:rFonts w:ascii="Arial" w:hAnsi="Arial" w:cs="Arial"/>
          <w:b w:val="0"/>
          <w:color w:val="0E101A"/>
          <w:sz w:val="22"/>
          <w:szCs w:val="22"/>
        </w:rPr>
        <w:t>Hardy, 2017). HIV-associated neurocognitive disorder (HAND) is an important issue in Hackney because the borough has the greatest HIV rates, and chronic inflammation due to HIV may be a factor in neurodegeneration despite effective antiretroviral therapy (Sacktor et al., 2019). The alcohol-related brain damage is also a significant factor since Hackney has high rates of substance misuse associated with socioeconomic deprivation (Ridley et al., 2020). TBI significantly raises the risk of dementia, and TBI has been found to contribute to a higher probability of dementia by 60</w:t>
      </w:r>
      <w:r w:rsidR="00584788" w:rsidRPr="00FE3C43">
        <w:rPr>
          <w:rStyle w:val="Strong"/>
          <w:rFonts w:ascii="Arial" w:hAnsi="Arial" w:cs="Arial"/>
          <w:b w:val="0"/>
          <w:color w:val="0E101A"/>
          <w:sz w:val="22"/>
          <w:szCs w:val="22"/>
        </w:rPr>
        <w:t xml:space="preserve"> - </w:t>
      </w:r>
      <w:r w:rsidRPr="00FE3C43">
        <w:rPr>
          <w:rStyle w:val="Strong"/>
          <w:rFonts w:ascii="Arial" w:hAnsi="Arial" w:cs="Arial"/>
          <w:b w:val="0"/>
          <w:color w:val="0E101A"/>
          <w:sz w:val="22"/>
          <w:szCs w:val="22"/>
        </w:rPr>
        <w:t>90 per cent (Barnes et al., 2018). These risks are enhanced by social determinants; Hackney has a low deprivation score that is linked to poor housing, irregular employment and mental stressors, which are known to decrease resilience to neurological disease (Marmot, 2020). The ethnic minorities that constitute a significant percentage of the population in Hackney are more prone to face diagnostic barriers through stigma, cultural misunderstandings or l</w:t>
      </w:r>
      <w:r w:rsidR="00AE75DB" w:rsidRPr="00FE3C43">
        <w:rPr>
          <w:rStyle w:val="Strong"/>
          <w:rFonts w:ascii="Arial" w:hAnsi="Arial" w:cs="Arial"/>
          <w:b w:val="0"/>
          <w:color w:val="0E101A"/>
          <w:sz w:val="22"/>
          <w:szCs w:val="22"/>
        </w:rPr>
        <w:t>ow access to care (Giebel et al</w:t>
      </w:r>
      <w:r w:rsidRPr="00FE3C43">
        <w:rPr>
          <w:rStyle w:val="Strong"/>
          <w:rFonts w:ascii="Arial" w:hAnsi="Arial" w:cs="Arial"/>
          <w:b w:val="0"/>
          <w:color w:val="0E101A"/>
          <w:sz w:val="22"/>
          <w:szCs w:val="22"/>
        </w:rPr>
        <w:t>, 2021).</w:t>
      </w:r>
    </w:p>
    <w:p w14:paraId="2799B045" w14:textId="77777777" w:rsidR="00217F70" w:rsidRPr="00FE3C43" w:rsidRDefault="00217F70" w:rsidP="00FE3C43">
      <w:pPr>
        <w:pStyle w:val="NormalWeb"/>
        <w:spacing w:before="240" w:beforeAutospacing="0" w:after="160" w:afterAutospacing="0" w:line="360" w:lineRule="auto"/>
        <w:jc w:val="both"/>
        <w:rPr>
          <w:rFonts w:ascii="Arial" w:hAnsi="Arial" w:cs="Arial"/>
          <w:bCs/>
          <w:iCs/>
          <w:color w:val="0E101A"/>
          <w:sz w:val="22"/>
          <w:szCs w:val="22"/>
        </w:rPr>
      </w:pPr>
      <w:r w:rsidRPr="00FE3C43">
        <w:rPr>
          <w:rStyle w:val="Strong"/>
          <w:rFonts w:ascii="Arial" w:hAnsi="Arial" w:cs="Arial"/>
          <w:bCs w:val="0"/>
          <w:iCs/>
          <w:color w:val="0E101A"/>
          <w:sz w:val="22"/>
          <w:szCs w:val="22"/>
        </w:rPr>
        <w:t>Using Epidemiology and Health Needs Assessment to Identify Affected Groups</w:t>
      </w:r>
    </w:p>
    <w:p w14:paraId="4E0C00C3" w14:textId="57BD4CDD" w:rsidR="00217F70" w:rsidRPr="00FE3C43" w:rsidRDefault="00217F70" w:rsidP="00FE3C43">
      <w:pPr>
        <w:pStyle w:val="NormalWeb"/>
        <w:spacing w:before="240" w:beforeAutospacing="0" w:after="160" w:afterAutospacing="0" w:line="360" w:lineRule="auto"/>
        <w:jc w:val="both"/>
        <w:rPr>
          <w:rFonts w:ascii="Arial" w:hAnsi="Arial" w:cs="Arial"/>
          <w:b/>
          <w:color w:val="0E101A"/>
          <w:sz w:val="22"/>
          <w:szCs w:val="22"/>
        </w:rPr>
      </w:pPr>
      <w:r w:rsidRPr="00FE3C43">
        <w:rPr>
          <w:rStyle w:val="Strong"/>
          <w:rFonts w:ascii="Arial" w:hAnsi="Arial" w:cs="Arial"/>
          <w:b w:val="0"/>
          <w:color w:val="0E101A"/>
          <w:sz w:val="22"/>
          <w:szCs w:val="22"/>
        </w:rPr>
        <w:t xml:space="preserve">The Hackney Health Needs Assessment (HNA) is an evidence-based interpretation of the vulnerable or affected people. Hackney is a young borough demographically, and in this case, the elderly are not perceived as patients with dementia; this fact supports the delay in diagnoses. The younger adults with HIV, those who have chronic alcohol misuse, a history of homelessness, and frequent traumatic injuries are the high-risk groups (Hackney JSNA, 2022). The study shows that the prevalence of EOD can be two times higher in urban areas that are deprived than the national average (Carter et al., 2022). Epidemiological research proves that younger adults often undergo protracted diagnostic paths </w:t>
      </w:r>
      <w:r w:rsidR="00584788" w:rsidRPr="00FE3C43">
        <w:rPr>
          <w:rStyle w:val="Strong"/>
          <w:rFonts w:ascii="Arial" w:hAnsi="Arial" w:cs="Arial"/>
          <w:b w:val="0"/>
          <w:color w:val="0E101A"/>
          <w:sz w:val="22"/>
          <w:szCs w:val="22"/>
        </w:rPr>
        <w:t>because</w:t>
      </w:r>
      <w:r w:rsidRPr="00FE3C43">
        <w:rPr>
          <w:rStyle w:val="Strong"/>
          <w:rFonts w:ascii="Arial" w:hAnsi="Arial" w:cs="Arial"/>
          <w:b w:val="0"/>
          <w:color w:val="0E101A"/>
          <w:sz w:val="22"/>
          <w:szCs w:val="22"/>
        </w:rPr>
        <w:t xml:space="preserve"> clinicians attribute cognitive symptoms to depression, substance misuse or stress (Nelis et al., 2019). Hackney faces even more challenges, as it is a multicultural neighbourhood, where language barriers and stigma slow down the process of getting an evaluation of the memory. It is estimated that 50-120 persons in Hackney within the 18-45 age range might be living with early cognitive impairment in line with EOD, but many probably do not have a diagnosis because of systematic and cultural barriers (Harvey et al., 2019).</w:t>
      </w:r>
    </w:p>
    <w:p w14:paraId="3D860D6F" w14:textId="77777777" w:rsidR="00217F70" w:rsidRPr="00FE3C43" w:rsidRDefault="00217F70" w:rsidP="00FE3C43">
      <w:pPr>
        <w:pStyle w:val="NormalWeb"/>
        <w:spacing w:before="240" w:beforeAutospacing="0" w:after="160" w:afterAutospacing="0" w:line="360" w:lineRule="auto"/>
        <w:jc w:val="both"/>
        <w:rPr>
          <w:rFonts w:ascii="Arial" w:hAnsi="Arial" w:cs="Arial"/>
          <w:bCs/>
          <w:iCs/>
          <w:color w:val="0E101A"/>
          <w:sz w:val="22"/>
          <w:szCs w:val="22"/>
        </w:rPr>
      </w:pPr>
      <w:r w:rsidRPr="00FE3C43">
        <w:rPr>
          <w:rStyle w:val="Strong"/>
          <w:rFonts w:ascii="Arial" w:hAnsi="Arial" w:cs="Arial"/>
          <w:bCs w:val="0"/>
          <w:iCs/>
          <w:color w:val="0E101A"/>
          <w:sz w:val="22"/>
          <w:szCs w:val="22"/>
        </w:rPr>
        <w:t>Public Health Surveillance and Monitoring</w:t>
      </w:r>
    </w:p>
    <w:p w14:paraId="5ABE37EF" w14:textId="77777777" w:rsidR="00217F70" w:rsidRPr="00FE3C43" w:rsidRDefault="00217F70" w:rsidP="00FE3C43">
      <w:pPr>
        <w:pStyle w:val="NormalWeb"/>
        <w:spacing w:before="240" w:beforeAutospacing="0" w:after="160" w:afterAutospacing="0" w:line="360" w:lineRule="auto"/>
        <w:jc w:val="both"/>
        <w:rPr>
          <w:rFonts w:ascii="Arial" w:hAnsi="Arial" w:cs="Arial"/>
          <w:b/>
          <w:color w:val="0E101A"/>
          <w:sz w:val="22"/>
          <w:szCs w:val="22"/>
        </w:rPr>
      </w:pPr>
      <w:r w:rsidRPr="00FE3C43">
        <w:rPr>
          <w:rStyle w:val="Strong"/>
          <w:rFonts w:ascii="Arial" w:hAnsi="Arial" w:cs="Arial"/>
          <w:b w:val="0"/>
          <w:color w:val="0E101A"/>
          <w:sz w:val="22"/>
          <w:szCs w:val="22"/>
        </w:rPr>
        <w:t>Follow-up of EOD in Hackney necessitates the incorporation of local clinical data, national registries, and reports on a community level. Essential but partial surveillance is given by routine healthcare data of general practitioner dementia registers, HIV clinics and Hackney Memory Assessment Service. Local data is supported by national datasets provided by NHS Digital and the Dementia Intelligence Network, which provides more extensive information on the incidence of diagnoses and trends (Public Health England, 2021). Sentinel surveillance of selected practices of Hackney GP offers better surveillance of younger adults with cognitive symptoms, especially those with comorbid risk factors. Voluntary organisations, e.g. Alzheimer Society or Dementia UK, gather information on service utilisation, caregiver experience and patient demand and thus put epidemiological trends into perspective. Even with several sources of data, surveillance is limited by the underdiagnosis, insufficient longitudinal data and inadequate distinction between dementia subtypes in younger adults.</w:t>
      </w:r>
    </w:p>
    <w:p w14:paraId="4E74B925" w14:textId="77777777" w:rsidR="00217F70" w:rsidRPr="00FE3C43" w:rsidRDefault="00217F70" w:rsidP="00FE3C43">
      <w:pPr>
        <w:pStyle w:val="NormalWeb"/>
        <w:spacing w:before="240" w:beforeAutospacing="0" w:after="160" w:afterAutospacing="0" w:line="360" w:lineRule="auto"/>
        <w:jc w:val="both"/>
        <w:rPr>
          <w:rFonts w:ascii="Arial" w:hAnsi="Arial" w:cs="Arial"/>
          <w:bCs/>
          <w:iCs/>
          <w:color w:val="0E101A"/>
          <w:sz w:val="22"/>
          <w:szCs w:val="22"/>
        </w:rPr>
      </w:pPr>
      <w:r w:rsidRPr="00FE3C43">
        <w:rPr>
          <w:rStyle w:val="Strong"/>
          <w:rFonts w:ascii="Arial" w:hAnsi="Arial" w:cs="Arial"/>
          <w:bCs w:val="0"/>
          <w:iCs/>
          <w:color w:val="0E101A"/>
          <w:sz w:val="22"/>
          <w:szCs w:val="22"/>
        </w:rPr>
        <w:t>Public Health Impact of Early-Onset Dementia.</w:t>
      </w:r>
    </w:p>
    <w:p w14:paraId="6EEF9ACD" w14:textId="77777777" w:rsidR="00217F70" w:rsidRPr="00FE3C43" w:rsidRDefault="00217F70" w:rsidP="00FE3C43">
      <w:pPr>
        <w:pStyle w:val="NormalWeb"/>
        <w:spacing w:before="240" w:beforeAutospacing="0" w:after="160" w:afterAutospacing="0" w:line="360" w:lineRule="auto"/>
        <w:jc w:val="both"/>
        <w:rPr>
          <w:rStyle w:val="Strong"/>
          <w:rFonts w:ascii="Arial" w:hAnsi="Arial" w:cs="Arial"/>
          <w:b w:val="0"/>
          <w:color w:val="0E101A"/>
          <w:sz w:val="22"/>
          <w:szCs w:val="22"/>
        </w:rPr>
      </w:pPr>
      <w:r w:rsidRPr="00FE3C43">
        <w:rPr>
          <w:rStyle w:val="Strong"/>
          <w:rFonts w:ascii="Arial" w:hAnsi="Arial" w:cs="Arial"/>
          <w:b w:val="0"/>
          <w:color w:val="0E101A"/>
          <w:sz w:val="22"/>
          <w:szCs w:val="22"/>
        </w:rPr>
        <w:t>EOD has severe short-term and prolonged consequences on young adults and their families. Short-term effects include premature unemployment, financial crisis, emotional instability and disturbance of family life (Giebel et al., 2021). Misconceptions about the connection between dementia and ageing make younger adults with the condition feel stigmatised and isolated in society. There are great mental and supportive pressures on the families, especially partners and young kids (Carter et al., 2022). The long-term effects are progressive cognitive impairment, a rise in social-care requirements, reliance on long-term support systems and premature deaths. The effect of EOD is related to an average loss of life expectancy (8-12 years), which emphasises how seriously it is reflected (Nichols et al., 2022). In the case of the Hackney Council, taking care of younger adults with dementia requires a significant long-term investment, and, according to the epidemiological forecasts, the pressure of EOD will increase in the future because of the existing structural inequalities and the elevated levels of risk factors in the area.</w:t>
      </w:r>
    </w:p>
    <w:p w14:paraId="7BAB190A" w14:textId="77777777" w:rsidR="00830F65" w:rsidRPr="00FE3C43" w:rsidRDefault="00830F65" w:rsidP="00FE3C43">
      <w:pPr>
        <w:pStyle w:val="NormalWeb"/>
        <w:spacing w:before="240" w:beforeAutospacing="0" w:after="160" w:afterAutospacing="0" w:line="360" w:lineRule="auto"/>
        <w:jc w:val="both"/>
        <w:rPr>
          <w:rFonts w:ascii="Arial" w:hAnsi="Arial" w:cs="Arial"/>
          <w:b/>
          <w:color w:val="0E101A"/>
          <w:sz w:val="22"/>
          <w:szCs w:val="22"/>
        </w:rPr>
      </w:pPr>
    </w:p>
    <w:p w14:paraId="7912ACEB" w14:textId="77777777" w:rsidR="00217F70" w:rsidRPr="00FE3C43" w:rsidRDefault="00217F70" w:rsidP="00FE3C43">
      <w:pPr>
        <w:pStyle w:val="Heading2"/>
        <w:spacing w:before="240" w:beforeAutospacing="0" w:after="160" w:afterAutospacing="0" w:line="360" w:lineRule="auto"/>
        <w:jc w:val="both"/>
        <w:rPr>
          <w:rFonts w:ascii="Arial" w:hAnsi="Arial" w:cs="Arial"/>
          <w:b w:val="0"/>
          <w:iCs/>
          <w:color w:val="0E101A"/>
          <w:sz w:val="22"/>
          <w:szCs w:val="22"/>
        </w:rPr>
      </w:pPr>
      <w:r w:rsidRPr="00FE3C43">
        <w:rPr>
          <w:rStyle w:val="Strong"/>
          <w:rFonts w:ascii="Arial" w:hAnsi="Arial" w:cs="Arial"/>
          <w:b/>
          <w:iCs/>
          <w:color w:val="0E101A"/>
          <w:sz w:val="22"/>
          <w:szCs w:val="22"/>
        </w:rPr>
        <w:t>Designing an Intervention</w:t>
      </w:r>
    </w:p>
    <w:p w14:paraId="5C80BCB7"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An example of such a tailored intervention is the Hackney Young Minds Dementia Intervention (HYMDI), which can improve the process of early detection, risk factor reduction, and support of younger adults at increased risk of developing dementia at an early age (Harvey et al., 2019). The cognitive screening of people with HIV, alcohol dependence, or a high level of traumatic brain injury (TBI) history should be included in the early detection since these are strongly associated with the increased risk of dementia (Sacktor et al., 2019; Ridley et al., 2020; Barnes et al., 2018). This screening would be supported by extensive training of general practitioners (GPs) and a referral channel that would be swift to eliminate delays in diagnosis, an endemic problem among younger adults (Nelis et al., 2019). The actions to be discussed as the means of reducing risks should revolve around the growth of alcohol reduction services, the encouragement of adherence to antiretroviral therapy, and cardiovascular health screening as the central modifiable risk factors described by the Lancet Commission (Livingston et al., 2020). The community awareness plan can assist in lowering the stigma linked to dementia and enhance awareness within the diverse population of Hackney, and this is crucial in localities with cultural and structural obstacles to diagnosis (Giebel et al., 2021). The heavy workload on families with people with early-onset dementia can also be alleviated through individual support programmes that provide families with training, counselling, and financial services (Carter et al., 2022). </w:t>
      </w:r>
    </w:p>
    <w:p w14:paraId="51D4905F" w14:textId="0D4D4DB5"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There are some strengths of the epidemiological approach employed in the analysis. The combination of various data streams (GP registers, HIV clinic data, hospital admissions, and voluntary sector records) enhances the identification of patient trends in the early stages of dementia and lowers the dependency of any individual surveillance mechanism (Public Health England, 2021). A Health Needs Assessment also allows a specific plan, which will assist in identifying high-risk groups, and conducting distribution of resources </w:t>
      </w:r>
      <w:r w:rsidR="00584788" w:rsidRPr="00FE3C43">
        <w:rPr>
          <w:rFonts w:ascii="Arial" w:hAnsi="Arial" w:cs="Arial"/>
          <w:color w:val="0E101A"/>
          <w:sz w:val="22"/>
          <w:szCs w:val="22"/>
        </w:rPr>
        <w:t>around</w:t>
      </w:r>
      <w:r w:rsidRPr="00FE3C43">
        <w:rPr>
          <w:rFonts w:ascii="Arial" w:hAnsi="Arial" w:cs="Arial"/>
          <w:color w:val="0E101A"/>
          <w:sz w:val="22"/>
          <w:szCs w:val="22"/>
        </w:rPr>
        <w:t xml:space="preserve"> deprivation, like Hackney (Hackney Council, 2022). Epidemiological models also facilitate future needs prediction and assessment of interventions in the medical field of the public, which is essential due to the long-term nature of the development and resource consumption of dementia (Nichols et al., 2022).  </w:t>
      </w:r>
    </w:p>
    <w:p w14:paraId="62B368D2" w14:textId="77777777" w:rsidR="00217F70" w:rsidRPr="00FE3C43" w:rsidRDefault="00217F70" w:rsidP="00FE3C43">
      <w:pPr>
        <w:pStyle w:val="NormalWeb"/>
        <w:spacing w:before="240" w:beforeAutospacing="0" w:after="160" w:afterAutospacing="0" w:line="360" w:lineRule="auto"/>
        <w:jc w:val="both"/>
        <w:rPr>
          <w:rFonts w:ascii="Arial" w:hAnsi="Arial" w:cs="Arial"/>
          <w:b/>
          <w:bCs/>
          <w:iCs/>
          <w:color w:val="0E101A"/>
          <w:sz w:val="22"/>
          <w:szCs w:val="22"/>
        </w:rPr>
      </w:pPr>
      <w:r w:rsidRPr="00FE3C43">
        <w:rPr>
          <w:rFonts w:ascii="Arial" w:hAnsi="Arial" w:cs="Arial"/>
          <w:b/>
          <w:bCs/>
          <w:iCs/>
          <w:color w:val="0E101A"/>
          <w:sz w:val="22"/>
          <w:szCs w:val="22"/>
        </w:rPr>
        <w:t>Strengths and Weaknesses of the Epidemiological Approach</w:t>
      </w:r>
    </w:p>
    <w:p w14:paraId="17C9381A" w14:textId="070B00E3"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 xml:space="preserve">Nevertheless, weaknesses are still important. Underdiagnosis undermines the trustworthiness of data, especially in ethnic minorities and younger adults, who experience substance misuse or mental illness conditions, which are known to be associated with diagnostic barriers (Nelis et al., 2019; Giebel et al., 2021). The number of small cases in the 18-45 age group decreases the statistical power of the local analysis and makes it difficult to identify trends (Harvey et al., 2019). Depression, drug use, and HIV are confounders that make causal interpretation complicated as they confound the symptoms with cognitive impairment (Sacktor et al., 2019). The completeness of the data is also limited by cultural, linguistic, and socioeconomic factors that diminish the validity of epidemiological estimates in various boroughs such as Hackney (Marmot, 2020). Also, current surveillance systems are not ideally created to identify dementia at an early onset in younger adults because </w:t>
      </w:r>
      <w:r w:rsidR="00336253" w:rsidRPr="00FE3C43">
        <w:rPr>
          <w:rFonts w:ascii="Arial" w:hAnsi="Arial" w:cs="Arial"/>
          <w:color w:val="0E101A"/>
          <w:sz w:val="22"/>
          <w:szCs w:val="22"/>
        </w:rPr>
        <w:t>most</w:t>
      </w:r>
      <w:r w:rsidRPr="00FE3C43">
        <w:rPr>
          <w:rFonts w:ascii="Arial" w:hAnsi="Arial" w:cs="Arial"/>
          <w:color w:val="0E101A"/>
          <w:sz w:val="22"/>
          <w:szCs w:val="22"/>
        </w:rPr>
        <w:t xml:space="preserve"> dementia monitoring frameworks in countries are aimed at older people (Public Health England, 2021).</w:t>
      </w:r>
    </w:p>
    <w:p w14:paraId="1D7A01EF"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Style w:val="Strong"/>
          <w:rFonts w:ascii="Arial" w:hAnsi="Arial" w:cs="Arial"/>
          <w:color w:val="0E101A"/>
          <w:sz w:val="22"/>
          <w:szCs w:val="22"/>
        </w:rPr>
        <w:t>Conclusion</w:t>
      </w:r>
    </w:p>
    <w:p w14:paraId="6CA8E20C" w14:textId="77777777" w:rsidR="00217F70" w:rsidRPr="00FE3C43" w:rsidRDefault="00217F70" w:rsidP="00FE3C43">
      <w:pPr>
        <w:pStyle w:val="NormalWeb"/>
        <w:spacing w:before="240" w:beforeAutospacing="0" w:after="160" w:afterAutospacing="0" w:line="360" w:lineRule="auto"/>
        <w:jc w:val="both"/>
        <w:rPr>
          <w:rFonts w:ascii="Arial" w:hAnsi="Arial" w:cs="Arial"/>
          <w:color w:val="0E101A"/>
          <w:sz w:val="22"/>
          <w:szCs w:val="22"/>
        </w:rPr>
      </w:pPr>
      <w:r w:rsidRPr="00FE3C43">
        <w:rPr>
          <w:rFonts w:ascii="Arial" w:hAnsi="Arial" w:cs="Arial"/>
          <w:color w:val="0E101A"/>
          <w:sz w:val="22"/>
          <w:szCs w:val="22"/>
        </w:rPr>
        <w:t>In both analyses, it is evident that health inequalities play an important role in determining the outcome of vulnerable populations. Task 1 has shown the unequal experiences of older adults in the UK in terms of mental health, access to healthcare, mortality, social isolation, poverty, and housing, which are mostly perpetuated by socioeconomic disadvantage and structural barriers. Task 2 depicted the same tendencies in a younger cohort where the pre-age dementia in the 18-45 population in Hackney was affected by deprivation, HIV, alcohol abuse and TBI. Both activities put emphasis on surveillance, early intervention, focused interventions, and community-based support in minimising health disparities and enhancing long-term outcomes.</w:t>
      </w:r>
    </w:p>
    <w:p w14:paraId="25F4D75A" w14:textId="77777777" w:rsidR="00F10E82" w:rsidRPr="00FE3C43" w:rsidRDefault="00F10E82" w:rsidP="00FE3C43">
      <w:pPr>
        <w:spacing w:before="240" w:line="360" w:lineRule="auto"/>
        <w:jc w:val="both"/>
        <w:rPr>
          <w:rFonts w:ascii="Arial" w:hAnsi="Arial" w:cs="Arial"/>
        </w:rPr>
      </w:pPr>
    </w:p>
    <w:p w14:paraId="3CF66E3D" w14:textId="77777777" w:rsidR="00217F70" w:rsidRPr="00FE3C43" w:rsidRDefault="00217F70" w:rsidP="00FE3C43">
      <w:pPr>
        <w:spacing w:before="240" w:line="360" w:lineRule="auto"/>
        <w:jc w:val="both"/>
        <w:rPr>
          <w:rFonts w:ascii="Arial" w:hAnsi="Arial" w:cs="Arial"/>
        </w:rPr>
      </w:pPr>
    </w:p>
    <w:p w14:paraId="54EFEC21" w14:textId="77777777" w:rsidR="00F10E82" w:rsidRPr="00FE3C43" w:rsidRDefault="00F10E82" w:rsidP="00FE3C43">
      <w:pPr>
        <w:spacing w:line="360" w:lineRule="auto"/>
        <w:jc w:val="both"/>
        <w:rPr>
          <w:rFonts w:ascii="Arial" w:hAnsi="Arial" w:cs="Arial"/>
        </w:rPr>
      </w:pPr>
    </w:p>
    <w:p w14:paraId="1342A341" w14:textId="77777777" w:rsidR="005F1035" w:rsidRPr="00FE3C43" w:rsidRDefault="005F1035" w:rsidP="00FE3C43">
      <w:pPr>
        <w:spacing w:line="360" w:lineRule="auto"/>
        <w:jc w:val="both"/>
        <w:rPr>
          <w:rFonts w:ascii="Arial" w:hAnsi="Arial" w:cs="Arial"/>
        </w:rPr>
      </w:pPr>
    </w:p>
    <w:p w14:paraId="7E7DB25A" w14:textId="77777777" w:rsidR="005F1035" w:rsidRPr="00FE3C43" w:rsidRDefault="005F1035" w:rsidP="00FE3C43">
      <w:pPr>
        <w:spacing w:line="360" w:lineRule="auto"/>
        <w:jc w:val="both"/>
        <w:rPr>
          <w:rFonts w:ascii="Arial" w:hAnsi="Arial" w:cs="Arial"/>
        </w:rPr>
      </w:pPr>
    </w:p>
    <w:p w14:paraId="37301A4F" w14:textId="77777777" w:rsidR="005F1035" w:rsidRPr="00FE3C43" w:rsidRDefault="005F1035" w:rsidP="00FE3C43">
      <w:pPr>
        <w:spacing w:line="360" w:lineRule="auto"/>
        <w:jc w:val="both"/>
        <w:rPr>
          <w:rFonts w:ascii="Arial" w:hAnsi="Arial" w:cs="Arial"/>
        </w:rPr>
      </w:pPr>
    </w:p>
    <w:p w14:paraId="4B6E2D07" w14:textId="77777777" w:rsidR="005F1035" w:rsidRPr="00FE3C43" w:rsidRDefault="005F1035" w:rsidP="00FE3C43">
      <w:pPr>
        <w:spacing w:line="360" w:lineRule="auto"/>
        <w:jc w:val="both"/>
        <w:rPr>
          <w:rFonts w:ascii="Arial" w:hAnsi="Arial" w:cs="Arial"/>
        </w:rPr>
      </w:pPr>
    </w:p>
    <w:p w14:paraId="5CC247B3" w14:textId="77777777" w:rsidR="005F1035" w:rsidRPr="00FE3C43" w:rsidRDefault="005F1035" w:rsidP="00FE3C43">
      <w:pPr>
        <w:spacing w:line="360" w:lineRule="auto"/>
        <w:jc w:val="both"/>
        <w:rPr>
          <w:rFonts w:ascii="Arial" w:hAnsi="Arial" w:cs="Arial"/>
        </w:rPr>
      </w:pPr>
    </w:p>
    <w:p w14:paraId="244575EC" w14:textId="77777777" w:rsidR="005F1035" w:rsidRPr="00FE3C43" w:rsidRDefault="005F1035" w:rsidP="00FE3C43">
      <w:pPr>
        <w:spacing w:line="360" w:lineRule="auto"/>
        <w:jc w:val="both"/>
        <w:rPr>
          <w:rFonts w:ascii="Arial" w:hAnsi="Arial" w:cs="Arial"/>
        </w:rPr>
      </w:pPr>
    </w:p>
    <w:p w14:paraId="17C994AF" w14:textId="77777777" w:rsidR="005F1035" w:rsidRPr="00FE3C43" w:rsidRDefault="005F1035" w:rsidP="00FE3C43">
      <w:pPr>
        <w:spacing w:line="360" w:lineRule="auto"/>
        <w:jc w:val="both"/>
        <w:rPr>
          <w:rFonts w:ascii="Arial" w:hAnsi="Arial" w:cs="Arial"/>
        </w:rPr>
      </w:pPr>
    </w:p>
    <w:p w14:paraId="2B59CF06" w14:textId="77777777" w:rsidR="009C1482" w:rsidRPr="00FE3C43" w:rsidRDefault="009C1482" w:rsidP="00FE3C43">
      <w:pPr>
        <w:spacing w:line="360" w:lineRule="auto"/>
        <w:jc w:val="both"/>
        <w:rPr>
          <w:rFonts w:ascii="Arial" w:hAnsi="Arial" w:cs="Arial"/>
        </w:rPr>
      </w:pPr>
    </w:p>
    <w:p w14:paraId="2F67DDAA" w14:textId="77777777" w:rsidR="009C1482" w:rsidRPr="00FE3C43" w:rsidRDefault="009C1482" w:rsidP="00FE3C43">
      <w:pPr>
        <w:spacing w:line="360" w:lineRule="auto"/>
        <w:jc w:val="both"/>
        <w:rPr>
          <w:rFonts w:ascii="Arial" w:hAnsi="Arial" w:cs="Arial"/>
        </w:rPr>
      </w:pPr>
    </w:p>
    <w:p w14:paraId="3EAF9D59" w14:textId="77777777" w:rsidR="009C1482" w:rsidRPr="00FE3C43" w:rsidRDefault="009C1482" w:rsidP="00FE3C43">
      <w:pPr>
        <w:spacing w:line="360" w:lineRule="auto"/>
        <w:jc w:val="both"/>
        <w:rPr>
          <w:rFonts w:ascii="Arial" w:hAnsi="Arial" w:cs="Arial"/>
        </w:rPr>
      </w:pPr>
    </w:p>
    <w:p w14:paraId="723429F5" w14:textId="77777777" w:rsidR="009C1482" w:rsidRPr="00FE3C43" w:rsidRDefault="009C1482" w:rsidP="00FE3C43">
      <w:pPr>
        <w:spacing w:line="360" w:lineRule="auto"/>
        <w:jc w:val="both"/>
        <w:rPr>
          <w:rFonts w:ascii="Arial" w:hAnsi="Arial" w:cs="Arial"/>
        </w:rPr>
      </w:pPr>
    </w:p>
    <w:p w14:paraId="563A98E9" w14:textId="77777777" w:rsidR="005F1035" w:rsidRPr="00F83736" w:rsidRDefault="005F1035" w:rsidP="00FE3C43">
      <w:pPr>
        <w:spacing w:line="360" w:lineRule="auto"/>
        <w:jc w:val="both"/>
        <w:rPr>
          <w:rFonts w:ascii="Arial" w:hAnsi="Arial" w:cs="Arial"/>
          <w:b/>
          <w:bCs/>
        </w:rPr>
      </w:pPr>
    </w:p>
    <w:p w14:paraId="2108F4B1" w14:textId="77777777" w:rsidR="005F1035" w:rsidRPr="00F83736" w:rsidRDefault="009C1482" w:rsidP="00FE3C43">
      <w:pPr>
        <w:spacing w:line="360" w:lineRule="auto"/>
        <w:jc w:val="both"/>
        <w:rPr>
          <w:rFonts w:ascii="Arial" w:hAnsi="Arial" w:cs="Arial"/>
          <w:b/>
          <w:bCs/>
        </w:rPr>
      </w:pPr>
      <w:r w:rsidRPr="00F83736">
        <w:rPr>
          <w:rFonts w:ascii="Arial" w:hAnsi="Arial" w:cs="Arial"/>
          <w:b/>
          <w:bCs/>
        </w:rPr>
        <w:t xml:space="preserve">Reference </w:t>
      </w:r>
    </w:p>
    <w:p w14:paraId="6FA0002B" w14:textId="5011FC22"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Age UK. (2024). </w:t>
      </w:r>
      <w:r w:rsidRPr="00FE3C43">
        <w:rPr>
          <w:rStyle w:val="Emphasis"/>
          <w:rFonts w:ascii="Arial" w:hAnsi="Arial" w:cs="Arial"/>
          <w:sz w:val="22"/>
          <w:szCs w:val="22"/>
        </w:rPr>
        <w:t>Health inequalities in England: Policy position paper</w:t>
      </w:r>
      <w:r w:rsidRPr="00FE3C43">
        <w:rPr>
          <w:rFonts w:ascii="Arial" w:hAnsi="Arial" w:cs="Arial"/>
          <w:sz w:val="22"/>
          <w:szCs w:val="22"/>
        </w:rPr>
        <w:t xml:space="preserve">. Age UK. </w:t>
      </w:r>
      <w:r w:rsidR="0095334C">
        <w:rPr>
          <w:rFonts w:ascii="Arial" w:hAnsi="Arial" w:cs="Arial"/>
          <w:sz w:val="22"/>
          <w:szCs w:val="22"/>
        </w:rPr>
        <w:t xml:space="preserve">Available at: </w:t>
      </w:r>
      <w:hyperlink r:id="rId8" w:history="1">
        <w:r w:rsidR="0095334C" w:rsidRPr="00FF5F6D">
          <w:rPr>
            <w:rStyle w:val="Hyperlink"/>
            <w:rFonts w:ascii="Arial" w:hAnsi="Arial" w:cs="Arial"/>
            <w:sz w:val="22"/>
            <w:szCs w:val="22"/>
          </w:rPr>
          <w:t>https://www.ageuk.org.uk</w:t>
        </w:r>
      </w:hyperlink>
      <w:r w:rsidR="0095334C">
        <w:rPr>
          <w:rFonts w:ascii="Arial" w:hAnsi="Arial" w:cs="Arial"/>
          <w:sz w:val="22"/>
          <w:szCs w:val="22"/>
        </w:rPr>
        <w:t xml:space="preserve"> (Accessed 26 November 2025)</w:t>
      </w:r>
      <w:r w:rsidRPr="00FE3C43">
        <w:rPr>
          <w:rFonts w:ascii="Arial" w:hAnsi="Arial" w:cs="Arial"/>
          <w:sz w:val="22"/>
          <w:szCs w:val="22"/>
        </w:rPr>
        <w:br/>
        <w:t xml:space="preserve">Age UK. (2025). </w:t>
      </w:r>
      <w:r w:rsidRPr="00FE3C43">
        <w:rPr>
          <w:rStyle w:val="Emphasis"/>
          <w:rFonts w:ascii="Arial" w:hAnsi="Arial" w:cs="Arial"/>
          <w:sz w:val="22"/>
          <w:szCs w:val="22"/>
        </w:rPr>
        <w:t>The state of health and care of older people in England</w:t>
      </w:r>
      <w:r w:rsidRPr="00FE3C43">
        <w:rPr>
          <w:rFonts w:ascii="Arial" w:hAnsi="Arial" w:cs="Arial"/>
          <w:sz w:val="22"/>
          <w:szCs w:val="22"/>
        </w:rPr>
        <w:t xml:space="preserve">. Age UK. </w:t>
      </w:r>
      <w:r w:rsidR="00774EDB">
        <w:rPr>
          <w:rFonts w:ascii="Arial" w:hAnsi="Arial" w:cs="Arial"/>
          <w:sz w:val="22"/>
          <w:szCs w:val="22"/>
        </w:rPr>
        <w:t>Available at</w:t>
      </w:r>
      <w:r w:rsidR="00F13D53">
        <w:rPr>
          <w:rFonts w:ascii="Arial" w:hAnsi="Arial" w:cs="Arial"/>
          <w:sz w:val="22"/>
          <w:szCs w:val="22"/>
        </w:rPr>
        <w:t xml:space="preserve">: </w:t>
      </w:r>
      <w:hyperlink r:id="rId9" w:history="1">
        <w:r w:rsidR="00F13D53" w:rsidRPr="00FF5F6D">
          <w:rPr>
            <w:rStyle w:val="Hyperlink"/>
            <w:rFonts w:ascii="Arial" w:hAnsi="Arial" w:cs="Arial"/>
            <w:sz w:val="22"/>
            <w:szCs w:val="22"/>
          </w:rPr>
          <w:t>https://www.ageuk.org.uk</w:t>
        </w:r>
      </w:hyperlink>
      <w:r w:rsidR="00F13D53">
        <w:rPr>
          <w:rFonts w:ascii="Arial" w:hAnsi="Arial" w:cs="Arial"/>
          <w:sz w:val="22"/>
          <w:szCs w:val="22"/>
        </w:rPr>
        <w:t xml:space="preserve"> (Accessed </w:t>
      </w:r>
      <w:r w:rsidR="00F7794A">
        <w:rPr>
          <w:rFonts w:ascii="Arial" w:hAnsi="Arial" w:cs="Arial"/>
          <w:sz w:val="22"/>
          <w:szCs w:val="22"/>
        </w:rPr>
        <w:t>26 November 2025)</w:t>
      </w:r>
    </w:p>
    <w:p w14:paraId="6833519A"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Alarilla, A., Hone, T., Lee, J. T., Millett, C., &amp; Sagan, A. (2023). Socioeconomic gradient in mortality among older adults in England and Ontario. </w:t>
      </w:r>
      <w:r w:rsidRPr="00FE3C43">
        <w:rPr>
          <w:rStyle w:val="Emphasis"/>
          <w:rFonts w:ascii="Arial" w:hAnsi="Arial" w:cs="Arial"/>
          <w:sz w:val="22"/>
          <w:szCs w:val="22"/>
        </w:rPr>
        <w:t>BMC Public Health, 23</w:t>
      </w:r>
      <w:r w:rsidRPr="00FE3C43">
        <w:rPr>
          <w:rFonts w:ascii="Arial" w:hAnsi="Arial" w:cs="Arial"/>
          <w:sz w:val="22"/>
          <w:szCs w:val="22"/>
        </w:rPr>
        <w:t>(1), 1–12. https://doi.org/10.1186/s12889-023-15134-5</w:t>
      </w:r>
    </w:p>
    <w:p w14:paraId="13CE7503" w14:textId="54A11BC2"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Alzheimer’s Society. (2023). </w:t>
      </w:r>
      <w:r w:rsidRPr="00FE3C43">
        <w:rPr>
          <w:rStyle w:val="Emphasis"/>
          <w:rFonts w:ascii="Arial" w:hAnsi="Arial" w:cs="Arial"/>
          <w:sz w:val="22"/>
          <w:szCs w:val="22"/>
        </w:rPr>
        <w:t>Young-onset dementia factsheet</w:t>
      </w:r>
      <w:r w:rsidRPr="00FE3C43">
        <w:rPr>
          <w:rFonts w:ascii="Arial" w:hAnsi="Arial" w:cs="Arial"/>
          <w:sz w:val="22"/>
          <w:szCs w:val="22"/>
        </w:rPr>
        <w:t xml:space="preserve">. </w:t>
      </w:r>
      <w:r w:rsidR="00334DEE">
        <w:rPr>
          <w:rFonts w:ascii="Arial" w:hAnsi="Arial" w:cs="Arial"/>
          <w:sz w:val="22"/>
          <w:szCs w:val="22"/>
        </w:rPr>
        <w:t xml:space="preserve">Available at: </w:t>
      </w:r>
      <w:hyperlink r:id="rId10" w:history="1">
        <w:r w:rsidR="00334DEE" w:rsidRPr="00FF5F6D">
          <w:rPr>
            <w:rStyle w:val="Hyperlink"/>
            <w:rFonts w:ascii="Arial" w:hAnsi="Arial" w:cs="Arial"/>
            <w:sz w:val="22"/>
            <w:szCs w:val="22"/>
          </w:rPr>
          <w:t>https://www.alzheimers.org.uk</w:t>
        </w:r>
      </w:hyperlink>
      <w:r w:rsidR="00334DEE">
        <w:rPr>
          <w:rFonts w:ascii="Arial" w:hAnsi="Arial" w:cs="Arial"/>
          <w:sz w:val="22"/>
          <w:szCs w:val="22"/>
        </w:rPr>
        <w:t xml:space="preserve"> (</w:t>
      </w:r>
      <w:r w:rsidR="007100CB">
        <w:rPr>
          <w:rFonts w:ascii="Arial" w:hAnsi="Arial" w:cs="Arial"/>
          <w:sz w:val="22"/>
          <w:szCs w:val="22"/>
        </w:rPr>
        <w:t>Accessed 20 November 2025)</w:t>
      </w:r>
    </w:p>
    <w:p w14:paraId="726BB56D"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Barnes, D. E., Byers, A. L., Gardner, R. C., Seal, K. H., Boscardin, W. J., &amp; Yaffe, K. (2018). Traumatic brain injury and risk of dementia: A cohort study. </w:t>
      </w:r>
      <w:r w:rsidRPr="00FE3C43">
        <w:rPr>
          <w:rStyle w:val="Emphasis"/>
          <w:rFonts w:ascii="Arial" w:hAnsi="Arial" w:cs="Arial"/>
          <w:sz w:val="22"/>
          <w:szCs w:val="22"/>
        </w:rPr>
        <w:t>Lancet Neurology, 17</w:t>
      </w:r>
      <w:r w:rsidRPr="00FE3C43">
        <w:rPr>
          <w:rFonts w:ascii="Arial" w:hAnsi="Arial" w:cs="Arial"/>
          <w:sz w:val="22"/>
          <w:szCs w:val="22"/>
        </w:rPr>
        <w:t>(5), 397–405. https://doi.org/10.1016/S1474-4422(18)30030-9</w:t>
      </w:r>
    </w:p>
    <w:p w14:paraId="291BFF6D"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Carter, J., Brayne, C., &amp; Giebel, C. (2022). Lived experience of young-onset dementia: A systematic review. </w:t>
      </w:r>
      <w:r w:rsidRPr="00FE3C43">
        <w:rPr>
          <w:rStyle w:val="Emphasis"/>
          <w:rFonts w:ascii="Arial" w:hAnsi="Arial" w:cs="Arial"/>
          <w:sz w:val="22"/>
          <w:szCs w:val="22"/>
        </w:rPr>
        <w:t>Ageing &amp; Society, 42</w:t>
      </w:r>
      <w:r w:rsidRPr="00FE3C43">
        <w:rPr>
          <w:rFonts w:ascii="Arial" w:hAnsi="Arial" w:cs="Arial"/>
          <w:sz w:val="22"/>
          <w:szCs w:val="22"/>
        </w:rPr>
        <w:t>(9), 2043–2065. https://doi.org/10.1017/S0144686X20001599</w:t>
      </w:r>
    </w:p>
    <w:p w14:paraId="3222B092"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Chan, M. S., van Lenthe, F. J., &amp; Pearce, J. (2019). The socioeconomic gap in life expectancy: A longitudinal study of older adults in Scotland. </w:t>
      </w:r>
      <w:r w:rsidRPr="00FE3C43">
        <w:rPr>
          <w:rStyle w:val="Emphasis"/>
          <w:rFonts w:ascii="Arial" w:hAnsi="Arial" w:cs="Arial"/>
          <w:sz w:val="22"/>
          <w:szCs w:val="22"/>
        </w:rPr>
        <w:t>Journal of Epidemiology and Community Health, 73</w:t>
      </w:r>
      <w:r w:rsidRPr="00FE3C43">
        <w:rPr>
          <w:rFonts w:ascii="Arial" w:hAnsi="Arial" w:cs="Arial"/>
          <w:sz w:val="22"/>
          <w:szCs w:val="22"/>
        </w:rPr>
        <w:t>(10), 887–892. https://doi.org/10.1136/jech-2018-211817</w:t>
      </w:r>
    </w:p>
    <w:p w14:paraId="77DC9ED0"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Gao, Q., Prina, A. M., &amp; Prince, M. (2021). Inequalities in older age and primary healthcare utilisation: Evidence from cross-sectional UK data. </w:t>
      </w:r>
      <w:r w:rsidRPr="00FE3C43">
        <w:rPr>
          <w:rStyle w:val="Emphasis"/>
          <w:rFonts w:ascii="Arial" w:hAnsi="Arial" w:cs="Arial"/>
          <w:sz w:val="22"/>
          <w:szCs w:val="22"/>
        </w:rPr>
        <w:t>BMC Public Health, 21</w:t>
      </w:r>
      <w:r w:rsidRPr="00FE3C43">
        <w:rPr>
          <w:rFonts w:ascii="Arial" w:hAnsi="Arial" w:cs="Arial"/>
          <w:sz w:val="22"/>
          <w:szCs w:val="22"/>
        </w:rPr>
        <w:t>, 1–10. https://doi.org/10.1186/s12889-021-10361-9</w:t>
      </w:r>
    </w:p>
    <w:p w14:paraId="65C5803B"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Giebel, C., McIntyre, J. C., Daras, K., et al. (2021). Social determinants of dementia in minority ethnic groups: A systematic review. </w:t>
      </w:r>
      <w:r w:rsidRPr="00FE3C43">
        <w:rPr>
          <w:rStyle w:val="Emphasis"/>
          <w:rFonts w:ascii="Arial" w:hAnsi="Arial" w:cs="Arial"/>
          <w:sz w:val="22"/>
          <w:szCs w:val="22"/>
        </w:rPr>
        <w:t>Social Psychiatry and Psychiatric Epidemiology, 56</w:t>
      </w:r>
      <w:r w:rsidRPr="00FE3C43">
        <w:rPr>
          <w:rFonts w:ascii="Arial" w:hAnsi="Arial" w:cs="Arial"/>
          <w:sz w:val="22"/>
          <w:szCs w:val="22"/>
        </w:rPr>
        <w:t>, 879–889. https://doi.org/10.1007/s00127-020-01973-0</w:t>
      </w:r>
    </w:p>
    <w:p w14:paraId="64D53C36"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Grundy, E. (2023). Socioeconomic inequalities in older people’s health: A review. </w:t>
      </w:r>
      <w:r w:rsidRPr="00FE3C43">
        <w:rPr>
          <w:rStyle w:val="Emphasis"/>
          <w:rFonts w:ascii="Arial" w:hAnsi="Arial" w:cs="Arial"/>
          <w:sz w:val="22"/>
          <w:szCs w:val="22"/>
        </w:rPr>
        <w:t>The Gerontologist, 63</w:t>
      </w:r>
      <w:r w:rsidRPr="00FE3C43">
        <w:rPr>
          <w:rFonts w:ascii="Arial" w:hAnsi="Arial" w:cs="Arial"/>
          <w:sz w:val="22"/>
          <w:szCs w:val="22"/>
        </w:rPr>
        <w:t>(2), 188–198. https://doi.org/10.1093/geront/gnac107</w:t>
      </w:r>
    </w:p>
    <w:p w14:paraId="6373C938"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Guerreiro, R., &amp; Hardy, J. (2017). Genetics of Alzheimer’s disease. </w:t>
      </w:r>
      <w:r w:rsidRPr="00FE3C43">
        <w:rPr>
          <w:rStyle w:val="Emphasis"/>
          <w:rFonts w:ascii="Arial" w:hAnsi="Arial" w:cs="Arial"/>
          <w:sz w:val="22"/>
          <w:szCs w:val="22"/>
        </w:rPr>
        <w:t>Experimental Neurology, 295</w:t>
      </w:r>
      <w:r w:rsidRPr="00FE3C43">
        <w:rPr>
          <w:rFonts w:ascii="Arial" w:hAnsi="Arial" w:cs="Arial"/>
          <w:sz w:val="22"/>
          <w:szCs w:val="22"/>
        </w:rPr>
        <w:t>, 139–148. https://doi.org/10.1016/j.expneurol.2017.05.004</w:t>
      </w:r>
    </w:p>
    <w:p w14:paraId="6BFB4EDF"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Hackney Council. (2022). </w:t>
      </w:r>
      <w:r w:rsidRPr="00FE3C43">
        <w:rPr>
          <w:rStyle w:val="Emphasis"/>
          <w:rFonts w:ascii="Arial" w:hAnsi="Arial" w:cs="Arial"/>
          <w:sz w:val="22"/>
          <w:szCs w:val="22"/>
        </w:rPr>
        <w:t>Joint Strategic Needs Assessment: Mental health and dementia in Hackney</w:t>
      </w:r>
      <w:r w:rsidRPr="00FE3C43">
        <w:rPr>
          <w:rFonts w:ascii="Arial" w:hAnsi="Arial" w:cs="Arial"/>
          <w:sz w:val="22"/>
          <w:szCs w:val="22"/>
        </w:rPr>
        <w:t>. London Borough of Hackney. https://hackney.gov.uk/jsna</w:t>
      </w:r>
    </w:p>
    <w:p w14:paraId="230D9F93"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Hackney GP Confederation. (2023). </w:t>
      </w:r>
      <w:r w:rsidRPr="00FE3C43">
        <w:rPr>
          <w:rStyle w:val="Emphasis"/>
          <w:rFonts w:ascii="Arial" w:hAnsi="Arial" w:cs="Arial"/>
          <w:sz w:val="22"/>
          <w:szCs w:val="22"/>
        </w:rPr>
        <w:t>Memory Assessment Service annual report</w:t>
      </w:r>
      <w:r w:rsidRPr="00FE3C43">
        <w:rPr>
          <w:rFonts w:ascii="Arial" w:hAnsi="Arial" w:cs="Arial"/>
          <w:sz w:val="22"/>
          <w:szCs w:val="22"/>
        </w:rPr>
        <w:t>. https://hackneygpconfederation.co.uk</w:t>
      </w:r>
    </w:p>
    <w:p w14:paraId="5CAF86DE"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Harvey, R. J., Skelton-Robinson, M., &amp; Rossor, M. (2019). The epidemiology, diagnosis and management of young-onset dementia. </w:t>
      </w:r>
      <w:r w:rsidRPr="00FE3C43">
        <w:rPr>
          <w:rStyle w:val="Emphasis"/>
          <w:rFonts w:ascii="Arial" w:hAnsi="Arial" w:cs="Arial"/>
          <w:sz w:val="22"/>
          <w:szCs w:val="22"/>
        </w:rPr>
        <w:t>Lancet Neurology, 18</w:t>
      </w:r>
      <w:r w:rsidRPr="00FE3C43">
        <w:rPr>
          <w:rFonts w:ascii="Arial" w:hAnsi="Arial" w:cs="Arial"/>
          <w:sz w:val="22"/>
          <w:szCs w:val="22"/>
        </w:rPr>
        <w:t>(11), 1066–1078. https://doi.org/10.1016/S1474-4422(19)30287-9</w:t>
      </w:r>
    </w:p>
    <w:p w14:paraId="54D5E2E4" w14:textId="78650AF4"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Health Foundation. (2024). </w:t>
      </w:r>
      <w:r w:rsidRPr="00FE3C43">
        <w:rPr>
          <w:rStyle w:val="Emphasis"/>
          <w:rFonts w:ascii="Arial" w:hAnsi="Arial" w:cs="Arial"/>
          <w:sz w:val="22"/>
          <w:szCs w:val="22"/>
        </w:rPr>
        <w:t>Poverty, age and health: Evidence hub report</w:t>
      </w:r>
      <w:r w:rsidRPr="00FE3C43">
        <w:rPr>
          <w:rFonts w:ascii="Arial" w:hAnsi="Arial" w:cs="Arial"/>
          <w:sz w:val="22"/>
          <w:szCs w:val="22"/>
        </w:rPr>
        <w:t>. The Health Foundation.</w:t>
      </w:r>
      <w:r w:rsidR="00C229D5">
        <w:rPr>
          <w:rFonts w:ascii="Arial" w:hAnsi="Arial" w:cs="Arial"/>
          <w:sz w:val="22"/>
          <w:szCs w:val="22"/>
        </w:rPr>
        <w:t xml:space="preserve"> Available at:</w:t>
      </w:r>
      <w:r w:rsidRPr="00FE3C43">
        <w:rPr>
          <w:rFonts w:ascii="Arial" w:hAnsi="Arial" w:cs="Arial"/>
          <w:sz w:val="22"/>
          <w:szCs w:val="22"/>
        </w:rPr>
        <w:t xml:space="preserve"> </w:t>
      </w:r>
      <w:hyperlink r:id="rId11" w:tgtFrame="_new" w:history="1">
        <w:r w:rsidRPr="00FE3C43">
          <w:rPr>
            <w:rStyle w:val="Hyperlink"/>
            <w:rFonts w:ascii="Arial" w:hAnsi="Arial" w:cs="Arial"/>
            <w:sz w:val="22"/>
            <w:szCs w:val="22"/>
          </w:rPr>
          <w:t>https://www.health.org.uk</w:t>
        </w:r>
      </w:hyperlink>
      <w:r w:rsidR="006E36B1">
        <w:rPr>
          <w:rFonts w:ascii="Arial" w:hAnsi="Arial" w:cs="Arial"/>
          <w:sz w:val="22"/>
          <w:szCs w:val="22"/>
        </w:rPr>
        <w:t xml:space="preserve"> (Accessed 28 </w:t>
      </w:r>
      <w:r w:rsidR="007F4E59">
        <w:rPr>
          <w:rFonts w:ascii="Arial" w:hAnsi="Arial" w:cs="Arial"/>
          <w:sz w:val="22"/>
          <w:szCs w:val="22"/>
        </w:rPr>
        <w:t xml:space="preserve">October </w:t>
      </w:r>
      <w:r w:rsidR="001155E5">
        <w:rPr>
          <w:rFonts w:ascii="Arial" w:hAnsi="Arial" w:cs="Arial"/>
          <w:sz w:val="22"/>
          <w:szCs w:val="22"/>
        </w:rPr>
        <w:t>2025)</w:t>
      </w:r>
      <w:r w:rsidR="006E36B1">
        <w:rPr>
          <w:rFonts w:ascii="Arial" w:hAnsi="Arial" w:cs="Arial"/>
          <w:sz w:val="22"/>
          <w:szCs w:val="22"/>
        </w:rPr>
        <w:t xml:space="preserve"> </w:t>
      </w:r>
    </w:p>
    <w:p w14:paraId="2C6E226A"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Livingston, G., Huntley, J., Sommerlad, A., et al. (2020). Dementia prevention, intervention, and care: 2020 report of the Lancet Commission. </w:t>
      </w:r>
      <w:r w:rsidRPr="00FE3C43">
        <w:rPr>
          <w:rStyle w:val="Emphasis"/>
          <w:rFonts w:ascii="Arial" w:hAnsi="Arial" w:cs="Arial"/>
          <w:sz w:val="22"/>
          <w:szCs w:val="22"/>
        </w:rPr>
        <w:t>Lancet, 396</w:t>
      </w:r>
      <w:r w:rsidRPr="00FE3C43">
        <w:rPr>
          <w:rFonts w:ascii="Arial" w:hAnsi="Arial" w:cs="Arial"/>
          <w:sz w:val="22"/>
          <w:szCs w:val="22"/>
        </w:rPr>
        <w:t>(10248), 413–446. https://doi.org/10.1016/S0140-6736(20)30367-6</w:t>
      </w:r>
    </w:p>
    <w:p w14:paraId="182B1154" w14:textId="296644D2"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London School of Economics (LSE) Health. (2020). </w:t>
      </w:r>
      <w:r w:rsidRPr="00FE3C43">
        <w:rPr>
          <w:rStyle w:val="Emphasis"/>
          <w:rFonts w:ascii="Arial" w:hAnsi="Arial" w:cs="Arial"/>
          <w:sz w:val="22"/>
          <w:szCs w:val="22"/>
        </w:rPr>
        <w:t>Inequality in healthcare use among older adults in the UK</w:t>
      </w:r>
      <w:r w:rsidRPr="00FE3C43">
        <w:rPr>
          <w:rFonts w:ascii="Arial" w:hAnsi="Arial" w:cs="Arial"/>
          <w:sz w:val="22"/>
          <w:szCs w:val="22"/>
        </w:rPr>
        <w:t>.</w:t>
      </w:r>
      <w:r w:rsidR="00B321BC">
        <w:rPr>
          <w:rFonts w:ascii="Arial" w:hAnsi="Arial" w:cs="Arial"/>
          <w:sz w:val="22"/>
          <w:szCs w:val="22"/>
        </w:rPr>
        <w:t xml:space="preserve"> </w:t>
      </w:r>
      <w:r w:rsidR="001155E5">
        <w:rPr>
          <w:rFonts w:ascii="Arial" w:hAnsi="Arial" w:cs="Arial"/>
          <w:sz w:val="22"/>
          <w:szCs w:val="22"/>
        </w:rPr>
        <w:t>Available at</w:t>
      </w:r>
      <w:r w:rsidR="00B321BC">
        <w:rPr>
          <w:rFonts w:ascii="Arial" w:hAnsi="Arial" w:cs="Arial"/>
          <w:sz w:val="22"/>
          <w:szCs w:val="22"/>
        </w:rPr>
        <w:t>:</w:t>
      </w:r>
      <w:r w:rsidRPr="00FE3C43">
        <w:rPr>
          <w:rFonts w:ascii="Arial" w:hAnsi="Arial" w:cs="Arial"/>
          <w:sz w:val="22"/>
          <w:szCs w:val="22"/>
        </w:rPr>
        <w:t xml:space="preserve"> </w:t>
      </w:r>
      <w:hyperlink r:id="rId12" w:tgtFrame="_new" w:history="1">
        <w:r w:rsidRPr="00FE3C43">
          <w:rPr>
            <w:rStyle w:val="Hyperlink"/>
            <w:rFonts w:ascii="Arial" w:hAnsi="Arial" w:cs="Arial"/>
            <w:sz w:val="22"/>
            <w:szCs w:val="22"/>
          </w:rPr>
          <w:t>https://www.lse.ac.uk</w:t>
        </w:r>
      </w:hyperlink>
      <w:r w:rsidR="00B321BC">
        <w:rPr>
          <w:rFonts w:ascii="Arial" w:hAnsi="Arial" w:cs="Arial"/>
          <w:sz w:val="22"/>
          <w:szCs w:val="22"/>
        </w:rPr>
        <w:t xml:space="preserve"> (Accessed 30 November 2025)</w:t>
      </w:r>
    </w:p>
    <w:p w14:paraId="47448EAB"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Marmot, M. (2020). </w:t>
      </w:r>
      <w:r w:rsidRPr="00FE3C43">
        <w:rPr>
          <w:rStyle w:val="Emphasis"/>
          <w:rFonts w:ascii="Arial" w:hAnsi="Arial" w:cs="Arial"/>
          <w:sz w:val="22"/>
          <w:szCs w:val="22"/>
        </w:rPr>
        <w:t>Health equity in England: The Marmot review 10 years on</w:t>
      </w:r>
      <w:r w:rsidRPr="00FE3C43">
        <w:rPr>
          <w:rFonts w:ascii="Arial" w:hAnsi="Arial" w:cs="Arial"/>
          <w:sz w:val="22"/>
          <w:szCs w:val="22"/>
        </w:rPr>
        <w:t>. Institute of Health Equity. https://www.instituteofhealthequity.org</w:t>
      </w:r>
    </w:p>
    <w:p w14:paraId="2C221714"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Nelis, S. M., Clare, L., Martyr, A., Marková, I., &amp; Morris, R. (2019). Experiences of early diagnosis of dementia: A qualitative meta-synthesis. </w:t>
      </w:r>
      <w:r w:rsidRPr="00FE3C43">
        <w:rPr>
          <w:rStyle w:val="Emphasis"/>
          <w:rFonts w:ascii="Arial" w:hAnsi="Arial" w:cs="Arial"/>
          <w:sz w:val="22"/>
          <w:szCs w:val="22"/>
        </w:rPr>
        <w:t>International Psychogeriatrics, 31</w:t>
      </w:r>
      <w:r w:rsidRPr="00FE3C43">
        <w:rPr>
          <w:rFonts w:ascii="Arial" w:hAnsi="Arial" w:cs="Arial"/>
          <w:sz w:val="22"/>
          <w:szCs w:val="22"/>
        </w:rPr>
        <w:t>(9), 1221–1232. https://doi.org/10.1017/S1041610218002193</w:t>
      </w:r>
    </w:p>
    <w:p w14:paraId="32DC35C1"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Nichols, E., Steinmetz, J. D., Vollset, S. E., et al. (2022). Global burden of dementia, 1990–2019: A systematic analysis. </w:t>
      </w:r>
      <w:r w:rsidRPr="00FE3C43">
        <w:rPr>
          <w:rStyle w:val="Emphasis"/>
          <w:rFonts w:ascii="Arial" w:hAnsi="Arial" w:cs="Arial"/>
          <w:sz w:val="22"/>
          <w:szCs w:val="22"/>
        </w:rPr>
        <w:t>Lancet Public Health, 7</w:t>
      </w:r>
      <w:r w:rsidRPr="00FE3C43">
        <w:rPr>
          <w:rFonts w:ascii="Arial" w:hAnsi="Arial" w:cs="Arial"/>
          <w:sz w:val="22"/>
          <w:szCs w:val="22"/>
        </w:rPr>
        <w:t>(6), e444–e480. https://doi.org/10.1016/S2468-2667(22)00031-7</w:t>
      </w:r>
    </w:p>
    <w:p w14:paraId="4506FEA3" w14:textId="081C1EFC"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NHS England. (2019). </w:t>
      </w:r>
      <w:r w:rsidRPr="00FE3C43">
        <w:rPr>
          <w:rStyle w:val="Emphasis"/>
          <w:rFonts w:ascii="Arial" w:hAnsi="Arial" w:cs="Arial"/>
          <w:sz w:val="22"/>
          <w:szCs w:val="22"/>
        </w:rPr>
        <w:t>The NHS long term plan</w:t>
      </w:r>
      <w:r w:rsidRPr="00FE3C43">
        <w:rPr>
          <w:rFonts w:ascii="Arial" w:hAnsi="Arial" w:cs="Arial"/>
          <w:sz w:val="22"/>
          <w:szCs w:val="22"/>
        </w:rPr>
        <w:t>.</w:t>
      </w:r>
      <w:r w:rsidR="00A01FEC">
        <w:rPr>
          <w:rFonts w:ascii="Arial" w:hAnsi="Arial" w:cs="Arial"/>
          <w:sz w:val="22"/>
          <w:szCs w:val="22"/>
        </w:rPr>
        <w:t xml:space="preserve"> Available at</w:t>
      </w:r>
      <w:r w:rsidR="00A56073">
        <w:rPr>
          <w:rFonts w:ascii="Arial" w:hAnsi="Arial" w:cs="Arial"/>
          <w:sz w:val="22"/>
          <w:szCs w:val="22"/>
        </w:rPr>
        <w:t>:</w:t>
      </w:r>
      <w:r w:rsidRPr="00FE3C43">
        <w:rPr>
          <w:rFonts w:ascii="Arial" w:hAnsi="Arial" w:cs="Arial"/>
          <w:sz w:val="22"/>
          <w:szCs w:val="22"/>
        </w:rPr>
        <w:t xml:space="preserve"> </w:t>
      </w:r>
      <w:hyperlink r:id="rId13" w:tgtFrame="_new" w:history="1">
        <w:r w:rsidRPr="00FE3C43">
          <w:rPr>
            <w:rStyle w:val="Hyperlink"/>
            <w:rFonts w:ascii="Arial" w:hAnsi="Arial" w:cs="Arial"/>
            <w:sz w:val="22"/>
            <w:szCs w:val="22"/>
          </w:rPr>
          <w:t>https://www.longtermplan.nhs.uk</w:t>
        </w:r>
      </w:hyperlink>
      <w:r w:rsidR="003C15E0">
        <w:rPr>
          <w:rFonts w:ascii="Arial" w:hAnsi="Arial" w:cs="Arial"/>
          <w:sz w:val="22"/>
          <w:szCs w:val="22"/>
        </w:rPr>
        <w:t xml:space="preserve"> (Accessed 23 November 2025</w:t>
      </w:r>
      <w:r w:rsidR="00D960FC">
        <w:rPr>
          <w:rFonts w:ascii="Arial" w:hAnsi="Arial" w:cs="Arial"/>
          <w:sz w:val="22"/>
          <w:szCs w:val="22"/>
        </w:rPr>
        <w:t>)</w:t>
      </w:r>
    </w:p>
    <w:p w14:paraId="38637EAB" w14:textId="39DD6591"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NHS England. (2020). </w:t>
      </w:r>
      <w:r w:rsidRPr="00FE3C43">
        <w:rPr>
          <w:rStyle w:val="Emphasis"/>
          <w:rFonts w:ascii="Arial" w:hAnsi="Arial" w:cs="Arial"/>
          <w:sz w:val="22"/>
          <w:szCs w:val="22"/>
        </w:rPr>
        <w:t>Think Dementia: Early recognition toolkit</w:t>
      </w:r>
      <w:r w:rsidRPr="00FE3C43">
        <w:rPr>
          <w:rFonts w:ascii="Arial" w:hAnsi="Arial" w:cs="Arial"/>
          <w:sz w:val="22"/>
          <w:szCs w:val="22"/>
        </w:rPr>
        <w:t>.</w:t>
      </w:r>
      <w:r w:rsidR="00AD1E21">
        <w:rPr>
          <w:rFonts w:ascii="Arial" w:hAnsi="Arial" w:cs="Arial"/>
          <w:sz w:val="22"/>
          <w:szCs w:val="22"/>
        </w:rPr>
        <w:t xml:space="preserve"> Available at</w:t>
      </w:r>
      <w:r w:rsidR="00A56073">
        <w:rPr>
          <w:rFonts w:ascii="Arial" w:hAnsi="Arial" w:cs="Arial"/>
          <w:sz w:val="22"/>
          <w:szCs w:val="22"/>
        </w:rPr>
        <w:t>:</w:t>
      </w:r>
      <w:r w:rsidRPr="00FE3C43">
        <w:rPr>
          <w:rFonts w:ascii="Arial" w:hAnsi="Arial" w:cs="Arial"/>
          <w:sz w:val="22"/>
          <w:szCs w:val="22"/>
        </w:rPr>
        <w:t xml:space="preserve"> </w:t>
      </w:r>
      <w:hyperlink r:id="rId14" w:tgtFrame="_new" w:history="1">
        <w:r w:rsidRPr="00FE3C43">
          <w:rPr>
            <w:rStyle w:val="Hyperlink"/>
            <w:rFonts w:ascii="Arial" w:hAnsi="Arial" w:cs="Arial"/>
            <w:sz w:val="22"/>
            <w:szCs w:val="22"/>
          </w:rPr>
          <w:t>https://www.england.nhs.uk</w:t>
        </w:r>
      </w:hyperlink>
      <w:r w:rsidR="00C23798">
        <w:rPr>
          <w:rFonts w:ascii="Arial" w:hAnsi="Arial" w:cs="Arial"/>
          <w:sz w:val="22"/>
          <w:szCs w:val="22"/>
        </w:rPr>
        <w:t xml:space="preserve"> (Accessed </w:t>
      </w:r>
      <w:r w:rsidR="00184752">
        <w:rPr>
          <w:rFonts w:ascii="Arial" w:hAnsi="Arial" w:cs="Arial"/>
          <w:sz w:val="22"/>
          <w:szCs w:val="22"/>
        </w:rPr>
        <w:t>23 November 2025</w:t>
      </w:r>
      <w:r w:rsidR="00461437">
        <w:rPr>
          <w:rFonts w:ascii="Arial" w:hAnsi="Arial" w:cs="Arial"/>
          <w:sz w:val="22"/>
          <w:szCs w:val="22"/>
        </w:rPr>
        <w:t>).</w:t>
      </w:r>
    </w:p>
    <w:p w14:paraId="5BFF3C96"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Public Health England. (2019). </w:t>
      </w:r>
      <w:r w:rsidRPr="00FE3C43">
        <w:rPr>
          <w:rStyle w:val="Emphasis"/>
          <w:rFonts w:ascii="Arial" w:hAnsi="Arial" w:cs="Arial"/>
          <w:sz w:val="22"/>
          <w:szCs w:val="22"/>
        </w:rPr>
        <w:t>Housing and health evidence review</w:t>
      </w:r>
      <w:r w:rsidRPr="00FE3C43">
        <w:rPr>
          <w:rFonts w:ascii="Arial" w:hAnsi="Arial" w:cs="Arial"/>
          <w:sz w:val="22"/>
          <w:szCs w:val="22"/>
        </w:rPr>
        <w:t>. https://www.gov.uk/government/publications</w:t>
      </w:r>
    </w:p>
    <w:p w14:paraId="69C437DB"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Public Health England. (2021). </w:t>
      </w:r>
      <w:r w:rsidRPr="00FE3C43">
        <w:rPr>
          <w:rStyle w:val="Emphasis"/>
          <w:rFonts w:ascii="Arial" w:hAnsi="Arial" w:cs="Arial"/>
          <w:sz w:val="22"/>
          <w:szCs w:val="22"/>
        </w:rPr>
        <w:t>Dementia Intelligence Network toolkit</w:t>
      </w:r>
      <w:r w:rsidRPr="00FE3C43">
        <w:rPr>
          <w:rFonts w:ascii="Arial" w:hAnsi="Arial" w:cs="Arial"/>
          <w:sz w:val="22"/>
          <w:szCs w:val="22"/>
        </w:rPr>
        <w:t>. https://www.gov.uk/government/collections/dementia-intelligence-network</w:t>
      </w:r>
    </w:p>
    <w:p w14:paraId="279FC5F2"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Puyané, M., Martín-María, N., Forsman, A. K., &amp; Lebret, L. (2025). Loneliness and mental health in older adults: A European study. </w:t>
      </w:r>
      <w:r w:rsidRPr="00FE3C43">
        <w:rPr>
          <w:rStyle w:val="Emphasis"/>
          <w:rFonts w:ascii="Arial" w:hAnsi="Arial" w:cs="Arial"/>
          <w:sz w:val="22"/>
          <w:szCs w:val="22"/>
        </w:rPr>
        <w:t>BMC Geriatrics, 25</w:t>
      </w:r>
      <w:r w:rsidRPr="00FE3C43">
        <w:rPr>
          <w:rFonts w:ascii="Arial" w:hAnsi="Arial" w:cs="Arial"/>
          <w:sz w:val="22"/>
          <w:szCs w:val="22"/>
        </w:rPr>
        <w:t>(1), 1–12. https://doi.org/10.1186/s12877-025-XXXXX</w:t>
      </w:r>
    </w:p>
    <w:p w14:paraId="37799248"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Ridley, N. J., Draper, B., &amp; Withall, A. (2020). Alcohol-related dementia and brain damage. </w:t>
      </w:r>
      <w:r w:rsidRPr="00FE3C43">
        <w:rPr>
          <w:rStyle w:val="Emphasis"/>
          <w:rFonts w:ascii="Arial" w:hAnsi="Arial" w:cs="Arial"/>
          <w:sz w:val="22"/>
          <w:szCs w:val="22"/>
        </w:rPr>
        <w:t>Addiction, 115</w:t>
      </w:r>
      <w:r w:rsidRPr="00FE3C43">
        <w:rPr>
          <w:rFonts w:ascii="Arial" w:hAnsi="Arial" w:cs="Arial"/>
          <w:sz w:val="22"/>
          <w:szCs w:val="22"/>
        </w:rPr>
        <w:t>(10), 1839–1851. https://doi.org/10.1111/add.15044</w:t>
      </w:r>
    </w:p>
    <w:p w14:paraId="4DEDA4EE"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Rossor, M., Fox, N., Mummery, C., Schott, J., &amp; Warren, J. (2015). The diagnosis, epidemiology and management of young-onset dementia. </w:t>
      </w:r>
      <w:r w:rsidRPr="00FE3C43">
        <w:rPr>
          <w:rStyle w:val="Emphasis"/>
          <w:rFonts w:ascii="Arial" w:hAnsi="Arial" w:cs="Arial"/>
          <w:sz w:val="22"/>
          <w:szCs w:val="22"/>
        </w:rPr>
        <w:t>Lancet Neurology, 14</w:t>
      </w:r>
      <w:r w:rsidRPr="00FE3C43">
        <w:rPr>
          <w:rFonts w:ascii="Arial" w:hAnsi="Arial" w:cs="Arial"/>
          <w:sz w:val="22"/>
          <w:szCs w:val="22"/>
        </w:rPr>
        <w:t>(12), 1159–1170. https://doi.org/10.1016/S1474-4422(15)00249-5</w:t>
      </w:r>
    </w:p>
    <w:p w14:paraId="30DD10F5"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Sacktor, N., Robertson, K., &amp; Nakasujja, N. (2019). HIV-associated neurocognitive disorders. </w:t>
      </w:r>
      <w:r w:rsidRPr="00FE3C43">
        <w:rPr>
          <w:rStyle w:val="Emphasis"/>
          <w:rFonts w:ascii="Arial" w:hAnsi="Arial" w:cs="Arial"/>
          <w:sz w:val="22"/>
          <w:szCs w:val="22"/>
        </w:rPr>
        <w:t>Nature Reviews Neurology, 15</w:t>
      </w:r>
      <w:r w:rsidRPr="00FE3C43">
        <w:rPr>
          <w:rFonts w:ascii="Arial" w:hAnsi="Arial" w:cs="Arial"/>
          <w:sz w:val="22"/>
          <w:szCs w:val="22"/>
        </w:rPr>
        <w:t>(10), 555–569. https://doi.org/10.1038/s41582-019-0221-8</w:t>
      </w:r>
    </w:p>
    <w:p w14:paraId="2BE06052" w14:textId="36C750A8"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Sheffield University. (2025). </w:t>
      </w:r>
      <w:r w:rsidRPr="00FE3C43">
        <w:rPr>
          <w:rStyle w:val="Emphasis"/>
          <w:rFonts w:ascii="Arial" w:hAnsi="Arial" w:cs="Arial"/>
          <w:sz w:val="22"/>
          <w:szCs w:val="22"/>
        </w:rPr>
        <w:t>Impact of poor housing on older adult health: Evidence synthesis report</w:t>
      </w:r>
      <w:r w:rsidRPr="00FE3C43">
        <w:rPr>
          <w:rFonts w:ascii="Arial" w:hAnsi="Arial" w:cs="Arial"/>
          <w:sz w:val="22"/>
          <w:szCs w:val="22"/>
        </w:rPr>
        <w:t xml:space="preserve">. University of Sheffield. </w:t>
      </w:r>
      <w:r w:rsidR="00A56073">
        <w:rPr>
          <w:rFonts w:ascii="Arial" w:hAnsi="Arial" w:cs="Arial"/>
          <w:sz w:val="22"/>
          <w:szCs w:val="22"/>
        </w:rPr>
        <w:t>Available</w:t>
      </w:r>
      <w:r w:rsidR="00F87704">
        <w:rPr>
          <w:rFonts w:ascii="Arial" w:hAnsi="Arial" w:cs="Arial"/>
          <w:sz w:val="22"/>
          <w:szCs w:val="22"/>
        </w:rPr>
        <w:t xml:space="preserve"> at: </w:t>
      </w:r>
      <w:hyperlink r:id="rId15" w:history="1">
        <w:r w:rsidR="00F87704" w:rsidRPr="00FF5F6D">
          <w:rPr>
            <w:rStyle w:val="Hyperlink"/>
            <w:rFonts w:ascii="Arial" w:hAnsi="Arial" w:cs="Arial"/>
            <w:sz w:val="22"/>
            <w:szCs w:val="22"/>
          </w:rPr>
          <w:t>https://www.sheffield.ac.uk</w:t>
        </w:r>
      </w:hyperlink>
      <w:r w:rsidR="00F87704">
        <w:rPr>
          <w:rFonts w:ascii="Arial" w:hAnsi="Arial" w:cs="Arial"/>
          <w:sz w:val="22"/>
          <w:szCs w:val="22"/>
        </w:rPr>
        <w:t xml:space="preserve"> (Accessed 29 November 2025)</w:t>
      </w:r>
    </w:p>
    <w:p w14:paraId="59DBF10B"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Sinclair, D. R., Brimblecombe, N., &amp; Salway, S. (2022). Frailty among older adults in England: Patterns and inequalities. </w:t>
      </w:r>
      <w:r w:rsidRPr="00FE3C43">
        <w:rPr>
          <w:rStyle w:val="Emphasis"/>
          <w:rFonts w:ascii="Arial" w:hAnsi="Arial" w:cs="Arial"/>
          <w:sz w:val="22"/>
          <w:szCs w:val="22"/>
        </w:rPr>
        <w:t>Lancet Regional Health – Europe, 13</w:t>
      </w:r>
      <w:r w:rsidRPr="00FE3C43">
        <w:rPr>
          <w:rFonts w:ascii="Arial" w:hAnsi="Arial" w:cs="Arial"/>
          <w:sz w:val="22"/>
          <w:szCs w:val="22"/>
        </w:rPr>
        <w:t>, 100287. https://doi.org/10.1016/j.lanepe.2021.100287</w:t>
      </w:r>
    </w:p>
    <w:p w14:paraId="65BB293B"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UK Health Security Agency. (2022). </w:t>
      </w:r>
      <w:r w:rsidRPr="00FE3C43">
        <w:rPr>
          <w:rStyle w:val="Emphasis"/>
          <w:rFonts w:ascii="Arial" w:hAnsi="Arial" w:cs="Arial"/>
          <w:sz w:val="22"/>
          <w:szCs w:val="22"/>
        </w:rPr>
        <w:t>HIV surveillance report</w:t>
      </w:r>
      <w:r w:rsidRPr="00FE3C43">
        <w:rPr>
          <w:rFonts w:ascii="Arial" w:hAnsi="Arial" w:cs="Arial"/>
          <w:sz w:val="22"/>
          <w:szCs w:val="22"/>
        </w:rPr>
        <w:t>. https://www.gov.uk/government/collections/hiv-surveillance-data</w:t>
      </w:r>
    </w:p>
    <w:p w14:paraId="5829AE66" w14:textId="3A76F99F"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United Kingdom Government. (2018). </w:t>
      </w:r>
      <w:r w:rsidRPr="00FE3C43">
        <w:rPr>
          <w:rStyle w:val="Emphasis"/>
          <w:rFonts w:ascii="Arial" w:hAnsi="Arial" w:cs="Arial"/>
          <w:sz w:val="22"/>
          <w:szCs w:val="22"/>
        </w:rPr>
        <w:t>Health profile for England: Chapter 5 – Inequalities in health</w:t>
      </w:r>
      <w:r w:rsidRPr="00FE3C43">
        <w:rPr>
          <w:rFonts w:ascii="Arial" w:hAnsi="Arial" w:cs="Arial"/>
          <w:sz w:val="22"/>
          <w:szCs w:val="22"/>
        </w:rPr>
        <w:t>.</w:t>
      </w:r>
      <w:r w:rsidR="000E59E7">
        <w:rPr>
          <w:rFonts w:ascii="Arial" w:hAnsi="Arial" w:cs="Arial"/>
          <w:sz w:val="22"/>
          <w:szCs w:val="22"/>
        </w:rPr>
        <w:t xml:space="preserve"> Available at:</w:t>
      </w:r>
      <w:r w:rsidRPr="00FE3C43">
        <w:rPr>
          <w:rFonts w:ascii="Arial" w:hAnsi="Arial" w:cs="Arial"/>
          <w:sz w:val="22"/>
          <w:szCs w:val="22"/>
        </w:rPr>
        <w:t xml:space="preserve"> </w:t>
      </w:r>
      <w:hyperlink r:id="rId16" w:tgtFrame="_new" w:history="1">
        <w:r w:rsidRPr="00FE3C43">
          <w:rPr>
            <w:rStyle w:val="Hyperlink"/>
            <w:rFonts w:ascii="Arial" w:hAnsi="Arial" w:cs="Arial"/>
            <w:sz w:val="22"/>
            <w:szCs w:val="22"/>
          </w:rPr>
          <w:t>https://www.gov.uk</w:t>
        </w:r>
      </w:hyperlink>
      <w:r w:rsidR="000E59E7">
        <w:rPr>
          <w:rFonts w:ascii="Arial" w:hAnsi="Arial" w:cs="Arial"/>
          <w:sz w:val="22"/>
          <w:szCs w:val="22"/>
        </w:rPr>
        <w:t xml:space="preserve"> </w:t>
      </w:r>
      <w:r w:rsidR="00090987">
        <w:rPr>
          <w:rFonts w:ascii="Arial" w:hAnsi="Arial" w:cs="Arial"/>
          <w:sz w:val="22"/>
          <w:szCs w:val="22"/>
        </w:rPr>
        <w:t>(Accessed 27 November 2025)</w:t>
      </w:r>
    </w:p>
    <w:p w14:paraId="52146375"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Victor, C., Panayiotou, A., &amp; Pikhartova, J. (2023). Loneliness, depression and health in older adults. </w:t>
      </w:r>
      <w:r w:rsidRPr="00FE3C43">
        <w:rPr>
          <w:rStyle w:val="Emphasis"/>
          <w:rFonts w:ascii="Arial" w:hAnsi="Arial" w:cs="Arial"/>
          <w:sz w:val="22"/>
          <w:szCs w:val="22"/>
        </w:rPr>
        <w:t>Age and Ageing, 52</w:t>
      </w:r>
      <w:r w:rsidRPr="00FE3C43">
        <w:rPr>
          <w:rFonts w:ascii="Arial" w:hAnsi="Arial" w:cs="Arial"/>
          <w:sz w:val="22"/>
          <w:szCs w:val="22"/>
        </w:rPr>
        <w:t>(4), afad045. https://doi.org/10.1093/ageing/afad045</w:t>
      </w:r>
    </w:p>
    <w:p w14:paraId="733868A0" w14:textId="77777777"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Watts, P. N., Gibson, M., &amp; Orton, L. (2022). The rising cost of healthy living for older adults. </w:t>
      </w:r>
      <w:r w:rsidRPr="00FE3C43">
        <w:rPr>
          <w:rStyle w:val="Emphasis"/>
          <w:rFonts w:ascii="Arial" w:hAnsi="Arial" w:cs="Arial"/>
          <w:sz w:val="22"/>
          <w:szCs w:val="22"/>
        </w:rPr>
        <w:t>Social Science &amp; Medicine, 298</w:t>
      </w:r>
      <w:r w:rsidRPr="00FE3C43">
        <w:rPr>
          <w:rFonts w:ascii="Arial" w:hAnsi="Arial" w:cs="Arial"/>
          <w:sz w:val="22"/>
          <w:szCs w:val="22"/>
        </w:rPr>
        <w:t>, 114834. https://doi.org/10.1016/j.socscimed.2022.114834</w:t>
      </w:r>
    </w:p>
    <w:p w14:paraId="5612BC42" w14:textId="2212932D" w:rsidR="005F1035" w:rsidRPr="00FE3C43" w:rsidRDefault="005F1035" w:rsidP="00FE3C43">
      <w:pPr>
        <w:pStyle w:val="NormalWeb"/>
        <w:spacing w:line="360" w:lineRule="auto"/>
        <w:rPr>
          <w:rFonts w:ascii="Arial" w:hAnsi="Arial" w:cs="Arial"/>
          <w:sz w:val="22"/>
          <w:szCs w:val="22"/>
        </w:rPr>
      </w:pPr>
      <w:r w:rsidRPr="00FE3C43">
        <w:rPr>
          <w:rFonts w:ascii="Arial" w:hAnsi="Arial" w:cs="Arial"/>
          <w:sz w:val="22"/>
          <w:szCs w:val="22"/>
        </w:rPr>
        <w:t xml:space="preserve">World Health Organization. (2021). </w:t>
      </w:r>
      <w:r w:rsidRPr="00FE3C43">
        <w:rPr>
          <w:rStyle w:val="Emphasis"/>
          <w:rFonts w:ascii="Arial" w:hAnsi="Arial" w:cs="Arial"/>
          <w:sz w:val="22"/>
          <w:szCs w:val="22"/>
        </w:rPr>
        <w:t>Dementia: Key facts</w:t>
      </w:r>
      <w:r w:rsidRPr="00FE3C43">
        <w:rPr>
          <w:rFonts w:ascii="Arial" w:hAnsi="Arial" w:cs="Arial"/>
          <w:sz w:val="22"/>
          <w:szCs w:val="22"/>
        </w:rPr>
        <w:t>.</w:t>
      </w:r>
      <w:r w:rsidR="00090987">
        <w:rPr>
          <w:rFonts w:ascii="Arial" w:hAnsi="Arial" w:cs="Arial"/>
          <w:sz w:val="22"/>
          <w:szCs w:val="22"/>
        </w:rPr>
        <w:t xml:space="preserve"> Available at:</w:t>
      </w:r>
      <w:r w:rsidRPr="00FE3C43">
        <w:rPr>
          <w:rFonts w:ascii="Arial" w:hAnsi="Arial" w:cs="Arial"/>
          <w:sz w:val="22"/>
          <w:szCs w:val="22"/>
        </w:rPr>
        <w:t xml:space="preserve"> </w:t>
      </w:r>
      <w:hyperlink r:id="rId17" w:tgtFrame="_new" w:history="1">
        <w:r w:rsidRPr="00FE3C43">
          <w:rPr>
            <w:rStyle w:val="Hyperlink"/>
            <w:rFonts w:ascii="Arial" w:hAnsi="Arial" w:cs="Arial"/>
            <w:sz w:val="22"/>
            <w:szCs w:val="22"/>
          </w:rPr>
          <w:t>https://www.who.int/news-room/fact-sheets/detail/dementia</w:t>
        </w:r>
      </w:hyperlink>
      <w:r w:rsidR="00C90447">
        <w:rPr>
          <w:rFonts w:ascii="Arial" w:hAnsi="Arial" w:cs="Arial"/>
          <w:sz w:val="22"/>
          <w:szCs w:val="22"/>
        </w:rPr>
        <w:t xml:space="preserve"> (Accessed 28 October 2025)</w:t>
      </w:r>
    </w:p>
    <w:p w14:paraId="27CD0CD1" w14:textId="77777777" w:rsidR="005F1035" w:rsidRPr="00336253" w:rsidRDefault="005F1035" w:rsidP="00336253">
      <w:pPr>
        <w:spacing w:line="360" w:lineRule="auto"/>
        <w:jc w:val="both"/>
        <w:rPr>
          <w:rFonts w:ascii="Arial" w:hAnsi="Arial" w:cs="Arial"/>
        </w:rPr>
      </w:pPr>
    </w:p>
    <w:sectPr w:rsidR="005F1035" w:rsidRPr="0033625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39F69" w14:textId="77777777" w:rsidR="00C76DC8" w:rsidRDefault="00C76DC8" w:rsidP="00336253">
      <w:pPr>
        <w:spacing w:after="0" w:line="240" w:lineRule="auto"/>
      </w:pPr>
      <w:r>
        <w:separator/>
      </w:r>
    </w:p>
  </w:endnote>
  <w:endnote w:type="continuationSeparator" w:id="0">
    <w:p w14:paraId="34E813F2" w14:textId="77777777" w:rsidR="00C76DC8" w:rsidRDefault="00C76DC8" w:rsidP="00336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C621C" w14:textId="77777777" w:rsidR="00C76DC8" w:rsidRDefault="00C76DC8" w:rsidP="00336253">
      <w:pPr>
        <w:spacing w:after="0" w:line="240" w:lineRule="auto"/>
      </w:pPr>
      <w:r>
        <w:separator/>
      </w:r>
    </w:p>
  </w:footnote>
  <w:footnote w:type="continuationSeparator" w:id="0">
    <w:p w14:paraId="1316DE67" w14:textId="77777777" w:rsidR="00C76DC8" w:rsidRDefault="00C76DC8" w:rsidP="003362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14D03"/>
    <w:multiLevelType w:val="hybridMultilevel"/>
    <w:tmpl w:val="5F526694"/>
    <w:lvl w:ilvl="0" w:tplc="A17E055C">
      <w:start w:val="1"/>
      <w:numFmt w:val="bullet"/>
      <w:lvlText w:val=""/>
      <w:lvlJc w:val="left"/>
      <w:pPr>
        <w:tabs>
          <w:tab w:val="num" w:pos="720"/>
        </w:tabs>
        <w:ind w:left="720" w:hanging="360"/>
      </w:pPr>
      <w:rPr>
        <w:rFonts w:ascii="Wingdings 3" w:hAnsi="Wingdings 3" w:hint="default"/>
      </w:rPr>
    </w:lvl>
    <w:lvl w:ilvl="1" w:tplc="DD2CA2E8" w:tentative="1">
      <w:start w:val="1"/>
      <w:numFmt w:val="bullet"/>
      <w:lvlText w:val=""/>
      <w:lvlJc w:val="left"/>
      <w:pPr>
        <w:tabs>
          <w:tab w:val="num" w:pos="1440"/>
        </w:tabs>
        <w:ind w:left="1440" w:hanging="360"/>
      </w:pPr>
      <w:rPr>
        <w:rFonts w:ascii="Wingdings 3" w:hAnsi="Wingdings 3" w:hint="default"/>
      </w:rPr>
    </w:lvl>
    <w:lvl w:ilvl="2" w:tplc="4DAC3F56" w:tentative="1">
      <w:start w:val="1"/>
      <w:numFmt w:val="bullet"/>
      <w:lvlText w:val=""/>
      <w:lvlJc w:val="left"/>
      <w:pPr>
        <w:tabs>
          <w:tab w:val="num" w:pos="2160"/>
        </w:tabs>
        <w:ind w:left="2160" w:hanging="360"/>
      </w:pPr>
      <w:rPr>
        <w:rFonts w:ascii="Wingdings 3" w:hAnsi="Wingdings 3" w:hint="default"/>
      </w:rPr>
    </w:lvl>
    <w:lvl w:ilvl="3" w:tplc="2C68EF10" w:tentative="1">
      <w:start w:val="1"/>
      <w:numFmt w:val="bullet"/>
      <w:lvlText w:val=""/>
      <w:lvlJc w:val="left"/>
      <w:pPr>
        <w:tabs>
          <w:tab w:val="num" w:pos="2880"/>
        </w:tabs>
        <w:ind w:left="2880" w:hanging="360"/>
      </w:pPr>
      <w:rPr>
        <w:rFonts w:ascii="Wingdings 3" w:hAnsi="Wingdings 3" w:hint="default"/>
      </w:rPr>
    </w:lvl>
    <w:lvl w:ilvl="4" w:tplc="014E6FCA" w:tentative="1">
      <w:start w:val="1"/>
      <w:numFmt w:val="bullet"/>
      <w:lvlText w:val=""/>
      <w:lvlJc w:val="left"/>
      <w:pPr>
        <w:tabs>
          <w:tab w:val="num" w:pos="3600"/>
        </w:tabs>
        <w:ind w:left="3600" w:hanging="360"/>
      </w:pPr>
      <w:rPr>
        <w:rFonts w:ascii="Wingdings 3" w:hAnsi="Wingdings 3" w:hint="default"/>
      </w:rPr>
    </w:lvl>
    <w:lvl w:ilvl="5" w:tplc="27DEE900" w:tentative="1">
      <w:start w:val="1"/>
      <w:numFmt w:val="bullet"/>
      <w:lvlText w:val=""/>
      <w:lvlJc w:val="left"/>
      <w:pPr>
        <w:tabs>
          <w:tab w:val="num" w:pos="4320"/>
        </w:tabs>
        <w:ind w:left="4320" w:hanging="360"/>
      </w:pPr>
      <w:rPr>
        <w:rFonts w:ascii="Wingdings 3" w:hAnsi="Wingdings 3" w:hint="default"/>
      </w:rPr>
    </w:lvl>
    <w:lvl w:ilvl="6" w:tplc="4710C250" w:tentative="1">
      <w:start w:val="1"/>
      <w:numFmt w:val="bullet"/>
      <w:lvlText w:val=""/>
      <w:lvlJc w:val="left"/>
      <w:pPr>
        <w:tabs>
          <w:tab w:val="num" w:pos="5040"/>
        </w:tabs>
        <w:ind w:left="5040" w:hanging="360"/>
      </w:pPr>
      <w:rPr>
        <w:rFonts w:ascii="Wingdings 3" w:hAnsi="Wingdings 3" w:hint="default"/>
      </w:rPr>
    </w:lvl>
    <w:lvl w:ilvl="7" w:tplc="225ED0FC" w:tentative="1">
      <w:start w:val="1"/>
      <w:numFmt w:val="bullet"/>
      <w:lvlText w:val=""/>
      <w:lvlJc w:val="left"/>
      <w:pPr>
        <w:tabs>
          <w:tab w:val="num" w:pos="5760"/>
        </w:tabs>
        <w:ind w:left="5760" w:hanging="360"/>
      </w:pPr>
      <w:rPr>
        <w:rFonts w:ascii="Wingdings 3" w:hAnsi="Wingdings 3" w:hint="default"/>
      </w:rPr>
    </w:lvl>
    <w:lvl w:ilvl="8" w:tplc="CE4852E0" w:tentative="1">
      <w:start w:val="1"/>
      <w:numFmt w:val="bullet"/>
      <w:lvlText w:val=""/>
      <w:lvlJc w:val="left"/>
      <w:pPr>
        <w:tabs>
          <w:tab w:val="num" w:pos="6480"/>
        </w:tabs>
        <w:ind w:left="6480" w:hanging="360"/>
      </w:pPr>
      <w:rPr>
        <w:rFonts w:ascii="Wingdings 3" w:hAnsi="Wingdings 3" w:hint="default"/>
      </w:rPr>
    </w:lvl>
  </w:abstractNum>
  <w:num w:numId="1" w16cid:durableId="130778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4B3"/>
    <w:rsid w:val="0000194C"/>
    <w:rsid w:val="0000537F"/>
    <w:rsid w:val="000104DF"/>
    <w:rsid w:val="0002488C"/>
    <w:rsid w:val="00050948"/>
    <w:rsid w:val="00067BF2"/>
    <w:rsid w:val="0008219C"/>
    <w:rsid w:val="00090987"/>
    <w:rsid w:val="000D555E"/>
    <w:rsid w:val="000D6922"/>
    <w:rsid w:val="000E59E7"/>
    <w:rsid w:val="000E6928"/>
    <w:rsid w:val="000F75B0"/>
    <w:rsid w:val="00103A3A"/>
    <w:rsid w:val="001155E5"/>
    <w:rsid w:val="00156D9B"/>
    <w:rsid w:val="00184752"/>
    <w:rsid w:val="001C5A06"/>
    <w:rsid w:val="001C7770"/>
    <w:rsid w:val="00217F70"/>
    <w:rsid w:val="0022119E"/>
    <w:rsid w:val="00230EF0"/>
    <w:rsid w:val="002643BD"/>
    <w:rsid w:val="002B4023"/>
    <w:rsid w:val="002C4110"/>
    <w:rsid w:val="00334DEE"/>
    <w:rsid w:val="00336253"/>
    <w:rsid w:val="00342B88"/>
    <w:rsid w:val="003673EF"/>
    <w:rsid w:val="00374FF4"/>
    <w:rsid w:val="00385693"/>
    <w:rsid w:val="003874BF"/>
    <w:rsid w:val="003C15E0"/>
    <w:rsid w:val="003F09F9"/>
    <w:rsid w:val="00404CB3"/>
    <w:rsid w:val="004063FE"/>
    <w:rsid w:val="00415C68"/>
    <w:rsid w:val="00421B43"/>
    <w:rsid w:val="00461437"/>
    <w:rsid w:val="0050443B"/>
    <w:rsid w:val="00507966"/>
    <w:rsid w:val="005164B3"/>
    <w:rsid w:val="00520A2B"/>
    <w:rsid w:val="005241CB"/>
    <w:rsid w:val="00536E2E"/>
    <w:rsid w:val="005831F2"/>
    <w:rsid w:val="00584788"/>
    <w:rsid w:val="00592A55"/>
    <w:rsid w:val="005B0C94"/>
    <w:rsid w:val="005E7A18"/>
    <w:rsid w:val="005F1035"/>
    <w:rsid w:val="006261B0"/>
    <w:rsid w:val="00635A43"/>
    <w:rsid w:val="00650287"/>
    <w:rsid w:val="006771E1"/>
    <w:rsid w:val="006877AE"/>
    <w:rsid w:val="006A0242"/>
    <w:rsid w:val="006A0E3E"/>
    <w:rsid w:val="006B293C"/>
    <w:rsid w:val="006B7299"/>
    <w:rsid w:val="006C7496"/>
    <w:rsid w:val="006D0F09"/>
    <w:rsid w:val="006D696E"/>
    <w:rsid w:val="006E0D00"/>
    <w:rsid w:val="006E36B1"/>
    <w:rsid w:val="006F72F5"/>
    <w:rsid w:val="007100CB"/>
    <w:rsid w:val="00756F60"/>
    <w:rsid w:val="00774EDB"/>
    <w:rsid w:val="007F4E59"/>
    <w:rsid w:val="00830F65"/>
    <w:rsid w:val="00833E64"/>
    <w:rsid w:val="00854DD3"/>
    <w:rsid w:val="00877C2C"/>
    <w:rsid w:val="00880C93"/>
    <w:rsid w:val="00893505"/>
    <w:rsid w:val="008A3F22"/>
    <w:rsid w:val="008B1730"/>
    <w:rsid w:val="008B52F6"/>
    <w:rsid w:val="009127B0"/>
    <w:rsid w:val="00924490"/>
    <w:rsid w:val="009315C9"/>
    <w:rsid w:val="0095334C"/>
    <w:rsid w:val="00982EE8"/>
    <w:rsid w:val="00992688"/>
    <w:rsid w:val="009968DF"/>
    <w:rsid w:val="009A2C78"/>
    <w:rsid w:val="009C1482"/>
    <w:rsid w:val="009D30C8"/>
    <w:rsid w:val="009D499D"/>
    <w:rsid w:val="009F644A"/>
    <w:rsid w:val="00A01FEC"/>
    <w:rsid w:val="00A14A54"/>
    <w:rsid w:val="00A27214"/>
    <w:rsid w:val="00A274F3"/>
    <w:rsid w:val="00A34F35"/>
    <w:rsid w:val="00A56073"/>
    <w:rsid w:val="00A6340A"/>
    <w:rsid w:val="00A90D66"/>
    <w:rsid w:val="00A9543C"/>
    <w:rsid w:val="00AA2763"/>
    <w:rsid w:val="00AB3F3C"/>
    <w:rsid w:val="00AB6560"/>
    <w:rsid w:val="00AC1159"/>
    <w:rsid w:val="00AD1E21"/>
    <w:rsid w:val="00AE75DB"/>
    <w:rsid w:val="00B10619"/>
    <w:rsid w:val="00B20428"/>
    <w:rsid w:val="00B321BC"/>
    <w:rsid w:val="00B40704"/>
    <w:rsid w:val="00B847BE"/>
    <w:rsid w:val="00B902B5"/>
    <w:rsid w:val="00BA0C1C"/>
    <w:rsid w:val="00BB6415"/>
    <w:rsid w:val="00BC34A7"/>
    <w:rsid w:val="00BD7EC5"/>
    <w:rsid w:val="00C14D6D"/>
    <w:rsid w:val="00C229D5"/>
    <w:rsid w:val="00C23798"/>
    <w:rsid w:val="00C4664B"/>
    <w:rsid w:val="00C62291"/>
    <w:rsid w:val="00C746F2"/>
    <w:rsid w:val="00C76BFC"/>
    <w:rsid w:val="00C76DC8"/>
    <w:rsid w:val="00C805C8"/>
    <w:rsid w:val="00C90447"/>
    <w:rsid w:val="00C9366F"/>
    <w:rsid w:val="00CC313B"/>
    <w:rsid w:val="00CD629D"/>
    <w:rsid w:val="00D114EA"/>
    <w:rsid w:val="00D14094"/>
    <w:rsid w:val="00D2560E"/>
    <w:rsid w:val="00D42B20"/>
    <w:rsid w:val="00D72FB8"/>
    <w:rsid w:val="00D8361F"/>
    <w:rsid w:val="00D960FC"/>
    <w:rsid w:val="00DB1C1A"/>
    <w:rsid w:val="00DC6B7B"/>
    <w:rsid w:val="00DD62C9"/>
    <w:rsid w:val="00E00195"/>
    <w:rsid w:val="00E03ED6"/>
    <w:rsid w:val="00E04A2B"/>
    <w:rsid w:val="00E3292E"/>
    <w:rsid w:val="00E5213C"/>
    <w:rsid w:val="00E75E54"/>
    <w:rsid w:val="00E765C0"/>
    <w:rsid w:val="00E877DD"/>
    <w:rsid w:val="00EB692D"/>
    <w:rsid w:val="00EC6C05"/>
    <w:rsid w:val="00ED7802"/>
    <w:rsid w:val="00F013B0"/>
    <w:rsid w:val="00F10E82"/>
    <w:rsid w:val="00F13D53"/>
    <w:rsid w:val="00F7794A"/>
    <w:rsid w:val="00F83736"/>
    <w:rsid w:val="00F87704"/>
    <w:rsid w:val="00FB1DEE"/>
    <w:rsid w:val="00FC1E1C"/>
    <w:rsid w:val="00FC31B0"/>
    <w:rsid w:val="00FE03AC"/>
    <w:rsid w:val="00FE05B1"/>
    <w:rsid w:val="00FE3C43"/>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E1B96"/>
  <w15:chartTrackingRefBased/>
  <w15:docId w15:val="{6D5D2356-DE99-4399-BADF-DC8372B2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A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044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044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443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044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0443B"/>
    <w:rPr>
      <w:b/>
      <w:bCs/>
    </w:rPr>
  </w:style>
  <w:style w:type="paragraph" w:styleId="NormalWeb">
    <w:name w:val="Normal (Web)"/>
    <w:basedOn w:val="Normal"/>
    <w:uiPriority w:val="99"/>
    <w:semiHidden/>
    <w:unhideWhenUsed/>
    <w:rsid w:val="00504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0443B"/>
    <w:rPr>
      <w:i/>
      <w:iCs/>
    </w:rPr>
  </w:style>
  <w:style w:type="character" w:customStyle="1" w:styleId="Heading1Char">
    <w:name w:val="Heading 1 Char"/>
    <w:basedOn w:val="DefaultParagraphFont"/>
    <w:link w:val="Heading1"/>
    <w:uiPriority w:val="9"/>
    <w:rsid w:val="005E7A1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F10E82"/>
    <w:rPr>
      <w:color w:val="0563C1" w:themeColor="hyperlink"/>
      <w:u w:val="single"/>
    </w:rPr>
  </w:style>
  <w:style w:type="paragraph" w:styleId="Header">
    <w:name w:val="header"/>
    <w:basedOn w:val="Normal"/>
    <w:link w:val="HeaderChar"/>
    <w:uiPriority w:val="99"/>
    <w:unhideWhenUsed/>
    <w:rsid w:val="00336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253"/>
  </w:style>
  <w:style w:type="paragraph" w:styleId="Footer">
    <w:name w:val="footer"/>
    <w:basedOn w:val="Normal"/>
    <w:link w:val="FooterChar"/>
    <w:uiPriority w:val="99"/>
    <w:unhideWhenUsed/>
    <w:rsid w:val="00336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253"/>
  </w:style>
  <w:style w:type="character" w:styleId="UnresolvedMention">
    <w:name w:val="Unresolved Mention"/>
    <w:basedOn w:val="DefaultParagraphFont"/>
    <w:uiPriority w:val="99"/>
    <w:semiHidden/>
    <w:unhideWhenUsed/>
    <w:rsid w:val="00F13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04867">
      <w:bodyDiv w:val="1"/>
      <w:marLeft w:val="0"/>
      <w:marRight w:val="0"/>
      <w:marTop w:val="0"/>
      <w:marBottom w:val="0"/>
      <w:divBdr>
        <w:top w:val="none" w:sz="0" w:space="0" w:color="auto"/>
        <w:left w:val="none" w:sz="0" w:space="0" w:color="auto"/>
        <w:bottom w:val="none" w:sz="0" w:space="0" w:color="auto"/>
        <w:right w:val="none" w:sz="0" w:space="0" w:color="auto"/>
      </w:divBdr>
    </w:div>
    <w:div w:id="411126637">
      <w:bodyDiv w:val="1"/>
      <w:marLeft w:val="0"/>
      <w:marRight w:val="0"/>
      <w:marTop w:val="0"/>
      <w:marBottom w:val="0"/>
      <w:divBdr>
        <w:top w:val="none" w:sz="0" w:space="0" w:color="auto"/>
        <w:left w:val="none" w:sz="0" w:space="0" w:color="auto"/>
        <w:bottom w:val="none" w:sz="0" w:space="0" w:color="auto"/>
        <w:right w:val="none" w:sz="0" w:space="0" w:color="auto"/>
      </w:divBdr>
    </w:div>
    <w:div w:id="423309592">
      <w:bodyDiv w:val="1"/>
      <w:marLeft w:val="0"/>
      <w:marRight w:val="0"/>
      <w:marTop w:val="0"/>
      <w:marBottom w:val="0"/>
      <w:divBdr>
        <w:top w:val="none" w:sz="0" w:space="0" w:color="auto"/>
        <w:left w:val="none" w:sz="0" w:space="0" w:color="auto"/>
        <w:bottom w:val="none" w:sz="0" w:space="0" w:color="auto"/>
        <w:right w:val="none" w:sz="0" w:space="0" w:color="auto"/>
      </w:divBdr>
    </w:div>
    <w:div w:id="456917329">
      <w:bodyDiv w:val="1"/>
      <w:marLeft w:val="0"/>
      <w:marRight w:val="0"/>
      <w:marTop w:val="0"/>
      <w:marBottom w:val="0"/>
      <w:divBdr>
        <w:top w:val="none" w:sz="0" w:space="0" w:color="auto"/>
        <w:left w:val="none" w:sz="0" w:space="0" w:color="auto"/>
        <w:bottom w:val="none" w:sz="0" w:space="0" w:color="auto"/>
        <w:right w:val="none" w:sz="0" w:space="0" w:color="auto"/>
      </w:divBdr>
      <w:divsChild>
        <w:div w:id="60295037">
          <w:marLeft w:val="547"/>
          <w:marRight w:val="0"/>
          <w:marTop w:val="200"/>
          <w:marBottom w:val="0"/>
          <w:divBdr>
            <w:top w:val="none" w:sz="0" w:space="0" w:color="auto"/>
            <w:left w:val="none" w:sz="0" w:space="0" w:color="auto"/>
            <w:bottom w:val="none" w:sz="0" w:space="0" w:color="auto"/>
            <w:right w:val="none" w:sz="0" w:space="0" w:color="auto"/>
          </w:divBdr>
        </w:div>
        <w:div w:id="141580260">
          <w:marLeft w:val="547"/>
          <w:marRight w:val="0"/>
          <w:marTop w:val="200"/>
          <w:marBottom w:val="0"/>
          <w:divBdr>
            <w:top w:val="none" w:sz="0" w:space="0" w:color="auto"/>
            <w:left w:val="none" w:sz="0" w:space="0" w:color="auto"/>
            <w:bottom w:val="none" w:sz="0" w:space="0" w:color="auto"/>
            <w:right w:val="none" w:sz="0" w:space="0" w:color="auto"/>
          </w:divBdr>
        </w:div>
        <w:div w:id="178013664">
          <w:marLeft w:val="547"/>
          <w:marRight w:val="0"/>
          <w:marTop w:val="200"/>
          <w:marBottom w:val="0"/>
          <w:divBdr>
            <w:top w:val="none" w:sz="0" w:space="0" w:color="auto"/>
            <w:left w:val="none" w:sz="0" w:space="0" w:color="auto"/>
            <w:bottom w:val="none" w:sz="0" w:space="0" w:color="auto"/>
            <w:right w:val="none" w:sz="0" w:space="0" w:color="auto"/>
          </w:divBdr>
        </w:div>
        <w:div w:id="229852811">
          <w:marLeft w:val="547"/>
          <w:marRight w:val="0"/>
          <w:marTop w:val="200"/>
          <w:marBottom w:val="0"/>
          <w:divBdr>
            <w:top w:val="none" w:sz="0" w:space="0" w:color="auto"/>
            <w:left w:val="none" w:sz="0" w:space="0" w:color="auto"/>
            <w:bottom w:val="none" w:sz="0" w:space="0" w:color="auto"/>
            <w:right w:val="none" w:sz="0" w:space="0" w:color="auto"/>
          </w:divBdr>
        </w:div>
        <w:div w:id="236981193">
          <w:marLeft w:val="547"/>
          <w:marRight w:val="0"/>
          <w:marTop w:val="200"/>
          <w:marBottom w:val="0"/>
          <w:divBdr>
            <w:top w:val="none" w:sz="0" w:space="0" w:color="auto"/>
            <w:left w:val="none" w:sz="0" w:space="0" w:color="auto"/>
            <w:bottom w:val="none" w:sz="0" w:space="0" w:color="auto"/>
            <w:right w:val="none" w:sz="0" w:space="0" w:color="auto"/>
          </w:divBdr>
        </w:div>
        <w:div w:id="287905866">
          <w:marLeft w:val="547"/>
          <w:marRight w:val="0"/>
          <w:marTop w:val="200"/>
          <w:marBottom w:val="0"/>
          <w:divBdr>
            <w:top w:val="none" w:sz="0" w:space="0" w:color="auto"/>
            <w:left w:val="none" w:sz="0" w:space="0" w:color="auto"/>
            <w:bottom w:val="none" w:sz="0" w:space="0" w:color="auto"/>
            <w:right w:val="none" w:sz="0" w:space="0" w:color="auto"/>
          </w:divBdr>
        </w:div>
        <w:div w:id="293219673">
          <w:marLeft w:val="547"/>
          <w:marRight w:val="0"/>
          <w:marTop w:val="200"/>
          <w:marBottom w:val="0"/>
          <w:divBdr>
            <w:top w:val="none" w:sz="0" w:space="0" w:color="auto"/>
            <w:left w:val="none" w:sz="0" w:space="0" w:color="auto"/>
            <w:bottom w:val="none" w:sz="0" w:space="0" w:color="auto"/>
            <w:right w:val="none" w:sz="0" w:space="0" w:color="auto"/>
          </w:divBdr>
        </w:div>
        <w:div w:id="312301568">
          <w:marLeft w:val="547"/>
          <w:marRight w:val="0"/>
          <w:marTop w:val="200"/>
          <w:marBottom w:val="0"/>
          <w:divBdr>
            <w:top w:val="none" w:sz="0" w:space="0" w:color="auto"/>
            <w:left w:val="none" w:sz="0" w:space="0" w:color="auto"/>
            <w:bottom w:val="none" w:sz="0" w:space="0" w:color="auto"/>
            <w:right w:val="none" w:sz="0" w:space="0" w:color="auto"/>
          </w:divBdr>
        </w:div>
        <w:div w:id="318463636">
          <w:marLeft w:val="547"/>
          <w:marRight w:val="0"/>
          <w:marTop w:val="200"/>
          <w:marBottom w:val="0"/>
          <w:divBdr>
            <w:top w:val="none" w:sz="0" w:space="0" w:color="auto"/>
            <w:left w:val="none" w:sz="0" w:space="0" w:color="auto"/>
            <w:bottom w:val="none" w:sz="0" w:space="0" w:color="auto"/>
            <w:right w:val="none" w:sz="0" w:space="0" w:color="auto"/>
          </w:divBdr>
        </w:div>
        <w:div w:id="484707292">
          <w:marLeft w:val="547"/>
          <w:marRight w:val="0"/>
          <w:marTop w:val="200"/>
          <w:marBottom w:val="0"/>
          <w:divBdr>
            <w:top w:val="none" w:sz="0" w:space="0" w:color="auto"/>
            <w:left w:val="none" w:sz="0" w:space="0" w:color="auto"/>
            <w:bottom w:val="none" w:sz="0" w:space="0" w:color="auto"/>
            <w:right w:val="none" w:sz="0" w:space="0" w:color="auto"/>
          </w:divBdr>
        </w:div>
        <w:div w:id="506291423">
          <w:marLeft w:val="547"/>
          <w:marRight w:val="0"/>
          <w:marTop w:val="200"/>
          <w:marBottom w:val="0"/>
          <w:divBdr>
            <w:top w:val="none" w:sz="0" w:space="0" w:color="auto"/>
            <w:left w:val="none" w:sz="0" w:space="0" w:color="auto"/>
            <w:bottom w:val="none" w:sz="0" w:space="0" w:color="auto"/>
            <w:right w:val="none" w:sz="0" w:space="0" w:color="auto"/>
          </w:divBdr>
        </w:div>
        <w:div w:id="531457784">
          <w:marLeft w:val="547"/>
          <w:marRight w:val="0"/>
          <w:marTop w:val="200"/>
          <w:marBottom w:val="0"/>
          <w:divBdr>
            <w:top w:val="none" w:sz="0" w:space="0" w:color="auto"/>
            <w:left w:val="none" w:sz="0" w:space="0" w:color="auto"/>
            <w:bottom w:val="none" w:sz="0" w:space="0" w:color="auto"/>
            <w:right w:val="none" w:sz="0" w:space="0" w:color="auto"/>
          </w:divBdr>
        </w:div>
        <w:div w:id="577791961">
          <w:marLeft w:val="547"/>
          <w:marRight w:val="0"/>
          <w:marTop w:val="200"/>
          <w:marBottom w:val="0"/>
          <w:divBdr>
            <w:top w:val="none" w:sz="0" w:space="0" w:color="auto"/>
            <w:left w:val="none" w:sz="0" w:space="0" w:color="auto"/>
            <w:bottom w:val="none" w:sz="0" w:space="0" w:color="auto"/>
            <w:right w:val="none" w:sz="0" w:space="0" w:color="auto"/>
          </w:divBdr>
        </w:div>
        <w:div w:id="596640868">
          <w:marLeft w:val="547"/>
          <w:marRight w:val="0"/>
          <w:marTop w:val="200"/>
          <w:marBottom w:val="0"/>
          <w:divBdr>
            <w:top w:val="none" w:sz="0" w:space="0" w:color="auto"/>
            <w:left w:val="none" w:sz="0" w:space="0" w:color="auto"/>
            <w:bottom w:val="none" w:sz="0" w:space="0" w:color="auto"/>
            <w:right w:val="none" w:sz="0" w:space="0" w:color="auto"/>
          </w:divBdr>
        </w:div>
        <w:div w:id="712076242">
          <w:marLeft w:val="547"/>
          <w:marRight w:val="0"/>
          <w:marTop w:val="200"/>
          <w:marBottom w:val="0"/>
          <w:divBdr>
            <w:top w:val="none" w:sz="0" w:space="0" w:color="auto"/>
            <w:left w:val="none" w:sz="0" w:space="0" w:color="auto"/>
            <w:bottom w:val="none" w:sz="0" w:space="0" w:color="auto"/>
            <w:right w:val="none" w:sz="0" w:space="0" w:color="auto"/>
          </w:divBdr>
        </w:div>
        <w:div w:id="956132974">
          <w:marLeft w:val="547"/>
          <w:marRight w:val="0"/>
          <w:marTop w:val="200"/>
          <w:marBottom w:val="0"/>
          <w:divBdr>
            <w:top w:val="none" w:sz="0" w:space="0" w:color="auto"/>
            <w:left w:val="none" w:sz="0" w:space="0" w:color="auto"/>
            <w:bottom w:val="none" w:sz="0" w:space="0" w:color="auto"/>
            <w:right w:val="none" w:sz="0" w:space="0" w:color="auto"/>
          </w:divBdr>
        </w:div>
        <w:div w:id="1080103138">
          <w:marLeft w:val="547"/>
          <w:marRight w:val="0"/>
          <w:marTop w:val="200"/>
          <w:marBottom w:val="0"/>
          <w:divBdr>
            <w:top w:val="none" w:sz="0" w:space="0" w:color="auto"/>
            <w:left w:val="none" w:sz="0" w:space="0" w:color="auto"/>
            <w:bottom w:val="none" w:sz="0" w:space="0" w:color="auto"/>
            <w:right w:val="none" w:sz="0" w:space="0" w:color="auto"/>
          </w:divBdr>
        </w:div>
        <w:div w:id="1229144209">
          <w:marLeft w:val="547"/>
          <w:marRight w:val="0"/>
          <w:marTop w:val="200"/>
          <w:marBottom w:val="0"/>
          <w:divBdr>
            <w:top w:val="none" w:sz="0" w:space="0" w:color="auto"/>
            <w:left w:val="none" w:sz="0" w:space="0" w:color="auto"/>
            <w:bottom w:val="none" w:sz="0" w:space="0" w:color="auto"/>
            <w:right w:val="none" w:sz="0" w:space="0" w:color="auto"/>
          </w:divBdr>
        </w:div>
        <w:div w:id="1229150001">
          <w:marLeft w:val="547"/>
          <w:marRight w:val="0"/>
          <w:marTop w:val="200"/>
          <w:marBottom w:val="0"/>
          <w:divBdr>
            <w:top w:val="none" w:sz="0" w:space="0" w:color="auto"/>
            <w:left w:val="none" w:sz="0" w:space="0" w:color="auto"/>
            <w:bottom w:val="none" w:sz="0" w:space="0" w:color="auto"/>
            <w:right w:val="none" w:sz="0" w:space="0" w:color="auto"/>
          </w:divBdr>
        </w:div>
        <w:div w:id="1308825443">
          <w:marLeft w:val="547"/>
          <w:marRight w:val="0"/>
          <w:marTop w:val="200"/>
          <w:marBottom w:val="0"/>
          <w:divBdr>
            <w:top w:val="none" w:sz="0" w:space="0" w:color="auto"/>
            <w:left w:val="none" w:sz="0" w:space="0" w:color="auto"/>
            <w:bottom w:val="none" w:sz="0" w:space="0" w:color="auto"/>
            <w:right w:val="none" w:sz="0" w:space="0" w:color="auto"/>
          </w:divBdr>
        </w:div>
        <w:div w:id="1416628201">
          <w:marLeft w:val="547"/>
          <w:marRight w:val="0"/>
          <w:marTop w:val="200"/>
          <w:marBottom w:val="0"/>
          <w:divBdr>
            <w:top w:val="none" w:sz="0" w:space="0" w:color="auto"/>
            <w:left w:val="none" w:sz="0" w:space="0" w:color="auto"/>
            <w:bottom w:val="none" w:sz="0" w:space="0" w:color="auto"/>
            <w:right w:val="none" w:sz="0" w:space="0" w:color="auto"/>
          </w:divBdr>
        </w:div>
        <w:div w:id="1544170833">
          <w:marLeft w:val="547"/>
          <w:marRight w:val="0"/>
          <w:marTop w:val="200"/>
          <w:marBottom w:val="0"/>
          <w:divBdr>
            <w:top w:val="none" w:sz="0" w:space="0" w:color="auto"/>
            <w:left w:val="none" w:sz="0" w:space="0" w:color="auto"/>
            <w:bottom w:val="none" w:sz="0" w:space="0" w:color="auto"/>
            <w:right w:val="none" w:sz="0" w:space="0" w:color="auto"/>
          </w:divBdr>
        </w:div>
        <w:div w:id="1575358526">
          <w:marLeft w:val="547"/>
          <w:marRight w:val="0"/>
          <w:marTop w:val="200"/>
          <w:marBottom w:val="0"/>
          <w:divBdr>
            <w:top w:val="none" w:sz="0" w:space="0" w:color="auto"/>
            <w:left w:val="none" w:sz="0" w:space="0" w:color="auto"/>
            <w:bottom w:val="none" w:sz="0" w:space="0" w:color="auto"/>
            <w:right w:val="none" w:sz="0" w:space="0" w:color="auto"/>
          </w:divBdr>
        </w:div>
        <w:div w:id="1616713548">
          <w:marLeft w:val="547"/>
          <w:marRight w:val="0"/>
          <w:marTop w:val="200"/>
          <w:marBottom w:val="0"/>
          <w:divBdr>
            <w:top w:val="none" w:sz="0" w:space="0" w:color="auto"/>
            <w:left w:val="none" w:sz="0" w:space="0" w:color="auto"/>
            <w:bottom w:val="none" w:sz="0" w:space="0" w:color="auto"/>
            <w:right w:val="none" w:sz="0" w:space="0" w:color="auto"/>
          </w:divBdr>
        </w:div>
        <w:div w:id="1702970756">
          <w:marLeft w:val="547"/>
          <w:marRight w:val="0"/>
          <w:marTop w:val="200"/>
          <w:marBottom w:val="0"/>
          <w:divBdr>
            <w:top w:val="none" w:sz="0" w:space="0" w:color="auto"/>
            <w:left w:val="none" w:sz="0" w:space="0" w:color="auto"/>
            <w:bottom w:val="none" w:sz="0" w:space="0" w:color="auto"/>
            <w:right w:val="none" w:sz="0" w:space="0" w:color="auto"/>
          </w:divBdr>
        </w:div>
        <w:div w:id="1830557511">
          <w:marLeft w:val="547"/>
          <w:marRight w:val="0"/>
          <w:marTop w:val="200"/>
          <w:marBottom w:val="0"/>
          <w:divBdr>
            <w:top w:val="none" w:sz="0" w:space="0" w:color="auto"/>
            <w:left w:val="none" w:sz="0" w:space="0" w:color="auto"/>
            <w:bottom w:val="none" w:sz="0" w:space="0" w:color="auto"/>
            <w:right w:val="none" w:sz="0" w:space="0" w:color="auto"/>
          </w:divBdr>
        </w:div>
        <w:div w:id="1936209903">
          <w:marLeft w:val="547"/>
          <w:marRight w:val="0"/>
          <w:marTop w:val="200"/>
          <w:marBottom w:val="0"/>
          <w:divBdr>
            <w:top w:val="none" w:sz="0" w:space="0" w:color="auto"/>
            <w:left w:val="none" w:sz="0" w:space="0" w:color="auto"/>
            <w:bottom w:val="none" w:sz="0" w:space="0" w:color="auto"/>
            <w:right w:val="none" w:sz="0" w:space="0" w:color="auto"/>
          </w:divBdr>
        </w:div>
        <w:div w:id="1974824571">
          <w:marLeft w:val="547"/>
          <w:marRight w:val="0"/>
          <w:marTop w:val="200"/>
          <w:marBottom w:val="0"/>
          <w:divBdr>
            <w:top w:val="none" w:sz="0" w:space="0" w:color="auto"/>
            <w:left w:val="none" w:sz="0" w:space="0" w:color="auto"/>
            <w:bottom w:val="none" w:sz="0" w:space="0" w:color="auto"/>
            <w:right w:val="none" w:sz="0" w:space="0" w:color="auto"/>
          </w:divBdr>
        </w:div>
        <w:div w:id="2137333903">
          <w:marLeft w:val="547"/>
          <w:marRight w:val="0"/>
          <w:marTop w:val="200"/>
          <w:marBottom w:val="0"/>
          <w:divBdr>
            <w:top w:val="none" w:sz="0" w:space="0" w:color="auto"/>
            <w:left w:val="none" w:sz="0" w:space="0" w:color="auto"/>
            <w:bottom w:val="none" w:sz="0" w:space="0" w:color="auto"/>
            <w:right w:val="none" w:sz="0" w:space="0" w:color="auto"/>
          </w:divBdr>
        </w:div>
      </w:divsChild>
    </w:div>
    <w:div w:id="640159137">
      <w:bodyDiv w:val="1"/>
      <w:marLeft w:val="0"/>
      <w:marRight w:val="0"/>
      <w:marTop w:val="0"/>
      <w:marBottom w:val="0"/>
      <w:divBdr>
        <w:top w:val="none" w:sz="0" w:space="0" w:color="auto"/>
        <w:left w:val="none" w:sz="0" w:space="0" w:color="auto"/>
        <w:bottom w:val="none" w:sz="0" w:space="0" w:color="auto"/>
        <w:right w:val="none" w:sz="0" w:space="0" w:color="auto"/>
      </w:divBdr>
    </w:div>
    <w:div w:id="819543895">
      <w:bodyDiv w:val="1"/>
      <w:marLeft w:val="0"/>
      <w:marRight w:val="0"/>
      <w:marTop w:val="0"/>
      <w:marBottom w:val="0"/>
      <w:divBdr>
        <w:top w:val="none" w:sz="0" w:space="0" w:color="auto"/>
        <w:left w:val="none" w:sz="0" w:space="0" w:color="auto"/>
        <w:bottom w:val="none" w:sz="0" w:space="0" w:color="auto"/>
        <w:right w:val="none" w:sz="0" w:space="0" w:color="auto"/>
      </w:divBdr>
    </w:div>
    <w:div w:id="1063332160">
      <w:bodyDiv w:val="1"/>
      <w:marLeft w:val="0"/>
      <w:marRight w:val="0"/>
      <w:marTop w:val="0"/>
      <w:marBottom w:val="0"/>
      <w:divBdr>
        <w:top w:val="none" w:sz="0" w:space="0" w:color="auto"/>
        <w:left w:val="none" w:sz="0" w:space="0" w:color="auto"/>
        <w:bottom w:val="none" w:sz="0" w:space="0" w:color="auto"/>
        <w:right w:val="none" w:sz="0" w:space="0" w:color="auto"/>
      </w:divBdr>
    </w:div>
    <w:div w:id="1357849964">
      <w:bodyDiv w:val="1"/>
      <w:marLeft w:val="0"/>
      <w:marRight w:val="0"/>
      <w:marTop w:val="0"/>
      <w:marBottom w:val="0"/>
      <w:divBdr>
        <w:top w:val="none" w:sz="0" w:space="0" w:color="auto"/>
        <w:left w:val="none" w:sz="0" w:space="0" w:color="auto"/>
        <w:bottom w:val="none" w:sz="0" w:space="0" w:color="auto"/>
        <w:right w:val="none" w:sz="0" w:space="0" w:color="auto"/>
      </w:divBdr>
    </w:div>
    <w:div w:id="202316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 TargetMode="External"/><Relationship Id="rId13" Type="http://schemas.openxmlformats.org/officeDocument/2006/relationships/hyperlink" Target="https://www.longtermplan.nhs.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se.ac.uk" TargetMode="External"/><Relationship Id="rId17" Type="http://schemas.openxmlformats.org/officeDocument/2006/relationships/hyperlink" Target="https://www.who.int/news-room/fact-sheets/detail/dementia" TargetMode="External"/><Relationship Id="rId2" Type="http://schemas.openxmlformats.org/officeDocument/2006/relationships/styles" Target="styles.xml"/><Relationship Id="rId16" Type="http://schemas.openxmlformats.org/officeDocument/2006/relationships/hyperlink" Target="https://www.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org.uk" TargetMode="External"/><Relationship Id="rId5" Type="http://schemas.openxmlformats.org/officeDocument/2006/relationships/footnotes" Target="footnotes.xml"/><Relationship Id="rId15" Type="http://schemas.openxmlformats.org/officeDocument/2006/relationships/hyperlink" Target="https://www.sheffield.ac.uk" TargetMode="External"/><Relationship Id="rId10" Type="http://schemas.openxmlformats.org/officeDocument/2006/relationships/hyperlink" Target="https://www.alzheimers.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geuk.org.uk"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4140</Words>
  <Characters>23601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dc:creator>
  <cp:keywords/>
  <dc:description/>
  <cp:lastModifiedBy>Ohikuare Irogho (2128365)</cp:lastModifiedBy>
  <cp:revision>1</cp:revision>
  <dcterms:created xsi:type="dcterms:W3CDTF">2025-12-03T13:05:00Z</dcterms:created>
  <dcterms:modified xsi:type="dcterms:W3CDTF">2025-12-05T21:27:00Z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deeeb815-d7be-434f-a35d-d92819ef37c0</vt:lpwstr>
  </property>
</Properties>
</file>