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084CF" w14:textId="77777777" w:rsidR="004877C6" w:rsidRDefault="004877C6" w:rsidP="004877C6">
      <w:pPr>
        <w:pStyle w:val="ListParagraph"/>
        <w:rPr>
          <w:lang w:val="en-GB"/>
        </w:rPr>
      </w:pPr>
    </w:p>
    <w:p w14:paraId="516F05CF" w14:textId="77777777" w:rsidR="004877C6" w:rsidRDefault="004877C6" w:rsidP="004877C6">
      <w:pPr>
        <w:pStyle w:val="ListParagraph"/>
        <w:rPr>
          <w:lang w:val="en-GB"/>
        </w:rPr>
      </w:pPr>
    </w:p>
    <w:p w14:paraId="5B6256FB" w14:textId="77777777" w:rsidR="004877C6" w:rsidRDefault="004877C6" w:rsidP="004877C6">
      <w:pPr>
        <w:pStyle w:val="ListParagraph"/>
        <w:rPr>
          <w:lang w:val="en-GB"/>
        </w:rPr>
      </w:pPr>
    </w:p>
    <w:p w14:paraId="14200399" w14:textId="5E1293E8" w:rsidR="004877C6" w:rsidRPr="004877C6" w:rsidRDefault="00476FBD" w:rsidP="004877C6">
      <w:pPr>
        <w:pStyle w:val="ListParagraph"/>
        <w:rPr>
          <w:b/>
          <w:bCs/>
        </w:rPr>
      </w:pPr>
      <w:r w:rsidRPr="00476FBD">
        <w:rPr>
          <w:lang w:val="en-GB"/>
        </w:rPr>
        <w:t>Student Name:</w:t>
      </w:r>
      <w:r w:rsidRPr="00476FBD">
        <w:rPr>
          <w:lang w:val="en-GB"/>
        </w:rPr>
        <w:tab/>
      </w:r>
      <w:r w:rsidRPr="004877C6">
        <w:rPr>
          <w:b/>
          <w:bCs/>
        </w:rPr>
        <w:t>Abeer Abdelmagid</w:t>
      </w:r>
    </w:p>
    <w:p w14:paraId="1A2BBD8C" w14:textId="070E4671" w:rsidR="00476FBD" w:rsidRPr="004877C6" w:rsidRDefault="00476FBD" w:rsidP="004877C6">
      <w:pPr>
        <w:pStyle w:val="ListParagraph"/>
        <w:rPr>
          <w:b/>
          <w:bCs/>
        </w:rPr>
      </w:pPr>
      <w:r w:rsidRPr="00476FBD">
        <w:rPr>
          <w:lang w:val="en-GB"/>
        </w:rPr>
        <w:t>Student ID:</w:t>
      </w:r>
      <w:r w:rsidRPr="00476FBD">
        <w:rPr>
          <w:lang w:val="en-GB"/>
        </w:rPr>
        <w:tab/>
      </w:r>
      <w:r w:rsidR="004877C6" w:rsidRPr="004877C6">
        <w:rPr>
          <w:b/>
          <w:bCs/>
          <w:lang w:val="en-GB"/>
        </w:rPr>
        <w:t xml:space="preserve">            </w:t>
      </w:r>
      <w:r w:rsidRPr="004877C6">
        <w:rPr>
          <w:b/>
          <w:bCs/>
        </w:rPr>
        <w:t>2440089</w:t>
      </w:r>
    </w:p>
    <w:p w14:paraId="7E919336" w14:textId="30AE9479" w:rsidR="004877C6" w:rsidRDefault="00476FBD" w:rsidP="004877C6">
      <w:pPr>
        <w:pStyle w:val="ListParagraph"/>
        <w:rPr>
          <w:lang w:val="en-GB"/>
        </w:rPr>
      </w:pPr>
      <w:r w:rsidRPr="00476FBD">
        <w:rPr>
          <w:lang w:val="en-GB"/>
        </w:rPr>
        <w:t xml:space="preserve">Lecturer’s Name:  </w:t>
      </w:r>
      <w:r w:rsidR="004877C6">
        <w:rPr>
          <w:lang w:val="en-GB"/>
        </w:rPr>
        <w:t xml:space="preserve">      </w:t>
      </w:r>
      <w:r w:rsidR="00240E56" w:rsidRPr="00240E56">
        <w:rPr>
          <w:b/>
          <w:bCs/>
        </w:rPr>
        <w:t>Aso Abdullah</w:t>
      </w:r>
    </w:p>
    <w:p w14:paraId="506EEB63" w14:textId="69CDC01F" w:rsidR="00476FBD" w:rsidRPr="004877C6" w:rsidRDefault="00476FBD" w:rsidP="004877C6">
      <w:pPr>
        <w:pStyle w:val="ListParagraph"/>
        <w:rPr>
          <w:b/>
          <w:bCs/>
        </w:rPr>
      </w:pPr>
      <w:r w:rsidRPr="00476FBD">
        <w:rPr>
          <w:lang w:val="en-GB"/>
        </w:rPr>
        <w:t xml:space="preserve">Module Code: </w:t>
      </w:r>
      <w:r w:rsidRPr="00476FBD">
        <w:rPr>
          <w:lang w:val="en-GB"/>
        </w:rPr>
        <w:tab/>
        <w:t xml:space="preserve"> </w:t>
      </w:r>
      <w:r w:rsidR="004877C6">
        <w:rPr>
          <w:lang w:val="en-GB"/>
        </w:rPr>
        <w:t xml:space="preserve">           </w:t>
      </w:r>
      <w:r w:rsidRPr="004877C6">
        <w:rPr>
          <w:b/>
          <w:bCs/>
          <w:lang w:val="en-GB"/>
        </w:rPr>
        <w:t>LCLM500</w:t>
      </w:r>
      <w:r w:rsidR="004877C6" w:rsidRPr="004877C6">
        <w:rPr>
          <w:b/>
          <w:bCs/>
          <w:lang w:val="en-GB"/>
        </w:rPr>
        <w:t>1</w:t>
      </w:r>
    </w:p>
    <w:p w14:paraId="2BF1BBA9" w14:textId="2B6D30A1" w:rsidR="00476FBD" w:rsidRDefault="00476FBD" w:rsidP="004877C6">
      <w:pPr>
        <w:pStyle w:val="ListParagraph"/>
        <w:rPr>
          <w:b/>
          <w:bCs/>
          <w:color w:val="1F3864"/>
          <w:sz w:val="40"/>
          <w:szCs w:val="40"/>
        </w:rPr>
      </w:pPr>
      <w:r w:rsidRPr="00476FBD">
        <w:rPr>
          <w:lang w:val="en-GB"/>
        </w:rPr>
        <w:t xml:space="preserve">Module Name: </w:t>
      </w:r>
      <w:r w:rsidRPr="00476FBD">
        <w:rPr>
          <w:lang w:val="en-GB"/>
        </w:rPr>
        <w:tab/>
      </w:r>
      <w:r w:rsidR="004877C6" w:rsidRPr="00931C50">
        <w:rPr>
          <w:b/>
          <w:bCs/>
        </w:rPr>
        <w:t>Understanding and Engaging Stakeholders  </w:t>
      </w:r>
      <w:r w:rsidR="004877C6" w:rsidRPr="00931C50">
        <w:t> </w:t>
      </w:r>
    </w:p>
    <w:p w14:paraId="631A6D57" w14:textId="77777777" w:rsidR="005F524F" w:rsidRDefault="005F524F" w:rsidP="005F524F">
      <w:pPr>
        <w:pStyle w:val="Title"/>
        <w:rPr>
          <w:sz w:val="32"/>
          <w:szCs w:val="32"/>
        </w:rPr>
      </w:pPr>
    </w:p>
    <w:p w14:paraId="75D3B502" w14:textId="3FDA1B3B" w:rsidR="005F524F" w:rsidRDefault="005F524F" w:rsidP="005F524F">
      <w:pPr>
        <w:pStyle w:val="Title"/>
        <w:rPr>
          <w:sz w:val="32"/>
          <w:szCs w:val="32"/>
        </w:rPr>
      </w:pPr>
    </w:p>
    <w:p w14:paraId="2D5376C2" w14:textId="75FFBF86" w:rsidR="005F524F" w:rsidRDefault="005F524F" w:rsidP="005F524F">
      <w:pPr>
        <w:pStyle w:val="Title"/>
        <w:rPr>
          <w:sz w:val="32"/>
          <w:szCs w:val="32"/>
        </w:rPr>
      </w:pPr>
    </w:p>
    <w:p w14:paraId="6F6369B8" w14:textId="53DBA35D" w:rsidR="005F524F" w:rsidRDefault="005F524F" w:rsidP="005F524F">
      <w:pPr>
        <w:pStyle w:val="Title"/>
        <w:rPr>
          <w:sz w:val="32"/>
          <w:szCs w:val="32"/>
        </w:rPr>
      </w:pPr>
    </w:p>
    <w:p w14:paraId="2C1719CD" w14:textId="77777777" w:rsidR="005F524F" w:rsidRDefault="005F524F" w:rsidP="005F524F">
      <w:pPr>
        <w:pStyle w:val="Title"/>
        <w:rPr>
          <w:sz w:val="32"/>
          <w:szCs w:val="32"/>
        </w:rPr>
      </w:pPr>
    </w:p>
    <w:p w14:paraId="1D43D514" w14:textId="3B94EC3D" w:rsidR="00476FBD" w:rsidRPr="005F524F" w:rsidRDefault="004877C6" w:rsidP="005F524F">
      <w:pPr>
        <w:pStyle w:val="Title"/>
        <w:jc w:val="center"/>
        <w:rPr>
          <w:b/>
          <w:bCs/>
          <w:sz w:val="32"/>
          <w:szCs w:val="32"/>
          <w:u w:val="single"/>
        </w:rPr>
      </w:pPr>
      <w:r w:rsidRPr="005F524F">
        <w:rPr>
          <w:b/>
          <w:bCs/>
          <w:sz w:val="32"/>
          <w:szCs w:val="32"/>
          <w:u w:val="single"/>
        </w:rPr>
        <w:t>Understanding the importance of Stakeholder Engagement in successful commencement and completion of project</w:t>
      </w:r>
    </w:p>
    <w:p w14:paraId="03AF2716" w14:textId="77777777" w:rsidR="00913558" w:rsidRPr="005F524F" w:rsidRDefault="00913558" w:rsidP="005F524F">
      <w:pPr>
        <w:pStyle w:val="ListParagraph"/>
        <w:jc w:val="center"/>
        <w:rPr>
          <w:b/>
          <w:bCs/>
          <w:u w:val="single"/>
        </w:rPr>
      </w:pPr>
    </w:p>
    <w:p w14:paraId="1A6CEE0C" w14:textId="77777777" w:rsidR="00913558" w:rsidRDefault="00913558" w:rsidP="00913558">
      <w:pPr>
        <w:pStyle w:val="ListParagraph"/>
        <w:rPr>
          <w:b/>
          <w:bCs/>
        </w:rPr>
      </w:pPr>
    </w:p>
    <w:p w14:paraId="56B83FAF" w14:textId="77777777" w:rsidR="00913558" w:rsidRDefault="00913558" w:rsidP="00913558">
      <w:pPr>
        <w:pStyle w:val="ListParagraph"/>
        <w:rPr>
          <w:b/>
          <w:bCs/>
        </w:rPr>
      </w:pPr>
    </w:p>
    <w:p w14:paraId="6610325D" w14:textId="77777777" w:rsidR="00913558" w:rsidRDefault="00913558" w:rsidP="00913558">
      <w:pPr>
        <w:pStyle w:val="ListParagraph"/>
        <w:rPr>
          <w:b/>
          <w:bCs/>
        </w:rPr>
      </w:pPr>
    </w:p>
    <w:p w14:paraId="5692ED8D" w14:textId="77777777" w:rsidR="00913558" w:rsidRDefault="00913558" w:rsidP="00913558">
      <w:pPr>
        <w:pStyle w:val="ListParagraph"/>
        <w:rPr>
          <w:b/>
          <w:bCs/>
        </w:rPr>
      </w:pPr>
    </w:p>
    <w:p w14:paraId="4749381F" w14:textId="77777777" w:rsidR="00913558" w:rsidRDefault="00913558" w:rsidP="00913558">
      <w:pPr>
        <w:pStyle w:val="ListParagraph"/>
        <w:rPr>
          <w:b/>
          <w:bCs/>
        </w:rPr>
      </w:pPr>
    </w:p>
    <w:p w14:paraId="593A452F" w14:textId="77777777" w:rsidR="00913558" w:rsidRDefault="00913558" w:rsidP="00913558">
      <w:pPr>
        <w:pStyle w:val="ListParagraph"/>
        <w:rPr>
          <w:b/>
          <w:bCs/>
        </w:rPr>
      </w:pPr>
    </w:p>
    <w:p w14:paraId="755D1362" w14:textId="77777777" w:rsidR="00913558" w:rsidRDefault="00913558" w:rsidP="00913558">
      <w:pPr>
        <w:pStyle w:val="ListParagraph"/>
        <w:rPr>
          <w:b/>
          <w:bCs/>
        </w:rPr>
      </w:pPr>
    </w:p>
    <w:p w14:paraId="172A52CC" w14:textId="77777777" w:rsidR="00913558" w:rsidRDefault="00913558" w:rsidP="00913558">
      <w:pPr>
        <w:pStyle w:val="ListParagraph"/>
        <w:rPr>
          <w:b/>
          <w:bCs/>
        </w:rPr>
      </w:pPr>
    </w:p>
    <w:p w14:paraId="044ACEBE" w14:textId="77777777" w:rsidR="00913558" w:rsidRDefault="00913558" w:rsidP="00913558">
      <w:pPr>
        <w:pStyle w:val="ListParagraph"/>
        <w:rPr>
          <w:b/>
          <w:bCs/>
        </w:rPr>
      </w:pPr>
    </w:p>
    <w:p w14:paraId="626B8348" w14:textId="77777777" w:rsidR="00913558" w:rsidRDefault="00913558" w:rsidP="00913558">
      <w:pPr>
        <w:pStyle w:val="ListParagraph"/>
        <w:rPr>
          <w:b/>
          <w:bCs/>
        </w:rPr>
      </w:pPr>
    </w:p>
    <w:p w14:paraId="57F6BBFD" w14:textId="77777777" w:rsidR="00913558" w:rsidRDefault="00913558" w:rsidP="00913558">
      <w:pPr>
        <w:pStyle w:val="ListParagraph"/>
        <w:rPr>
          <w:b/>
          <w:bCs/>
        </w:rPr>
      </w:pPr>
    </w:p>
    <w:p w14:paraId="458A87F2" w14:textId="77777777" w:rsidR="00913558" w:rsidRDefault="00913558" w:rsidP="00913558">
      <w:pPr>
        <w:pStyle w:val="ListParagraph"/>
        <w:rPr>
          <w:b/>
          <w:bCs/>
        </w:rPr>
      </w:pPr>
    </w:p>
    <w:p w14:paraId="5DBE714B" w14:textId="77777777" w:rsidR="00913558" w:rsidRDefault="00913558" w:rsidP="00913558">
      <w:pPr>
        <w:pStyle w:val="ListParagraph"/>
        <w:rPr>
          <w:b/>
          <w:bCs/>
        </w:rPr>
      </w:pPr>
    </w:p>
    <w:p w14:paraId="0C58CD33" w14:textId="77777777" w:rsidR="00913558" w:rsidRDefault="00913558" w:rsidP="00913558">
      <w:pPr>
        <w:pStyle w:val="ListParagraph"/>
        <w:rPr>
          <w:b/>
          <w:bCs/>
        </w:rPr>
      </w:pPr>
    </w:p>
    <w:p w14:paraId="28D27936" w14:textId="77777777" w:rsidR="00913558" w:rsidRDefault="00913558" w:rsidP="00913558">
      <w:pPr>
        <w:pStyle w:val="ListParagraph"/>
        <w:rPr>
          <w:b/>
          <w:bCs/>
        </w:rPr>
      </w:pPr>
    </w:p>
    <w:p w14:paraId="43A038FD" w14:textId="77777777" w:rsidR="00913558" w:rsidRDefault="00913558" w:rsidP="00913558">
      <w:pPr>
        <w:pStyle w:val="ListParagraph"/>
        <w:rPr>
          <w:b/>
          <w:bCs/>
        </w:rPr>
      </w:pPr>
    </w:p>
    <w:p w14:paraId="2F6B6987" w14:textId="77777777" w:rsidR="00913558" w:rsidRDefault="00913558" w:rsidP="00913558">
      <w:pPr>
        <w:pStyle w:val="ListParagraph"/>
        <w:rPr>
          <w:b/>
          <w:bCs/>
        </w:rPr>
      </w:pPr>
    </w:p>
    <w:p w14:paraId="3B8D013A" w14:textId="77777777" w:rsidR="00913558" w:rsidRDefault="00913558" w:rsidP="00913558">
      <w:pPr>
        <w:pStyle w:val="ListParagraph"/>
        <w:rPr>
          <w:b/>
          <w:bCs/>
        </w:rPr>
      </w:pPr>
    </w:p>
    <w:p w14:paraId="3CC40068" w14:textId="77777777" w:rsidR="00913558" w:rsidRDefault="00913558" w:rsidP="00913558">
      <w:pPr>
        <w:pStyle w:val="ListParagraph"/>
        <w:rPr>
          <w:b/>
          <w:bCs/>
        </w:rPr>
      </w:pPr>
    </w:p>
    <w:p w14:paraId="15DA03D1" w14:textId="77777777" w:rsidR="00913558" w:rsidRDefault="00913558" w:rsidP="00913558">
      <w:pPr>
        <w:pStyle w:val="ListParagraph"/>
        <w:rPr>
          <w:b/>
          <w:bCs/>
        </w:rPr>
      </w:pPr>
    </w:p>
    <w:p w14:paraId="5EC50FDC" w14:textId="77777777" w:rsidR="00913558" w:rsidRDefault="00913558" w:rsidP="00913558">
      <w:pPr>
        <w:pStyle w:val="ListParagraph"/>
        <w:rPr>
          <w:b/>
          <w:bCs/>
        </w:rPr>
      </w:pPr>
    </w:p>
    <w:p w14:paraId="61B70F6F" w14:textId="77777777" w:rsidR="00913558" w:rsidRDefault="00913558" w:rsidP="00913558">
      <w:pPr>
        <w:pStyle w:val="ListParagraph"/>
        <w:rPr>
          <w:b/>
          <w:bCs/>
        </w:rPr>
      </w:pPr>
    </w:p>
    <w:p w14:paraId="7BFF1D99" w14:textId="77777777" w:rsidR="009344F4" w:rsidRDefault="009344F4" w:rsidP="00913558">
      <w:pPr>
        <w:pStyle w:val="ListParagraph"/>
        <w:rPr>
          <w:b/>
          <w:bCs/>
        </w:rPr>
      </w:pPr>
    </w:p>
    <w:sdt>
      <w:sdtPr>
        <w:rPr>
          <w:rFonts w:ascii="Arial" w:eastAsia="Arial" w:hAnsi="Arial" w:cs="Arial"/>
          <w:color w:val="auto"/>
          <w:sz w:val="22"/>
          <w:szCs w:val="22"/>
        </w:rPr>
        <w:id w:val="1828625123"/>
        <w:docPartObj>
          <w:docPartGallery w:val="Table of Contents"/>
          <w:docPartUnique/>
        </w:docPartObj>
      </w:sdtPr>
      <w:sdtEndPr>
        <w:rPr>
          <w:b/>
          <w:bCs/>
          <w:noProof/>
        </w:rPr>
      </w:sdtEndPr>
      <w:sdtContent>
        <w:p w14:paraId="6C3D7484" w14:textId="267D3D8A" w:rsidR="005D60AB" w:rsidRDefault="005D60AB">
          <w:pPr>
            <w:pStyle w:val="TOCHeading"/>
          </w:pPr>
          <w:r>
            <w:t>Contents</w:t>
          </w:r>
        </w:p>
        <w:p w14:paraId="7187B50C" w14:textId="3B646AF0" w:rsidR="005D60AB" w:rsidRDefault="005D60AB">
          <w:pPr>
            <w:pStyle w:val="TOC1"/>
            <w:tabs>
              <w:tab w:val="right" w:leader="dot" w:pos="9628"/>
            </w:tabs>
            <w:rPr>
              <w:noProof/>
            </w:rPr>
          </w:pPr>
          <w:r>
            <w:fldChar w:fldCharType="begin"/>
          </w:r>
          <w:r>
            <w:instrText xml:space="preserve"> TOC \o "1-3" \h \z \u </w:instrText>
          </w:r>
          <w:r>
            <w:fldChar w:fldCharType="separate"/>
          </w:r>
          <w:hyperlink w:anchor="_Toc234697431" w:history="1">
            <w:r w:rsidRPr="009E3A97">
              <w:rPr>
                <w:rStyle w:val="Hyperlink"/>
                <w:noProof/>
              </w:rPr>
              <w:t>Executive Summary</w:t>
            </w:r>
            <w:r>
              <w:rPr>
                <w:noProof/>
                <w:webHidden/>
              </w:rPr>
              <w:tab/>
            </w:r>
            <w:r>
              <w:rPr>
                <w:noProof/>
                <w:webHidden/>
              </w:rPr>
              <w:fldChar w:fldCharType="begin"/>
            </w:r>
            <w:r>
              <w:rPr>
                <w:noProof/>
                <w:webHidden/>
              </w:rPr>
              <w:instrText xml:space="preserve"> PAGEREF _Toc234697431 \h </w:instrText>
            </w:r>
            <w:r>
              <w:rPr>
                <w:noProof/>
                <w:webHidden/>
              </w:rPr>
            </w:r>
            <w:r>
              <w:rPr>
                <w:noProof/>
                <w:webHidden/>
              </w:rPr>
              <w:fldChar w:fldCharType="separate"/>
            </w:r>
            <w:r w:rsidR="00D870B9">
              <w:rPr>
                <w:noProof/>
                <w:webHidden/>
              </w:rPr>
              <w:t>3</w:t>
            </w:r>
            <w:r>
              <w:rPr>
                <w:noProof/>
                <w:webHidden/>
              </w:rPr>
              <w:fldChar w:fldCharType="end"/>
            </w:r>
          </w:hyperlink>
        </w:p>
        <w:p w14:paraId="7E3978E1" w14:textId="1439AD1B" w:rsidR="005D60AB" w:rsidRDefault="00D05040">
          <w:pPr>
            <w:pStyle w:val="TOC1"/>
            <w:tabs>
              <w:tab w:val="right" w:leader="dot" w:pos="9628"/>
            </w:tabs>
            <w:rPr>
              <w:noProof/>
            </w:rPr>
          </w:pPr>
          <w:hyperlink w:anchor="_Toc234697432" w:history="1">
            <w:r w:rsidR="005D60AB" w:rsidRPr="009E3A97">
              <w:rPr>
                <w:rStyle w:val="Hyperlink"/>
                <w:noProof/>
              </w:rPr>
              <w:t>1. Introduction</w:t>
            </w:r>
            <w:r w:rsidR="005D60AB">
              <w:rPr>
                <w:noProof/>
                <w:webHidden/>
              </w:rPr>
              <w:tab/>
            </w:r>
            <w:r w:rsidR="005D60AB">
              <w:rPr>
                <w:noProof/>
                <w:webHidden/>
              </w:rPr>
              <w:fldChar w:fldCharType="begin"/>
            </w:r>
            <w:r w:rsidR="005D60AB">
              <w:rPr>
                <w:noProof/>
                <w:webHidden/>
              </w:rPr>
              <w:instrText xml:space="preserve"> PAGEREF _Toc234697432 \h </w:instrText>
            </w:r>
            <w:r w:rsidR="005D60AB">
              <w:rPr>
                <w:noProof/>
                <w:webHidden/>
              </w:rPr>
            </w:r>
            <w:r w:rsidR="005D60AB">
              <w:rPr>
                <w:noProof/>
                <w:webHidden/>
              </w:rPr>
              <w:fldChar w:fldCharType="separate"/>
            </w:r>
            <w:r w:rsidR="00D870B9">
              <w:rPr>
                <w:noProof/>
                <w:webHidden/>
              </w:rPr>
              <w:t>3</w:t>
            </w:r>
            <w:r w:rsidR="005D60AB">
              <w:rPr>
                <w:noProof/>
                <w:webHidden/>
              </w:rPr>
              <w:fldChar w:fldCharType="end"/>
            </w:r>
          </w:hyperlink>
        </w:p>
        <w:p w14:paraId="7DDF42C0" w14:textId="78A5365D" w:rsidR="005D60AB" w:rsidRDefault="00D05040">
          <w:pPr>
            <w:pStyle w:val="TOC1"/>
            <w:tabs>
              <w:tab w:val="right" w:leader="dot" w:pos="9628"/>
            </w:tabs>
            <w:rPr>
              <w:noProof/>
            </w:rPr>
          </w:pPr>
          <w:hyperlink w:anchor="_Toc234697433" w:history="1">
            <w:r w:rsidR="005D60AB" w:rsidRPr="009E3A97">
              <w:rPr>
                <w:rStyle w:val="Hyperlink"/>
                <w:noProof/>
              </w:rPr>
              <w:t>2. SMART Objectives</w:t>
            </w:r>
            <w:r w:rsidR="005D60AB">
              <w:rPr>
                <w:noProof/>
                <w:webHidden/>
              </w:rPr>
              <w:tab/>
            </w:r>
            <w:r w:rsidR="005D60AB">
              <w:rPr>
                <w:noProof/>
                <w:webHidden/>
              </w:rPr>
              <w:fldChar w:fldCharType="begin"/>
            </w:r>
            <w:r w:rsidR="005D60AB">
              <w:rPr>
                <w:noProof/>
                <w:webHidden/>
              </w:rPr>
              <w:instrText xml:space="preserve"> PAGEREF _Toc234697433 \h </w:instrText>
            </w:r>
            <w:r w:rsidR="005D60AB">
              <w:rPr>
                <w:noProof/>
                <w:webHidden/>
              </w:rPr>
            </w:r>
            <w:r w:rsidR="005D60AB">
              <w:rPr>
                <w:noProof/>
                <w:webHidden/>
              </w:rPr>
              <w:fldChar w:fldCharType="separate"/>
            </w:r>
            <w:r w:rsidR="00D870B9">
              <w:rPr>
                <w:noProof/>
                <w:webHidden/>
              </w:rPr>
              <w:t>4</w:t>
            </w:r>
            <w:r w:rsidR="005D60AB">
              <w:rPr>
                <w:noProof/>
                <w:webHidden/>
              </w:rPr>
              <w:fldChar w:fldCharType="end"/>
            </w:r>
          </w:hyperlink>
        </w:p>
        <w:p w14:paraId="7910B90E" w14:textId="71610557" w:rsidR="005D60AB" w:rsidRDefault="00D05040">
          <w:pPr>
            <w:pStyle w:val="TOC1"/>
            <w:tabs>
              <w:tab w:val="right" w:leader="dot" w:pos="9628"/>
            </w:tabs>
            <w:rPr>
              <w:noProof/>
            </w:rPr>
          </w:pPr>
          <w:hyperlink w:anchor="_Toc234697434" w:history="1">
            <w:r w:rsidR="005D60AB" w:rsidRPr="009E3A97">
              <w:rPr>
                <w:rStyle w:val="Hyperlink"/>
                <w:noProof/>
              </w:rPr>
              <w:t>3. Identification and Categorization of Key Stakeholders</w:t>
            </w:r>
            <w:r w:rsidR="005D60AB">
              <w:rPr>
                <w:noProof/>
                <w:webHidden/>
              </w:rPr>
              <w:tab/>
            </w:r>
            <w:r w:rsidR="005D60AB">
              <w:rPr>
                <w:noProof/>
                <w:webHidden/>
              </w:rPr>
              <w:fldChar w:fldCharType="begin"/>
            </w:r>
            <w:r w:rsidR="005D60AB">
              <w:rPr>
                <w:noProof/>
                <w:webHidden/>
              </w:rPr>
              <w:instrText xml:space="preserve"> PAGEREF _Toc234697434 \h </w:instrText>
            </w:r>
            <w:r w:rsidR="005D60AB">
              <w:rPr>
                <w:noProof/>
                <w:webHidden/>
              </w:rPr>
            </w:r>
            <w:r w:rsidR="005D60AB">
              <w:rPr>
                <w:noProof/>
                <w:webHidden/>
              </w:rPr>
              <w:fldChar w:fldCharType="separate"/>
            </w:r>
            <w:r w:rsidR="00D870B9">
              <w:rPr>
                <w:noProof/>
                <w:webHidden/>
              </w:rPr>
              <w:t>4</w:t>
            </w:r>
            <w:r w:rsidR="005D60AB">
              <w:rPr>
                <w:noProof/>
                <w:webHidden/>
              </w:rPr>
              <w:fldChar w:fldCharType="end"/>
            </w:r>
          </w:hyperlink>
        </w:p>
        <w:p w14:paraId="1198514A" w14:textId="2F5CA566" w:rsidR="005D60AB" w:rsidRDefault="00D05040">
          <w:pPr>
            <w:pStyle w:val="TOC2"/>
            <w:tabs>
              <w:tab w:val="right" w:leader="dot" w:pos="9628"/>
            </w:tabs>
            <w:rPr>
              <w:noProof/>
            </w:rPr>
          </w:pPr>
          <w:hyperlink w:anchor="_Toc234697435" w:history="1">
            <w:r w:rsidR="005D60AB" w:rsidRPr="009E3A97">
              <w:rPr>
                <w:rStyle w:val="Hyperlink"/>
                <w:noProof/>
              </w:rPr>
              <w:t>3.1 Two complementary frameworks</w:t>
            </w:r>
            <w:r w:rsidR="005D60AB">
              <w:rPr>
                <w:noProof/>
                <w:webHidden/>
              </w:rPr>
              <w:tab/>
            </w:r>
            <w:r w:rsidR="005D60AB">
              <w:rPr>
                <w:noProof/>
                <w:webHidden/>
              </w:rPr>
              <w:fldChar w:fldCharType="begin"/>
            </w:r>
            <w:r w:rsidR="005D60AB">
              <w:rPr>
                <w:noProof/>
                <w:webHidden/>
              </w:rPr>
              <w:instrText xml:space="preserve"> PAGEREF _Toc234697435 \h </w:instrText>
            </w:r>
            <w:r w:rsidR="005D60AB">
              <w:rPr>
                <w:noProof/>
                <w:webHidden/>
              </w:rPr>
            </w:r>
            <w:r w:rsidR="005D60AB">
              <w:rPr>
                <w:noProof/>
                <w:webHidden/>
              </w:rPr>
              <w:fldChar w:fldCharType="separate"/>
            </w:r>
            <w:r w:rsidR="00D870B9">
              <w:rPr>
                <w:noProof/>
                <w:webHidden/>
              </w:rPr>
              <w:t>5</w:t>
            </w:r>
            <w:r w:rsidR="005D60AB">
              <w:rPr>
                <w:noProof/>
                <w:webHidden/>
              </w:rPr>
              <w:fldChar w:fldCharType="end"/>
            </w:r>
          </w:hyperlink>
        </w:p>
        <w:p w14:paraId="1B733976" w14:textId="50DFB6ED" w:rsidR="005D60AB" w:rsidRDefault="00D05040">
          <w:pPr>
            <w:pStyle w:val="TOC2"/>
            <w:tabs>
              <w:tab w:val="right" w:leader="dot" w:pos="9628"/>
            </w:tabs>
            <w:rPr>
              <w:noProof/>
            </w:rPr>
          </w:pPr>
          <w:hyperlink w:anchor="_Toc234697436" w:history="1">
            <w:r w:rsidR="005D60AB" w:rsidRPr="009E3A97">
              <w:rPr>
                <w:rStyle w:val="Hyperlink"/>
                <w:noProof/>
              </w:rPr>
              <w:t>3.2 Internal stakeholders</w:t>
            </w:r>
            <w:r w:rsidR="005D60AB">
              <w:rPr>
                <w:noProof/>
                <w:webHidden/>
              </w:rPr>
              <w:tab/>
            </w:r>
            <w:r w:rsidR="005D60AB">
              <w:rPr>
                <w:noProof/>
                <w:webHidden/>
              </w:rPr>
              <w:fldChar w:fldCharType="begin"/>
            </w:r>
            <w:r w:rsidR="005D60AB">
              <w:rPr>
                <w:noProof/>
                <w:webHidden/>
              </w:rPr>
              <w:instrText xml:space="preserve"> PAGEREF _Toc234697436 \h </w:instrText>
            </w:r>
            <w:r w:rsidR="005D60AB">
              <w:rPr>
                <w:noProof/>
                <w:webHidden/>
              </w:rPr>
            </w:r>
            <w:r w:rsidR="005D60AB">
              <w:rPr>
                <w:noProof/>
                <w:webHidden/>
              </w:rPr>
              <w:fldChar w:fldCharType="separate"/>
            </w:r>
            <w:r w:rsidR="00D870B9">
              <w:rPr>
                <w:noProof/>
                <w:webHidden/>
              </w:rPr>
              <w:t>5</w:t>
            </w:r>
            <w:r w:rsidR="005D60AB">
              <w:rPr>
                <w:noProof/>
                <w:webHidden/>
              </w:rPr>
              <w:fldChar w:fldCharType="end"/>
            </w:r>
          </w:hyperlink>
        </w:p>
        <w:p w14:paraId="2E701279" w14:textId="1BA5E299" w:rsidR="005D60AB" w:rsidRDefault="00D05040">
          <w:pPr>
            <w:pStyle w:val="TOC2"/>
            <w:tabs>
              <w:tab w:val="right" w:leader="dot" w:pos="9628"/>
            </w:tabs>
            <w:rPr>
              <w:noProof/>
            </w:rPr>
          </w:pPr>
          <w:hyperlink w:anchor="_Toc234697437" w:history="1">
            <w:r w:rsidR="005D60AB" w:rsidRPr="009E3A97">
              <w:rPr>
                <w:rStyle w:val="Hyperlink"/>
                <w:noProof/>
              </w:rPr>
              <w:t>3.3 External stakeholders</w:t>
            </w:r>
            <w:r w:rsidR="005D60AB">
              <w:rPr>
                <w:noProof/>
                <w:webHidden/>
              </w:rPr>
              <w:tab/>
            </w:r>
            <w:r w:rsidR="005D60AB">
              <w:rPr>
                <w:noProof/>
                <w:webHidden/>
              </w:rPr>
              <w:fldChar w:fldCharType="begin"/>
            </w:r>
            <w:r w:rsidR="005D60AB">
              <w:rPr>
                <w:noProof/>
                <w:webHidden/>
              </w:rPr>
              <w:instrText xml:space="preserve"> PAGEREF _Toc234697437 \h </w:instrText>
            </w:r>
            <w:r w:rsidR="005D60AB">
              <w:rPr>
                <w:noProof/>
                <w:webHidden/>
              </w:rPr>
            </w:r>
            <w:r w:rsidR="005D60AB">
              <w:rPr>
                <w:noProof/>
                <w:webHidden/>
              </w:rPr>
              <w:fldChar w:fldCharType="separate"/>
            </w:r>
            <w:r w:rsidR="00D870B9">
              <w:rPr>
                <w:noProof/>
                <w:webHidden/>
              </w:rPr>
              <w:t>5</w:t>
            </w:r>
            <w:r w:rsidR="005D60AB">
              <w:rPr>
                <w:noProof/>
                <w:webHidden/>
              </w:rPr>
              <w:fldChar w:fldCharType="end"/>
            </w:r>
          </w:hyperlink>
        </w:p>
        <w:p w14:paraId="1C81850D" w14:textId="0B722676" w:rsidR="005D60AB" w:rsidRDefault="00D05040">
          <w:pPr>
            <w:pStyle w:val="TOC1"/>
            <w:tabs>
              <w:tab w:val="right" w:leader="dot" w:pos="9628"/>
            </w:tabs>
            <w:rPr>
              <w:noProof/>
            </w:rPr>
          </w:pPr>
          <w:hyperlink w:anchor="_Toc234697438" w:history="1">
            <w:r w:rsidR="005D60AB" w:rsidRPr="009E3A97">
              <w:rPr>
                <w:rStyle w:val="Hyperlink"/>
                <w:noProof/>
              </w:rPr>
              <w:t>4. Roles, Responsibilities, Benefits and Challenges</w:t>
            </w:r>
            <w:r w:rsidR="005D60AB">
              <w:rPr>
                <w:noProof/>
                <w:webHidden/>
              </w:rPr>
              <w:tab/>
            </w:r>
            <w:r w:rsidR="005D60AB">
              <w:rPr>
                <w:noProof/>
                <w:webHidden/>
              </w:rPr>
              <w:fldChar w:fldCharType="begin"/>
            </w:r>
            <w:r w:rsidR="005D60AB">
              <w:rPr>
                <w:noProof/>
                <w:webHidden/>
              </w:rPr>
              <w:instrText xml:space="preserve"> PAGEREF _Toc234697438 \h </w:instrText>
            </w:r>
            <w:r w:rsidR="005D60AB">
              <w:rPr>
                <w:noProof/>
                <w:webHidden/>
              </w:rPr>
            </w:r>
            <w:r w:rsidR="005D60AB">
              <w:rPr>
                <w:noProof/>
                <w:webHidden/>
              </w:rPr>
              <w:fldChar w:fldCharType="separate"/>
            </w:r>
            <w:r w:rsidR="00D870B9">
              <w:rPr>
                <w:noProof/>
                <w:webHidden/>
              </w:rPr>
              <w:t>7</w:t>
            </w:r>
            <w:r w:rsidR="005D60AB">
              <w:rPr>
                <w:noProof/>
                <w:webHidden/>
              </w:rPr>
              <w:fldChar w:fldCharType="end"/>
            </w:r>
          </w:hyperlink>
        </w:p>
        <w:p w14:paraId="2FD9F613" w14:textId="15D040F6" w:rsidR="005D60AB" w:rsidRDefault="00D05040">
          <w:pPr>
            <w:pStyle w:val="TOC1"/>
            <w:tabs>
              <w:tab w:val="right" w:leader="dot" w:pos="9628"/>
            </w:tabs>
            <w:rPr>
              <w:noProof/>
            </w:rPr>
          </w:pPr>
          <w:hyperlink w:anchor="_Toc234697439" w:history="1">
            <w:r w:rsidR="005D60AB" w:rsidRPr="009E3A97">
              <w:rPr>
                <w:rStyle w:val="Hyperlink"/>
                <w:noProof/>
              </w:rPr>
              <w:t>5. Engaging Stakeholders and Managing Conflict</w:t>
            </w:r>
            <w:r w:rsidR="005D60AB">
              <w:rPr>
                <w:noProof/>
                <w:webHidden/>
              </w:rPr>
              <w:tab/>
            </w:r>
            <w:r w:rsidR="005D60AB">
              <w:rPr>
                <w:noProof/>
                <w:webHidden/>
              </w:rPr>
              <w:fldChar w:fldCharType="begin"/>
            </w:r>
            <w:r w:rsidR="005D60AB">
              <w:rPr>
                <w:noProof/>
                <w:webHidden/>
              </w:rPr>
              <w:instrText xml:space="preserve"> PAGEREF _Toc234697439 \h </w:instrText>
            </w:r>
            <w:r w:rsidR="005D60AB">
              <w:rPr>
                <w:noProof/>
                <w:webHidden/>
              </w:rPr>
            </w:r>
            <w:r w:rsidR="005D60AB">
              <w:rPr>
                <w:noProof/>
                <w:webHidden/>
              </w:rPr>
              <w:fldChar w:fldCharType="separate"/>
            </w:r>
            <w:r w:rsidR="00D870B9">
              <w:rPr>
                <w:noProof/>
                <w:webHidden/>
              </w:rPr>
              <w:t>8</w:t>
            </w:r>
            <w:r w:rsidR="005D60AB">
              <w:rPr>
                <w:noProof/>
                <w:webHidden/>
              </w:rPr>
              <w:fldChar w:fldCharType="end"/>
            </w:r>
          </w:hyperlink>
        </w:p>
        <w:p w14:paraId="57C21323" w14:textId="78115779" w:rsidR="005D60AB" w:rsidRDefault="00D05040">
          <w:pPr>
            <w:pStyle w:val="TOC2"/>
            <w:tabs>
              <w:tab w:val="right" w:leader="dot" w:pos="9628"/>
            </w:tabs>
            <w:rPr>
              <w:noProof/>
            </w:rPr>
          </w:pPr>
          <w:hyperlink w:anchor="_Toc234697440" w:history="1">
            <w:r w:rsidR="005D60AB" w:rsidRPr="009E3A97">
              <w:rPr>
                <w:rStyle w:val="Hyperlink"/>
                <w:noProof/>
              </w:rPr>
              <w:t>5.1 Communication</w:t>
            </w:r>
            <w:r w:rsidR="005D60AB">
              <w:rPr>
                <w:noProof/>
                <w:webHidden/>
              </w:rPr>
              <w:tab/>
            </w:r>
            <w:r w:rsidR="005D60AB">
              <w:rPr>
                <w:noProof/>
                <w:webHidden/>
              </w:rPr>
              <w:fldChar w:fldCharType="begin"/>
            </w:r>
            <w:r w:rsidR="005D60AB">
              <w:rPr>
                <w:noProof/>
                <w:webHidden/>
              </w:rPr>
              <w:instrText xml:space="preserve"> PAGEREF _Toc234697440 \h </w:instrText>
            </w:r>
            <w:r w:rsidR="005D60AB">
              <w:rPr>
                <w:noProof/>
                <w:webHidden/>
              </w:rPr>
            </w:r>
            <w:r w:rsidR="005D60AB">
              <w:rPr>
                <w:noProof/>
                <w:webHidden/>
              </w:rPr>
              <w:fldChar w:fldCharType="separate"/>
            </w:r>
            <w:r w:rsidR="00D870B9">
              <w:rPr>
                <w:noProof/>
                <w:webHidden/>
              </w:rPr>
              <w:t>8</w:t>
            </w:r>
            <w:r w:rsidR="005D60AB">
              <w:rPr>
                <w:noProof/>
                <w:webHidden/>
              </w:rPr>
              <w:fldChar w:fldCharType="end"/>
            </w:r>
          </w:hyperlink>
        </w:p>
        <w:p w14:paraId="4B65168E" w14:textId="0F15ED5A" w:rsidR="005D60AB" w:rsidRDefault="00D05040">
          <w:pPr>
            <w:pStyle w:val="TOC2"/>
            <w:tabs>
              <w:tab w:val="right" w:leader="dot" w:pos="9628"/>
            </w:tabs>
            <w:rPr>
              <w:noProof/>
            </w:rPr>
          </w:pPr>
          <w:hyperlink w:anchor="_Toc234697441" w:history="1">
            <w:r w:rsidR="005D60AB" w:rsidRPr="009E3A97">
              <w:rPr>
                <w:rStyle w:val="Hyperlink"/>
                <w:noProof/>
              </w:rPr>
              <w:t>5.2 Consultation and collaboration</w:t>
            </w:r>
            <w:r w:rsidR="005D60AB">
              <w:rPr>
                <w:noProof/>
                <w:webHidden/>
              </w:rPr>
              <w:tab/>
            </w:r>
            <w:r w:rsidR="005D60AB">
              <w:rPr>
                <w:noProof/>
                <w:webHidden/>
              </w:rPr>
              <w:fldChar w:fldCharType="begin"/>
            </w:r>
            <w:r w:rsidR="005D60AB">
              <w:rPr>
                <w:noProof/>
                <w:webHidden/>
              </w:rPr>
              <w:instrText xml:space="preserve"> PAGEREF _Toc234697441 \h </w:instrText>
            </w:r>
            <w:r w:rsidR="005D60AB">
              <w:rPr>
                <w:noProof/>
                <w:webHidden/>
              </w:rPr>
            </w:r>
            <w:r w:rsidR="005D60AB">
              <w:rPr>
                <w:noProof/>
                <w:webHidden/>
              </w:rPr>
              <w:fldChar w:fldCharType="separate"/>
            </w:r>
            <w:r w:rsidR="00D870B9">
              <w:rPr>
                <w:noProof/>
                <w:webHidden/>
              </w:rPr>
              <w:t>8</w:t>
            </w:r>
            <w:r w:rsidR="005D60AB">
              <w:rPr>
                <w:noProof/>
                <w:webHidden/>
              </w:rPr>
              <w:fldChar w:fldCharType="end"/>
            </w:r>
          </w:hyperlink>
        </w:p>
        <w:p w14:paraId="001F348F" w14:textId="351A29CD" w:rsidR="005D60AB" w:rsidRDefault="00D05040">
          <w:pPr>
            <w:pStyle w:val="TOC2"/>
            <w:tabs>
              <w:tab w:val="right" w:leader="dot" w:pos="9628"/>
            </w:tabs>
            <w:rPr>
              <w:noProof/>
            </w:rPr>
          </w:pPr>
          <w:hyperlink w:anchor="_Toc234697442" w:history="1">
            <w:r w:rsidR="005D60AB" w:rsidRPr="009E3A97">
              <w:rPr>
                <w:rStyle w:val="Hyperlink"/>
                <w:noProof/>
              </w:rPr>
              <w:t>5.3 Commitment and governance: the RACI matrix</w:t>
            </w:r>
            <w:r w:rsidR="005D60AB">
              <w:rPr>
                <w:noProof/>
                <w:webHidden/>
              </w:rPr>
              <w:tab/>
            </w:r>
            <w:r w:rsidR="005D60AB">
              <w:rPr>
                <w:noProof/>
                <w:webHidden/>
              </w:rPr>
              <w:fldChar w:fldCharType="begin"/>
            </w:r>
            <w:r w:rsidR="005D60AB">
              <w:rPr>
                <w:noProof/>
                <w:webHidden/>
              </w:rPr>
              <w:instrText xml:space="preserve"> PAGEREF _Toc234697442 \h </w:instrText>
            </w:r>
            <w:r w:rsidR="005D60AB">
              <w:rPr>
                <w:noProof/>
                <w:webHidden/>
              </w:rPr>
            </w:r>
            <w:r w:rsidR="005D60AB">
              <w:rPr>
                <w:noProof/>
                <w:webHidden/>
              </w:rPr>
              <w:fldChar w:fldCharType="separate"/>
            </w:r>
            <w:r w:rsidR="00D870B9">
              <w:rPr>
                <w:noProof/>
                <w:webHidden/>
              </w:rPr>
              <w:t>9</w:t>
            </w:r>
            <w:r w:rsidR="005D60AB">
              <w:rPr>
                <w:noProof/>
                <w:webHidden/>
              </w:rPr>
              <w:fldChar w:fldCharType="end"/>
            </w:r>
          </w:hyperlink>
        </w:p>
        <w:p w14:paraId="483005CD" w14:textId="06CD5340" w:rsidR="005D60AB" w:rsidRDefault="00D05040">
          <w:pPr>
            <w:pStyle w:val="TOC2"/>
            <w:tabs>
              <w:tab w:val="right" w:leader="dot" w:pos="9628"/>
            </w:tabs>
            <w:rPr>
              <w:noProof/>
            </w:rPr>
          </w:pPr>
          <w:hyperlink w:anchor="_Toc234697443" w:history="1">
            <w:r w:rsidR="005D60AB" w:rsidRPr="009E3A97">
              <w:rPr>
                <w:rStyle w:val="Hyperlink"/>
                <w:noProof/>
              </w:rPr>
              <w:t>5.4 Managing conflict between stakeholders</w:t>
            </w:r>
            <w:r w:rsidR="005D60AB">
              <w:rPr>
                <w:noProof/>
                <w:webHidden/>
              </w:rPr>
              <w:tab/>
            </w:r>
            <w:r w:rsidR="005D60AB">
              <w:rPr>
                <w:noProof/>
                <w:webHidden/>
              </w:rPr>
              <w:fldChar w:fldCharType="begin"/>
            </w:r>
            <w:r w:rsidR="005D60AB">
              <w:rPr>
                <w:noProof/>
                <w:webHidden/>
              </w:rPr>
              <w:instrText xml:space="preserve"> PAGEREF _Toc234697443 \h </w:instrText>
            </w:r>
            <w:r w:rsidR="005D60AB">
              <w:rPr>
                <w:noProof/>
                <w:webHidden/>
              </w:rPr>
            </w:r>
            <w:r w:rsidR="005D60AB">
              <w:rPr>
                <w:noProof/>
                <w:webHidden/>
              </w:rPr>
              <w:fldChar w:fldCharType="separate"/>
            </w:r>
            <w:r w:rsidR="00D870B9">
              <w:rPr>
                <w:noProof/>
                <w:webHidden/>
              </w:rPr>
              <w:t>9</w:t>
            </w:r>
            <w:r w:rsidR="005D60AB">
              <w:rPr>
                <w:noProof/>
                <w:webHidden/>
              </w:rPr>
              <w:fldChar w:fldCharType="end"/>
            </w:r>
          </w:hyperlink>
        </w:p>
        <w:p w14:paraId="755B579F" w14:textId="1E6F7F14" w:rsidR="005D60AB" w:rsidRDefault="00D05040">
          <w:pPr>
            <w:pStyle w:val="TOC1"/>
            <w:tabs>
              <w:tab w:val="right" w:leader="dot" w:pos="9628"/>
            </w:tabs>
            <w:rPr>
              <w:noProof/>
            </w:rPr>
          </w:pPr>
          <w:hyperlink w:anchor="_Toc234697444" w:history="1">
            <w:r w:rsidR="005D60AB" w:rsidRPr="009E3A97">
              <w:rPr>
                <w:rStyle w:val="Hyperlink"/>
                <w:noProof/>
              </w:rPr>
              <w:t>6. Evaluating the Impact of Sustainable Stakeholder Engagement on Business Performance</w:t>
            </w:r>
            <w:r w:rsidR="005D60AB">
              <w:rPr>
                <w:noProof/>
                <w:webHidden/>
              </w:rPr>
              <w:tab/>
            </w:r>
            <w:r w:rsidR="005D60AB">
              <w:rPr>
                <w:noProof/>
                <w:webHidden/>
              </w:rPr>
              <w:fldChar w:fldCharType="begin"/>
            </w:r>
            <w:r w:rsidR="005D60AB">
              <w:rPr>
                <w:noProof/>
                <w:webHidden/>
              </w:rPr>
              <w:instrText xml:space="preserve"> PAGEREF _Toc234697444 \h </w:instrText>
            </w:r>
            <w:r w:rsidR="005D60AB">
              <w:rPr>
                <w:noProof/>
                <w:webHidden/>
              </w:rPr>
            </w:r>
            <w:r w:rsidR="005D60AB">
              <w:rPr>
                <w:noProof/>
                <w:webHidden/>
              </w:rPr>
              <w:fldChar w:fldCharType="separate"/>
            </w:r>
            <w:r w:rsidR="00D870B9">
              <w:rPr>
                <w:noProof/>
                <w:webHidden/>
              </w:rPr>
              <w:t>10</w:t>
            </w:r>
            <w:r w:rsidR="005D60AB">
              <w:rPr>
                <w:noProof/>
                <w:webHidden/>
              </w:rPr>
              <w:fldChar w:fldCharType="end"/>
            </w:r>
          </w:hyperlink>
        </w:p>
        <w:p w14:paraId="4C3D684C" w14:textId="3C29451A" w:rsidR="005D60AB" w:rsidRDefault="00D05040">
          <w:pPr>
            <w:pStyle w:val="TOC1"/>
            <w:tabs>
              <w:tab w:val="right" w:leader="dot" w:pos="9628"/>
            </w:tabs>
            <w:rPr>
              <w:noProof/>
            </w:rPr>
          </w:pPr>
          <w:hyperlink w:anchor="_Toc234697445" w:history="1">
            <w:r w:rsidR="005D60AB" w:rsidRPr="009E3A97">
              <w:rPr>
                <w:rStyle w:val="Hyperlink"/>
                <w:noProof/>
              </w:rPr>
              <w:t>7. Recommendations and Conclusion</w:t>
            </w:r>
            <w:r w:rsidR="005D60AB">
              <w:rPr>
                <w:noProof/>
                <w:webHidden/>
              </w:rPr>
              <w:tab/>
            </w:r>
            <w:r w:rsidR="005D60AB">
              <w:rPr>
                <w:noProof/>
                <w:webHidden/>
              </w:rPr>
              <w:fldChar w:fldCharType="begin"/>
            </w:r>
            <w:r w:rsidR="005D60AB">
              <w:rPr>
                <w:noProof/>
                <w:webHidden/>
              </w:rPr>
              <w:instrText xml:space="preserve"> PAGEREF _Toc234697445 \h </w:instrText>
            </w:r>
            <w:r w:rsidR="005D60AB">
              <w:rPr>
                <w:noProof/>
                <w:webHidden/>
              </w:rPr>
            </w:r>
            <w:r w:rsidR="005D60AB">
              <w:rPr>
                <w:noProof/>
                <w:webHidden/>
              </w:rPr>
              <w:fldChar w:fldCharType="separate"/>
            </w:r>
            <w:r w:rsidR="00D870B9">
              <w:rPr>
                <w:noProof/>
                <w:webHidden/>
              </w:rPr>
              <w:t>11</w:t>
            </w:r>
            <w:r w:rsidR="005D60AB">
              <w:rPr>
                <w:noProof/>
                <w:webHidden/>
              </w:rPr>
              <w:fldChar w:fldCharType="end"/>
            </w:r>
          </w:hyperlink>
        </w:p>
        <w:p w14:paraId="6AD6F70F" w14:textId="190DD2A8" w:rsidR="005D60AB" w:rsidRDefault="00D05040">
          <w:pPr>
            <w:pStyle w:val="TOC1"/>
            <w:tabs>
              <w:tab w:val="right" w:leader="dot" w:pos="9628"/>
            </w:tabs>
            <w:rPr>
              <w:noProof/>
            </w:rPr>
          </w:pPr>
          <w:hyperlink w:anchor="_Toc234697446" w:history="1">
            <w:r w:rsidR="005D60AB" w:rsidRPr="009E3A97">
              <w:rPr>
                <w:rStyle w:val="Hyperlink"/>
                <w:noProof/>
              </w:rPr>
              <w:t>References</w:t>
            </w:r>
            <w:r w:rsidR="005D60AB">
              <w:rPr>
                <w:noProof/>
                <w:webHidden/>
              </w:rPr>
              <w:tab/>
            </w:r>
            <w:r w:rsidR="005D60AB">
              <w:rPr>
                <w:noProof/>
                <w:webHidden/>
              </w:rPr>
              <w:fldChar w:fldCharType="begin"/>
            </w:r>
            <w:r w:rsidR="005D60AB">
              <w:rPr>
                <w:noProof/>
                <w:webHidden/>
              </w:rPr>
              <w:instrText xml:space="preserve"> PAGEREF _Toc234697446 \h </w:instrText>
            </w:r>
            <w:r w:rsidR="005D60AB">
              <w:rPr>
                <w:noProof/>
                <w:webHidden/>
              </w:rPr>
            </w:r>
            <w:r w:rsidR="005D60AB">
              <w:rPr>
                <w:noProof/>
                <w:webHidden/>
              </w:rPr>
              <w:fldChar w:fldCharType="separate"/>
            </w:r>
            <w:r w:rsidR="00D870B9">
              <w:rPr>
                <w:noProof/>
                <w:webHidden/>
              </w:rPr>
              <w:t>12</w:t>
            </w:r>
            <w:r w:rsidR="005D60AB">
              <w:rPr>
                <w:noProof/>
                <w:webHidden/>
              </w:rPr>
              <w:fldChar w:fldCharType="end"/>
            </w:r>
          </w:hyperlink>
        </w:p>
        <w:p w14:paraId="0CABEE42" w14:textId="49463C1F" w:rsidR="005D60AB" w:rsidRDefault="005D60AB">
          <w:r>
            <w:rPr>
              <w:b/>
              <w:bCs/>
              <w:noProof/>
            </w:rPr>
            <w:fldChar w:fldCharType="end"/>
          </w:r>
        </w:p>
      </w:sdtContent>
    </w:sdt>
    <w:p w14:paraId="212005BC" w14:textId="77777777" w:rsidR="009344F4" w:rsidRDefault="009344F4" w:rsidP="00913558">
      <w:pPr>
        <w:pStyle w:val="ListParagraph"/>
        <w:rPr>
          <w:b/>
          <w:bCs/>
        </w:rPr>
      </w:pPr>
    </w:p>
    <w:p w14:paraId="6D0BF56A" w14:textId="77777777" w:rsidR="009344F4" w:rsidRDefault="009344F4" w:rsidP="00913558">
      <w:pPr>
        <w:pStyle w:val="ListParagraph"/>
        <w:rPr>
          <w:b/>
          <w:bCs/>
        </w:rPr>
      </w:pPr>
    </w:p>
    <w:p w14:paraId="7AE3F562" w14:textId="77777777" w:rsidR="009344F4" w:rsidRDefault="009344F4" w:rsidP="00913558">
      <w:pPr>
        <w:pStyle w:val="ListParagraph"/>
        <w:rPr>
          <w:b/>
          <w:bCs/>
        </w:rPr>
      </w:pPr>
    </w:p>
    <w:p w14:paraId="2102C3C3" w14:textId="77777777" w:rsidR="009344F4" w:rsidRDefault="009344F4" w:rsidP="00913558">
      <w:pPr>
        <w:pStyle w:val="ListParagraph"/>
        <w:rPr>
          <w:b/>
          <w:bCs/>
        </w:rPr>
      </w:pPr>
    </w:p>
    <w:p w14:paraId="26B9D25D" w14:textId="77777777" w:rsidR="009344F4" w:rsidRDefault="009344F4" w:rsidP="00913558">
      <w:pPr>
        <w:pStyle w:val="ListParagraph"/>
        <w:rPr>
          <w:b/>
          <w:bCs/>
        </w:rPr>
      </w:pPr>
    </w:p>
    <w:p w14:paraId="3169C389" w14:textId="77777777" w:rsidR="009344F4" w:rsidRDefault="009344F4" w:rsidP="00913558">
      <w:pPr>
        <w:pStyle w:val="ListParagraph"/>
        <w:rPr>
          <w:b/>
          <w:bCs/>
        </w:rPr>
      </w:pPr>
    </w:p>
    <w:p w14:paraId="496941CF" w14:textId="77777777" w:rsidR="009344F4" w:rsidRDefault="009344F4" w:rsidP="00913558">
      <w:pPr>
        <w:pStyle w:val="ListParagraph"/>
        <w:rPr>
          <w:b/>
          <w:bCs/>
        </w:rPr>
      </w:pPr>
    </w:p>
    <w:p w14:paraId="5423E407" w14:textId="77777777" w:rsidR="009344F4" w:rsidRDefault="009344F4" w:rsidP="00913558">
      <w:pPr>
        <w:pStyle w:val="ListParagraph"/>
        <w:rPr>
          <w:b/>
          <w:bCs/>
        </w:rPr>
      </w:pPr>
    </w:p>
    <w:p w14:paraId="27941D92" w14:textId="77777777" w:rsidR="009344F4" w:rsidRDefault="009344F4" w:rsidP="00913558">
      <w:pPr>
        <w:pStyle w:val="ListParagraph"/>
        <w:rPr>
          <w:b/>
          <w:bCs/>
        </w:rPr>
      </w:pPr>
    </w:p>
    <w:p w14:paraId="2DD6E384" w14:textId="77777777" w:rsidR="009344F4" w:rsidRDefault="009344F4" w:rsidP="00913558">
      <w:pPr>
        <w:pStyle w:val="ListParagraph"/>
        <w:rPr>
          <w:b/>
          <w:bCs/>
        </w:rPr>
      </w:pPr>
    </w:p>
    <w:p w14:paraId="49CB3BD4" w14:textId="783F4214" w:rsidR="00737CC2" w:rsidRPr="00913558" w:rsidRDefault="00FD3604" w:rsidP="005D60AB">
      <w:pPr>
        <w:pStyle w:val="Heading1"/>
      </w:pPr>
      <w:bookmarkStart w:id="0" w:name="_Toc234697431"/>
      <w:r w:rsidRPr="00913558">
        <w:t>Executive Summary</w:t>
      </w:r>
      <w:bookmarkEnd w:id="0"/>
    </w:p>
    <w:p w14:paraId="14C30B3C" w14:textId="68A0F135" w:rsidR="00737CC2" w:rsidRDefault="000F6E16" w:rsidP="000F6E16">
      <w:pPr>
        <w:spacing w:after="200"/>
        <w:jc w:val="both"/>
      </w:pPr>
      <w:r w:rsidRPr="000F6E16">
        <w:t xml:space="preserve">The objective of this report is to investigate how </w:t>
      </w:r>
      <w:proofErr w:type="spellStart"/>
      <w:r w:rsidRPr="000F6E16">
        <w:t>Currys</w:t>
      </w:r>
      <w:proofErr w:type="spellEnd"/>
      <w:r w:rsidRPr="000F6E16">
        <w:t xml:space="preserve"> plc, the leading omnichannel retail company for technology products and services operating in the United Kingdom as </w:t>
      </w:r>
      <w:proofErr w:type="spellStart"/>
      <w:r w:rsidRPr="000F6E16">
        <w:t>Currys</w:t>
      </w:r>
      <w:proofErr w:type="spellEnd"/>
      <w:r w:rsidRPr="000F6E16">
        <w:t xml:space="preserve">, can determine, classify and engage with the stakeholders that need to be involved in the design, development and implementation of </w:t>
      </w:r>
      <w:proofErr w:type="spellStart"/>
      <w:r w:rsidRPr="000F6E16">
        <w:t>ConnectPlus</w:t>
      </w:r>
      <w:proofErr w:type="spellEnd"/>
      <w:r w:rsidRPr="000F6E16">
        <w:t xml:space="preserve">, an innovative Artificial Intelligence (AI) enabled customer loyalty and engagement platform, over the next six months in its six countries. By making use of Stakeholder Theory (Freeman, 1984), the Power/Interest Matrix of </w:t>
      </w:r>
      <w:proofErr w:type="spellStart"/>
      <w:r w:rsidRPr="000F6E16">
        <w:t>Mendelow</w:t>
      </w:r>
      <w:proofErr w:type="spellEnd"/>
      <w:r w:rsidRPr="000F6E16">
        <w:t xml:space="preserve"> (1991) and Salience Model of Mitchell, Agle and Wood (1997), this report will identify internal and external stakeholders (Board, IT/data team, marketing, HR &amp; staff, customers, technology vendors, regulatory authorities, investors, local market players, NGOs, media and competition</w:t>
      </w:r>
      <w:r>
        <w:t xml:space="preserve"> </w:t>
      </w:r>
      <w:r w:rsidRPr="000F6E16">
        <w:t xml:space="preserve">based on a 4Cs model of communication, collaboration, consultation, and commitment, using a RACI chart and a hierarchy of communications plan, and assesses the approaches for handling the conflicts associated with conflicting stakeholder interests, especially regarding data ethics and independence of the local market. Finally, the paper critically discusses the advantages and disadvantages, as well as the ethical implications, of the sustainable stakeholder engagement and </w:t>
      </w:r>
      <w:r w:rsidR="0053608E" w:rsidRPr="000F6E16">
        <w:t>states</w:t>
      </w:r>
      <w:r w:rsidRPr="000F6E16">
        <w:t xml:space="preserve"> that such stakeholder engagement approach is vital not just to the launch itself but also to </w:t>
      </w:r>
      <w:proofErr w:type="spellStart"/>
      <w:r w:rsidRPr="000F6E16">
        <w:t>Currys</w:t>
      </w:r>
      <w:proofErr w:type="spellEnd"/>
      <w:r w:rsidRPr="000F6E16">
        <w:t>’ competitive advantage in future.</w:t>
      </w:r>
    </w:p>
    <w:p w14:paraId="1992C0C2" w14:textId="77777777" w:rsidR="00737CC2" w:rsidRPr="00913558" w:rsidRDefault="00FD3604" w:rsidP="005D60AB">
      <w:pPr>
        <w:pStyle w:val="Heading1"/>
      </w:pPr>
      <w:bookmarkStart w:id="1" w:name="_Toc234697432"/>
      <w:r w:rsidRPr="00913558">
        <w:t>1. Introduction</w:t>
      </w:r>
      <w:bookmarkEnd w:id="1"/>
    </w:p>
    <w:p w14:paraId="1256905A" w14:textId="68EA1524" w:rsidR="00602D7E" w:rsidRDefault="00602D7E">
      <w:pPr>
        <w:spacing w:after="200"/>
        <w:jc w:val="both"/>
      </w:pPr>
      <w:proofErr w:type="spellStart"/>
      <w:r w:rsidRPr="00602D7E">
        <w:t>Currys</w:t>
      </w:r>
      <w:proofErr w:type="spellEnd"/>
      <w:r w:rsidRPr="00602D7E">
        <w:t xml:space="preserve"> plc is an international omnichannel retailing organization that deals with selling technology products and services via the Internet and in more than 700 outlets spread out in six different countries, employing more than 24,000 employees (</w:t>
      </w:r>
      <w:proofErr w:type="spellStart"/>
      <w:r w:rsidRPr="00602D7E">
        <w:t>Currys</w:t>
      </w:r>
      <w:proofErr w:type="spellEnd"/>
      <w:r w:rsidRPr="00602D7E">
        <w:t xml:space="preserve"> plc, 2025). </w:t>
      </w:r>
      <w:proofErr w:type="spellStart"/>
      <w:r w:rsidRPr="00602D7E">
        <w:t>Currys</w:t>
      </w:r>
      <w:proofErr w:type="spellEnd"/>
      <w:r w:rsidRPr="00602D7E">
        <w:t xml:space="preserve"> is the trading name in the United Kingdom and Ireland; it even runs its own virtual mobile network called </w:t>
      </w:r>
      <w:proofErr w:type="spellStart"/>
      <w:r w:rsidRPr="00602D7E">
        <w:t>iD</w:t>
      </w:r>
      <w:proofErr w:type="spellEnd"/>
      <w:r w:rsidRPr="00602D7E">
        <w:t xml:space="preserve"> Mobile. It prides itself on the vision of "enjoying amazing technology for everyone" and has created a diversified revenue stream with robust supply chain and brand presence (</w:t>
      </w:r>
      <w:proofErr w:type="spellStart"/>
      <w:r w:rsidRPr="00602D7E">
        <w:t>Currys</w:t>
      </w:r>
      <w:proofErr w:type="spellEnd"/>
      <w:r w:rsidRPr="00602D7E">
        <w:t xml:space="preserve"> plc, 2025).</w:t>
      </w:r>
    </w:p>
    <w:p w14:paraId="2E0D18A8" w14:textId="261BF476" w:rsidR="00602D7E" w:rsidRDefault="00602D7E" w:rsidP="00602D7E">
      <w:pPr>
        <w:spacing w:after="200"/>
        <w:jc w:val="both"/>
      </w:pPr>
      <w:r w:rsidRPr="00602D7E">
        <w:t xml:space="preserve">After a spell of financial stability, </w:t>
      </w:r>
      <w:proofErr w:type="spellStart"/>
      <w:r w:rsidRPr="00602D7E">
        <w:t>Currys</w:t>
      </w:r>
      <w:proofErr w:type="spellEnd"/>
      <w:r w:rsidRPr="00602D7E">
        <w:t xml:space="preserve"> is back to profitable growth; profits have seen a sharp increase, along with free cash flows, which have improved substantially in its latest trading period; this means that the company now has the ability to invest in strategic projects for growth (</w:t>
      </w:r>
      <w:proofErr w:type="spellStart"/>
      <w:r w:rsidRPr="00602D7E">
        <w:t>Currys</w:t>
      </w:r>
      <w:proofErr w:type="spellEnd"/>
      <w:r w:rsidRPr="00602D7E">
        <w:t xml:space="preserve"> plc, 2025). The digital offerings have always been a key component of the company’s strategies: millions of repair plans for customers have been provided, </w:t>
      </w:r>
      <w:proofErr w:type="spellStart"/>
      <w:r w:rsidRPr="00602D7E">
        <w:t>Currys</w:t>
      </w:r>
      <w:proofErr w:type="spellEnd"/>
      <w:r w:rsidRPr="00602D7E">
        <w:t xml:space="preserve"> runs one of the biggest technology repair centers in Europe, and the company has spent large sums of money to provide installation, recycling, and credit services so as to forge closer relations with its clients beyond a single purchase. </w:t>
      </w:r>
      <w:proofErr w:type="spellStart"/>
      <w:r w:rsidRPr="00602D7E">
        <w:t>ConnectPlus</w:t>
      </w:r>
      <w:proofErr w:type="spellEnd"/>
      <w:r w:rsidRPr="00602D7E">
        <w:t xml:space="preserve">, which is an artificial intelligence powered </w:t>
      </w:r>
      <w:r w:rsidR="00485D56" w:rsidRPr="00602D7E">
        <w:t>loyalty</w:t>
      </w:r>
      <w:r w:rsidRPr="00602D7E">
        <w:t xml:space="preserve"> and engagement program, follows this line of thought, combining personalized suggestions, mobile rewards, and customer insights through data analysis.</w:t>
      </w:r>
      <w:r>
        <w:t xml:space="preserve"> </w:t>
      </w:r>
      <w:r w:rsidRPr="00602D7E">
        <w:t xml:space="preserve">But an application with such a scope and technicality cannot be created by </w:t>
      </w:r>
    </w:p>
    <w:p w14:paraId="53C911E3" w14:textId="77777777" w:rsidR="00602D7E" w:rsidRDefault="00602D7E" w:rsidP="00602D7E">
      <w:pPr>
        <w:spacing w:after="200"/>
        <w:jc w:val="both"/>
      </w:pPr>
    </w:p>
    <w:p w14:paraId="3C622F4B" w14:textId="12E07081" w:rsidR="00C950EC" w:rsidRDefault="00602D7E" w:rsidP="00602D7E">
      <w:pPr>
        <w:spacing w:after="200"/>
        <w:jc w:val="both"/>
      </w:pPr>
      <w:r w:rsidRPr="00602D7E">
        <w:t xml:space="preserve">the single function alone. For the successful implementation of the platform, the collaboration of internal and external parties becomes essential. The internal parties include teams from various areas of expertise – technology, marketing, HR, and operations; the external parties include cloud and AI providers, regulators, shareholders, the local market parties, and, above all, the end users of the application who will provide their data and trust on which the platform would rely. My role as a </w:t>
      </w:r>
      <w:r w:rsidR="004D3918" w:rsidRPr="00602D7E">
        <w:t xml:space="preserve">project manager </w:t>
      </w:r>
      <w:r w:rsidR="00485D56">
        <w:t xml:space="preserve">to </w:t>
      </w:r>
      <w:r w:rsidRPr="00602D7E">
        <w:t xml:space="preserve">ensuring systematic identification, analysis, and collaboration of such stakeholders </w:t>
      </w:r>
      <w:r w:rsidR="004D3918" w:rsidRPr="00602D7E">
        <w:t>throughout</w:t>
      </w:r>
      <w:r w:rsidRPr="00602D7E">
        <w:t xml:space="preserve"> the life cycle of the project in a way that is sensitive to the context of each market served by </w:t>
      </w:r>
      <w:proofErr w:type="spellStart"/>
      <w:r w:rsidRPr="00602D7E">
        <w:t>Currys</w:t>
      </w:r>
      <w:proofErr w:type="spellEnd"/>
      <w:r w:rsidRPr="00602D7E">
        <w:t>.</w:t>
      </w:r>
    </w:p>
    <w:p w14:paraId="73FB7706" w14:textId="77777777" w:rsidR="00737CC2" w:rsidRPr="00DD0729" w:rsidRDefault="00FD3604" w:rsidP="005D60AB">
      <w:pPr>
        <w:pStyle w:val="Heading1"/>
      </w:pPr>
      <w:bookmarkStart w:id="2" w:name="_Toc234697433"/>
      <w:r>
        <w:t xml:space="preserve">2. </w:t>
      </w:r>
      <w:r w:rsidRPr="00DD0729">
        <w:t>SMART Objectives</w:t>
      </w:r>
      <w:bookmarkEnd w:id="2"/>
    </w:p>
    <w:p w14:paraId="720584AC" w14:textId="63A5AD5D" w:rsidR="00155321" w:rsidRDefault="00155321" w:rsidP="00155321">
      <w:pPr>
        <w:pStyle w:val="ListParagraph"/>
        <w:numPr>
          <w:ilvl w:val="0"/>
          <w:numId w:val="1"/>
        </w:numPr>
        <w:spacing w:after="100"/>
        <w:jc w:val="both"/>
      </w:pPr>
      <w:r w:rsidRPr="00485D56">
        <w:rPr>
          <w:b/>
          <w:bCs/>
          <w:highlight w:val="lightGray"/>
        </w:rPr>
        <w:t>Specific</w:t>
      </w:r>
      <w:r w:rsidRPr="00485D56">
        <w:rPr>
          <w:highlight w:val="lightGray"/>
        </w:rPr>
        <w:t>:</w:t>
      </w:r>
      <w:r>
        <w:t xml:space="preserve"> </w:t>
      </w:r>
      <w:r w:rsidRPr="00155321">
        <w:t xml:space="preserve">Stakeholder identification, mapping and engagement of all internal and external stakeholders associated with the development, implementation and international launch of </w:t>
      </w:r>
      <w:proofErr w:type="spellStart"/>
      <w:r w:rsidRPr="00155321">
        <w:t>ConnectPlus</w:t>
      </w:r>
      <w:proofErr w:type="spellEnd"/>
      <w:r w:rsidRPr="00155321">
        <w:t>.</w:t>
      </w:r>
    </w:p>
    <w:p w14:paraId="7990AF16" w14:textId="77777777" w:rsidR="00155321" w:rsidRDefault="00155321" w:rsidP="00661050">
      <w:pPr>
        <w:pStyle w:val="ListParagraph"/>
        <w:numPr>
          <w:ilvl w:val="0"/>
          <w:numId w:val="1"/>
        </w:numPr>
        <w:spacing w:after="100"/>
        <w:jc w:val="both"/>
      </w:pPr>
      <w:r w:rsidRPr="00485D56">
        <w:rPr>
          <w:b/>
          <w:bCs/>
          <w:highlight w:val="lightGray"/>
        </w:rPr>
        <w:t>Measurable:</w:t>
      </w:r>
      <w:r>
        <w:t xml:space="preserve"> </w:t>
      </w:r>
      <w:r w:rsidRPr="00155321">
        <w:t>Ensure that a minimum of 90% stakeholder participation is achieved for all engagement sessions (workshops, briefings, consultation) and customer adoption is 40% within three months from the launch date.</w:t>
      </w:r>
    </w:p>
    <w:p w14:paraId="4DE86994" w14:textId="4663BC91" w:rsidR="00155321" w:rsidRDefault="00155321" w:rsidP="00661050">
      <w:pPr>
        <w:pStyle w:val="ListParagraph"/>
        <w:numPr>
          <w:ilvl w:val="0"/>
          <w:numId w:val="1"/>
        </w:numPr>
        <w:spacing w:after="100"/>
        <w:jc w:val="both"/>
      </w:pPr>
      <w:r w:rsidRPr="006B22C6">
        <w:rPr>
          <w:b/>
          <w:bCs/>
          <w:highlight w:val="lightGray"/>
        </w:rPr>
        <w:t>Achievable:</w:t>
      </w:r>
      <w:r>
        <w:t xml:space="preserve"> </w:t>
      </w:r>
      <w:r w:rsidRPr="00155321">
        <w:t xml:space="preserve">Utilize an engaging strategy which is geared towards existing structures such as the Board ESG </w:t>
      </w:r>
      <w:r w:rsidR="006B22C6">
        <w:t xml:space="preserve">(Environmental, Social, and Governance) </w:t>
      </w:r>
      <w:r w:rsidRPr="00155321">
        <w:t>and Group Sustainability Leadership Team.</w:t>
      </w:r>
    </w:p>
    <w:p w14:paraId="49BB24F6" w14:textId="77777777" w:rsidR="002D726B" w:rsidRDefault="00155321" w:rsidP="00B82302">
      <w:pPr>
        <w:pStyle w:val="ListParagraph"/>
        <w:numPr>
          <w:ilvl w:val="0"/>
          <w:numId w:val="1"/>
        </w:numPr>
        <w:spacing w:after="100"/>
        <w:jc w:val="both"/>
      </w:pPr>
      <w:r w:rsidRPr="006B22C6">
        <w:rPr>
          <w:b/>
          <w:bCs/>
          <w:highlight w:val="lightGray"/>
        </w:rPr>
        <w:t>Relevant:</w:t>
      </w:r>
      <w:r>
        <w:t xml:space="preserve"> </w:t>
      </w:r>
      <w:r w:rsidR="002D726B" w:rsidRPr="002D726B">
        <w:t xml:space="preserve">Satisfy </w:t>
      </w:r>
      <w:proofErr w:type="spellStart"/>
      <w:r w:rsidR="002D726B" w:rsidRPr="002D726B">
        <w:t>Currys</w:t>
      </w:r>
      <w:proofErr w:type="spellEnd"/>
      <w:r w:rsidR="002D726B" w:rsidRPr="002D726B">
        <w:t xml:space="preserve"> strategic pillars of customer satisfaction, revenue generation and cost savings via a credible and widely adopted loyalty program.</w:t>
      </w:r>
    </w:p>
    <w:p w14:paraId="786C0F97" w14:textId="1D9EEC70" w:rsidR="00737CC2" w:rsidRDefault="00155321" w:rsidP="00B82302">
      <w:pPr>
        <w:pStyle w:val="ListParagraph"/>
        <w:numPr>
          <w:ilvl w:val="0"/>
          <w:numId w:val="1"/>
        </w:numPr>
        <w:spacing w:after="100"/>
        <w:jc w:val="both"/>
      </w:pPr>
      <w:r w:rsidRPr="006B22C6">
        <w:rPr>
          <w:b/>
          <w:bCs/>
          <w:highlight w:val="lightGray"/>
        </w:rPr>
        <w:t>Time-bound:</w:t>
      </w:r>
      <w:r>
        <w:t xml:space="preserve"> </w:t>
      </w:r>
      <w:r w:rsidR="002D726B" w:rsidRPr="002D726B">
        <w:t>Completion of stakeholder mapping and engagement plan within one month and full multi-market roll-out within the six-month period</w:t>
      </w:r>
      <w:r w:rsidR="00FD3604">
        <w:t>.</w:t>
      </w:r>
    </w:p>
    <w:p w14:paraId="649F096B" w14:textId="77777777" w:rsidR="00737CC2" w:rsidRPr="00DD0729" w:rsidRDefault="00FD3604" w:rsidP="005D60AB">
      <w:pPr>
        <w:pStyle w:val="Heading1"/>
      </w:pPr>
      <w:bookmarkStart w:id="3" w:name="_Toc234697434"/>
      <w:r w:rsidRPr="00DD0729">
        <w:t xml:space="preserve">3. Identification and </w:t>
      </w:r>
      <w:r w:rsidR="00885721" w:rsidRPr="00DD0729">
        <w:t>Categorization</w:t>
      </w:r>
      <w:r w:rsidRPr="00DD0729">
        <w:t xml:space="preserve"> of Key Stakeholders</w:t>
      </w:r>
      <w:bookmarkEnd w:id="3"/>
    </w:p>
    <w:p w14:paraId="4439278F" w14:textId="54BD6654" w:rsidR="00737CC2" w:rsidRDefault="009B238F">
      <w:pPr>
        <w:spacing w:after="200"/>
        <w:jc w:val="both"/>
      </w:pPr>
      <w:r w:rsidRPr="009B238F">
        <w:t xml:space="preserve">The first step towards effective stakeholder management consists of a </w:t>
      </w:r>
      <w:r w:rsidR="003D459A">
        <w:t>meticulous</w:t>
      </w:r>
      <w:r w:rsidRPr="009B238F">
        <w:t xml:space="preserve"> process of stakeholder identification and classification. The seminal definition offered by Freeman (1984) of the stakeholder as "any group or individual who can affect or is affected by the achievement of an </w:t>
      </w:r>
      <w:proofErr w:type="spellStart"/>
      <w:r w:rsidRPr="009B238F">
        <w:t>organisation's</w:t>
      </w:r>
      <w:proofErr w:type="spellEnd"/>
      <w:r w:rsidRPr="009B238F">
        <w:t xml:space="preserve"> objectives" still serves as the guiding principle behind this approach, and it is intentionally broadened to take into account not only shareholders but all other groups that require engagement in order for </w:t>
      </w:r>
      <w:proofErr w:type="spellStart"/>
      <w:r w:rsidRPr="009B238F">
        <w:t>ConnectPlus</w:t>
      </w:r>
      <w:proofErr w:type="spellEnd"/>
      <w:r w:rsidRPr="009B238F">
        <w:t xml:space="preserve"> to succeed. Given the nature of the proposed project, the list of stakeholders is very diverse, spanning both internal and external entities.</w:t>
      </w:r>
    </w:p>
    <w:p w14:paraId="0EFAA6FF" w14:textId="40E5356A" w:rsidR="009B238F" w:rsidRDefault="009B238F">
      <w:pPr>
        <w:spacing w:after="200"/>
        <w:jc w:val="both"/>
      </w:pPr>
    </w:p>
    <w:p w14:paraId="343F06DD" w14:textId="308C8017" w:rsidR="009B238F" w:rsidRDefault="009B238F">
      <w:pPr>
        <w:spacing w:after="200"/>
        <w:jc w:val="both"/>
      </w:pPr>
    </w:p>
    <w:p w14:paraId="191ACB39" w14:textId="77777777" w:rsidR="009B238F" w:rsidRDefault="009B238F">
      <w:pPr>
        <w:spacing w:after="200"/>
        <w:jc w:val="both"/>
      </w:pPr>
    </w:p>
    <w:p w14:paraId="5FAF830C" w14:textId="7A4EF1DD" w:rsidR="00737CC2" w:rsidRPr="00EB0030" w:rsidRDefault="00FD3604" w:rsidP="005D60AB">
      <w:pPr>
        <w:pStyle w:val="Heading2"/>
      </w:pPr>
      <w:bookmarkStart w:id="4" w:name="_Toc234697435"/>
      <w:r w:rsidRPr="00EB0030">
        <w:rPr>
          <w:color w:val="4472C4" w:themeColor="accent1"/>
        </w:rPr>
        <w:t xml:space="preserve">3.1 </w:t>
      </w:r>
      <w:r w:rsidRPr="00EB0030">
        <w:t>Two complementary frameworks</w:t>
      </w:r>
      <w:bookmarkEnd w:id="4"/>
    </w:p>
    <w:p w14:paraId="6B4344FD" w14:textId="62393C77" w:rsidR="00737CC2" w:rsidRDefault="009B238F" w:rsidP="009B238F">
      <w:pPr>
        <w:spacing w:after="200"/>
        <w:jc w:val="both"/>
      </w:pPr>
      <w:r w:rsidRPr="009B238F">
        <w:t xml:space="preserve">Two models have been applied in conjunction in this case study. Firstly, a simple internal/external </w:t>
      </w:r>
      <w:r w:rsidR="00786DB4">
        <w:t>split</w:t>
      </w:r>
      <w:r w:rsidRPr="009B238F">
        <w:t xml:space="preserve"> is used to segregate those who are inside the </w:t>
      </w:r>
      <w:r w:rsidR="00705FA7" w:rsidRPr="009B238F">
        <w:t>organizational</w:t>
      </w:r>
      <w:r w:rsidRPr="009B238F">
        <w:t xml:space="preserve"> boundary of </w:t>
      </w:r>
      <w:proofErr w:type="spellStart"/>
      <w:r w:rsidRPr="009B238F">
        <w:t>Currys</w:t>
      </w:r>
      <w:proofErr w:type="spellEnd"/>
      <w:r w:rsidRPr="009B238F">
        <w:t xml:space="preserve"> and fall under the direct influence of management versus those who are outside the </w:t>
      </w:r>
      <w:r w:rsidR="00705FA7" w:rsidRPr="009B238F">
        <w:t>organizational</w:t>
      </w:r>
      <w:r w:rsidRPr="009B238F">
        <w:t xml:space="preserve"> boundary and need to be persuaded and negotiated with. Secondly, the power-interest matrix model of </w:t>
      </w:r>
      <w:proofErr w:type="spellStart"/>
      <w:r w:rsidRPr="009B238F">
        <w:t>Mendelow</w:t>
      </w:r>
      <w:proofErr w:type="spellEnd"/>
      <w:r w:rsidRPr="009B238F">
        <w:t xml:space="preserve"> (1991) has been used to classify the priority of each stakeholder in terms of their power and interest in affecting the project. Based on these criteria, there are four different approaches to deal with them, which include manage closely (high power, high interest), keep satisfied (high power, low interest), keep informed (low power, high interest) and monitor (low power, low interest). In cases where a combination of </w:t>
      </w:r>
      <w:r w:rsidR="00786DB4" w:rsidRPr="009B238F">
        <w:t>validity</w:t>
      </w:r>
      <w:r w:rsidRPr="009B238F">
        <w:t xml:space="preserve">, power and interest is involved in a more dynamic manner, Mitchell et al. (1997) offer a salience approach whereby a stakeholder that is generally inactive but turns “definitive” due to some reasons can be effectively </w:t>
      </w:r>
      <w:r w:rsidR="00786DB4" w:rsidRPr="009B238F">
        <w:t>recognized.</w:t>
      </w:r>
    </w:p>
    <w:p w14:paraId="0EBA91C1" w14:textId="77777777" w:rsidR="00737CC2" w:rsidRPr="00EB0030" w:rsidRDefault="00FD3604" w:rsidP="005D60AB">
      <w:pPr>
        <w:pStyle w:val="Heading2"/>
      </w:pPr>
      <w:bookmarkStart w:id="5" w:name="_Toc234697436"/>
      <w:r>
        <w:t xml:space="preserve">3.2 </w:t>
      </w:r>
      <w:r w:rsidRPr="00EB0030">
        <w:t>Internal stakeholders</w:t>
      </w:r>
      <w:bookmarkEnd w:id="5"/>
    </w:p>
    <w:p w14:paraId="267645B3" w14:textId="70D710A7" w:rsidR="00737CC2" w:rsidRDefault="00705FA7">
      <w:pPr>
        <w:spacing w:after="200"/>
        <w:jc w:val="both"/>
      </w:pPr>
      <w:r w:rsidRPr="00705FA7">
        <w:t xml:space="preserve">Internally, the Board of Directors and CEO bear ultimate responsibility for strategic risk and capital allocation and have to endorse the business case of </w:t>
      </w:r>
      <w:proofErr w:type="spellStart"/>
      <w:r w:rsidRPr="00705FA7">
        <w:t>ConnectPlus</w:t>
      </w:r>
      <w:proofErr w:type="spellEnd"/>
      <w:r w:rsidRPr="00705FA7">
        <w:t>, which includes an assessment of primary risks such as data security and digital transformation (</w:t>
      </w:r>
      <w:proofErr w:type="spellStart"/>
      <w:r w:rsidRPr="00705FA7">
        <w:t>Currys</w:t>
      </w:r>
      <w:proofErr w:type="spellEnd"/>
      <w:r w:rsidRPr="00705FA7">
        <w:t xml:space="preserve"> plc, 2025). The IT and Digital &amp; Data department plays an integral part in developing the AI recommendation engine and its integration into the company’s existing point-of-sales, CRM, and inventory systems, and thus is endowed with both high technical power and high interest in successful implementation of the innovation. The Marketing and CRM function determines how the loyalty offering is marketed and communicated to customers, and HR &amp; Learning &amp; Development is in charge of preparing 24,000 colleagues for implementing the new program, whose level of engagement with the innovation is rigorously measured by the Viva-Glint survey conducted by </w:t>
      </w:r>
      <w:proofErr w:type="spellStart"/>
      <w:r w:rsidRPr="00705FA7">
        <w:t>Currys</w:t>
      </w:r>
      <w:proofErr w:type="spellEnd"/>
      <w:r w:rsidRPr="00705FA7">
        <w:t>,</w:t>
      </w:r>
      <w:r>
        <w:t xml:space="preserve"> </w:t>
      </w:r>
      <w:r w:rsidRPr="00705FA7">
        <w:t xml:space="preserve">for a change in the customer-oriented procedures. The store personnel are an important but overlooked internal stakeholder group, whose authority over the project is nominal but whose interest in it is quite significant because they are the people who will have to explain </w:t>
      </w:r>
      <w:proofErr w:type="spellStart"/>
      <w:r w:rsidRPr="00705FA7">
        <w:t>ConnectPlus</w:t>
      </w:r>
      <w:proofErr w:type="spellEnd"/>
      <w:r w:rsidRPr="00705FA7">
        <w:t xml:space="preserve"> to customers.</w:t>
      </w:r>
    </w:p>
    <w:p w14:paraId="225C9A6D" w14:textId="77777777" w:rsidR="00737CC2" w:rsidRPr="00EB0030" w:rsidRDefault="00FD3604" w:rsidP="005D60AB">
      <w:pPr>
        <w:pStyle w:val="Heading2"/>
      </w:pPr>
      <w:bookmarkStart w:id="6" w:name="_Toc234697437"/>
      <w:r>
        <w:t xml:space="preserve">3.3 </w:t>
      </w:r>
      <w:r w:rsidRPr="00EB0030">
        <w:t>External stakeholders</w:t>
      </w:r>
      <w:bookmarkEnd w:id="6"/>
    </w:p>
    <w:p w14:paraId="36642A16" w14:textId="77777777" w:rsidR="006704F9" w:rsidRDefault="00E77519">
      <w:pPr>
        <w:spacing w:after="200"/>
        <w:jc w:val="both"/>
      </w:pPr>
      <w:r w:rsidRPr="00E77519">
        <w:t xml:space="preserve">On the external front, the customer community constitutes the most significant stakeholder community because the entire value delivery process hinges upon the willingness of customers to provide their data and get personalized recommendations from the platform; the interest level of customers is very high despite low levels of power. The technology/Cloud/AI vendors constitute both high-interest and high-power stakeholders since the terms of the service-level agreement (SLA) with these stakeholders determine the level of reliability of the platform. Regulators like the UK Information Commissioner’s Office and similar data privacy agencies in Ireland have high power over </w:t>
      </w:r>
    </w:p>
    <w:p w14:paraId="4FF62D2B" w14:textId="77777777" w:rsidR="006704F9" w:rsidRDefault="006704F9">
      <w:pPr>
        <w:spacing w:after="200"/>
        <w:jc w:val="both"/>
      </w:pPr>
    </w:p>
    <w:p w14:paraId="559D1C7E" w14:textId="3BAF5254" w:rsidR="00737CC2" w:rsidRDefault="00E77519">
      <w:pPr>
        <w:spacing w:after="200"/>
        <w:jc w:val="both"/>
      </w:pPr>
      <w:r w:rsidRPr="00E77519">
        <w:t xml:space="preserve">whether AI-powered personalization and international transfer of data are legal, though their interest is only going to come into play once any issue of compliance occurs, thus underscoring the relevance of the salience model as well as the power/interest model. The shareholders and investors have a stake in the return on investment for </w:t>
      </w:r>
      <w:proofErr w:type="spellStart"/>
      <w:r w:rsidRPr="00E77519">
        <w:t>ConnectPlus</w:t>
      </w:r>
      <w:proofErr w:type="spellEnd"/>
      <w:r w:rsidRPr="00E77519">
        <w:t xml:space="preserve"> because of the focus of </w:t>
      </w:r>
      <w:proofErr w:type="spellStart"/>
      <w:r w:rsidRPr="00E77519">
        <w:t>Currys</w:t>
      </w:r>
      <w:proofErr w:type="spellEnd"/>
      <w:r w:rsidRPr="00E77519">
        <w:t xml:space="preserve"> on its </w:t>
      </w:r>
      <w:bookmarkStart w:id="7" w:name="_Hlk235221169"/>
      <w:r w:rsidRPr="00E77519">
        <w:t>EBIT margin</w:t>
      </w:r>
      <w:bookmarkEnd w:id="7"/>
      <w:r w:rsidRPr="00E77519">
        <w:t xml:space="preserve"> and its generation of free cash flow (</w:t>
      </w:r>
      <w:proofErr w:type="spellStart"/>
      <w:r w:rsidRPr="00E77519">
        <w:t>Currys</w:t>
      </w:r>
      <w:proofErr w:type="spellEnd"/>
      <w:r w:rsidRPr="00E77519">
        <w:t xml:space="preserve"> plc, 2025). The local market partners, especially the franchises of </w:t>
      </w:r>
      <w:proofErr w:type="spellStart"/>
      <w:r w:rsidRPr="00E77519">
        <w:t>Currys</w:t>
      </w:r>
      <w:proofErr w:type="spellEnd"/>
      <w:r w:rsidRPr="00E77519">
        <w:t xml:space="preserve"> in the Nordics, will have to juggle between global brand integrity and local market understanding. Lastly, NGOs and community groups that are associated with </w:t>
      </w:r>
      <w:proofErr w:type="spellStart"/>
      <w:r w:rsidRPr="00E77519">
        <w:t>Currys</w:t>
      </w:r>
      <w:proofErr w:type="spellEnd"/>
      <w:r w:rsidRPr="00E77519">
        <w:t>' commitment to digital inclusion and circular economy, in addition to media and competing firms, are lower power but highly reputed stakeholders</w:t>
      </w:r>
      <w:r w:rsidR="00FD3604">
        <w:t>.</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92"/>
        <w:gridCol w:w="1483"/>
        <w:gridCol w:w="1619"/>
        <w:gridCol w:w="4506"/>
      </w:tblGrid>
      <w:tr w:rsidR="00737CC2" w14:paraId="0424E9DF" w14:textId="77777777">
        <w:tc>
          <w:tcPr>
            <w:tcW w:w="1900" w:type="dxa"/>
            <w:shd w:val="clear" w:color="auto" w:fill="1F3864"/>
            <w:tcMar>
              <w:top w:w="100" w:type="dxa"/>
              <w:left w:w="120" w:type="dxa"/>
              <w:bottom w:w="100" w:type="dxa"/>
              <w:right w:w="120" w:type="dxa"/>
            </w:tcMar>
          </w:tcPr>
          <w:p w14:paraId="075ADFE6" w14:textId="77777777" w:rsidR="00737CC2" w:rsidRDefault="00FD3604">
            <w:pPr>
              <w:spacing w:line="264" w:lineRule="auto"/>
            </w:pPr>
            <w:r>
              <w:rPr>
                <w:b/>
                <w:bCs/>
                <w:color w:val="FFFFFF"/>
                <w:sz w:val="20"/>
                <w:szCs w:val="20"/>
              </w:rPr>
              <w:t>Stakeholder</w:t>
            </w:r>
          </w:p>
        </w:tc>
        <w:tc>
          <w:tcPr>
            <w:tcW w:w="1500" w:type="dxa"/>
            <w:shd w:val="clear" w:color="auto" w:fill="1F3864"/>
            <w:tcMar>
              <w:top w:w="100" w:type="dxa"/>
              <w:left w:w="120" w:type="dxa"/>
              <w:bottom w:w="100" w:type="dxa"/>
              <w:right w:w="120" w:type="dxa"/>
            </w:tcMar>
          </w:tcPr>
          <w:p w14:paraId="444C3107" w14:textId="77777777" w:rsidR="00737CC2" w:rsidRDefault="00FD3604">
            <w:pPr>
              <w:spacing w:line="264" w:lineRule="auto"/>
            </w:pPr>
            <w:r>
              <w:rPr>
                <w:b/>
                <w:bCs/>
                <w:color w:val="FFFFFF"/>
                <w:sz w:val="20"/>
                <w:szCs w:val="20"/>
              </w:rPr>
              <w:t>Type</w:t>
            </w:r>
          </w:p>
        </w:tc>
        <w:tc>
          <w:tcPr>
            <w:tcW w:w="1500" w:type="dxa"/>
            <w:shd w:val="clear" w:color="auto" w:fill="1F3864"/>
            <w:tcMar>
              <w:top w:w="100" w:type="dxa"/>
              <w:left w:w="120" w:type="dxa"/>
              <w:bottom w:w="100" w:type="dxa"/>
              <w:right w:w="120" w:type="dxa"/>
            </w:tcMar>
          </w:tcPr>
          <w:p w14:paraId="3A01B568" w14:textId="77777777" w:rsidR="00737CC2" w:rsidRDefault="00FD3604">
            <w:pPr>
              <w:spacing w:line="264" w:lineRule="auto"/>
            </w:pPr>
            <w:r>
              <w:rPr>
                <w:b/>
                <w:bCs/>
                <w:color w:val="FFFFFF"/>
                <w:sz w:val="20"/>
                <w:szCs w:val="20"/>
              </w:rPr>
              <w:t>Power/Interest Quadrant</w:t>
            </w:r>
          </w:p>
        </w:tc>
        <w:tc>
          <w:tcPr>
            <w:tcW w:w="4600" w:type="dxa"/>
            <w:shd w:val="clear" w:color="auto" w:fill="1F3864"/>
            <w:tcMar>
              <w:top w:w="100" w:type="dxa"/>
              <w:left w:w="120" w:type="dxa"/>
              <w:bottom w:w="100" w:type="dxa"/>
              <w:right w:w="120" w:type="dxa"/>
            </w:tcMar>
          </w:tcPr>
          <w:p w14:paraId="6E9924C7" w14:textId="77777777" w:rsidR="00737CC2" w:rsidRDefault="00FD3604">
            <w:pPr>
              <w:spacing w:line="264" w:lineRule="auto"/>
            </w:pPr>
            <w:r>
              <w:rPr>
                <w:b/>
                <w:bCs/>
                <w:color w:val="FFFFFF"/>
                <w:sz w:val="20"/>
                <w:szCs w:val="20"/>
              </w:rPr>
              <w:t xml:space="preserve">Primary Concern in </w:t>
            </w:r>
            <w:proofErr w:type="spellStart"/>
            <w:r>
              <w:rPr>
                <w:b/>
                <w:bCs/>
                <w:color w:val="FFFFFF"/>
                <w:sz w:val="20"/>
                <w:szCs w:val="20"/>
              </w:rPr>
              <w:t>ConnectPlus</w:t>
            </w:r>
            <w:proofErr w:type="spellEnd"/>
            <w:r>
              <w:rPr>
                <w:b/>
                <w:bCs/>
                <w:color w:val="FFFFFF"/>
                <w:sz w:val="20"/>
                <w:szCs w:val="20"/>
              </w:rPr>
              <w:t xml:space="preserve"> Launch</w:t>
            </w:r>
          </w:p>
        </w:tc>
      </w:tr>
      <w:tr w:rsidR="00737CC2" w14:paraId="70165F5E" w14:textId="77777777">
        <w:tc>
          <w:tcPr>
            <w:tcW w:w="1900" w:type="dxa"/>
            <w:tcMar>
              <w:top w:w="100" w:type="dxa"/>
              <w:left w:w="120" w:type="dxa"/>
              <w:bottom w:w="100" w:type="dxa"/>
              <w:right w:w="120" w:type="dxa"/>
            </w:tcMar>
          </w:tcPr>
          <w:p w14:paraId="172CC1FE" w14:textId="77777777" w:rsidR="00737CC2" w:rsidRDefault="00FD3604">
            <w:pPr>
              <w:spacing w:line="264" w:lineRule="auto"/>
            </w:pPr>
            <w:r>
              <w:rPr>
                <w:color w:val="000000"/>
                <w:sz w:val="20"/>
                <w:szCs w:val="20"/>
              </w:rPr>
              <w:t>Board of Directors / CEO</w:t>
            </w:r>
          </w:p>
        </w:tc>
        <w:tc>
          <w:tcPr>
            <w:tcW w:w="1500" w:type="dxa"/>
            <w:tcMar>
              <w:top w:w="100" w:type="dxa"/>
              <w:left w:w="120" w:type="dxa"/>
              <w:bottom w:w="100" w:type="dxa"/>
              <w:right w:w="120" w:type="dxa"/>
            </w:tcMar>
          </w:tcPr>
          <w:p w14:paraId="2B1AE6AC" w14:textId="77777777" w:rsidR="00737CC2" w:rsidRDefault="00FD3604">
            <w:pPr>
              <w:spacing w:line="264" w:lineRule="auto"/>
            </w:pPr>
            <w:r>
              <w:rPr>
                <w:color w:val="000000"/>
                <w:sz w:val="20"/>
                <w:szCs w:val="20"/>
              </w:rPr>
              <w:t>Internal</w:t>
            </w:r>
          </w:p>
        </w:tc>
        <w:tc>
          <w:tcPr>
            <w:tcW w:w="1500" w:type="dxa"/>
            <w:tcMar>
              <w:top w:w="100" w:type="dxa"/>
              <w:left w:w="120" w:type="dxa"/>
              <w:bottom w:w="100" w:type="dxa"/>
              <w:right w:w="120" w:type="dxa"/>
            </w:tcMar>
          </w:tcPr>
          <w:p w14:paraId="42100D35" w14:textId="77777777" w:rsidR="00737CC2" w:rsidRDefault="00FD3604">
            <w:pPr>
              <w:spacing w:line="264" w:lineRule="auto"/>
            </w:pPr>
            <w:r>
              <w:rPr>
                <w:color w:val="000000"/>
                <w:sz w:val="20"/>
                <w:szCs w:val="20"/>
              </w:rPr>
              <w:t>High power, high interest — Manage Closely</w:t>
            </w:r>
          </w:p>
        </w:tc>
        <w:tc>
          <w:tcPr>
            <w:tcW w:w="4600" w:type="dxa"/>
            <w:tcMar>
              <w:top w:w="100" w:type="dxa"/>
              <w:left w:w="120" w:type="dxa"/>
              <w:bottom w:w="100" w:type="dxa"/>
              <w:right w:w="120" w:type="dxa"/>
            </w:tcMar>
          </w:tcPr>
          <w:p w14:paraId="7CD770FC" w14:textId="77777777" w:rsidR="00737CC2" w:rsidRDefault="00FD3604">
            <w:pPr>
              <w:spacing w:line="264" w:lineRule="auto"/>
            </w:pPr>
            <w:r>
              <w:rPr>
                <w:color w:val="000000"/>
                <w:sz w:val="20"/>
                <w:szCs w:val="20"/>
              </w:rPr>
              <w:t xml:space="preserve">Strategic ROI, brand risk, alignment with </w:t>
            </w:r>
            <w:proofErr w:type="spellStart"/>
            <w:r>
              <w:rPr>
                <w:color w:val="000000"/>
                <w:sz w:val="20"/>
                <w:szCs w:val="20"/>
              </w:rPr>
              <w:t>Currys</w:t>
            </w:r>
            <w:proofErr w:type="spellEnd"/>
            <w:r>
              <w:rPr>
                <w:color w:val="000000"/>
                <w:sz w:val="20"/>
                <w:szCs w:val="20"/>
              </w:rPr>
              <w:t>' omnichannel and shareholder-value strategy.</w:t>
            </w:r>
          </w:p>
        </w:tc>
      </w:tr>
      <w:tr w:rsidR="00737CC2" w14:paraId="28EC2EC7" w14:textId="77777777">
        <w:tc>
          <w:tcPr>
            <w:tcW w:w="1900" w:type="dxa"/>
            <w:shd w:val="clear" w:color="auto" w:fill="F2F2F2"/>
            <w:tcMar>
              <w:top w:w="100" w:type="dxa"/>
              <w:left w:w="120" w:type="dxa"/>
              <w:bottom w:w="100" w:type="dxa"/>
              <w:right w:w="120" w:type="dxa"/>
            </w:tcMar>
          </w:tcPr>
          <w:p w14:paraId="255581AD" w14:textId="77777777" w:rsidR="00737CC2" w:rsidRDefault="00FD3604">
            <w:pPr>
              <w:spacing w:line="264" w:lineRule="auto"/>
            </w:pPr>
            <w:r>
              <w:rPr>
                <w:color w:val="000000"/>
                <w:sz w:val="20"/>
                <w:szCs w:val="20"/>
              </w:rPr>
              <w:t>IT / Digital &amp; Data Team</w:t>
            </w:r>
          </w:p>
        </w:tc>
        <w:tc>
          <w:tcPr>
            <w:tcW w:w="1500" w:type="dxa"/>
            <w:shd w:val="clear" w:color="auto" w:fill="F2F2F2"/>
            <w:tcMar>
              <w:top w:w="100" w:type="dxa"/>
              <w:left w:w="120" w:type="dxa"/>
              <w:bottom w:w="100" w:type="dxa"/>
              <w:right w:w="120" w:type="dxa"/>
            </w:tcMar>
          </w:tcPr>
          <w:p w14:paraId="5C5C8C4F" w14:textId="77777777" w:rsidR="00737CC2" w:rsidRDefault="00FD3604">
            <w:pPr>
              <w:spacing w:line="264" w:lineRule="auto"/>
            </w:pPr>
            <w:r>
              <w:rPr>
                <w:color w:val="000000"/>
                <w:sz w:val="20"/>
                <w:szCs w:val="20"/>
              </w:rPr>
              <w:t>Internal</w:t>
            </w:r>
          </w:p>
        </w:tc>
        <w:tc>
          <w:tcPr>
            <w:tcW w:w="1500" w:type="dxa"/>
            <w:shd w:val="clear" w:color="auto" w:fill="F2F2F2"/>
            <w:tcMar>
              <w:top w:w="100" w:type="dxa"/>
              <w:left w:w="120" w:type="dxa"/>
              <w:bottom w:w="100" w:type="dxa"/>
              <w:right w:w="120" w:type="dxa"/>
            </w:tcMar>
          </w:tcPr>
          <w:p w14:paraId="657F90F5" w14:textId="77777777" w:rsidR="00737CC2" w:rsidRDefault="00FD3604">
            <w:pPr>
              <w:spacing w:line="264" w:lineRule="auto"/>
            </w:pPr>
            <w:r>
              <w:rPr>
                <w:color w:val="000000"/>
                <w:sz w:val="20"/>
                <w:szCs w:val="20"/>
              </w:rPr>
              <w:t>High power, high interest — Manage Closely</w:t>
            </w:r>
          </w:p>
        </w:tc>
        <w:tc>
          <w:tcPr>
            <w:tcW w:w="4600" w:type="dxa"/>
            <w:shd w:val="clear" w:color="auto" w:fill="F2F2F2"/>
            <w:tcMar>
              <w:top w:w="100" w:type="dxa"/>
              <w:left w:w="120" w:type="dxa"/>
              <w:bottom w:w="100" w:type="dxa"/>
              <w:right w:w="120" w:type="dxa"/>
            </w:tcMar>
          </w:tcPr>
          <w:p w14:paraId="69E8F42C" w14:textId="77777777" w:rsidR="00737CC2" w:rsidRDefault="00FD3604">
            <w:pPr>
              <w:spacing w:line="264" w:lineRule="auto"/>
            </w:pPr>
            <w:r>
              <w:rPr>
                <w:color w:val="000000"/>
                <w:sz w:val="20"/>
                <w:szCs w:val="20"/>
              </w:rPr>
              <w:t>Platform architecture, AI recommendation engine, integration with existing POS/CRM systems.</w:t>
            </w:r>
          </w:p>
        </w:tc>
      </w:tr>
      <w:tr w:rsidR="00737CC2" w14:paraId="35622531" w14:textId="77777777">
        <w:tc>
          <w:tcPr>
            <w:tcW w:w="1900" w:type="dxa"/>
            <w:tcMar>
              <w:top w:w="100" w:type="dxa"/>
              <w:left w:w="120" w:type="dxa"/>
              <w:bottom w:w="100" w:type="dxa"/>
              <w:right w:w="120" w:type="dxa"/>
            </w:tcMar>
          </w:tcPr>
          <w:p w14:paraId="07CB4643" w14:textId="77777777" w:rsidR="00737CC2" w:rsidRDefault="00FD3604">
            <w:pPr>
              <w:spacing w:line="264" w:lineRule="auto"/>
            </w:pPr>
            <w:r>
              <w:rPr>
                <w:color w:val="000000"/>
                <w:sz w:val="20"/>
                <w:szCs w:val="20"/>
              </w:rPr>
              <w:t>Marketing &amp; CRM Team</w:t>
            </w:r>
          </w:p>
        </w:tc>
        <w:tc>
          <w:tcPr>
            <w:tcW w:w="1500" w:type="dxa"/>
            <w:tcMar>
              <w:top w:w="100" w:type="dxa"/>
              <w:left w:w="120" w:type="dxa"/>
              <w:bottom w:w="100" w:type="dxa"/>
              <w:right w:w="120" w:type="dxa"/>
            </w:tcMar>
          </w:tcPr>
          <w:p w14:paraId="1C533423" w14:textId="77777777" w:rsidR="00737CC2" w:rsidRDefault="00FD3604">
            <w:pPr>
              <w:spacing w:line="264" w:lineRule="auto"/>
            </w:pPr>
            <w:r>
              <w:rPr>
                <w:color w:val="000000"/>
                <w:sz w:val="20"/>
                <w:szCs w:val="20"/>
              </w:rPr>
              <w:t>Internal</w:t>
            </w:r>
          </w:p>
        </w:tc>
        <w:tc>
          <w:tcPr>
            <w:tcW w:w="1500" w:type="dxa"/>
            <w:tcMar>
              <w:top w:w="100" w:type="dxa"/>
              <w:left w:w="120" w:type="dxa"/>
              <w:bottom w:w="100" w:type="dxa"/>
              <w:right w:w="120" w:type="dxa"/>
            </w:tcMar>
          </w:tcPr>
          <w:p w14:paraId="3F03D43E" w14:textId="77777777" w:rsidR="00737CC2" w:rsidRDefault="00FD3604">
            <w:pPr>
              <w:spacing w:line="264" w:lineRule="auto"/>
            </w:pPr>
            <w:r>
              <w:rPr>
                <w:color w:val="000000"/>
                <w:sz w:val="20"/>
                <w:szCs w:val="20"/>
              </w:rPr>
              <w:t>High power, high interest — Manage Closely</w:t>
            </w:r>
          </w:p>
        </w:tc>
        <w:tc>
          <w:tcPr>
            <w:tcW w:w="4600" w:type="dxa"/>
            <w:tcMar>
              <w:top w:w="100" w:type="dxa"/>
              <w:left w:w="120" w:type="dxa"/>
              <w:bottom w:w="100" w:type="dxa"/>
              <w:right w:w="120" w:type="dxa"/>
            </w:tcMar>
          </w:tcPr>
          <w:p w14:paraId="10F22AD7" w14:textId="77777777" w:rsidR="00737CC2" w:rsidRDefault="00FD3604">
            <w:pPr>
              <w:spacing w:line="264" w:lineRule="auto"/>
            </w:pPr>
            <w:r>
              <w:rPr>
                <w:color w:val="000000"/>
                <w:sz w:val="20"/>
                <w:szCs w:val="20"/>
              </w:rPr>
              <w:t>Campaign design, segmentation, brand messaging consistency across markets.</w:t>
            </w:r>
          </w:p>
        </w:tc>
      </w:tr>
      <w:tr w:rsidR="00737CC2" w14:paraId="06424E6E" w14:textId="77777777">
        <w:tc>
          <w:tcPr>
            <w:tcW w:w="1900" w:type="dxa"/>
            <w:shd w:val="clear" w:color="auto" w:fill="F2F2F2"/>
            <w:tcMar>
              <w:top w:w="100" w:type="dxa"/>
              <w:left w:w="120" w:type="dxa"/>
              <w:bottom w:w="100" w:type="dxa"/>
              <w:right w:w="120" w:type="dxa"/>
            </w:tcMar>
          </w:tcPr>
          <w:p w14:paraId="11398D4A" w14:textId="77777777" w:rsidR="00737CC2" w:rsidRDefault="00FD3604">
            <w:pPr>
              <w:spacing w:line="264" w:lineRule="auto"/>
            </w:pPr>
            <w:r>
              <w:rPr>
                <w:color w:val="000000"/>
                <w:sz w:val="20"/>
                <w:szCs w:val="20"/>
              </w:rPr>
              <w:t>Store &amp; Frontline Colleagues</w:t>
            </w:r>
          </w:p>
        </w:tc>
        <w:tc>
          <w:tcPr>
            <w:tcW w:w="1500" w:type="dxa"/>
            <w:shd w:val="clear" w:color="auto" w:fill="F2F2F2"/>
            <w:tcMar>
              <w:top w:w="100" w:type="dxa"/>
              <w:left w:w="120" w:type="dxa"/>
              <w:bottom w:w="100" w:type="dxa"/>
              <w:right w:w="120" w:type="dxa"/>
            </w:tcMar>
          </w:tcPr>
          <w:p w14:paraId="67EE041B" w14:textId="77777777" w:rsidR="00737CC2" w:rsidRDefault="00FD3604">
            <w:pPr>
              <w:spacing w:line="264" w:lineRule="auto"/>
            </w:pPr>
            <w:r>
              <w:rPr>
                <w:color w:val="000000"/>
                <w:sz w:val="20"/>
                <w:szCs w:val="20"/>
              </w:rPr>
              <w:t>Internal</w:t>
            </w:r>
          </w:p>
        </w:tc>
        <w:tc>
          <w:tcPr>
            <w:tcW w:w="1500" w:type="dxa"/>
            <w:shd w:val="clear" w:color="auto" w:fill="F2F2F2"/>
            <w:tcMar>
              <w:top w:w="100" w:type="dxa"/>
              <w:left w:w="120" w:type="dxa"/>
              <w:bottom w:w="100" w:type="dxa"/>
              <w:right w:w="120" w:type="dxa"/>
            </w:tcMar>
          </w:tcPr>
          <w:p w14:paraId="312070CD" w14:textId="77777777" w:rsidR="00737CC2" w:rsidRDefault="00FD3604">
            <w:pPr>
              <w:spacing w:line="264" w:lineRule="auto"/>
            </w:pPr>
            <w:r>
              <w:rPr>
                <w:color w:val="000000"/>
                <w:sz w:val="20"/>
                <w:szCs w:val="20"/>
              </w:rPr>
              <w:t>Low power, high interest — Keep Informed</w:t>
            </w:r>
          </w:p>
        </w:tc>
        <w:tc>
          <w:tcPr>
            <w:tcW w:w="4600" w:type="dxa"/>
            <w:shd w:val="clear" w:color="auto" w:fill="F2F2F2"/>
            <w:tcMar>
              <w:top w:w="100" w:type="dxa"/>
              <w:left w:w="120" w:type="dxa"/>
              <w:bottom w:w="100" w:type="dxa"/>
              <w:right w:w="120" w:type="dxa"/>
            </w:tcMar>
          </w:tcPr>
          <w:p w14:paraId="44943F04" w14:textId="77777777" w:rsidR="00737CC2" w:rsidRDefault="00FD3604">
            <w:pPr>
              <w:spacing w:line="264" w:lineRule="auto"/>
            </w:pPr>
            <w:r>
              <w:rPr>
                <w:color w:val="000000"/>
                <w:sz w:val="20"/>
                <w:szCs w:val="20"/>
              </w:rPr>
              <w:t>Ease of use, training burden, customer-facing credibility of rewards mechanics.</w:t>
            </w:r>
          </w:p>
        </w:tc>
      </w:tr>
      <w:tr w:rsidR="00737CC2" w14:paraId="602D7B43" w14:textId="77777777">
        <w:tc>
          <w:tcPr>
            <w:tcW w:w="1900" w:type="dxa"/>
            <w:tcMar>
              <w:top w:w="100" w:type="dxa"/>
              <w:left w:w="120" w:type="dxa"/>
              <w:bottom w:w="100" w:type="dxa"/>
              <w:right w:w="120" w:type="dxa"/>
            </w:tcMar>
          </w:tcPr>
          <w:p w14:paraId="38C77A7F" w14:textId="77777777" w:rsidR="00737CC2" w:rsidRDefault="00FD3604">
            <w:pPr>
              <w:spacing w:line="264" w:lineRule="auto"/>
            </w:pPr>
            <w:r>
              <w:rPr>
                <w:color w:val="000000"/>
                <w:sz w:val="20"/>
                <w:szCs w:val="20"/>
              </w:rPr>
              <w:t>HR &amp; L&amp;D</w:t>
            </w:r>
          </w:p>
        </w:tc>
        <w:tc>
          <w:tcPr>
            <w:tcW w:w="1500" w:type="dxa"/>
            <w:tcMar>
              <w:top w:w="100" w:type="dxa"/>
              <w:left w:w="120" w:type="dxa"/>
              <w:bottom w:w="100" w:type="dxa"/>
              <w:right w:w="120" w:type="dxa"/>
            </w:tcMar>
          </w:tcPr>
          <w:p w14:paraId="57B33E3D" w14:textId="77777777" w:rsidR="00737CC2" w:rsidRDefault="00FD3604">
            <w:pPr>
              <w:spacing w:line="264" w:lineRule="auto"/>
            </w:pPr>
            <w:r>
              <w:rPr>
                <w:color w:val="000000"/>
                <w:sz w:val="20"/>
                <w:szCs w:val="20"/>
              </w:rPr>
              <w:t>Internal</w:t>
            </w:r>
          </w:p>
        </w:tc>
        <w:tc>
          <w:tcPr>
            <w:tcW w:w="1500" w:type="dxa"/>
            <w:tcMar>
              <w:top w:w="100" w:type="dxa"/>
              <w:left w:w="120" w:type="dxa"/>
              <w:bottom w:w="100" w:type="dxa"/>
              <w:right w:w="120" w:type="dxa"/>
            </w:tcMar>
          </w:tcPr>
          <w:p w14:paraId="12679DC7" w14:textId="77777777" w:rsidR="00737CC2" w:rsidRDefault="00FD3604">
            <w:pPr>
              <w:spacing w:line="264" w:lineRule="auto"/>
            </w:pPr>
            <w:r>
              <w:rPr>
                <w:color w:val="000000"/>
                <w:sz w:val="20"/>
                <w:szCs w:val="20"/>
              </w:rPr>
              <w:t>Low power, low interest — Monitor</w:t>
            </w:r>
          </w:p>
        </w:tc>
        <w:tc>
          <w:tcPr>
            <w:tcW w:w="4600" w:type="dxa"/>
            <w:tcMar>
              <w:top w:w="100" w:type="dxa"/>
              <w:left w:w="120" w:type="dxa"/>
              <w:bottom w:w="100" w:type="dxa"/>
              <w:right w:w="120" w:type="dxa"/>
            </w:tcMar>
          </w:tcPr>
          <w:p w14:paraId="2C1C992F" w14:textId="77777777" w:rsidR="00737CC2" w:rsidRDefault="00FD3604">
            <w:pPr>
              <w:spacing w:line="264" w:lineRule="auto"/>
            </w:pPr>
            <w:r>
              <w:rPr>
                <w:color w:val="000000"/>
                <w:sz w:val="20"/>
                <w:szCs w:val="20"/>
              </w:rPr>
              <w:t>Workforce training, change-readiness, resourcing of roll-out teams.</w:t>
            </w:r>
          </w:p>
        </w:tc>
      </w:tr>
      <w:tr w:rsidR="00737CC2" w14:paraId="2B3A5F08" w14:textId="77777777">
        <w:tc>
          <w:tcPr>
            <w:tcW w:w="1900" w:type="dxa"/>
            <w:shd w:val="clear" w:color="auto" w:fill="F2F2F2"/>
            <w:tcMar>
              <w:top w:w="100" w:type="dxa"/>
              <w:left w:w="120" w:type="dxa"/>
              <w:bottom w:w="100" w:type="dxa"/>
              <w:right w:w="120" w:type="dxa"/>
            </w:tcMar>
          </w:tcPr>
          <w:p w14:paraId="4BDE955A" w14:textId="77777777" w:rsidR="00737CC2" w:rsidRDefault="00FD3604">
            <w:pPr>
              <w:spacing w:line="264" w:lineRule="auto"/>
            </w:pPr>
            <w:r>
              <w:rPr>
                <w:color w:val="000000"/>
                <w:sz w:val="20"/>
                <w:szCs w:val="20"/>
              </w:rPr>
              <w:t>Customers (existing &amp; prospective)</w:t>
            </w:r>
          </w:p>
        </w:tc>
        <w:tc>
          <w:tcPr>
            <w:tcW w:w="1500" w:type="dxa"/>
            <w:shd w:val="clear" w:color="auto" w:fill="F2F2F2"/>
            <w:tcMar>
              <w:top w:w="100" w:type="dxa"/>
              <w:left w:w="120" w:type="dxa"/>
              <w:bottom w:w="100" w:type="dxa"/>
              <w:right w:w="120" w:type="dxa"/>
            </w:tcMar>
          </w:tcPr>
          <w:p w14:paraId="351479A2" w14:textId="77777777" w:rsidR="00737CC2" w:rsidRDefault="00FD3604">
            <w:pPr>
              <w:spacing w:line="264" w:lineRule="auto"/>
            </w:pPr>
            <w:r>
              <w:rPr>
                <w:color w:val="000000"/>
                <w:sz w:val="20"/>
                <w:szCs w:val="20"/>
              </w:rPr>
              <w:t>External</w:t>
            </w:r>
          </w:p>
        </w:tc>
        <w:tc>
          <w:tcPr>
            <w:tcW w:w="1500" w:type="dxa"/>
            <w:shd w:val="clear" w:color="auto" w:fill="F2F2F2"/>
            <w:tcMar>
              <w:top w:w="100" w:type="dxa"/>
              <w:left w:w="120" w:type="dxa"/>
              <w:bottom w:w="100" w:type="dxa"/>
              <w:right w:w="120" w:type="dxa"/>
            </w:tcMar>
          </w:tcPr>
          <w:p w14:paraId="6D8B10D1" w14:textId="77777777" w:rsidR="00737CC2" w:rsidRDefault="00FD3604">
            <w:pPr>
              <w:spacing w:line="264" w:lineRule="auto"/>
            </w:pPr>
            <w:r>
              <w:rPr>
                <w:color w:val="000000"/>
                <w:sz w:val="20"/>
                <w:szCs w:val="20"/>
              </w:rPr>
              <w:t>Low power (individually), high interest — Keep Informed</w:t>
            </w:r>
          </w:p>
        </w:tc>
        <w:tc>
          <w:tcPr>
            <w:tcW w:w="4600" w:type="dxa"/>
            <w:shd w:val="clear" w:color="auto" w:fill="F2F2F2"/>
            <w:tcMar>
              <w:top w:w="100" w:type="dxa"/>
              <w:left w:w="120" w:type="dxa"/>
              <w:bottom w:w="100" w:type="dxa"/>
              <w:right w:w="120" w:type="dxa"/>
            </w:tcMar>
          </w:tcPr>
          <w:p w14:paraId="0B112162" w14:textId="77777777" w:rsidR="00737CC2" w:rsidRDefault="00FD3604">
            <w:pPr>
              <w:spacing w:line="264" w:lineRule="auto"/>
            </w:pPr>
            <w:r>
              <w:rPr>
                <w:color w:val="000000"/>
                <w:sz w:val="20"/>
                <w:szCs w:val="20"/>
              </w:rPr>
              <w:t>Data privacy, perceived value of rewards, ease of onboarding.</w:t>
            </w:r>
          </w:p>
        </w:tc>
      </w:tr>
      <w:tr w:rsidR="00737CC2" w14:paraId="1B3C58B9" w14:textId="77777777">
        <w:tc>
          <w:tcPr>
            <w:tcW w:w="1900" w:type="dxa"/>
            <w:tcMar>
              <w:top w:w="100" w:type="dxa"/>
              <w:left w:w="120" w:type="dxa"/>
              <w:bottom w:w="100" w:type="dxa"/>
              <w:right w:w="120" w:type="dxa"/>
            </w:tcMar>
          </w:tcPr>
          <w:p w14:paraId="795C72BF" w14:textId="77777777" w:rsidR="00737CC2" w:rsidRDefault="00FD3604">
            <w:pPr>
              <w:spacing w:line="264" w:lineRule="auto"/>
            </w:pPr>
            <w:r>
              <w:rPr>
                <w:color w:val="000000"/>
                <w:sz w:val="20"/>
                <w:szCs w:val="20"/>
              </w:rPr>
              <w:t>Technology Suppliers &amp; Cloud/AI Partners</w:t>
            </w:r>
          </w:p>
        </w:tc>
        <w:tc>
          <w:tcPr>
            <w:tcW w:w="1500" w:type="dxa"/>
            <w:tcMar>
              <w:top w:w="100" w:type="dxa"/>
              <w:left w:w="120" w:type="dxa"/>
              <w:bottom w:w="100" w:type="dxa"/>
              <w:right w:w="120" w:type="dxa"/>
            </w:tcMar>
          </w:tcPr>
          <w:p w14:paraId="6AAAF61B" w14:textId="77777777" w:rsidR="00737CC2" w:rsidRDefault="00FD3604">
            <w:pPr>
              <w:spacing w:line="264" w:lineRule="auto"/>
            </w:pPr>
            <w:r>
              <w:rPr>
                <w:color w:val="000000"/>
                <w:sz w:val="20"/>
                <w:szCs w:val="20"/>
              </w:rPr>
              <w:t>External</w:t>
            </w:r>
          </w:p>
        </w:tc>
        <w:tc>
          <w:tcPr>
            <w:tcW w:w="1500" w:type="dxa"/>
            <w:tcMar>
              <w:top w:w="100" w:type="dxa"/>
              <w:left w:w="120" w:type="dxa"/>
              <w:bottom w:w="100" w:type="dxa"/>
              <w:right w:w="120" w:type="dxa"/>
            </w:tcMar>
          </w:tcPr>
          <w:p w14:paraId="3BB0593A" w14:textId="77777777" w:rsidR="00737CC2" w:rsidRDefault="00FD3604">
            <w:pPr>
              <w:spacing w:line="264" w:lineRule="auto"/>
            </w:pPr>
            <w:r>
              <w:rPr>
                <w:color w:val="000000"/>
                <w:sz w:val="20"/>
                <w:szCs w:val="20"/>
              </w:rPr>
              <w:t>High power, high interest — Manage Closely</w:t>
            </w:r>
          </w:p>
        </w:tc>
        <w:tc>
          <w:tcPr>
            <w:tcW w:w="4600" w:type="dxa"/>
            <w:tcMar>
              <w:top w:w="100" w:type="dxa"/>
              <w:left w:w="120" w:type="dxa"/>
              <w:bottom w:w="100" w:type="dxa"/>
              <w:right w:w="120" w:type="dxa"/>
            </w:tcMar>
          </w:tcPr>
          <w:p w14:paraId="775BE3BA" w14:textId="77777777" w:rsidR="00737CC2" w:rsidRDefault="00FD3604">
            <w:pPr>
              <w:spacing w:line="264" w:lineRule="auto"/>
            </w:pPr>
            <w:r>
              <w:rPr>
                <w:color w:val="000000"/>
                <w:sz w:val="20"/>
                <w:szCs w:val="20"/>
              </w:rPr>
              <w:t>SLAs, API reliability, data-sharing terms, co-innovation opportunities.</w:t>
            </w:r>
          </w:p>
        </w:tc>
      </w:tr>
      <w:tr w:rsidR="00737CC2" w14:paraId="05895540" w14:textId="77777777">
        <w:tc>
          <w:tcPr>
            <w:tcW w:w="1900" w:type="dxa"/>
            <w:shd w:val="clear" w:color="auto" w:fill="F2F2F2"/>
            <w:tcMar>
              <w:top w:w="100" w:type="dxa"/>
              <w:left w:w="120" w:type="dxa"/>
              <w:bottom w:w="100" w:type="dxa"/>
              <w:right w:w="120" w:type="dxa"/>
            </w:tcMar>
          </w:tcPr>
          <w:p w14:paraId="75247850" w14:textId="5C1D53B0" w:rsidR="00737CC2" w:rsidRDefault="00FD3604">
            <w:pPr>
              <w:spacing w:line="264" w:lineRule="auto"/>
            </w:pPr>
            <w:r>
              <w:rPr>
                <w:color w:val="000000"/>
                <w:sz w:val="20"/>
                <w:szCs w:val="20"/>
              </w:rPr>
              <w:t>Regulators international data authorities)</w:t>
            </w:r>
          </w:p>
        </w:tc>
        <w:tc>
          <w:tcPr>
            <w:tcW w:w="1500" w:type="dxa"/>
            <w:shd w:val="clear" w:color="auto" w:fill="F2F2F2"/>
            <w:tcMar>
              <w:top w:w="100" w:type="dxa"/>
              <w:left w:w="120" w:type="dxa"/>
              <w:bottom w:w="100" w:type="dxa"/>
              <w:right w:w="120" w:type="dxa"/>
            </w:tcMar>
          </w:tcPr>
          <w:p w14:paraId="13287D5E" w14:textId="77777777" w:rsidR="00737CC2" w:rsidRDefault="00FD3604">
            <w:pPr>
              <w:spacing w:line="264" w:lineRule="auto"/>
            </w:pPr>
            <w:r>
              <w:rPr>
                <w:color w:val="000000"/>
                <w:sz w:val="20"/>
                <w:szCs w:val="20"/>
              </w:rPr>
              <w:t>External</w:t>
            </w:r>
          </w:p>
        </w:tc>
        <w:tc>
          <w:tcPr>
            <w:tcW w:w="1500" w:type="dxa"/>
            <w:shd w:val="clear" w:color="auto" w:fill="F2F2F2"/>
            <w:tcMar>
              <w:top w:w="100" w:type="dxa"/>
              <w:left w:w="120" w:type="dxa"/>
              <w:bottom w:w="100" w:type="dxa"/>
              <w:right w:w="120" w:type="dxa"/>
            </w:tcMar>
          </w:tcPr>
          <w:p w14:paraId="135E2CA2" w14:textId="77777777" w:rsidR="00737CC2" w:rsidRDefault="00FD3604">
            <w:pPr>
              <w:spacing w:line="264" w:lineRule="auto"/>
            </w:pPr>
            <w:r>
              <w:rPr>
                <w:color w:val="000000"/>
                <w:sz w:val="20"/>
                <w:szCs w:val="20"/>
              </w:rPr>
              <w:t>High power, low interest — Keep Satisfied</w:t>
            </w:r>
          </w:p>
        </w:tc>
        <w:tc>
          <w:tcPr>
            <w:tcW w:w="4600" w:type="dxa"/>
            <w:shd w:val="clear" w:color="auto" w:fill="F2F2F2"/>
            <w:tcMar>
              <w:top w:w="100" w:type="dxa"/>
              <w:left w:w="120" w:type="dxa"/>
              <w:bottom w:w="100" w:type="dxa"/>
              <w:right w:w="120" w:type="dxa"/>
            </w:tcMar>
          </w:tcPr>
          <w:p w14:paraId="1EE30025" w14:textId="77777777" w:rsidR="00737CC2" w:rsidRDefault="00FD3604">
            <w:pPr>
              <w:spacing w:line="264" w:lineRule="auto"/>
            </w:pPr>
            <w:r>
              <w:rPr>
                <w:color w:val="000000"/>
                <w:sz w:val="20"/>
                <w:szCs w:val="20"/>
              </w:rPr>
              <w:t xml:space="preserve">Lawful basis for AI </w:t>
            </w:r>
            <w:proofErr w:type="spellStart"/>
            <w:r>
              <w:rPr>
                <w:color w:val="000000"/>
                <w:sz w:val="20"/>
                <w:szCs w:val="20"/>
              </w:rPr>
              <w:t>personalisation</w:t>
            </w:r>
            <w:proofErr w:type="spellEnd"/>
            <w:r>
              <w:rPr>
                <w:color w:val="000000"/>
                <w:sz w:val="20"/>
                <w:szCs w:val="20"/>
              </w:rPr>
              <w:t>, cross-border data transfer compliance.</w:t>
            </w:r>
          </w:p>
        </w:tc>
      </w:tr>
      <w:tr w:rsidR="00737CC2" w14:paraId="7F1B76E4" w14:textId="77777777">
        <w:tc>
          <w:tcPr>
            <w:tcW w:w="1900" w:type="dxa"/>
            <w:tcMar>
              <w:top w:w="100" w:type="dxa"/>
              <w:left w:w="120" w:type="dxa"/>
              <w:bottom w:w="100" w:type="dxa"/>
              <w:right w:w="120" w:type="dxa"/>
            </w:tcMar>
          </w:tcPr>
          <w:p w14:paraId="00982882" w14:textId="77777777" w:rsidR="00737CC2" w:rsidRDefault="00FD3604">
            <w:pPr>
              <w:spacing w:line="264" w:lineRule="auto"/>
            </w:pPr>
            <w:r>
              <w:rPr>
                <w:color w:val="000000"/>
                <w:sz w:val="20"/>
                <w:szCs w:val="20"/>
              </w:rPr>
              <w:lastRenderedPageBreak/>
              <w:t>Shareholders &amp; Investors</w:t>
            </w:r>
          </w:p>
        </w:tc>
        <w:tc>
          <w:tcPr>
            <w:tcW w:w="1500" w:type="dxa"/>
            <w:tcMar>
              <w:top w:w="100" w:type="dxa"/>
              <w:left w:w="120" w:type="dxa"/>
              <w:bottom w:w="100" w:type="dxa"/>
              <w:right w:w="120" w:type="dxa"/>
            </w:tcMar>
          </w:tcPr>
          <w:p w14:paraId="6856B5CD" w14:textId="77777777" w:rsidR="00737CC2" w:rsidRDefault="00FD3604">
            <w:pPr>
              <w:spacing w:line="264" w:lineRule="auto"/>
            </w:pPr>
            <w:r>
              <w:rPr>
                <w:color w:val="000000"/>
                <w:sz w:val="20"/>
                <w:szCs w:val="20"/>
              </w:rPr>
              <w:t>External</w:t>
            </w:r>
          </w:p>
        </w:tc>
        <w:tc>
          <w:tcPr>
            <w:tcW w:w="1500" w:type="dxa"/>
            <w:tcMar>
              <w:top w:w="100" w:type="dxa"/>
              <w:left w:w="120" w:type="dxa"/>
              <w:bottom w:w="100" w:type="dxa"/>
              <w:right w:w="120" w:type="dxa"/>
            </w:tcMar>
          </w:tcPr>
          <w:p w14:paraId="61896A9D" w14:textId="77777777" w:rsidR="00737CC2" w:rsidRDefault="00FD3604">
            <w:pPr>
              <w:spacing w:line="264" w:lineRule="auto"/>
            </w:pPr>
            <w:r>
              <w:rPr>
                <w:color w:val="000000"/>
                <w:sz w:val="20"/>
                <w:szCs w:val="20"/>
              </w:rPr>
              <w:t>High power, high interest — Manage Closely</w:t>
            </w:r>
          </w:p>
        </w:tc>
        <w:tc>
          <w:tcPr>
            <w:tcW w:w="4600" w:type="dxa"/>
            <w:tcMar>
              <w:top w:w="100" w:type="dxa"/>
              <w:left w:w="120" w:type="dxa"/>
              <w:bottom w:w="100" w:type="dxa"/>
              <w:right w:w="120" w:type="dxa"/>
            </w:tcMar>
          </w:tcPr>
          <w:p w14:paraId="6FCBF8FA" w14:textId="77777777" w:rsidR="00737CC2" w:rsidRDefault="00FD3604">
            <w:pPr>
              <w:spacing w:line="264" w:lineRule="auto"/>
            </w:pPr>
            <w:r>
              <w:rPr>
                <w:color w:val="000000"/>
                <w:sz w:val="20"/>
                <w:szCs w:val="20"/>
              </w:rPr>
              <w:t>Return on investment, effect on EBIT margin and free cash flow.</w:t>
            </w:r>
          </w:p>
        </w:tc>
      </w:tr>
      <w:tr w:rsidR="00737CC2" w14:paraId="7C48C541" w14:textId="77777777">
        <w:tc>
          <w:tcPr>
            <w:tcW w:w="1900" w:type="dxa"/>
            <w:shd w:val="clear" w:color="auto" w:fill="F2F2F2"/>
            <w:tcMar>
              <w:top w:w="100" w:type="dxa"/>
              <w:left w:w="120" w:type="dxa"/>
              <w:bottom w:w="100" w:type="dxa"/>
              <w:right w:w="120" w:type="dxa"/>
            </w:tcMar>
          </w:tcPr>
          <w:p w14:paraId="5BAD1491" w14:textId="77777777" w:rsidR="00737CC2" w:rsidRDefault="00FD3604">
            <w:pPr>
              <w:spacing w:line="264" w:lineRule="auto"/>
            </w:pPr>
            <w:r>
              <w:rPr>
                <w:color w:val="000000"/>
                <w:sz w:val="20"/>
                <w:szCs w:val="20"/>
              </w:rPr>
              <w:t>International Franchise/Local Retail Partners (e.g. Nordics)</w:t>
            </w:r>
          </w:p>
        </w:tc>
        <w:tc>
          <w:tcPr>
            <w:tcW w:w="1500" w:type="dxa"/>
            <w:shd w:val="clear" w:color="auto" w:fill="F2F2F2"/>
            <w:tcMar>
              <w:top w:w="100" w:type="dxa"/>
              <w:left w:w="120" w:type="dxa"/>
              <w:bottom w:w="100" w:type="dxa"/>
              <w:right w:w="120" w:type="dxa"/>
            </w:tcMar>
          </w:tcPr>
          <w:p w14:paraId="19FAF5BD" w14:textId="77777777" w:rsidR="00737CC2" w:rsidRDefault="00FD3604">
            <w:pPr>
              <w:spacing w:line="264" w:lineRule="auto"/>
            </w:pPr>
            <w:r>
              <w:rPr>
                <w:color w:val="000000"/>
                <w:sz w:val="20"/>
                <w:szCs w:val="20"/>
              </w:rPr>
              <w:t>External</w:t>
            </w:r>
          </w:p>
        </w:tc>
        <w:tc>
          <w:tcPr>
            <w:tcW w:w="1500" w:type="dxa"/>
            <w:shd w:val="clear" w:color="auto" w:fill="F2F2F2"/>
            <w:tcMar>
              <w:top w:w="100" w:type="dxa"/>
              <w:left w:w="120" w:type="dxa"/>
              <w:bottom w:w="100" w:type="dxa"/>
              <w:right w:w="120" w:type="dxa"/>
            </w:tcMar>
          </w:tcPr>
          <w:p w14:paraId="4BB21F30" w14:textId="77777777" w:rsidR="00737CC2" w:rsidRDefault="00FD3604">
            <w:pPr>
              <w:spacing w:line="264" w:lineRule="auto"/>
            </w:pPr>
            <w:r>
              <w:rPr>
                <w:color w:val="000000"/>
                <w:sz w:val="20"/>
                <w:szCs w:val="20"/>
              </w:rPr>
              <w:t>Medium power, high interest — Manage Closely</w:t>
            </w:r>
          </w:p>
        </w:tc>
        <w:tc>
          <w:tcPr>
            <w:tcW w:w="4600" w:type="dxa"/>
            <w:shd w:val="clear" w:color="auto" w:fill="F2F2F2"/>
            <w:tcMar>
              <w:top w:w="100" w:type="dxa"/>
              <w:left w:w="120" w:type="dxa"/>
              <w:bottom w:w="100" w:type="dxa"/>
              <w:right w:w="120" w:type="dxa"/>
            </w:tcMar>
          </w:tcPr>
          <w:p w14:paraId="0B6351E0" w14:textId="77777777" w:rsidR="00737CC2" w:rsidRDefault="00FD3604">
            <w:pPr>
              <w:spacing w:line="264" w:lineRule="auto"/>
            </w:pPr>
            <w:r>
              <w:rPr>
                <w:color w:val="000000"/>
                <w:sz w:val="20"/>
                <w:szCs w:val="20"/>
              </w:rPr>
              <w:t>Local market fit, brand consistency vs local autonomy, revenue-sharing.</w:t>
            </w:r>
          </w:p>
        </w:tc>
      </w:tr>
      <w:tr w:rsidR="00737CC2" w14:paraId="4E32B4CC" w14:textId="77777777">
        <w:tc>
          <w:tcPr>
            <w:tcW w:w="1900" w:type="dxa"/>
            <w:tcMar>
              <w:top w:w="100" w:type="dxa"/>
              <w:left w:w="120" w:type="dxa"/>
              <w:bottom w:w="100" w:type="dxa"/>
              <w:right w:w="120" w:type="dxa"/>
            </w:tcMar>
          </w:tcPr>
          <w:p w14:paraId="0EC44860" w14:textId="77777777" w:rsidR="00737CC2" w:rsidRDefault="00FD3604">
            <w:pPr>
              <w:spacing w:line="264" w:lineRule="auto"/>
            </w:pPr>
            <w:r>
              <w:rPr>
                <w:color w:val="000000"/>
                <w:sz w:val="20"/>
                <w:szCs w:val="20"/>
              </w:rPr>
              <w:t>NGOs / Community &amp; Sustainability Groups</w:t>
            </w:r>
          </w:p>
        </w:tc>
        <w:tc>
          <w:tcPr>
            <w:tcW w:w="1500" w:type="dxa"/>
            <w:tcMar>
              <w:top w:w="100" w:type="dxa"/>
              <w:left w:w="120" w:type="dxa"/>
              <w:bottom w:w="100" w:type="dxa"/>
              <w:right w:w="120" w:type="dxa"/>
            </w:tcMar>
          </w:tcPr>
          <w:p w14:paraId="1B1944CC" w14:textId="77777777" w:rsidR="00737CC2" w:rsidRDefault="00FD3604">
            <w:pPr>
              <w:spacing w:line="264" w:lineRule="auto"/>
            </w:pPr>
            <w:r>
              <w:rPr>
                <w:color w:val="000000"/>
                <w:sz w:val="20"/>
                <w:szCs w:val="20"/>
              </w:rPr>
              <w:t>External</w:t>
            </w:r>
          </w:p>
        </w:tc>
        <w:tc>
          <w:tcPr>
            <w:tcW w:w="1500" w:type="dxa"/>
            <w:tcMar>
              <w:top w:w="100" w:type="dxa"/>
              <w:left w:w="120" w:type="dxa"/>
              <w:bottom w:w="100" w:type="dxa"/>
              <w:right w:w="120" w:type="dxa"/>
            </w:tcMar>
          </w:tcPr>
          <w:p w14:paraId="3371093F" w14:textId="77777777" w:rsidR="00737CC2" w:rsidRDefault="00FD3604">
            <w:pPr>
              <w:spacing w:line="264" w:lineRule="auto"/>
            </w:pPr>
            <w:r>
              <w:rPr>
                <w:color w:val="000000"/>
                <w:sz w:val="20"/>
                <w:szCs w:val="20"/>
              </w:rPr>
              <w:t>Low power, medium interest — Keep Informed</w:t>
            </w:r>
          </w:p>
        </w:tc>
        <w:tc>
          <w:tcPr>
            <w:tcW w:w="4600" w:type="dxa"/>
            <w:tcMar>
              <w:top w:w="100" w:type="dxa"/>
              <w:left w:w="120" w:type="dxa"/>
              <w:bottom w:w="100" w:type="dxa"/>
              <w:right w:w="120" w:type="dxa"/>
            </w:tcMar>
          </w:tcPr>
          <w:p w14:paraId="127C8623" w14:textId="77777777" w:rsidR="00737CC2" w:rsidRDefault="00FD3604">
            <w:pPr>
              <w:spacing w:line="264" w:lineRule="auto"/>
            </w:pPr>
            <w:r>
              <w:rPr>
                <w:color w:val="000000"/>
                <w:sz w:val="20"/>
                <w:szCs w:val="20"/>
              </w:rPr>
              <w:t>Digital inclusion, e-waste/circularity claims linked to loyalty rewards.</w:t>
            </w:r>
          </w:p>
        </w:tc>
      </w:tr>
      <w:tr w:rsidR="00737CC2" w14:paraId="08061DA5" w14:textId="77777777">
        <w:tc>
          <w:tcPr>
            <w:tcW w:w="1900" w:type="dxa"/>
            <w:shd w:val="clear" w:color="auto" w:fill="F2F2F2"/>
            <w:tcMar>
              <w:top w:w="100" w:type="dxa"/>
              <w:left w:w="120" w:type="dxa"/>
              <w:bottom w:w="100" w:type="dxa"/>
              <w:right w:w="120" w:type="dxa"/>
            </w:tcMar>
          </w:tcPr>
          <w:p w14:paraId="0A4EC5E9" w14:textId="77777777" w:rsidR="00737CC2" w:rsidRDefault="00FD3604">
            <w:pPr>
              <w:spacing w:line="264" w:lineRule="auto"/>
            </w:pPr>
            <w:r>
              <w:rPr>
                <w:color w:val="000000"/>
                <w:sz w:val="20"/>
                <w:szCs w:val="20"/>
              </w:rPr>
              <w:t>Media &amp; Press</w:t>
            </w:r>
          </w:p>
        </w:tc>
        <w:tc>
          <w:tcPr>
            <w:tcW w:w="1500" w:type="dxa"/>
            <w:shd w:val="clear" w:color="auto" w:fill="F2F2F2"/>
            <w:tcMar>
              <w:top w:w="100" w:type="dxa"/>
              <w:left w:w="120" w:type="dxa"/>
              <w:bottom w:w="100" w:type="dxa"/>
              <w:right w:w="120" w:type="dxa"/>
            </w:tcMar>
          </w:tcPr>
          <w:p w14:paraId="0B0B4048" w14:textId="77777777" w:rsidR="00737CC2" w:rsidRDefault="00FD3604">
            <w:pPr>
              <w:spacing w:line="264" w:lineRule="auto"/>
            </w:pPr>
            <w:r>
              <w:rPr>
                <w:color w:val="000000"/>
                <w:sz w:val="20"/>
                <w:szCs w:val="20"/>
              </w:rPr>
              <w:t>External</w:t>
            </w:r>
          </w:p>
        </w:tc>
        <w:tc>
          <w:tcPr>
            <w:tcW w:w="1500" w:type="dxa"/>
            <w:shd w:val="clear" w:color="auto" w:fill="F2F2F2"/>
            <w:tcMar>
              <w:top w:w="100" w:type="dxa"/>
              <w:left w:w="120" w:type="dxa"/>
              <w:bottom w:w="100" w:type="dxa"/>
              <w:right w:w="120" w:type="dxa"/>
            </w:tcMar>
          </w:tcPr>
          <w:p w14:paraId="49ADCC51" w14:textId="77777777" w:rsidR="00737CC2" w:rsidRDefault="00FD3604">
            <w:pPr>
              <w:spacing w:line="264" w:lineRule="auto"/>
            </w:pPr>
            <w:r>
              <w:rPr>
                <w:color w:val="000000"/>
                <w:sz w:val="20"/>
                <w:szCs w:val="20"/>
              </w:rPr>
              <w:t>Medium power, medium interest — Keep Informed</w:t>
            </w:r>
          </w:p>
        </w:tc>
        <w:tc>
          <w:tcPr>
            <w:tcW w:w="4600" w:type="dxa"/>
            <w:shd w:val="clear" w:color="auto" w:fill="F2F2F2"/>
            <w:tcMar>
              <w:top w:w="100" w:type="dxa"/>
              <w:left w:w="120" w:type="dxa"/>
              <w:bottom w:w="100" w:type="dxa"/>
              <w:right w:w="120" w:type="dxa"/>
            </w:tcMar>
          </w:tcPr>
          <w:p w14:paraId="2B84282D" w14:textId="77777777" w:rsidR="00737CC2" w:rsidRDefault="00FD3604">
            <w:pPr>
              <w:spacing w:line="264" w:lineRule="auto"/>
            </w:pPr>
            <w:r>
              <w:rPr>
                <w:color w:val="000000"/>
                <w:sz w:val="20"/>
                <w:szCs w:val="20"/>
              </w:rPr>
              <w:t>Reputational narrative, data-ethics scrutiny of AI features.</w:t>
            </w:r>
          </w:p>
        </w:tc>
      </w:tr>
      <w:tr w:rsidR="00737CC2" w14:paraId="2BFF6863" w14:textId="77777777">
        <w:tc>
          <w:tcPr>
            <w:tcW w:w="1900" w:type="dxa"/>
            <w:tcMar>
              <w:top w:w="100" w:type="dxa"/>
              <w:left w:w="120" w:type="dxa"/>
              <w:bottom w:w="100" w:type="dxa"/>
              <w:right w:w="120" w:type="dxa"/>
            </w:tcMar>
          </w:tcPr>
          <w:p w14:paraId="6DABE781" w14:textId="47A48F95" w:rsidR="00737CC2" w:rsidRDefault="00FD3604">
            <w:pPr>
              <w:spacing w:line="264" w:lineRule="auto"/>
            </w:pPr>
            <w:r>
              <w:rPr>
                <w:color w:val="000000"/>
                <w:sz w:val="20"/>
                <w:szCs w:val="20"/>
              </w:rPr>
              <w:t>Competitors (e.g. AO.com, John Lewis, Media</w:t>
            </w:r>
            <w:r w:rsidR="0090193D">
              <w:rPr>
                <w:color w:val="000000"/>
                <w:sz w:val="20"/>
                <w:szCs w:val="20"/>
              </w:rPr>
              <w:t xml:space="preserve"> </w:t>
            </w:r>
            <w:r>
              <w:rPr>
                <w:color w:val="000000"/>
                <w:sz w:val="20"/>
                <w:szCs w:val="20"/>
              </w:rPr>
              <w:t>Markt</w:t>
            </w:r>
          </w:p>
        </w:tc>
        <w:tc>
          <w:tcPr>
            <w:tcW w:w="1500" w:type="dxa"/>
            <w:tcMar>
              <w:top w:w="100" w:type="dxa"/>
              <w:left w:w="120" w:type="dxa"/>
              <w:bottom w:w="100" w:type="dxa"/>
              <w:right w:w="120" w:type="dxa"/>
            </w:tcMar>
          </w:tcPr>
          <w:p w14:paraId="76DD3247" w14:textId="77777777" w:rsidR="00737CC2" w:rsidRDefault="00FD3604">
            <w:pPr>
              <w:spacing w:line="264" w:lineRule="auto"/>
            </w:pPr>
            <w:r>
              <w:rPr>
                <w:color w:val="000000"/>
                <w:sz w:val="20"/>
                <w:szCs w:val="20"/>
              </w:rPr>
              <w:t>External</w:t>
            </w:r>
          </w:p>
        </w:tc>
        <w:tc>
          <w:tcPr>
            <w:tcW w:w="1500" w:type="dxa"/>
            <w:tcMar>
              <w:top w:w="100" w:type="dxa"/>
              <w:left w:w="120" w:type="dxa"/>
              <w:bottom w:w="100" w:type="dxa"/>
              <w:right w:w="120" w:type="dxa"/>
            </w:tcMar>
          </w:tcPr>
          <w:p w14:paraId="1EDEB5B9" w14:textId="77777777" w:rsidR="00737CC2" w:rsidRDefault="00FD3604">
            <w:pPr>
              <w:spacing w:line="264" w:lineRule="auto"/>
            </w:pPr>
            <w:r>
              <w:rPr>
                <w:color w:val="000000"/>
                <w:sz w:val="20"/>
                <w:szCs w:val="20"/>
              </w:rPr>
              <w:t>Low power, medium interest — Monitor</w:t>
            </w:r>
          </w:p>
        </w:tc>
        <w:tc>
          <w:tcPr>
            <w:tcW w:w="4600" w:type="dxa"/>
            <w:tcMar>
              <w:top w:w="100" w:type="dxa"/>
              <w:left w:w="120" w:type="dxa"/>
              <w:bottom w:w="100" w:type="dxa"/>
              <w:right w:w="120" w:type="dxa"/>
            </w:tcMar>
          </w:tcPr>
          <w:p w14:paraId="60EE2B49" w14:textId="77777777" w:rsidR="00737CC2" w:rsidRDefault="00FD3604">
            <w:pPr>
              <w:spacing w:line="264" w:lineRule="auto"/>
            </w:pPr>
            <w:r>
              <w:rPr>
                <w:color w:val="000000"/>
                <w:sz w:val="20"/>
                <w:szCs w:val="20"/>
              </w:rPr>
              <w:t>Competitive response, benchmarking of loyalty proposition.</w:t>
            </w:r>
          </w:p>
        </w:tc>
      </w:tr>
    </w:tbl>
    <w:p w14:paraId="005461C7" w14:textId="60D66F1D" w:rsidR="00737CC2" w:rsidRDefault="00FD3604" w:rsidP="0090193D">
      <w:pPr>
        <w:spacing w:after="200"/>
      </w:pPr>
      <w:r>
        <w:rPr>
          <w:i/>
          <w:iCs/>
        </w:rPr>
        <w:t xml:space="preserve">Table 1: Stakeholder mapping for the </w:t>
      </w:r>
      <w:proofErr w:type="spellStart"/>
      <w:r>
        <w:rPr>
          <w:i/>
          <w:iCs/>
        </w:rPr>
        <w:t>ConnectPlus</w:t>
      </w:r>
      <w:proofErr w:type="spellEnd"/>
      <w:r>
        <w:rPr>
          <w:i/>
          <w:iCs/>
        </w:rPr>
        <w:t xml:space="preserve"> launch, </w:t>
      </w:r>
      <w:proofErr w:type="spellStart"/>
      <w:r>
        <w:rPr>
          <w:i/>
          <w:iCs/>
        </w:rPr>
        <w:t>categorised</w:t>
      </w:r>
      <w:proofErr w:type="spellEnd"/>
      <w:r>
        <w:rPr>
          <w:i/>
          <w:iCs/>
        </w:rPr>
        <w:t xml:space="preserve"> by type and power/interest </w:t>
      </w:r>
    </w:p>
    <w:p w14:paraId="4037D188" w14:textId="77777777" w:rsidR="00737CC2" w:rsidRPr="00EB0030" w:rsidRDefault="00FD3604" w:rsidP="005D60AB">
      <w:pPr>
        <w:pStyle w:val="Heading1"/>
      </w:pPr>
      <w:bookmarkStart w:id="8" w:name="_Toc234697438"/>
      <w:r w:rsidRPr="00EB0030">
        <w:t>4. Roles, Responsibilities, Benefits and Challenges</w:t>
      </w:r>
      <w:bookmarkEnd w:id="8"/>
    </w:p>
    <w:p w14:paraId="2A428220" w14:textId="77777777" w:rsidR="007F3802" w:rsidRDefault="007F3802">
      <w:pPr>
        <w:spacing w:after="200"/>
        <w:jc w:val="both"/>
      </w:pPr>
      <w:r w:rsidRPr="007F3802">
        <w:t xml:space="preserve">All stakeholders have their strengths and weaknesses with regards to the </w:t>
      </w:r>
      <w:proofErr w:type="spellStart"/>
      <w:r w:rsidRPr="007F3802">
        <w:t>ConnectPlus</w:t>
      </w:r>
      <w:proofErr w:type="spellEnd"/>
      <w:r w:rsidRPr="007F3802">
        <w:t xml:space="preserve"> strategy. The Board and executive committee supply the strategy with high-level direction, funding and risk management; its strength comes from creating value for shareholders by better retention and cross-selling, while the weakness is that the strategy should find its place among all other company sustainability initiatives and investments in return on investments, especially in light of </w:t>
      </w:r>
      <w:proofErr w:type="spellStart"/>
      <w:r w:rsidRPr="007F3802">
        <w:t>Currys</w:t>
      </w:r>
      <w:proofErr w:type="spellEnd"/>
      <w:r w:rsidRPr="007F3802">
        <w:t>’ recent restructuring of its ESG governance structures (Investing.com, 2025). The IT and Digital &amp; Data department takes care of the technical implementation of recommendation engine, data pipes and mobile rewards platform; its strength is the ability to build scalable platform, while the weakness is building AI-based personalization into the legacy systems within tight 6-month timeframe.</w:t>
      </w:r>
    </w:p>
    <w:p w14:paraId="69E3778B" w14:textId="77777777" w:rsidR="007F3802" w:rsidRDefault="007F3802">
      <w:pPr>
        <w:spacing w:after="200"/>
        <w:jc w:val="both"/>
      </w:pPr>
      <w:r w:rsidRPr="007F3802">
        <w:t xml:space="preserve">Marketing and CRM specialists develop the customer proposition and the communication strategy, being experts in customer segmentation, but encountering the problem of tailoring a uniform global platform to distinct cultural expectations about loyalty and data exchange among, for instance, UK and Nordic customers. Frontline employees are vital for customer adoption since they create trust at the moment of purchase, but the task is complicated by the need to complete additional training in spite of service quality constraints; </w:t>
      </w:r>
      <w:proofErr w:type="spellStart"/>
      <w:r w:rsidRPr="007F3802">
        <w:t>Currys</w:t>
      </w:r>
      <w:proofErr w:type="spellEnd"/>
      <w:r w:rsidRPr="007F3802">
        <w:t>, however, manages this task through training programs, including GM Academy (</w:t>
      </w:r>
      <w:proofErr w:type="spellStart"/>
      <w:r w:rsidRPr="007F3802">
        <w:t>Currys</w:t>
      </w:r>
      <w:proofErr w:type="spellEnd"/>
      <w:r w:rsidRPr="007F3802">
        <w:t xml:space="preserve"> plc, 2025).</w:t>
      </w:r>
    </w:p>
    <w:p w14:paraId="52F38187" w14:textId="77777777" w:rsidR="007F3802" w:rsidRDefault="007F3802">
      <w:pPr>
        <w:spacing w:after="200"/>
        <w:jc w:val="both"/>
      </w:pPr>
    </w:p>
    <w:p w14:paraId="62B936CA" w14:textId="77777777" w:rsidR="007F3802" w:rsidRDefault="007F3802" w:rsidP="005D60AB">
      <w:pPr>
        <w:pStyle w:val="Heading1"/>
        <w:rPr>
          <w:color w:val="auto"/>
          <w:sz w:val="22"/>
          <w:szCs w:val="22"/>
        </w:rPr>
      </w:pPr>
      <w:bookmarkStart w:id="9" w:name="_Toc234697439"/>
      <w:r w:rsidRPr="007F3802">
        <w:rPr>
          <w:color w:val="auto"/>
          <w:sz w:val="22"/>
          <w:szCs w:val="22"/>
        </w:rPr>
        <w:lastRenderedPageBreak/>
        <w:t xml:space="preserve">From an external perspective, the technology vendors have brought specialist expertise in artificial intelligence and cloud capabilities that </w:t>
      </w:r>
      <w:proofErr w:type="spellStart"/>
      <w:r w:rsidRPr="007F3802">
        <w:rPr>
          <w:color w:val="auto"/>
          <w:sz w:val="22"/>
          <w:szCs w:val="22"/>
        </w:rPr>
        <w:t>Currys</w:t>
      </w:r>
      <w:proofErr w:type="spellEnd"/>
      <w:r w:rsidRPr="007F3802">
        <w:rPr>
          <w:color w:val="auto"/>
          <w:sz w:val="22"/>
          <w:szCs w:val="22"/>
        </w:rPr>
        <w:t xml:space="preserve"> lacks and would struggle to build on its own, but this comes with a dependency risk if the required service levels and standards are not carefully defined. The regulators offer the legal safeguarding of customer and company interests in relation to the use of the personal data; in this case, by approaching it in a proactive manner, the compliance effort becomes a point of competitive strength. The customers are both the beneficiaries of improved relevance of offerings and services and the most exposed to privacy risks, therefore they need to be actively engaged. The shareholders benefit from projected revenue and profit improvement, but they will watch the development of the project very carefully, given the current focus of </w:t>
      </w:r>
      <w:proofErr w:type="spellStart"/>
      <w:r w:rsidRPr="007F3802">
        <w:rPr>
          <w:color w:val="auto"/>
          <w:sz w:val="22"/>
          <w:szCs w:val="22"/>
        </w:rPr>
        <w:t>Currys</w:t>
      </w:r>
      <w:proofErr w:type="spellEnd"/>
      <w:r w:rsidRPr="007F3802">
        <w:rPr>
          <w:color w:val="auto"/>
          <w:sz w:val="22"/>
          <w:szCs w:val="22"/>
        </w:rPr>
        <w:t xml:space="preserve"> on generating cash flow and delivering returns to shareholders (</w:t>
      </w:r>
      <w:proofErr w:type="spellStart"/>
      <w:r w:rsidRPr="007F3802">
        <w:rPr>
          <w:color w:val="auto"/>
          <w:sz w:val="22"/>
          <w:szCs w:val="22"/>
        </w:rPr>
        <w:t>Currys</w:t>
      </w:r>
      <w:proofErr w:type="spellEnd"/>
      <w:r w:rsidRPr="007F3802">
        <w:rPr>
          <w:color w:val="auto"/>
          <w:sz w:val="22"/>
          <w:szCs w:val="22"/>
        </w:rPr>
        <w:t xml:space="preserve"> plc, 2025).</w:t>
      </w:r>
    </w:p>
    <w:p w14:paraId="7EECBB4D" w14:textId="3419F42D" w:rsidR="00737CC2" w:rsidRPr="002E1650" w:rsidRDefault="00FD3604" w:rsidP="005D60AB">
      <w:pPr>
        <w:pStyle w:val="Heading1"/>
      </w:pPr>
      <w:r w:rsidRPr="002E1650">
        <w:t>5. Engaging Stakeholders and Managing Conflict</w:t>
      </w:r>
      <w:bookmarkEnd w:id="9"/>
    </w:p>
    <w:p w14:paraId="52397E11" w14:textId="77777777" w:rsidR="007F3802" w:rsidRDefault="007F3802" w:rsidP="005D60AB">
      <w:pPr>
        <w:pStyle w:val="Heading2"/>
        <w:rPr>
          <w:color w:val="auto"/>
          <w:sz w:val="22"/>
          <w:szCs w:val="22"/>
        </w:rPr>
      </w:pPr>
      <w:bookmarkStart w:id="10" w:name="_Toc234697440"/>
      <w:r w:rsidRPr="007F3802">
        <w:rPr>
          <w:color w:val="auto"/>
          <w:sz w:val="22"/>
          <w:szCs w:val="22"/>
        </w:rPr>
        <w:t>While identifying stakeholders is just the beginning, the tougher challenge is in engaging them in such a manner that helps establish collaboration, trust, and commitment despite the fact that the markets have diverse cultures and regulations. In this regard, this report follows a systematic approach toward stakeholder engagement based on 4Cs, which are communication, consultation, collaboration, and commitment.</w:t>
      </w:r>
    </w:p>
    <w:p w14:paraId="09C0CC99" w14:textId="297D97E9" w:rsidR="00737CC2" w:rsidRPr="002E1650" w:rsidRDefault="00FD3604" w:rsidP="005D60AB">
      <w:pPr>
        <w:pStyle w:val="Heading2"/>
      </w:pPr>
      <w:r w:rsidRPr="002E1650">
        <w:t>5.1 Communication</w:t>
      </w:r>
      <w:bookmarkEnd w:id="10"/>
    </w:p>
    <w:p w14:paraId="062E9AAE" w14:textId="77777777" w:rsidR="00CF6C5E" w:rsidRDefault="00CF6C5E" w:rsidP="005D60AB">
      <w:pPr>
        <w:pStyle w:val="Heading2"/>
        <w:rPr>
          <w:color w:val="auto"/>
          <w:sz w:val="22"/>
          <w:szCs w:val="22"/>
        </w:rPr>
      </w:pPr>
      <w:bookmarkStart w:id="11" w:name="_Toc234697441"/>
      <w:r w:rsidRPr="00CF6C5E">
        <w:rPr>
          <w:color w:val="auto"/>
          <w:sz w:val="22"/>
          <w:szCs w:val="22"/>
        </w:rPr>
        <w:t xml:space="preserve">The first phase involves creating an aligned vision about what </w:t>
      </w:r>
      <w:proofErr w:type="spellStart"/>
      <w:r w:rsidRPr="00CF6C5E">
        <w:rPr>
          <w:color w:val="auto"/>
          <w:sz w:val="22"/>
          <w:szCs w:val="22"/>
        </w:rPr>
        <w:t>ConnectPlus</w:t>
      </w:r>
      <w:proofErr w:type="spellEnd"/>
      <w:r w:rsidRPr="00CF6C5E">
        <w:rPr>
          <w:color w:val="auto"/>
          <w:sz w:val="22"/>
          <w:szCs w:val="22"/>
        </w:rPr>
        <w:t xml:space="preserve"> is meant to achieve, the schedule of its implementation and its anticipated impact. In the case of high power-high interest stakeholders, including the board members, the IT function leaders and the major suppliers, it involves scheduled briefings and regular updates from steering groups, while for low power-high interest stakeholders, including the staff and customers, it involves clear communication through existing channels that have been identified as being trusted sources. These include the existing communication methods of </w:t>
      </w:r>
      <w:proofErr w:type="spellStart"/>
      <w:r w:rsidRPr="00CF6C5E">
        <w:rPr>
          <w:color w:val="auto"/>
          <w:sz w:val="22"/>
          <w:szCs w:val="22"/>
        </w:rPr>
        <w:t>Currys</w:t>
      </w:r>
      <w:proofErr w:type="spellEnd"/>
      <w:r w:rsidRPr="00CF6C5E">
        <w:rPr>
          <w:color w:val="auto"/>
          <w:sz w:val="22"/>
          <w:szCs w:val="22"/>
        </w:rPr>
        <w:t xml:space="preserve"> for engaging its employees, including the ‘On the Pulse’ survey method, where the business is regularly analyzing tens of thousands of colleague comments (</w:t>
      </w:r>
      <w:proofErr w:type="spellStart"/>
      <w:r w:rsidRPr="00CF6C5E">
        <w:rPr>
          <w:color w:val="auto"/>
          <w:sz w:val="22"/>
          <w:szCs w:val="22"/>
        </w:rPr>
        <w:t>Currys</w:t>
      </w:r>
      <w:proofErr w:type="spellEnd"/>
      <w:r w:rsidRPr="00CF6C5E">
        <w:rPr>
          <w:color w:val="auto"/>
          <w:sz w:val="22"/>
          <w:szCs w:val="22"/>
        </w:rPr>
        <w:t xml:space="preserve"> plc, 2025).</w:t>
      </w:r>
    </w:p>
    <w:p w14:paraId="639EF5F3" w14:textId="77777777" w:rsidR="00CF6C5E" w:rsidRDefault="00CF6C5E" w:rsidP="005D60AB">
      <w:pPr>
        <w:pStyle w:val="Heading2"/>
        <w:rPr>
          <w:color w:val="auto"/>
          <w:sz w:val="22"/>
          <w:szCs w:val="22"/>
        </w:rPr>
      </w:pPr>
    </w:p>
    <w:p w14:paraId="762FFF9B" w14:textId="44F0C413" w:rsidR="00737CC2" w:rsidRPr="002E1650" w:rsidRDefault="00FD3604" w:rsidP="005D60AB">
      <w:pPr>
        <w:pStyle w:val="Heading2"/>
      </w:pPr>
      <w:r w:rsidRPr="002E1650">
        <w:t>5.2 Consultation and collaboration</w:t>
      </w:r>
      <w:bookmarkEnd w:id="11"/>
    </w:p>
    <w:p w14:paraId="2A6DDC3D" w14:textId="701C4CBF" w:rsidR="00737CC2" w:rsidRDefault="00CF6C5E">
      <w:pPr>
        <w:spacing w:after="200"/>
        <w:jc w:val="both"/>
      </w:pPr>
      <w:r w:rsidRPr="00CF6C5E">
        <w:t xml:space="preserve">Second stage and third stage extend one-way communication to consultation and collaboration. Using the stakeholder engagement model by Friedman and Miles (2006), which includes stakeholder involvement </w:t>
      </w:r>
      <w:r w:rsidR="00B034E8" w:rsidRPr="00CF6C5E">
        <w:t>range</w:t>
      </w:r>
      <w:r w:rsidRPr="00CF6C5E">
        <w:t xml:space="preserve"> from manipulation to stakeholder control, this particular project is aimed at achieving stakeholder control with respect to the key stakeholders. Market leaders in Nordic countries are consulted prior to the development of cultural adaptation of the rewards scheme rather than being presented with already developed design since it has been found that retail cross-cultural projects</w:t>
      </w:r>
      <w:r w:rsidR="00FD3604">
        <w:t xml:space="preserve"> </w:t>
      </w:r>
      <w:r w:rsidR="00656CA6" w:rsidRPr="00656CA6">
        <w:t xml:space="preserve">are much more likely to succeed if local knowledge is built into their designs as </w:t>
      </w:r>
      <w:r w:rsidR="00B034E8" w:rsidRPr="00656CA6">
        <w:t>opposite</w:t>
      </w:r>
      <w:r w:rsidR="00656CA6" w:rsidRPr="00656CA6">
        <w:t xml:space="preserve"> to </w:t>
      </w:r>
      <w:r w:rsidR="00656CA6" w:rsidRPr="00656CA6">
        <w:lastRenderedPageBreak/>
        <w:t xml:space="preserve">being seen as a </w:t>
      </w:r>
      <w:r w:rsidR="00B034E8" w:rsidRPr="00656CA6">
        <w:t>simple</w:t>
      </w:r>
      <w:r w:rsidR="00656CA6" w:rsidRPr="00656CA6">
        <w:t xml:space="preserve"> implementation challenge. In similar </w:t>
      </w:r>
      <w:r w:rsidR="00B034E8" w:rsidRPr="00656CA6">
        <w:t>manner</w:t>
      </w:r>
      <w:r w:rsidR="00656CA6" w:rsidRPr="00656CA6">
        <w:t>, representation from the group of frontline workers and the customer advisory panel takes part in testing the usability of the app as well as the reward system prior to deployment to identify and deal with challenges to complexity or privacy. Cross-functional workshops are also conducted at each of the project gates to evaluate if there have been changes in terms of the power, legitimacy and urgency of any particular stakeholder.</w:t>
      </w:r>
    </w:p>
    <w:p w14:paraId="53A6DE9C" w14:textId="77777777" w:rsidR="00737CC2" w:rsidRDefault="00FD3604" w:rsidP="005D60AB">
      <w:pPr>
        <w:pStyle w:val="Heading2"/>
      </w:pPr>
      <w:bookmarkStart w:id="12" w:name="_Toc234697442"/>
      <w:r w:rsidRPr="002E1650">
        <w:t>5.3 Commitment and governance: the RACI matrix</w:t>
      </w:r>
      <w:bookmarkEnd w:id="12"/>
    </w:p>
    <w:p w14:paraId="43B6E754" w14:textId="08B932AD" w:rsidR="00737CC2" w:rsidRDefault="00656CA6">
      <w:pPr>
        <w:spacing w:after="200"/>
        <w:jc w:val="both"/>
      </w:pPr>
      <w:r w:rsidRPr="00656CA6">
        <w:t>Stage four, commitment, is defined using accountability mechanisms. RACI matrix (Responsible, Accountable, Consulted, Informed) ensures that there is no ambiguity regarding decision-making powers in different markets and functional areas. It ensures that those who need to be consulted are consulted and an accountable owner is assigned for all significant decisions, like approval of data-privacy and go-live decision.</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00"/>
        <w:gridCol w:w="1600"/>
        <w:gridCol w:w="1600"/>
        <w:gridCol w:w="1600"/>
        <w:gridCol w:w="1600"/>
      </w:tblGrid>
      <w:tr w:rsidR="00737CC2" w14:paraId="2788B32C" w14:textId="77777777">
        <w:tc>
          <w:tcPr>
            <w:tcW w:w="3100" w:type="dxa"/>
            <w:shd w:val="clear" w:color="auto" w:fill="1F3864"/>
            <w:tcMar>
              <w:top w:w="100" w:type="dxa"/>
              <w:left w:w="120" w:type="dxa"/>
              <w:bottom w:w="100" w:type="dxa"/>
              <w:right w:w="120" w:type="dxa"/>
            </w:tcMar>
          </w:tcPr>
          <w:p w14:paraId="5AD5677E" w14:textId="77777777" w:rsidR="00737CC2" w:rsidRDefault="00FD3604">
            <w:pPr>
              <w:spacing w:line="264" w:lineRule="auto"/>
            </w:pPr>
            <w:r>
              <w:rPr>
                <w:b/>
                <w:bCs/>
                <w:color w:val="FFFFFF"/>
                <w:sz w:val="20"/>
                <w:szCs w:val="20"/>
              </w:rPr>
              <w:t>Activity</w:t>
            </w:r>
          </w:p>
        </w:tc>
        <w:tc>
          <w:tcPr>
            <w:tcW w:w="1600" w:type="dxa"/>
            <w:shd w:val="clear" w:color="auto" w:fill="1F3864"/>
            <w:tcMar>
              <w:top w:w="100" w:type="dxa"/>
              <w:left w:w="120" w:type="dxa"/>
              <w:bottom w:w="100" w:type="dxa"/>
              <w:right w:w="120" w:type="dxa"/>
            </w:tcMar>
          </w:tcPr>
          <w:p w14:paraId="47F02EC8" w14:textId="77777777" w:rsidR="00737CC2" w:rsidRDefault="00FD3604">
            <w:pPr>
              <w:spacing w:line="264" w:lineRule="auto"/>
            </w:pPr>
            <w:r>
              <w:rPr>
                <w:b/>
                <w:bCs/>
                <w:color w:val="FFFFFF"/>
                <w:sz w:val="20"/>
                <w:szCs w:val="20"/>
              </w:rPr>
              <w:t>Project Manager</w:t>
            </w:r>
          </w:p>
        </w:tc>
        <w:tc>
          <w:tcPr>
            <w:tcW w:w="1600" w:type="dxa"/>
            <w:shd w:val="clear" w:color="auto" w:fill="1F3864"/>
            <w:tcMar>
              <w:top w:w="100" w:type="dxa"/>
              <w:left w:w="120" w:type="dxa"/>
              <w:bottom w:w="100" w:type="dxa"/>
              <w:right w:w="120" w:type="dxa"/>
            </w:tcMar>
          </w:tcPr>
          <w:p w14:paraId="643F789C" w14:textId="77777777" w:rsidR="00737CC2" w:rsidRDefault="00FD3604">
            <w:pPr>
              <w:spacing w:line="264" w:lineRule="auto"/>
            </w:pPr>
            <w:r>
              <w:rPr>
                <w:b/>
                <w:bCs/>
                <w:color w:val="FFFFFF"/>
                <w:sz w:val="20"/>
                <w:szCs w:val="20"/>
              </w:rPr>
              <w:t>IT/Digital</w:t>
            </w:r>
          </w:p>
        </w:tc>
        <w:tc>
          <w:tcPr>
            <w:tcW w:w="1600" w:type="dxa"/>
            <w:shd w:val="clear" w:color="auto" w:fill="1F3864"/>
            <w:tcMar>
              <w:top w:w="100" w:type="dxa"/>
              <w:left w:w="120" w:type="dxa"/>
              <w:bottom w:w="100" w:type="dxa"/>
              <w:right w:w="120" w:type="dxa"/>
            </w:tcMar>
          </w:tcPr>
          <w:p w14:paraId="7202DD39" w14:textId="77777777" w:rsidR="00737CC2" w:rsidRDefault="00FD3604">
            <w:pPr>
              <w:spacing w:line="264" w:lineRule="auto"/>
            </w:pPr>
            <w:r>
              <w:rPr>
                <w:b/>
                <w:bCs/>
                <w:color w:val="FFFFFF"/>
                <w:sz w:val="20"/>
                <w:szCs w:val="20"/>
              </w:rPr>
              <w:t>Marketing</w:t>
            </w:r>
          </w:p>
        </w:tc>
        <w:tc>
          <w:tcPr>
            <w:tcW w:w="1600" w:type="dxa"/>
            <w:shd w:val="clear" w:color="auto" w:fill="1F3864"/>
            <w:tcMar>
              <w:top w:w="100" w:type="dxa"/>
              <w:left w:w="120" w:type="dxa"/>
              <w:bottom w:w="100" w:type="dxa"/>
              <w:right w:w="120" w:type="dxa"/>
            </w:tcMar>
          </w:tcPr>
          <w:p w14:paraId="72EDCAC4" w14:textId="77777777" w:rsidR="00737CC2" w:rsidRDefault="00FD3604">
            <w:pPr>
              <w:spacing w:line="264" w:lineRule="auto"/>
            </w:pPr>
            <w:r>
              <w:rPr>
                <w:b/>
                <w:bCs/>
                <w:color w:val="FFFFFF"/>
                <w:sz w:val="20"/>
                <w:szCs w:val="20"/>
              </w:rPr>
              <w:t>Local Market Leads</w:t>
            </w:r>
          </w:p>
        </w:tc>
      </w:tr>
      <w:tr w:rsidR="00737CC2" w14:paraId="6F5A10F5" w14:textId="77777777">
        <w:tc>
          <w:tcPr>
            <w:tcW w:w="3100" w:type="dxa"/>
            <w:tcMar>
              <w:top w:w="100" w:type="dxa"/>
              <w:left w:w="120" w:type="dxa"/>
              <w:bottom w:w="100" w:type="dxa"/>
              <w:right w:w="120" w:type="dxa"/>
            </w:tcMar>
          </w:tcPr>
          <w:p w14:paraId="424E5D1A" w14:textId="77777777" w:rsidR="00737CC2" w:rsidRDefault="00FD3604">
            <w:pPr>
              <w:spacing w:line="264" w:lineRule="auto"/>
            </w:pPr>
            <w:r>
              <w:rPr>
                <w:color w:val="000000"/>
                <w:sz w:val="20"/>
                <w:szCs w:val="20"/>
              </w:rPr>
              <w:t>Define platform requirements</w:t>
            </w:r>
          </w:p>
        </w:tc>
        <w:tc>
          <w:tcPr>
            <w:tcW w:w="1600" w:type="dxa"/>
            <w:tcMar>
              <w:top w:w="100" w:type="dxa"/>
              <w:left w:w="120" w:type="dxa"/>
              <w:bottom w:w="100" w:type="dxa"/>
              <w:right w:w="120" w:type="dxa"/>
            </w:tcMar>
          </w:tcPr>
          <w:p w14:paraId="5356782D" w14:textId="77777777" w:rsidR="00737CC2" w:rsidRDefault="00FD3604">
            <w:pPr>
              <w:spacing w:line="264" w:lineRule="auto"/>
            </w:pPr>
            <w:r>
              <w:rPr>
                <w:color w:val="000000"/>
                <w:sz w:val="20"/>
                <w:szCs w:val="20"/>
              </w:rPr>
              <w:t>A</w:t>
            </w:r>
          </w:p>
        </w:tc>
        <w:tc>
          <w:tcPr>
            <w:tcW w:w="1600" w:type="dxa"/>
            <w:tcMar>
              <w:top w:w="100" w:type="dxa"/>
              <w:left w:w="120" w:type="dxa"/>
              <w:bottom w:w="100" w:type="dxa"/>
              <w:right w:w="120" w:type="dxa"/>
            </w:tcMar>
          </w:tcPr>
          <w:p w14:paraId="374D25FF" w14:textId="77777777" w:rsidR="00737CC2" w:rsidRDefault="00FD3604">
            <w:pPr>
              <w:spacing w:line="264" w:lineRule="auto"/>
            </w:pPr>
            <w:r>
              <w:rPr>
                <w:color w:val="000000"/>
                <w:sz w:val="20"/>
                <w:szCs w:val="20"/>
              </w:rPr>
              <w:t>R</w:t>
            </w:r>
          </w:p>
        </w:tc>
        <w:tc>
          <w:tcPr>
            <w:tcW w:w="1600" w:type="dxa"/>
            <w:tcMar>
              <w:top w:w="100" w:type="dxa"/>
              <w:left w:w="120" w:type="dxa"/>
              <w:bottom w:w="100" w:type="dxa"/>
              <w:right w:w="120" w:type="dxa"/>
            </w:tcMar>
          </w:tcPr>
          <w:p w14:paraId="25B784B3" w14:textId="77777777" w:rsidR="00737CC2" w:rsidRDefault="00FD3604">
            <w:pPr>
              <w:spacing w:line="264" w:lineRule="auto"/>
            </w:pPr>
            <w:r>
              <w:rPr>
                <w:color w:val="000000"/>
                <w:sz w:val="20"/>
                <w:szCs w:val="20"/>
              </w:rPr>
              <w:t>C</w:t>
            </w:r>
          </w:p>
        </w:tc>
        <w:tc>
          <w:tcPr>
            <w:tcW w:w="1600" w:type="dxa"/>
            <w:tcMar>
              <w:top w:w="100" w:type="dxa"/>
              <w:left w:w="120" w:type="dxa"/>
              <w:bottom w:w="100" w:type="dxa"/>
              <w:right w:w="120" w:type="dxa"/>
            </w:tcMar>
          </w:tcPr>
          <w:p w14:paraId="0C6A916F" w14:textId="77777777" w:rsidR="00737CC2" w:rsidRDefault="00FD3604">
            <w:pPr>
              <w:spacing w:line="264" w:lineRule="auto"/>
            </w:pPr>
            <w:r>
              <w:rPr>
                <w:color w:val="000000"/>
                <w:sz w:val="20"/>
                <w:szCs w:val="20"/>
              </w:rPr>
              <w:t>C</w:t>
            </w:r>
          </w:p>
        </w:tc>
      </w:tr>
      <w:tr w:rsidR="00737CC2" w14:paraId="66A3E307" w14:textId="77777777">
        <w:tc>
          <w:tcPr>
            <w:tcW w:w="3100" w:type="dxa"/>
            <w:shd w:val="clear" w:color="auto" w:fill="F2F2F2"/>
            <w:tcMar>
              <w:top w:w="100" w:type="dxa"/>
              <w:left w:w="120" w:type="dxa"/>
              <w:bottom w:w="100" w:type="dxa"/>
              <w:right w:w="120" w:type="dxa"/>
            </w:tcMar>
          </w:tcPr>
          <w:p w14:paraId="6D498BB3" w14:textId="134FD1BC" w:rsidR="00737CC2" w:rsidRDefault="00FD3604">
            <w:pPr>
              <w:spacing w:line="264" w:lineRule="auto"/>
            </w:pPr>
            <w:r>
              <w:rPr>
                <w:color w:val="000000"/>
                <w:sz w:val="20"/>
                <w:szCs w:val="20"/>
              </w:rPr>
              <w:t>Data privacy</w:t>
            </w:r>
          </w:p>
        </w:tc>
        <w:tc>
          <w:tcPr>
            <w:tcW w:w="1600" w:type="dxa"/>
            <w:shd w:val="clear" w:color="auto" w:fill="F2F2F2"/>
            <w:tcMar>
              <w:top w:w="100" w:type="dxa"/>
              <w:left w:w="120" w:type="dxa"/>
              <w:bottom w:w="100" w:type="dxa"/>
              <w:right w:w="120" w:type="dxa"/>
            </w:tcMar>
          </w:tcPr>
          <w:p w14:paraId="3981463E" w14:textId="77777777" w:rsidR="00737CC2" w:rsidRDefault="00FD3604">
            <w:pPr>
              <w:spacing w:line="264" w:lineRule="auto"/>
            </w:pPr>
            <w:r>
              <w:rPr>
                <w:color w:val="000000"/>
                <w:sz w:val="20"/>
                <w:szCs w:val="20"/>
              </w:rPr>
              <w:t>A</w:t>
            </w:r>
          </w:p>
        </w:tc>
        <w:tc>
          <w:tcPr>
            <w:tcW w:w="1600" w:type="dxa"/>
            <w:shd w:val="clear" w:color="auto" w:fill="F2F2F2"/>
            <w:tcMar>
              <w:top w:w="100" w:type="dxa"/>
              <w:left w:w="120" w:type="dxa"/>
              <w:bottom w:w="100" w:type="dxa"/>
              <w:right w:w="120" w:type="dxa"/>
            </w:tcMar>
          </w:tcPr>
          <w:p w14:paraId="2F7087E0" w14:textId="77777777" w:rsidR="00737CC2" w:rsidRDefault="00FD3604">
            <w:pPr>
              <w:spacing w:line="264" w:lineRule="auto"/>
            </w:pPr>
            <w:r>
              <w:rPr>
                <w:color w:val="000000"/>
                <w:sz w:val="20"/>
                <w:szCs w:val="20"/>
              </w:rPr>
              <w:t>R</w:t>
            </w:r>
          </w:p>
        </w:tc>
        <w:tc>
          <w:tcPr>
            <w:tcW w:w="1600" w:type="dxa"/>
            <w:shd w:val="clear" w:color="auto" w:fill="F2F2F2"/>
            <w:tcMar>
              <w:top w:w="100" w:type="dxa"/>
              <w:left w:w="120" w:type="dxa"/>
              <w:bottom w:w="100" w:type="dxa"/>
              <w:right w:w="120" w:type="dxa"/>
            </w:tcMar>
          </w:tcPr>
          <w:p w14:paraId="0B195D91" w14:textId="77777777" w:rsidR="00737CC2" w:rsidRDefault="00FD3604">
            <w:pPr>
              <w:spacing w:line="264" w:lineRule="auto"/>
            </w:pPr>
            <w:r>
              <w:rPr>
                <w:color w:val="000000"/>
                <w:sz w:val="20"/>
                <w:szCs w:val="20"/>
              </w:rPr>
              <w:t>I</w:t>
            </w:r>
          </w:p>
        </w:tc>
        <w:tc>
          <w:tcPr>
            <w:tcW w:w="1600" w:type="dxa"/>
            <w:shd w:val="clear" w:color="auto" w:fill="F2F2F2"/>
            <w:tcMar>
              <w:top w:w="100" w:type="dxa"/>
              <w:left w:w="120" w:type="dxa"/>
              <w:bottom w:w="100" w:type="dxa"/>
              <w:right w:w="120" w:type="dxa"/>
            </w:tcMar>
          </w:tcPr>
          <w:p w14:paraId="67273833" w14:textId="77777777" w:rsidR="00737CC2" w:rsidRDefault="00FD3604">
            <w:pPr>
              <w:spacing w:line="264" w:lineRule="auto"/>
            </w:pPr>
            <w:r>
              <w:rPr>
                <w:color w:val="000000"/>
                <w:sz w:val="20"/>
                <w:szCs w:val="20"/>
              </w:rPr>
              <w:t>C</w:t>
            </w:r>
          </w:p>
        </w:tc>
      </w:tr>
      <w:tr w:rsidR="00737CC2" w14:paraId="45CE9B6C" w14:textId="77777777">
        <w:tc>
          <w:tcPr>
            <w:tcW w:w="3100" w:type="dxa"/>
            <w:tcMar>
              <w:top w:w="100" w:type="dxa"/>
              <w:left w:w="120" w:type="dxa"/>
              <w:bottom w:w="100" w:type="dxa"/>
              <w:right w:w="120" w:type="dxa"/>
            </w:tcMar>
          </w:tcPr>
          <w:p w14:paraId="38496FF7" w14:textId="77777777" w:rsidR="00737CC2" w:rsidRDefault="00FD3604">
            <w:pPr>
              <w:spacing w:line="264" w:lineRule="auto"/>
            </w:pPr>
            <w:r>
              <w:rPr>
                <w:color w:val="000000"/>
                <w:sz w:val="20"/>
                <w:szCs w:val="20"/>
              </w:rPr>
              <w:t>AI recommendation engine build</w:t>
            </w:r>
          </w:p>
        </w:tc>
        <w:tc>
          <w:tcPr>
            <w:tcW w:w="1600" w:type="dxa"/>
            <w:tcMar>
              <w:top w:w="100" w:type="dxa"/>
              <w:left w:w="120" w:type="dxa"/>
              <w:bottom w:w="100" w:type="dxa"/>
              <w:right w:w="120" w:type="dxa"/>
            </w:tcMar>
          </w:tcPr>
          <w:p w14:paraId="74592A33" w14:textId="77777777" w:rsidR="00737CC2" w:rsidRDefault="00FD3604">
            <w:pPr>
              <w:spacing w:line="264" w:lineRule="auto"/>
            </w:pPr>
            <w:r>
              <w:rPr>
                <w:color w:val="000000"/>
                <w:sz w:val="20"/>
                <w:szCs w:val="20"/>
              </w:rPr>
              <w:t>C</w:t>
            </w:r>
          </w:p>
        </w:tc>
        <w:tc>
          <w:tcPr>
            <w:tcW w:w="1600" w:type="dxa"/>
            <w:tcMar>
              <w:top w:w="100" w:type="dxa"/>
              <w:left w:w="120" w:type="dxa"/>
              <w:bottom w:w="100" w:type="dxa"/>
              <w:right w:w="120" w:type="dxa"/>
            </w:tcMar>
          </w:tcPr>
          <w:p w14:paraId="1BB4CDB5" w14:textId="77777777" w:rsidR="00737CC2" w:rsidRDefault="00FD3604">
            <w:pPr>
              <w:spacing w:line="264" w:lineRule="auto"/>
            </w:pPr>
            <w:r>
              <w:rPr>
                <w:color w:val="000000"/>
                <w:sz w:val="20"/>
                <w:szCs w:val="20"/>
              </w:rPr>
              <w:t>R/A</w:t>
            </w:r>
          </w:p>
        </w:tc>
        <w:tc>
          <w:tcPr>
            <w:tcW w:w="1600" w:type="dxa"/>
            <w:tcMar>
              <w:top w:w="100" w:type="dxa"/>
              <w:left w:w="120" w:type="dxa"/>
              <w:bottom w:w="100" w:type="dxa"/>
              <w:right w:w="120" w:type="dxa"/>
            </w:tcMar>
          </w:tcPr>
          <w:p w14:paraId="024450E1" w14:textId="77777777" w:rsidR="00737CC2" w:rsidRDefault="00FD3604">
            <w:pPr>
              <w:spacing w:line="264" w:lineRule="auto"/>
            </w:pPr>
            <w:r>
              <w:rPr>
                <w:color w:val="000000"/>
                <w:sz w:val="20"/>
                <w:szCs w:val="20"/>
              </w:rPr>
              <w:t>I</w:t>
            </w:r>
          </w:p>
        </w:tc>
        <w:tc>
          <w:tcPr>
            <w:tcW w:w="1600" w:type="dxa"/>
            <w:tcMar>
              <w:top w:w="100" w:type="dxa"/>
              <w:left w:w="120" w:type="dxa"/>
              <w:bottom w:w="100" w:type="dxa"/>
              <w:right w:w="120" w:type="dxa"/>
            </w:tcMar>
          </w:tcPr>
          <w:p w14:paraId="11DF7D17" w14:textId="77777777" w:rsidR="00737CC2" w:rsidRDefault="00FD3604">
            <w:pPr>
              <w:spacing w:line="264" w:lineRule="auto"/>
            </w:pPr>
            <w:r>
              <w:rPr>
                <w:color w:val="000000"/>
                <w:sz w:val="20"/>
                <w:szCs w:val="20"/>
              </w:rPr>
              <w:t>I</w:t>
            </w:r>
          </w:p>
        </w:tc>
      </w:tr>
      <w:tr w:rsidR="00737CC2" w14:paraId="59F56145" w14:textId="77777777">
        <w:tc>
          <w:tcPr>
            <w:tcW w:w="3100" w:type="dxa"/>
            <w:shd w:val="clear" w:color="auto" w:fill="F2F2F2"/>
            <w:tcMar>
              <w:top w:w="100" w:type="dxa"/>
              <w:left w:w="120" w:type="dxa"/>
              <w:bottom w:w="100" w:type="dxa"/>
              <w:right w:w="120" w:type="dxa"/>
            </w:tcMar>
          </w:tcPr>
          <w:p w14:paraId="222D5454" w14:textId="77777777" w:rsidR="00737CC2" w:rsidRDefault="00FD3604">
            <w:pPr>
              <w:spacing w:line="264" w:lineRule="auto"/>
            </w:pPr>
            <w:r>
              <w:rPr>
                <w:color w:val="000000"/>
                <w:sz w:val="20"/>
                <w:szCs w:val="20"/>
              </w:rPr>
              <w:t>Local market messaging adaptation</w:t>
            </w:r>
          </w:p>
        </w:tc>
        <w:tc>
          <w:tcPr>
            <w:tcW w:w="1600" w:type="dxa"/>
            <w:shd w:val="clear" w:color="auto" w:fill="F2F2F2"/>
            <w:tcMar>
              <w:top w:w="100" w:type="dxa"/>
              <w:left w:w="120" w:type="dxa"/>
              <w:bottom w:w="100" w:type="dxa"/>
              <w:right w:w="120" w:type="dxa"/>
            </w:tcMar>
          </w:tcPr>
          <w:p w14:paraId="4008E90A" w14:textId="77777777" w:rsidR="00737CC2" w:rsidRDefault="00FD3604">
            <w:pPr>
              <w:spacing w:line="264" w:lineRule="auto"/>
            </w:pPr>
            <w:r>
              <w:rPr>
                <w:color w:val="000000"/>
                <w:sz w:val="20"/>
                <w:szCs w:val="20"/>
              </w:rPr>
              <w:t>A</w:t>
            </w:r>
          </w:p>
        </w:tc>
        <w:tc>
          <w:tcPr>
            <w:tcW w:w="1600" w:type="dxa"/>
            <w:shd w:val="clear" w:color="auto" w:fill="F2F2F2"/>
            <w:tcMar>
              <w:top w:w="100" w:type="dxa"/>
              <w:left w:w="120" w:type="dxa"/>
              <w:bottom w:w="100" w:type="dxa"/>
              <w:right w:w="120" w:type="dxa"/>
            </w:tcMar>
          </w:tcPr>
          <w:p w14:paraId="30E10C43" w14:textId="77777777" w:rsidR="00737CC2" w:rsidRDefault="00FD3604">
            <w:pPr>
              <w:spacing w:line="264" w:lineRule="auto"/>
            </w:pPr>
            <w:r>
              <w:rPr>
                <w:color w:val="000000"/>
                <w:sz w:val="20"/>
                <w:szCs w:val="20"/>
              </w:rPr>
              <w:t>I</w:t>
            </w:r>
          </w:p>
        </w:tc>
        <w:tc>
          <w:tcPr>
            <w:tcW w:w="1600" w:type="dxa"/>
            <w:shd w:val="clear" w:color="auto" w:fill="F2F2F2"/>
            <w:tcMar>
              <w:top w:w="100" w:type="dxa"/>
              <w:left w:w="120" w:type="dxa"/>
              <w:bottom w:w="100" w:type="dxa"/>
              <w:right w:w="120" w:type="dxa"/>
            </w:tcMar>
          </w:tcPr>
          <w:p w14:paraId="44A021D5" w14:textId="77777777" w:rsidR="00737CC2" w:rsidRDefault="00FD3604">
            <w:pPr>
              <w:spacing w:line="264" w:lineRule="auto"/>
            </w:pPr>
            <w:r>
              <w:rPr>
                <w:color w:val="000000"/>
                <w:sz w:val="20"/>
                <w:szCs w:val="20"/>
              </w:rPr>
              <w:t>R</w:t>
            </w:r>
          </w:p>
        </w:tc>
        <w:tc>
          <w:tcPr>
            <w:tcW w:w="1600" w:type="dxa"/>
            <w:shd w:val="clear" w:color="auto" w:fill="F2F2F2"/>
            <w:tcMar>
              <w:top w:w="100" w:type="dxa"/>
              <w:left w:w="120" w:type="dxa"/>
              <w:bottom w:w="100" w:type="dxa"/>
              <w:right w:w="120" w:type="dxa"/>
            </w:tcMar>
          </w:tcPr>
          <w:p w14:paraId="4E3ECAC2" w14:textId="77777777" w:rsidR="00737CC2" w:rsidRDefault="00FD3604">
            <w:pPr>
              <w:spacing w:line="264" w:lineRule="auto"/>
            </w:pPr>
            <w:r>
              <w:rPr>
                <w:color w:val="000000"/>
                <w:sz w:val="20"/>
                <w:szCs w:val="20"/>
              </w:rPr>
              <w:t>R</w:t>
            </w:r>
          </w:p>
        </w:tc>
      </w:tr>
      <w:tr w:rsidR="00737CC2" w14:paraId="2400653C" w14:textId="77777777">
        <w:tc>
          <w:tcPr>
            <w:tcW w:w="3100" w:type="dxa"/>
            <w:tcMar>
              <w:top w:w="100" w:type="dxa"/>
              <w:left w:w="120" w:type="dxa"/>
              <w:bottom w:w="100" w:type="dxa"/>
              <w:right w:w="120" w:type="dxa"/>
            </w:tcMar>
          </w:tcPr>
          <w:p w14:paraId="35A18A61" w14:textId="77777777" w:rsidR="00737CC2" w:rsidRDefault="00FD3604">
            <w:pPr>
              <w:spacing w:line="264" w:lineRule="auto"/>
            </w:pPr>
            <w:r>
              <w:rPr>
                <w:color w:val="000000"/>
                <w:sz w:val="20"/>
                <w:szCs w:val="20"/>
              </w:rPr>
              <w:t>Colleague training roll-out</w:t>
            </w:r>
          </w:p>
        </w:tc>
        <w:tc>
          <w:tcPr>
            <w:tcW w:w="1600" w:type="dxa"/>
            <w:tcMar>
              <w:top w:w="100" w:type="dxa"/>
              <w:left w:w="120" w:type="dxa"/>
              <w:bottom w:w="100" w:type="dxa"/>
              <w:right w:w="120" w:type="dxa"/>
            </w:tcMar>
          </w:tcPr>
          <w:p w14:paraId="11467DD0" w14:textId="77777777" w:rsidR="00737CC2" w:rsidRDefault="00FD3604">
            <w:pPr>
              <w:spacing w:line="264" w:lineRule="auto"/>
            </w:pPr>
            <w:r>
              <w:rPr>
                <w:color w:val="000000"/>
                <w:sz w:val="20"/>
                <w:szCs w:val="20"/>
              </w:rPr>
              <w:t>A</w:t>
            </w:r>
          </w:p>
        </w:tc>
        <w:tc>
          <w:tcPr>
            <w:tcW w:w="1600" w:type="dxa"/>
            <w:tcMar>
              <w:top w:w="100" w:type="dxa"/>
              <w:left w:w="120" w:type="dxa"/>
              <w:bottom w:w="100" w:type="dxa"/>
              <w:right w:w="120" w:type="dxa"/>
            </w:tcMar>
          </w:tcPr>
          <w:p w14:paraId="58554E7B" w14:textId="77777777" w:rsidR="00737CC2" w:rsidRDefault="00FD3604">
            <w:pPr>
              <w:spacing w:line="264" w:lineRule="auto"/>
            </w:pPr>
            <w:r>
              <w:rPr>
                <w:color w:val="000000"/>
                <w:sz w:val="20"/>
                <w:szCs w:val="20"/>
              </w:rPr>
              <w:t>C</w:t>
            </w:r>
          </w:p>
        </w:tc>
        <w:tc>
          <w:tcPr>
            <w:tcW w:w="1600" w:type="dxa"/>
            <w:tcMar>
              <w:top w:w="100" w:type="dxa"/>
              <w:left w:w="120" w:type="dxa"/>
              <w:bottom w:w="100" w:type="dxa"/>
              <w:right w:w="120" w:type="dxa"/>
            </w:tcMar>
          </w:tcPr>
          <w:p w14:paraId="5BB0AE2E" w14:textId="77777777" w:rsidR="00737CC2" w:rsidRDefault="00FD3604">
            <w:pPr>
              <w:spacing w:line="264" w:lineRule="auto"/>
            </w:pPr>
            <w:r>
              <w:rPr>
                <w:color w:val="000000"/>
                <w:sz w:val="20"/>
                <w:szCs w:val="20"/>
              </w:rPr>
              <w:t>C</w:t>
            </w:r>
          </w:p>
        </w:tc>
        <w:tc>
          <w:tcPr>
            <w:tcW w:w="1600" w:type="dxa"/>
            <w:tcMar>
              <w:top w:w="100" w:type="dxa"/>
              <w:left w:w="120" w:type="dxa"/>
              <w:bottom w:w="100" w:type="dxa"/>
              <w:right w:w="120" w:type="dxa"/>
            </w:tcMar>
          </w:tcPr>
          <w:p w14:paraId="24171153" w14:textId="77777777" w:rsidR="00737CC2" w:rsidRDefault="00FD3604">
            <w:pPr>
              <w:spacing w:line="264" w:lineRule="auto"/>
            </w:pPr>
            <w:r>
              <w:rPr>
                <w:color w:val="000000"/>
                <w:sz w:val="20"/>
                <w:szCs w:val="20"/>
              </w:rPr>
              <w:t>R</w:t>
            </w:r>
          </w:p>
        </w:tc>
      </w:tr>
      <w:tr w:rsidR="00737CC2" w14:paraId="584D2271" w14:textId="77777777">
        <w:tc>
          <w:tcPr>
            <w:tcW w:w="3100" w:type="dxa"/>
            <w:shd w:val="clear" w:color="auto" w:fill="F2F2F2"/>
            <w:tcMar>
              <w:top w:w="100" w:type="dxa"/>
              <w:left w:w="120" w:type="dxa"/>
              <w:bottom w:w="100" w:type="dxa"/>
              <w:right w:w="120" w:type="dxa"/>
            </w:tcMar>
          </w:tcPr>
          <w:p w14:paraId="3E387E99" w14:textId="77777777" w:rsidR="00737CC2" w:rsidRDefault="00FD3604">
            <w:pPr>
              <w:spacing w:line="264" w:lineRule="auto"/>
            </w:pPr>
            <w:r>
              <w:rPr>
                <w:color w:val="000000"/>
                <w:sz w:val="20"/>
                <w:szCs w:val="20"/>
              </w:rPr>
              <w:t>Go-live decision</w:t>
            </w:r>
          </w:p>
        </w:tc>
        <w:tc>
          <w:tcPr>
            <w:tcW w:w="1600" w:type="dxa"/>
            <w:shd w:val="clear" w:color="auto" w:fill="F2F2F2"/>
            <w:tcMar>
              <w:top w:w="100" w:type="dxa"/>
              <w:left w:w="120" w:type="dxa"/>
              <w:bottom w:w="100" w:type="dxa"/>
              <w:right w:w="120" w:type="dxa"/>
            </w:tcMar>
          </w:tcPr>
          <w:p w14:paraId="185D7838" w14:textId="77777777" w:rsidR="00737CC2" w:rsidRDefault="00FD3604">
            <w:pPr>
              <w:spacing w:line="264" w:lineRule="auto"/>
            </w:pPr>
            <w:r>
              <w:rPr>
                <w:color w:val="000000"/>
                <w:sz w:val="20"/>
                <w:szCs w:val="20"/>
              </w:rPr>
              <w:t>R/A</w:t>
            </w:r>
          </w:p>
        </w:tc>
        <w:tc>
          <w:tcPr>
            <w:tcW w:w="1600" w:type="dxa"/>
            <w:shd w:val="clear" w:color="auto" w:fill="F2F2F2"/>
            <w:tcMar>
              <w:top w:w="100" w:type="dxa"/>
              <w:left w:w="120" w:type="dxa"/>
              <w:bottom w:w="100" w:type="dxa"/>
              <w:right w:w="120" w:type="dxa"/>
            </w:tcMar>
          </w:tcPr>
          <w:p w14:paraId="54D9BE81" w14:textId="77777777" w:rsidR="00737CC2" w:rsidRDefault="00FD3604">
            <w:pPr>
              <w:spacing w:line="264" w:lineRule="auto"/>
            </w:pPr>
            <w:r>
              <w:rPr>
                <w:color w:val="000000"/>
                <w:sz w:val="20"/>
                <w:szCs w:val="20"/>
              </w:rPr>
              <w:t>C</w:t>
            </w:r>
          </w:p>
        </w:tc>
        <w:tc>
          <w:tcPr>
            <w:tcW w:w="1600" w:type="dxa"/>
            <w:shd w:val="clear" w:color="auto" w:fill="F2F2F2"/>
            <w:tcMar>
              <w:top w:w="100" w:type="dxa"/>
              <w:left w:w="120" w:type="dxa"/>
              <w:bottom w:w="100" w:type="dxa"/>
              <w:right w:w="120" w:type="dxa"/>
            </w:tcMar>
          </w:tcPr>
          <w:p w14:paraId="406E439D" w14:textId="77777777" w:rsidR="00737CC2" w:rsidRDefault="00FD3604">
            <w:pPr>
              <w:spacing w:line="264" w:lineRule="auto"/>
            </w:pPr>
            <w:r>
              <w:rPr>
                <w:color w:val="000000"/>
                <w:sz w:val="20"/>
                <w:szCs w:val="20"/>
              </w:rPr>
              <w:t>C</w:t>
            </w:r>
          </w:p>
        </w:tc>
        <w:tc>
          <w:tcPr>
            <w:tcW w:w="1600" w:type="dxa"/>
            <w:shd w:val="clear" w:color="auto" w:fill="F2F2F2"/>
            <w:tcMar>
              <w:top w:w="100" w:type="dxa"/>
              <w:left w:w="120" w:type="dxa"/>
              <w:bottom w:w="100" w:type="dxa"/>
              <w:right w:w="120" w:type="dxa"/>
            </w:tcMar>
          </w:tcPr>
          <w:p w14:paraId="6124B553" w14:textId="77777777" w:rsidR="00737CC2" w:rsidRDefault="00FD3604">
            <w:pPr>
              <w:spacing w:line="264" w:lineRule="auto"/>
            </w:pPr>
            <w:r>
              <w:rPr>
                <w:color w:val="000000"/>
                <w:sz w:val="20"/>
                <w:szCs w:val="20"/>
              </w:rPr>
              <w:t>C</w:t>
            </w:r>
          </w:p>
        </w:tc>
      </w:tr>
    </w:tbl>
    <w:p w14:paraId="222F3B78" w14:textId="77777777" w:rsidR="00737CC2" w:rsidRDefault="00FD3604">
      <w:pPr>
        <w:spacing w:after="200"/>
        <w:jc w:val="center"/>
      </w:pPr>
      <w:r>
        <w:rPr>
          <w:i/>
          <w:iCs/>
        </w:rPr>
        <w:t xml:space="preserve">Table 2: Illustrative RACI matrix for key </w:t>
      </w:r>
      <w:proofErr w:type="spellStart"/>
      <w:r>
        <w:rPr>
          <w:i/>
          <w:iCs/>
        </w:rPr>
        <w:t>ConnectPlus</w:t>
      </w:r>
      <w:proofErr w:type="spellEnd"/>
      <w:r>
        <w:rPr>
          <w:i/>
          <w:iCs/>
        </w:rPr>
        <w:t xml:space="preserve"> activities.</w:t>
      </w:r>
    </w:p>
    <w:p w14:paraId="09092C16" w14:textId="77777777" w:rsidR="00737CC2" w:rsidRPr="002E1650" w:rsidRDefault="00FD3604" w:rsidP="005D60AB">
      <w:pPr>
        <w:pStyle w:val="Heading2"/>
      </w:pPr>
      <w:bookmarkStart w:id="13" w:name="_Toc234697443"/>
      <w:r w:rsidRPr="002E1650">
        <w:t>5.4 Managing conflict between stakeholders</w:t>
      </w:r>
      <w:bookmarkEnd w:id="13"/>
    </w:p>
    <w:p w14:paraId="76A5CDC2" w14:textId="77777777" w:rsidR="002A1062" w:rsidRDefault="002A1062">
      <w:pPr>
        <w:spacing w:after="200"/>
        <w:jc w:val="both"/>
      </w:pPr>
      <w:r w:rsidRPr="002A1062">
        <w:t xml:space="preserve">Conflict is bound to arise because of the diversity of stakeholders involved in the project, and there are going to be three main conflicts that will arise regularly. The first conflict arises from balancing commercial personalization needs against data privacy requirements of the customers; the strategy used here is the privacy-by-design approach and working together with the data protection regulatory agencies in a transparent way. The second conflict is between the consistency of global branding that is preferred by the central marketing and local market autonomy of Nordic franchise partners; the solution to this problem is the consultation and design process and the governance framework that allows global standards like data security to remain at the central level, but other aspects to the local level. The third conflict is between the pace of technical delivery preferred by the IT department </w:t>
      </w:r>
    </w:p>
    <w:p w14:paraId="3C2C5DC0" w14:textId="77777777" w:rsidR="002A1062" w:rsidRDefault="002A1062">
      <w:pPr>
        <w:spacing w:after="200"/>
        <w:jc w:val="both"/>
      </w:pPr>
    </w:p>
    <w:p w14:paraId="3FECF207" w14:textId="54C7ED9E" w:rsidR="00737CC2" w:rsidRDefault="002A1062">
      <w:pPr>
        <w:spacing w:after="200"/>
        <w:jc w:val="both"/>
      </w:pPr>
      <w:r w:rsidRPr="002A1062">
        <w:lastRenderedPageBreak/>
        <w:t xml:space="preserve">as well as the absorptive capacity of its frontline staff and customers for change; this is handled by implementing a gradual, market-by-market launch approach, rather than simultaneous introduction throughout the entire world, with each new market learning from the experience in the previous one. Behind all of these three elements there is also a formal procedure for escalating any conflict arising within it, from the working groups to the project steering group to the Board's risk management structure, in line with stakeholder conflict management best practice (Bryson, 2004). </w:t>
      </w:r>
    </w:p>
    <w:p w14:paraId="000DCC91" w14:textId="77777777" w:rsidR="00737CC2" w:rsidRPr="002E1650" w:rsidRDefault="00FD3604" w:rsidP="005D60AB">
      <w:pPr>
        <w:pStyle w:val="Heading1"/>
      </w:pPr>
      <w:bookmarkStart w:id="14" w:name="_Toc234697444"/>
      <w:r w:rsidRPr="002E1650">
        <w:t>6. Evaluating the Impact of Sustainable Stakeholder Engagement on Business Performance</w:t>
      </w:r>
      <w:bookmarkEnd w:id="14"/>
    </w:p>
    <w:p w14:paraId="25026836" w14:textId="77777777" w:rsidR="002A1062" w:rsidRDefault="002A1062">
      <w:pPr>
        <w:spacing w:after="200"/>
        <w:jc w:val="both"/>
      </w:pPr>
      <w:r w:rsidRPr="002A1062">
        <w:t xml:space="preserve">Effective and well-thought-out stakeholder engagement provides a range of concrete benefits for </w:t>
      </w:r>
      <w:proofErr w:type="spellStart"/>
      <w:r w:rsidRPr="002A1062">
        <w:t>Currys</w:t>
      </w:r>
      <w:proofErr w:type="spellEnd"/>
      <w:r w:rsidRPr="002A1062">
        <w:t xml:space="preserve"> in light of </w:t>
      </w:r>
      <w:proofErr w:type="spellStart"/>
      <w:r w:rsidRPr="002A1062">
        <w:t>ConnectPlus</w:t>
      </w:r>
      <w:proofErr w:type="spellEnd"/>
      <w:r w:rsidRPr="002A1062">
        <w:t xml:space="preserve">. According to Donaldson and Preston’s (1995) instrumental stakeholder theory, </w:t>
      </w:r>
      <w:proofErr w:type="spellStart"/>
      <w:r w:rsidRPr="002A1062">
        <w:t>organisations</w:t>
      </w:r>
      <w:proofErr w:type="spellEnd"/>
      <w:r w:rsidRPr="002A1062">
        <w:t xml:space="preserve"> which have effective stakeholder relations perform better than those which do not due to lowered transaction costs, increased cooperation and thus decreased resistance to changes, as well as better decision-making due to having greater knowledge base. Regarding </w:t>
      </w:r>
      <w:proofErr w:type="spellStart"/>
      <w:r w:rsidRPr="002A1062">
        <w:t>ConnectPlus</w:t>
      </w:r>
      <w:proofErr w:type="spellEnd"/>
      <w:r w:rsidRPr="002A1062">
        <w:t xml:space="preserve">, early consultation with colleagues from the front line and market leads would result in less implementation challenges and reworking, while transparency of interaction with customers on using their data should help achieve higher levels of opt-ins and retention rates compared to imposing platform on customers without any explanations – thereby helping </w:t>
      </w:r>
      <w:proofErr w:type="spellStart"/>
      <w:r w:rsidRPr="002A1062">
        <w:t>Currys</w:t>
      </w:r>
      <w:proofErr w:type="spellEnd"/>
      <w:r w:rsidRPr="002A1062">
        <w:t xml:space="preserve"> in achieving its strategic goals of increased customer satisfaction and sales growth (</w:t>
      </w:r>
      <w:proofErr w:type="spellStart"/>
      <w:r w:rsidRPr="002A1062">
        <w:t>Currys</w:t>
      </w:r>
      <w:proofErr w:type="spellEnd"/>
      <w:r w:rsidRPr="002A1062">
        <w:t xml:space="preserve"> plc, 2025). Having in mind </w:t>
      </w:r>
      <w:proofErr w:type="spellStart"/>
      <w:r w:rsidRPr="002A1062">
        <w:t>Currys</w:t>
      </w:r>
      <w:proofErr w:type="spellEnd"/>
      <w:r w:rsidRPr="002A1062">
        <w:t xml:space="preserve">’ own experience with the achievement of high level of engagement with its colleagues and being among the top five per cent of best companies worldwide in terms of colleagues’ engagement, it is clear that engagement with stakeholders could be beneficial for </w:t>
      </w:r>
      <w:proofErr w:type="spellStart"/>
      <w:r w:rsidRPr="002A1062">
        <w:t>Currys</w:t>
      </w:r>
      <w:proofErr w:type="spellEnd"/>
      <w:r w:rsidRPr="002A1062">
        <w:t xml:space="preserve"> in the context of </w:t>
      </w:r>
      <w:proofErr w:type="spellStart"/>
      <w:r w:rsidRPr="002A1062">
        <w:t>ConnectPlus</w:t>
      </w:r>
      <w:proofErr w:type="spellEnd"/>
      <w:r w:rsidRPr="002A1062">
        <w:t xml:space="preserve"> (</w:t>
      </w:r>
      <w:proofErr w:type="spellStart"/>
      <w:r w:rsidRPr="002A1062">
        <w:t>Currys</w:t>
      </w:r>
      <w:proofErr w:type="spellEnd"/>
      <w:r w:rsidRPr="002A1062">
        <w:t xml:space="preserve"> plc, 2025).</w:t>
      </w:r>
    </w:p>
    <w:p w14:paraId="6E9E7D46" w14:textId="11569369" w:rsidR="002A1062" w:rsidRDefault="002A1062">
      <w:pPr>
        <w:spacing w:after="200"/>
        <w:jc w:val="both"/>
      </w:pPr>
      <w:r w:rsidRPr="002A1062">
        <w:t xml:space="preserve">However, there are actual limitations with respect to the above advantage. Engagement is a resource intensive activity: engaging with various markets, colleagues, and the regulator takes time within the </w:t>
      </w:r>
      <w:r w:rsidR="00576343" w:rsidRPr="002A1062">
        <w:t>six-month</w:t>
      </w:r>
      <w:r w:rsidRPr="002A1062">
        <w:t xml:space="preserve"> launching period, and there is the very real risk of "consultation fatigue" when stakeholders will be asked for their input but do not see it being used. There is also the risk of engagement becoming more symbolic, as what Arnstein’s (1969) famous ladder of citizen participation describes as "</w:t>
      </w:r>
      <w:r w:rsidR="003A4CF6" w:rsidRPr="002A1062">
        <w:t>minimum effort</w:t>
      </w:r>
      <w:r w:rsidRPr="002A1062">
        <w:t xml:space="preserve">": engaging with the local market in terms of design choices that have been made centrally beforehand. In addition, not all stakeholder interests are mutually consistent: the expectations of </w:t>
      </w:r>
      <w:r w:rsidR="00576343" w:rsidRPr="002A1062">
        <w:t>shareholders</w:t>
      </w:r>
      <w:r w:rsidRPr="002A1062">
        <w:t xml:space="preserve"> with respect to immediate margin gains could clash with the time needed for building relationships in the process of ethical engagement with customers.</w:t>
      </w:r>
    </w:p>
    <w:p w14:paraId="51D0F0CF" w14:textId="72074522" w:rsidR="00737CC2" w:rsidRDefault="00FC265B">
      <w:pPr>
        <w:spacing w:after="200"/>
        <w:jc w:val="both"/>
      </w:pPr>
      <w:r w:rsidRPr="00FC265B">
        <w:t xml:space="preserve">It is also important to consider ethical issues in relation to </w:t>
      </w:r>
      <w:proofErr w:type="spellStart"/>
      <w:r w:rsidRPr="00FC265B">
        <w:t>ConnectPlus</w:t>
      </w:r>
      <w:proofErr w:type="spellEnd"/>
      <w:r w:rsidRPr="00FC265B">
        <w:t xml:space="preserve">’ dependence on customer information as well as personalization through artificial intelligence. Stakeholder theory from a normative viewpoint (Donaldson &amp; Preston, 1995) states that people like customers and colleagues have a claim to be treated fairly as they cannot be reduced to just their instrumental value for the </w:t>
      </w:r>
      <w:r w:rsidRPr="00FC265B">
        <w:lastRenderedPageBreak/>
        <w:t xml:space="preserve">company; thus, </w:t>
      </w:r>
      <w:proofErr w:type="spellStart"/>
      <w:r w:rsidRPr="00FC265B">
        <w:t>Currys</w:t>
      </w:r>
      <w:proofErr w:type="spellEnd"/>
      <w:r w:rsidRPr="00FC265B">
        <w:t xml:space="preserve"> has ethical </w:t>
      </w:r>
      <w:r w:rsidR="00FD3604">
        <w:t xml:space="preserve">obligation </w:t>
      </w:r>
      <w:r w:rsidRPr="00FC265B">
        <w:t xml:space="preserve">to avoid the risk of AI recommendations exploiting vulnerable clients, obtaining informed consent for data usage, rather than hidden within terms and conditions, and ensuring that the personalization algorithms do not result in discrimination, such as giving inferior offers to certain customer groups. The move by </w:t>
      </w:r>
      <w:proofErr w:type="spellStart"/>
      <w:r w:rsidRPr="00FC265B">
        <w:t>Currys</w:t>
      </w:r>
      <w:proofErr w:type="spellEnd"/>
      <w:r w:rsidRPr="00FC265B">
        <w:t xml:space="preserve"> to incorporate ESG into its corporate governance system instead of maintaining a separate Board committee for this function (Investing.com, 2025) means that it is even more critical to include ethical review in the governance of the </w:t>
      </w:r>
      <w:proofErr w:type="spellStart"/>
      <w:r w:rsidRPr="00FC265B">
        <w:t>ConnectPlus</w:t>
      </w:r>
      <w:proofErr w:type="spellEnd"/>
      <w:r w:rsidRPr="00FC265B">
        <w:t xml:space="preserve"> project team, as responsibility for data ethics can no longer be left in the hands of one committee. Managed correctly, however, ethical principles represent business opportunities: as </w:t>
      </w:r>
      <w:proofErr w:type="spellStart"/>
      <w:r w:rsidRPr="00FC265B">
        <w:t>Currys</w:t>
      </w:r>
      <w:proofErr w:type="spellEnd"/>
      <w:r w:rsidRPr="00FC265B">
        <w:t xml:space="preserve"> itself highlights in its sustainability reports on digital inclusion and circular economy (</w:t>
      </w:r>
      <w:proofErr w:type="spellStart"/>
      <w:r w:rsidRPr="00FC265B">
        <w:t>Currys</w:t>
      </w:r>
      <w:proofErr w:type="spellEnd"/>
      <w:r w:rsidRPr="00FC265B">
        <w:t xml:space="preserve"> plc, 2025), an approach that engages clients and employees as partners and not simply as passive recipients of the new platform will lead to the creation of trust, loyalty and reputation that </w:t>
      </w:r>
      <w:proofErr w:type="spellStart"/>
      <w:r w:rsidRPr="00FC265B">
        <w:t>ConnectPlus</w:t>
      </w:r>
      <w:proofErr w:type="spellEnd"/>
      <w:r w:rsidRPr="00FC265B">
        <w:t xml:space="preserve"> seeks to achieve</w:t>
      </w:r>
      <w:r>
        <w:t>.</w:t>
      </w:r>
    </w:p>
    <w:p w14:paraId="57B31D6C" w14:textId="77777777" w:rsidR="00737CC2" w:rsidRPr="009344F4" w:rsidRDefault="00FD3604" w:rsidP="005D60AB">
      <w:pPr>
        <w:pStyle w:val="Heading1"/>
      </w:pPr>
      <w:bookmarkStart w:id="15" w:name="_Toc234697445"/>
      <w:r w:rsidRPr="009344F4">
        <w:t>7. Recommendations and Conclusion</w:t>
      </w:r>
      <w:bookmarkEnd w:id="15"/>
    </w:p>
    <w:p w14:paraId="6FD35E1B" w14:textId="77777777" w:rsidR="00643B6B" w:rsidRDefault="00FC265B" w:rsidP="00FC265B">
      <w:pPr>
        <w:pStyle w:val="ListParagraph"/>
        <w:numPr>
          <w:ilvl w:val="0"/>
          <w:numId w:val="2"/>
        </w:numPr>
        <w:spacing w:after="200"/>
        <w:jc w:val="both"/>
      </w:pPr>
      <w:r>
        <w:t xml:space="preserve">Form a cross-departmental </w:t>
      </w:r>
      <w:proofErr w:type="spellStart"/>
      <w:r>
        <w:t>ConnectPlus</w:t>
      </w:r>
      <w:proofErr w:type="spellEnd"/>
      <w:r>
        <w:t xml:space="preserve"> steering committee led by the Project Manager and reporting to the Board, with IT, marketing, HR, local market leads, and customer advisory roles included formally in the governance structure.</w:t>
      </w:r>
    </w:p>
    <w:p w14:paraId="0D8A0F6D" w14:textId="77777777" w:rsidR="00643B6B" w:rsidRDefault="00FC265B" w:rsidP="00643B6B">
      <w:pPr>
        <w:pStyle w:val="ListParagraph"/>
        <w:numPr>
          <w:ilvl w:val="0"/>
          <w:numId w:val="2"/>
        </w:numPr>
        <w:spacing w:after="200"/>
        <w:jc w:val="both"/>
      </w:pPr>
      <w:r>
        <w:t>Implement a phased, market-by-market rollout plan, starting with a pilot market, in order to learn from any lessons in engagement prior to international rollout.</w:t>
      </w:r>
    </w:p>
    <w:p w14:paraId="7F98165C" w14:textId="77777777" w:rsidR="00643B6B" w:rsidRDefault="00FC265B" w:rsidP="00643B6B">
      <w:pPr>
        <w:pStyle w:val="ListParagraph"/>
        <w:numPr>
          <w:ilvl w:val="0"/>
          <w:numId w:val="2"/>
        </w:numPr>
        <w:spacing w:after="200"/>
        <w:jc w:val="both"/>
      </w:pPr>
      <w:r>
        <w:t>Focus on privacy-by-design principles and an ethical check point at each project gate, rather than waiting until the end for data protection considerations.</w:t>
      </w:r>
    </w:p>
    <w:p w14:paraId="21EBBEED" w14:textId="77777777" w:rsidR="00643B6B" w:rsidRDefault="00FC265B" w:rsidP="00643B6B">
      <w:pPr>
        <w:pStyle w:val="ListParagraph"/>
        <w:numPr>
          <w:ilvl w:val="0"/>
          <w:numId w:val="2"/>
        </w:numPr>
        <w:spacing w:after="200"/>
        <w:jc w:val="both"/>
      </w:pPr>
      <w:r>
        <w:t>Support the project scale-up by using the RACI matrix and communications plan laid out in this report.</w:t>
      </w:r>
    </w:p>
    <w:p w14:paraId="13574044" w14:textId="77777777" w:rsidR="00643B6B" w:rsidRDefault="00FC265B" w:rsidP="00643B6B">
      <w:pPr>
        <w:pStyle w:val="ListParagraph"/>
        <w:numPr>
          <w:ilvl w:val="0"/>
          <w:numId w:val="2"/>
        </w:numPr>
        <w:spacing w:after="200"/>
        <w:jc w:val="both"/>
      </w:pPr>
      <w:r>
        <w:t>Evaluate success based on engagement metrics, such as colleague engagement and customer opt-ins/satisfaction.</w:t>
      </w:r>
    </w:p>
    <w:p w14:paraId="53BC362D" w14:textId="7C8ABA6E" w:rsidR="00737CC2" w:rsidRDefault="0059727E" w:rsidP="00643B6B">
      <w:pPr>
        <w:spacing w:after="200"/>
        <w:jc w:val="both"/>
      </w:pPr>
      <w:r w:rsidRPr="0059727E">
        <w:t xml:space="preserve">In summary, however, the ability to achieve the success of </w:t>
      </w:r>
      <w:proofErr w:type="spellStart"/>
      <w:r w:rsidRPr="0059727E">
        <w:t>ConnectPlus</w:t>
      </w:r>
      <w:proofErr w:type="spellEnd"/>
      <w:r w:rsidRPr="0059727E">
        <w:t xml:space="preserve"> is just as dependent upon the level of stakeholder engagement as it is on the level of technical skill involved with the creation of the platform. Using stakeholder theory and techniques such as stakeholder mapping, power/interest matrix, salience model, 4Cs, and RACI, the development team will be able to ensure that they understand whom their stakeholders are at each step of the process, that the appropriate methods of engagement have been chosen for different cultural and regulatory environments, and that the inherent conflicts within the commercial, technical, and ethical aspects of the project have been managed.</w:t>
      </w:r>
    </w:p>
    <w:p w14:paraId="76772CE4" w14:textId="77777777" w:rsidR="00737CC2" w:rsidRDefault="00FD3604">
      <w:r>
        <w:br w:type="page"/>
      </w:r>
    </w:p>
    <w:p w14:paraId="77DFB7C0" w14:textId="77777777" w:rsidR="009344F4" w:rsidRDefault="009344F4" w:rsidP="009344F4">
      <w:pPr>
        <w:pStyle w:val="ListParagraph"/>
        <w:rPr>
          <w:b/>
          <w:bCs/>
        </w:rPr>
      </w:pPr>
    </w:p>
    <w:p w14:paraId="55023125" w14:textId="455563BA" w:rsidR="00737CC2" w:rsidRPr="009344F4" w:rsidRDefault="00FD3604" w:rsidP="005D60AB">
      <w:pPr>
        <w:pStyle w:val="Heading1"/>
      </w:pPr>
      <w:bookmarkStart w:id="16" w:name="_Toc234697446"/>
      <w:r w:rsidRPr="009344F4">
        <w:t>References</w:t>
      </w:r>
      <w:bookmarkEnd w:id="16"/>
    </w:p>
    <w:p w14:paraId="50243E45" w14:textId="77777777" w:rsidR="00737CC2" w:rsidRDefault="00FD3604">
      <w:pPr>
        <w:spacing w:after="160" w:line="276" w:lineRule="auto"/>
        <w:ind w:left="720" w:hanging="720"/>
      </w:pPr>
      <w:r>
        <w:t>Arnstein, S.R. (1969) 'A ladder of citizen participation', Journal of the American Institute of Planners, 35(4), pp. 216–224.</w:t>
      </w:r>
    </w:p>
    <w:p w14:paraId="1975B123" w14:textId="77777777" w:rsidR="00737CC2" w:rsidRDefault="00FD3604">
      <w:pPr>
        <w:spacing w:after="160" w:line="276" w:lineRule="auto"/>
        <w:ind w:left="720" w:hanging="720"/>
      </w:pPr>
      <w:r>
        <w:t>Bryson, J.M. (2004) 'What to do when stakeholders matter: Stakeholder identification and analysis techniques', Public Management Review, 6(1), pp. 21–53.</w:t>
      </w:r>
    </w:p>
    <w:p w14:paraId="53195DE9" w14:textId="77777777" w:rsidR="00737CC2" w:rsidRDefault="00FD3604">
      <w:pPr>
        <w:spacing w:after="160" w:line="276" w:lineRule="auto"/>
        <w:ind w:left="720" w:hanging="720"/>
      </w:pPr>
      <w:proofErr w:type="spellStart"/>
      <w:r>
        <w:t>Currys</w:t>
      </w:r>
      <w:proofErr w:type="spellEnd"/>
      <w:r>
        <w:t xml:space="preserve"> plc (2025) Annual Report and Accounts 2024/25. Available at: https://www.currysplc.com (Accessed: 8 July 2026).</w:t>
      </w:r>
    </w:p>
    <w:p w14:paraId="0F349774" w14:textId="77777777" w:rsidR="00737CC2" w:rsidRDefault="00FD3604">
      <w:pPr>
        <w:spacing w:after="160" w:line="276" w:lineRule="auto"/>
        <w:ind w:left="720" w:hanging="720"/>
      </w:pPr>
      <w:proofErr w:type="spellStart"/>
      <w:r>
        <w:t>Currys</w:t>
      </w:r>
      <w:proofErr w:type="spellEnd"/>
      <w:r>
        <w:t xml:space="preserve"> plc (2025) </w:t>
      </w:r>
      <w:proofErr w:type="spellStart"/>
      <w:r>
        <w:t>Currys</w:t>
      </w:r>
      <w:proofErr w:type="spellEnd"/>
      <w:r>
        <w:t xml:space="preserve"> Interim Results 2025/26. Available at: https://www.currysplc.com/news-media/press-releases/2025/currys-interim-results-2025-26/ (Accessed: 8 July 2026).</w:t>
      </w:r>
    </w:p>
    <w:p w14:paraId="6FA2EE84" w14:textId="77777777" w:rsidR="00737CC2" w:rsidRDefault="00FD3604">
      <w:pPr>
        <w:spacing w:after="160" w:line="276" w:lineRule="auto"/>
        <w:ind w:left="720" w:hanging="720"/>
      </w:pPr>
      <w:proofErr w:type="spellStart"/>
      <w:r>
        <w:t>Currys</w:t>
      </w:r>
      <w:proofErr w:type="spellEnd"/>
      <w:r>
        <w:t xml:space="preserve"> plc (2025) Our Approach. Available at: https://www.currysplc.com/sustainable-business/our-approach/ (Accessed: 8 July 2026).</w:t>
      </w:r>
    </w:p>
    <w:p w14:paraId="58A532B1" w14:textId="77777777" w:rsidR="00737CC2" w:rsidRDefault="00FD3604">
      <w:pPr>
        <w:spacing w:after="160" w:line="276" w:lineRule="auto"/>
        <w:ind w:left="720" w:hanging="720"/>
      </w:pPr>
      <w:proofErr w:type="spellStart"/>
      <w:r>
        <w:t>Currys</w:t>
      </w:r>
      <w:proofErr w:type="spellEnd"/>
      <w:r>
        <w:t xml:space="preserve"> plc (2025) Sustainable Business. Available at: https://www.currysplc.com/sustainable-business/ (Accessed: 8 July 2026).</w:t>
      </w:r>
    </w:p>
    <w:p w14:paraId="54968A24" w14:textId="77777777" w:rsidR="00737CC2" w:rsidRDefault="00FD3604">
      <w:pPr>
        <w:spacing w:after="160" w:line="276" w:lineRule="auto"/>
        <w:ind w:left="720" w:hanging="720"/>
      </w:pPr>
      <w:r>
        <w:t>Donaldson, T. and Preston, L.E. (1995) 'The stakeholder theory of the corporation: Concepts, evidence, and implications', Academy of Management Review, 20(1), pp. 65–91.</w:t>
      </w:r>
    </w:p>
    <w:p w14:paraId="2E3E58C0" w14:textId="77777777" w:rsidR="00737CC2" w:rsidRDefault="00FD3604">
      <w:pPr>
        <w:spacing w:after="160" w:line="276" w:lineRule="auto"/>
        <w:ind w:left="720" w:hanging="720"/>
      </w:pPr>
      <w:r>
        <w:t>Freeman, R.E. (1984) Strategic Management: A Stakeholder Approach. Boston: Pitman.</w:t>
      </w:r>
    </w:p>
    <w:p w14:paraId="28DF9724" w14:textId="77777777" w:rsidR="00737CC2" w:rsidRDefault="00FD3604">
      <w:pPr>
        <w:spacing w:after="160" w:line="276" w:lineRule="auto"/>
        <w:ind w:left="720" w:hanging="720"/>
      </w:pPr>
      <w:r>
        <w:t>Friedman, A.L. and Miles, S. (2006) Stakeholders: Theory and Practice. Oxford: Oxford University Press.</w:t>
      </w:r>
    </w:p>
    <w:p w14:paraId="24B60E4E" w14:textId="77777777" w:rsidR="00737CC2" w:rsidRDefault="00FD3604">
      <w:pPr>
        <w:spacing w:after="160" w:line="276" w:lineRule="auto"/>
        <w:ind w:left="720" w:hanging="720"/>
      </w:pPr>
      <w:r>
        <w:t xml:space="preserve">Investing.com (2025) </w:t>
      </w:r>
      <w:proofErr w:type="spellStart"/>
      <w:r>
        <w:t>Currys</w:t>
      </w:r>
      <w:proofErr w:type="spellEnd"/>
      <w:r>
        <w:t xml:space="preserve"> plc closes ESG committee, shifts oversight responsibilities. Available at: https://www.investing.com/news/company-news/currys-plc-closes-esg-committee-shifts-oversight-responsibilities-93CH-4246439 (Accessed: 8 July 2026).</w:t>
      </w:r>
    </w:p>
    <w:p w14:paraId="774F9216" w14:textId="77777777" w:rsidR="00737CC2" w:rsidRDefault="00FD3604">
      <w:pPr>
        <w:spacing w:after="160" w:line="276" w:lineRule="auto"/>
        <w:ind w:left="720" w:hanging="720"/>
      </w:pPr>
      <w:proofErr w:type="spellStart"/>
      <w:r>
        <w:t>Mendelow</w:t>
      </w:r>
      <w:proofErr w:type="spellEnd"/>
      <w:r>
        <w:t>, A. (1991) 'Stakeholder mapping', Proceedings of the 2nd International Conference on Information Systems, Cambridge, MA.</w:t>
      </w:r>
    </w:p>
    <w:p w14:paraId="42A44855" w14:textId="07C14591" w:rsidR="00737CC2" w:rsidRDefault="00FD3604">
      <w:pPr>
        <w:spacing w:after="160" w:line="276" w:lineRule="auto"/>
        <w:ind w:left="720" w:hanging="720"/>
      </w:pPr>
      <w:r>
        <w:t>Mitchell, R.K., Agle, B.R. and Wood, D.J. (1997) 'Toward a theory of stakeholder identification and salience: Defining the principle of who and what really counts', Academy of Management Review, 22(4), pp. 853–886.</w:t>
      </w:r>
    </w:p>
    <w:p w14:paraId="1C968FA3" w14:textId="7BE6998E" w:rsidR="00C0425A" w:rsidRDefault="00F01CBF">
      <w:pPr>
        <w:spacing w:after="160" w:line="276" w:lineRule="auto"/>
        <w:ind w:left="720" w:hanging="720"/>
      </w:pPr>
      <w:r w:rsidRPr="00F01CBF">
        <w:t>Marcão, R. and Vasco, S. (2025). Evolving Strategies for Organizational Management and Performance Evaluation. IGI Global.</w:t>
      </w:r>
    </w:p>
    <w:sectPr w:rsidR="00C0425A">
      <w:headerReference w:type="default" r:id="rId8"/>
      <w:footerReference w:type="default" r:id="rId9"/>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8FBF0" w14:textId="77777777" w:rsidR="00D05040" w:rsidRDefault="00D05040">
      <w:pPr>
        <w:spacing w:line="240" w:lineRule="auto"/>
      </w:pPr>
      <w:r>
        <w:separator/>
      </w:r>
    </w:p>
  </w:endnote>
  <w:endnote w:type="continuationSeparator" w:id="0">
    <w:p w14:paraId="052A6915" w14:textId="77777777" w:rsidR="00D05040" w:rsidRDefault="00D050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F2FF2" w14:textId="77777777" w:rsidR="00737CC2" w:rsidRDefault="00FD3604">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AD7BBD">
      <w:rPr>
        <w:noProof/>
        <w:color w:val="888888"/>
        <w:sz w:val="18"/>
        <w:szCs w:val="18"/>
      </w:rPr>
      <w:t>1</w:t>
    </w:r>
    <w:r>
      <w:rPr>
        <w:color w:val="888888"/>
        <w:sz w:val="18"/>
        <w:szCs w:val="18"/>
      </w:rPr>
      <w:fldChar w:fldCharType="end"/>
    </w:r>
    <w:r>
      <w:rPr>
        <w:color w:val="888888"/>
        <w:sz w:val="18"/>
        <w:szCs w:val="18"/>
      </w:rPr>
      <w:t xml:space="preserve"> of </w:t>
    </w:r>
    <w:r>
      <w:rPr>
        <w:color w:val="888888"/>
        <w:sz w:val="18"/>
        <w:szCs w:val="18"/>
      </w:rPr>
      <w:fldChar w:fldCharType="begin"/>
    </w:r>
    <w:r>
      <w:rPr>
        <w:color w:val="888888"/>
        <w:sz w:val="18"/>
        <w:szCs w:val="18"/>
      </w:rPr>
      <w:instrText>NUMPAGES</w:instrText>
    </w:r>
    <w:r>
      <w:rPr>
        <w:color w:val="888888"/>
        <w:sz w:val="18"/>
        <w:szCs w:val="18"/>
      </w:rPr>
      <w:fldChar w:fldCharType="separate"/>
    </w:r>
    <w:r w:rsidR="00AD7BBD">
      <w:rPr>
        <w:noProof/>
        <w:color w:val="888888"/>
        <w:sz w:val="18"/>
        <w:szCs w:val="18"/>
      </w:rPr>
      <w:t>2</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F9D31" w14:textId="77777777" w:rsidR="00D05040" w:rsidRDefault="00D05040">
      <w:pPr>
        <w:spacing w:line="240" w:lineRule="auto"/>
      </w:pPr>
      <w:r>
        <w:separator/>
      </w:r>
    </w:p>
  </w:footnote>
  <w:footnote w:type="continuationSeparator" w:id="0">
    <w:p w14:paraId="2F577A5B" w14:textId="77777777" w:rsidR="00D05040" w:rsidRDefault="00D0504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4E32E" w14:textId="63B65B7F" w:rsidR="00476FBD" w:rsidRDefault="00476FBD" w:rsidP="00476FBD">
    <w:pPr>
      <w:pStyle w:val="Header"/>
    </w:pPr>
    <w:r w:rsidRPr="00476FBD">
      <w:rPr>
        <w:noProof/>
      </w:rPr>
      <w:drawing>
        <wp:inline distT="0" distB="0" distL="0" distR="0" wp14:anchorId="65E109B3" wp14:editId="7B212555">
          <wp:extent cx="1181100" cy="493993"/>
          <wp:effectExtent l="0" t="0" r="0" b="1905"/>
          <wp:docPr id="1" name="Picture 12">
            <a:extLst xmlns:a="http://schemas.openxmlformats.org/drawingml/2006/main">
              <a:ext uri="{FF2B5EF4-FFF2-40B4-BE49-F238E27FC236}">
                <a16:creationId xmlns:a16="http://schemas.microsoft.com/office/drawing/2014/main" id="{4A7068EB-2FE8-4A9E-B4FB-4D89554747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4A7068EB-2FE8-4A9E-B4FB-4D8955474707}"/>
                      </a:ext>
                    </a:extLst>
                  </pic:cNvPr>
                  <pic:cNvPicPr>
                    <a:picLocks noChangeAspect="1"/>
                  </pic:cNvPicPr>
                </pic:nvPicPr>
                <pic:blipFill>
                  <a:blip r:embed="rId1"/>
                  <a:stretch>
                    <a:fillRect/>
                  </a:stretch>
                </pic:blipFill>
                <pic:spPr>
                  <a:xfrm>
                    <a:off x="0" y="0"/>
                    <a:ext cx="1226087" cy="51280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A2EA5"/>
    <w:multiLevelType w:val="hybridMultilevel"/>
    <w:tmpl w:val="6EAC4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9D6444"/>
    <w:multiLevelType w:val="hybridMultilevel"/>
    <w:tmpl w:val="80DE6A44"/>
    <w:lvl w:ilvl="0" w:tplc="4320AD06">
      <w:start w:val="1"/>
      <w:numFmt w:val="bullet"/>
      <w:lvlText w:val="●"/>
      <w:lvlJc w:val="left"/>
      <w:pPr>
        <w:ind w:left="720" w:hanging="360"/>
      </w:pPr>
    </w:lvl>
    <w:lvl w:ilvl="1" w:tplc="40D21884">
      <w:start w:val="1"/>
      <w:numFmt w:val="bullet"/>
      <w:lvlText w:val="○"/>
      <w:lvlJc w:val="left"/>
      <w:pPr>
        <w:ind w:left="1440" w:hanging="360"/>
      </w:pPr>
    </w:lvl>
    <w:lvl w:ilvl="2" w:tplc="CA7EE9F8">
      <w:start w:val="1"/>
      <w:numFmt w:val="bullet"/>
      <w:lvlText w:val="■"/>
      <w:lvlJc w:val="left"/>
      <w:pPr>
        <w:ind w:left="2160" w:hanging="360"/>
      </w:pPr>
    </w:lvl>
    <w:lvl w:ilvl="3" w:tplc="95FC860A">
      <w:start w:val="1"/>
      <w:numFmt w:val="bullet"/>
      <w:lvlText w:val="●"/>
      <w:lvlJc w:val="left"/>
      <w:pPr>
        <w:ind w:left="2880" w:hanging="360"/>
      </w:pPr>
    </w:lvl>
    <w:lvl w:ilvl="4" w:tplc="B6488F5A">
      <w:start w:val="1"/>
      <w:numFmt w:val="bullet"/>
      <w:lvlText w:val="○"/>
      <w:lvlJc w:val="left"/>
      <w:pPr>
        <w:ind w:left="3600" w:hanging="360"/>
      </w:pPr>
    </w:lvl>
    <w:lvl w:ilvl="5" w:tplc="F86E29A2">
      <w:start w:val="1"/>
      <w:numFmt w:val="bullet"/>
      <w:lvlText w:val="■"/>
      <w:lvlJc w:val="left"/>
      <w:pPr>
        <w:ind w:left="4320" w:hanging="360"/>
      </w:pPr>
    </w:lvl>
    <w:lvl w:ilvl="6" w:tplc="7404353A">
      <w:start w:val="1"/>
      <w:numFmt w:val="bullet"/>
      <w:lvlText w:val="●"/>
      <w:lvlJc w:val="left"/>
      <w:pPr>
        <w:ind w:left="5040" w:hanging="360"/>
      </w:pPr>
    </w:lvl>
    <w:lvl w:ilvl="7" w:tplc="6C021E5A">
      <w:start w:val="1"/>
      <w:numFmt w:val="bullet"/>
      <w:lvlText w:val="●"/>
      <w:lvlJc w:val="left"/>
      <w:pPr>
        <w:ind w:left="5760" w:hanging="360"/>
      </w:pPr>
    </w:lvl>
    <w:lvl w:ilvl="8" w:tplc="CA664AD0">
      <w:start w:val="1"/>
      <w:numFmt w:val="bullet"/>
      <w:lvlText w:val="●"/>
      <w:lvlJc w:val="left"/>
      <w:pPr>
        <w:ind w:left="6480" w:hanging="360"/>
      </w:pPr>
    </w:lvl>
  </w:abstractNum>
  <w:num w:numId="1">
    <w:abstractNumId w:val="1"/>
    <w:lvlOverride w:ilvl="0">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CC2"/>
    <w:rsid w:val="000474B8"/>
    <w:rsid w:val="000F6E16"/>
    <w:rsid w:val="00147FC6"/>
    <w:rsid w:val="00155321"/>
    <w:rsid w:val="00240E56"/>
    <w:rsid w:val="00242B15"/>
    <w:rsid w:val="002A1062"/>
    <w:rsid w:val="002D726B"/>
    <w:rsid w:val="002E1650"/>
    <w:rsid w:val="003A4CF6"/>
    <w:rsid w:val="003D459A"/>
    <w:rsid w:val="00476FBD"/>
    <w:rsid w:val="00485D56"/>
    <w:rsid w:val="004877C6"/>
    <w:rsid w:val="004D3918"/>
    <w:rsid w:val="0053608E"/>
    <w:rsid w:val="00576343"/>
    <w:rsid w:val="0059727E"/>
    <w:rsid w:val="005D60AB"/>
    <w:rsid w:val="005F524F"/>
    <w:rsid w:val="00602D7E"/>
    <w:rsid w:val="00643B6B"/>
    <w:rsid w:val="00656CA6"/>
    <w:rsid w:val="006704F9"/>
    <w:rsid w:val="006B22C6"/>
    <w:rsid w:val="006C4236"/>
    <w:rsid w:val="00705FA7"/>
    <w:rsid w:val="0073625E"/>
    <w:rsid w:val="00737CC2"/>
    <w:rsid w:val="00786DB4"/>
    <w:rsid w:val="007F1032"/>
    <w:rsid w:val="007F3802"/>
    <w:rsid w:val="00885721"/>
    <w:rsid w:val="0090193D"/>
    <w:rsid w:val="00913558"/>
    <w:rsid w:val="009344F4"/>
    <w:rsid w:val="009B238F"/>
    <w:rsid w:val="00AD7BBD"/>
    <w:rsid w:val="00B034E8"/>
    <w:rsid w:val="00C0425A"/>
    <w:rsid w:val="00C950EC"/>
    <w:rsid w:val="00CF6C5E"/>
    <w:rsid w:val="00D05040"/>
    <w:rsid w:val="00D1443E"/>
    <w:rsid w:val="00D870B9"/>
    <w:rsid w:val="00DD0729"/>
    <w:rsid w:val="00E25F99"/>
    <w:rsid w:val="00E6752E"/>
    <w:rsid w:val="00E77519"/>
    <w:rsid w:val="00EB0030"/>
    <w:rsid w:val="00F01CBF"/>
    <w:rsid w:val="00FC265B"/>
    <w:rsid w:val="00FD360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FC42A"/>
  <w15:docId w15:val="{6F2A2AF9-0E0F-4B9B-B03E-E1A8B4214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76FBD"/>
    <w:pPr>
      <w:tabs>
        <w:tab w:val="center" w:pos="4680"/>
        <w:tab w:val="right" w:pos="9360"/>
      </w:tabs>
      <w:spacing w:line="240" w:lineRule="auto"/>
    </w:pPr>
  </w:style>
  <w:style w:type="character" w:customStyle="1" w:styleId="HeaderChar">
    <w:name w:val="Header Char"/>
    <w:basedOn w:val="DefaultParagraphFont"/>
    <w:link w:val="Header"/>
    <w:uiPriority w:val="99"/>
    <w:rsid w:val="00476FBD"/>
  </w:style>
  <w:style w:type="paragraph" w:styleId="Footer">
    <w:name w:val="footer"/>
    <w:basedOn w:val="Normal"/>
    <w:link w:val="FooterChar"/>
    <w:uiPriority w:val="99"/>
    <w:unhideWhenUsed/>
    <w:rsid w:val="00476FBD"/>
    <w:pPr>
      <w:tabs>
        <w:tab w:val="center" w:pos="4680"/>
        <w:tab w:val="right" w:pos="9360"/>
      </w:tabs>
      <w:spacing w:line="240" w:lineRule="auto"/>
    </w:pPr>
  </w:style>
  <w:style w:type="character" w:customStyle="1" w:styleId="FooterChar">
    <w:name w:val="Footer Char"/>
    <w:basedOn w:val="DefaultParagraphFont"/>
    <w:link w:val="Footer"/>
    <w:uiPriority w:val="99"/>
    <w:rsid w:val="00476FBD"/>
  </w:style>
  <w:style w:type="paragraph" w:styleId="TOCHeading">
    <w:name w:val="TOC Heading"/>
    <w:basedOn w:val="Heading1"/>
    <w:next w:val="Normal"/>
    <w:uiPriority w:val="39"/>
    <w:unhideWhenUsed/>
    <w:qFormat/>
    <w:rsid w:val="005D60AB"/>
    <w:pPr>
      <w:keepNext/>
      <w:keepLines/>
      <w:spacing w:before="240" w:line="259" w:lineRule="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5D60AB"/>
    <w:pPr>
      <w:spacing w:after="100"/>
    </w:pPr>
  </w:style>
  <w:style w:type="paragraph" w:styleId="TOC2">
    <w:name w:val="toc 2"/>
    <w:basedOn w:val="Normal"/>
    <w:next w:val="Normal"/>
    <w:autoRedefine/>
    <w:uiPriority w:val="39"/>
    <w:unhideWhenUsed/>
    <w:rsid w:val="005D60A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2196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FF0752-FD28-49AF-9B05-3ACD6E769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3055</TotalTime>
  <Pages>12</Pages>
  <Words>4194</Words>
  <Characters>23912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Abeer Siddig</cp:lastModifiedBy>
  <cp:revision>24</cp:revision>
  <dcterms:created xsi:type="dcterms:W3CDTF">2026-07-08T13:25:00Z</dcterms:created>
  <dcterms:modified xsi:type="dcterms:W3CDTF">2026-07-19T16:28:00Z</dcterms:modified>
</cp:coreProperties>
</file>