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FEE71" w14:textId="785603BA" w:rsidR="00B151A8" w:rsidRPr="002262F7" w:rsidRDefault="002262F7" w:rsidP="002262F7">
      <w:pPr>
        <w:spacing w:line="360" w:lineRule="auto"/>
        <w:jc w:val="center"/>
        <w:rPr>
          <w:rFonts w:ascii="Arial" w:hAnsi="Arial" w:cs="Arial"/>
          <w:b/>
          <w:bCs/>
          <w:sz w:val="28"/>
          <w:szCs w:val="28"/>
        </w:rPr>
      </w:pPr>
      <w:r w:rsidRPr="002262F7">
        <w:rPr>
          <w:rFonts w:ascii="Arial" w:hAnsi="Arial" w:cs="Arial"/>
          <w:b/>
          <w:bCs/>
          <w:sz w:val="28"/>
          <w:szCs w:val="28"/>
        </w:rPr>
        <w:t>Hotel Placement – Managing Food and Beverage Operations</w:t>
      </w:r>
    </w:p>
    <w:p w14:paraId="416CEC3B" w14:textId="41A7971B" w:rsidR="002262F7" w:rsidRDefault="002262F7" w:rsidP="002262F7">
      <w:pPr>
        <w:spacing w:line="360" w:lineRule="auto"/>
        <w:jc w:val="center"/>
        <w:rPr>
          <w:rFonts w:ascii="Arial" w:hAnsi="Arial" w:cs="Arial"/>
          <w:b/>
          <w:bCs/>
          <w:sz w:val="28"/>
          <w:szCs w:val="28"/>
        </w:rPr>
      </w:pPr>
      <w:r w:rsidRPr="002262F7">
        <w:rPr>
          <w:rFonts w:ascii="Arial" w:hAnsi="Arial" w:cs="Arial"/>
          <w:b/>
          <w:bCs/>
          <w:sz w:val="28"/>
          <w:szCs w:val="28"/>
        </w:rPr>
        <w:t>BMIH6002</w:t>
      </w:r>
    </w:p>
    <w:p w14:paraId="3BA51DBA" w14:textId="77777777" w:rsidR="002262F7" w:rsidRDefault="002262F7" w:rsidP="002262F7">
      <w:pPr>
        <w:spacing w:line="360" w:lineRule="auto"/>
        <w:jc w:val="center"/>
        <w:rPr>
          <w:rFonts w:ascii="Arial" w:hAnsi="Arial" w:cs="Arial"/>
          <w:b/>
          <w:bCs/>
          <w:sz w:val="28"/>
          <w:szCs w:val="28"/>
        </w:rPr>
      </w:pPr>
    </w:p>
    <w:p w14:paraId="5FBE6698" w14:textId="77777777" w:rsidR="002262F7" w:rsidRDefault="002262F7" w:rsidP="002262F7">
      <w:pPr>
        <w:spacing w:line="360" w:lineRule="auto"/>
        <w:jc w:val="center"/>
        <w:rPr>
          <w:rFonts w:ascii="Arial" w:hAnsi="Arial" w:cs="Arial"/>
          <w:b/>
          <w:bCs/>
          <w:sz w:val="28"/>
          <w:szCs w:val="28"/>
        </w:rPr>
      </w:pPr>
    </w:p>
    <w:p w14:paraId="44E601AF" w14:textId="77777777" w:rsidR="00747FEF" w:rsidRDefault="00747FEF" w:rsidP="002262F7">
      <w:pPr>
        <w:spacing w:line="360" w:lineRule="auto"/>
        <w:jc w:val="center"/>
        <w:rPr>
          <w:rFonts w:ascii="Arial" w:hAnsi="Arial" w:cs="Arial"/>
          <w:b/>
          <w:bCs/>
          <w:sz w:val="28"/>
          <w:szCs w:val="28"/>
        </w:rPr>
      </w:pPr>
      <w:r>
        <w:rPr>
          <w:rFonts w:ascii="Arial" w:hAnsi="Arial" w:cs="Arial"/>
          <w:b/>
          <w:bCs/>
          <w:sz w:val="28"/>
          <w:szCs w:val="28"/>
        </w:rPr>
        <w:t>Name:</w:t>
      </w:r>
    </w:p>
    <w:p w14:paraId="1BE2FF65" w14:textId="39BDE424" w:rsidR="002262F7" w:rsidRDefault="002262F7" w:rsidP="002262F7">
      <w:pPr>
        <w:spacing w:line="360" w:lineRule="auto"/>
        <w:jc w:val="center"/>
        <w:rPr>
          <w:rFonts w:ascii="Arial" w:hAnsi="Arial" w:cs="Arial"/>
          <w:b/>
          <w:bCs/>
          <w:sz w:val="28"/>
          <w:szCs w:val="28"/>
        </w:rPr>
      </w:pPr>
      <w:r>
        <w:rPr>
          <w:rFonts w:ascii="Arial" w:hAnsi="Arial" w:cs="Arial"/>
          <w:b/>
          <w:bCs/>
          <w:sz w:val="28"/>
          <w:szCs w:val="28"/>
        </w:rPr>
        <w:t xml:space="preserve">Roxana Mihaela </w:t>
      </w:r>
      <w:proofErr w:type="spellStart"/>
      <w:r>
        <w:rPr>
          <w:rFonts w:ascii="Arial" w:hAnsi="Arial" w:cs="Arial"/>
          <w:b/>
          <w:bCs/>
          <w:sz w:val="28"/>
          <w:szCs w:val="28"/>
        </w:rPr>
        <w:t>Panainte</w:t>
      </w:r>
      <w:proofErr w:type="spellEnd"/>
    </w:p>
    <w:p w14:paraId="171FAFD3" w14:textId="77777777" w:rsidR="00747FEF" w:rsidRDefault="00747FEF" w:rsidP="002262F7">
      <w:pPr>
        <w:spacing w:line="360" w:lineRule="auto"/>
        <w:jc w:val="center"/>
        <w:rPr>
          <w:rFonts w:ascii="Arial" w:hAnsi="Arial" w:cs="Arial"/>
          <w:b/>
          <w:bCs/>
          <w:sz w:val="28"/>
          <w:szCs w:val="28"/>
        </w:rPr>
      </w:pPr>
      <w:r>
        <w:rPr>
          <w:rFonts w:ascii="Arial" w:hAnsi="Arial" w:cs="Arial"/>
          <w:b/>
          <w:bCs/>
          <w:sz w:val="28"/>
          <w:szCs w:val="28"/>
        </w:rPr>
        <w:t>ID:</w:t>
      </w:r>
    </w:p>
    <w:p w14:paraId="45F315F7" w14:textId="5824CED5" w:rsidR="002262F7" w:rsidRDefault="00747FEF" w:rsidP="002262F7">
      <w:pPr>
        <w:spacing w:line="360" w:lineRule="auto"/>
        <w:jc w:val="center"/>
        <w:rPr>
          <w:rFonts w:ascii="Arial" w:hAnsi="Arial" w:cs="Arial"/>
          <w:b/>
          <w:bCs/>
          <w:sz w:val="28"/>
          <w:szCs w:val="28"/>
        </w:rPr>
      </w:pPr>
      <w:r w:rsidRPr="00747FEF">
        <w:rPr>
          <w:rFonts w:ascii="Arial" w:hAnsi="Arial" w:cs="Arial"/>
          <w:b/>
          <w:bCs/>
          <w:sz w:val="28"/>
          <w:szCs w:val="28"/>
        </w:rPr>
        <w:t>2219073</w:t>
      </w:r>
    </w:p>
    <w:p w14:paraId="72D47CE7" w14:textId="77777777" w:rsidR="002262F7" w:rsidRDefault="002262F7" w:rsidP="002262F7">
      <w:pPr>
        <w:spacing w:line="360" w:lineRule="auto"/>
        <w:jc w:val="center"/>
        <w:rPr>
          <w:rFonts w:ascii="Arial" w:hAnsi="Arial" w:cs="Arial"/>
          <w:b/>
          <w:bCs/>
          <w:sz w:val="28"/>
          <w:szCs w:val="28"/>
        </w:rPr>
      </w:pPr>
    </w:p>
    <w:p w14:paraId="1895200D" w14:textId="77777777" w:rsidR="002262F7" w:rsidRDefault="002262F7" w:rsidP="002262F7">
      <w:pPr>
        <w:spacing w:line="360" w:lineRule="auto"/>
        <w:jc w:val="center"/>
        <w:rPr>
          <w:rFonts w:ascii="Arial" w:hAnsi="Arial" w:cs="Arial"/>
          <w:b/>
          <w:bCs/>
          <w:sz w:val="28"/>
          <w:szCs w:val="28"/>
        </w:rPr>
      </w:pPr>
    </w:p>
    <w:p w14:paraId="61288B0D" w14:textId="77777777" w:rsidR="002262F7" w:rsidRDefault="002262F7" w:rsidP="002262F7">
      <w:pPr>
        <w:spacing w:line="360" w:lineRule="auto"/>
        <w:jc w:val="center"/>
        <w:rPr>
          <w:rFonts w:ascii="Arial" w:hAnsi="Arial" w:cs="Arial"/>
          <w:b/>
          <w:bCs/>
          <w:sz w:val="28"/>
          <w:szCs w:val="28"/>
        </w:rPr>
      </w:pPr>
    </w:p>
    <w:p w14:paraId="1229D7DA" w14:textId="77777777" w:rsidR="002262F7" w:rsidRDefault="002262F7" w:rsidP="002262F7">
      <w:pPr>
        <w:spacing w:line="360" w:lineRule="auto"/>
        <w:jc w:val="center"/>
        <w:rPr>
          <w:rFonts w:ascii="Arial" w:hAnsi="Arial" w:cs="Arial"/>
          <w:b/>
          <w:bCs/>
          <w:sz w:val="28"/>
          <w:szCs w:val="28"/>
        </w:rPr>
      </w:pPr>
    </w:p>
    <w:p w14:paraId="490A6C0C" w14:textId="77777777" w:rsidR="002262F7" w:rsidRDefault="002262F7" w:rsidP="002262F7">
      <w:pPr>
        <w:spacing w:line="360" w:lineRule="auto"/>
        <w:jc w:val="center"/>
        <w:rPr>
          <w:rFonts w:ascii="Arial" w:hAnsi="Arial" w:cs="Arial"/>
          <w:b/>
          <w:bCs/>
          <w:sz w:val="28"/>
          <w:szCs w:val="28"/>
        </w:rPr>
      </w:pPr>
    </w:p>
    <w:p w14:paraId="3DC42FDE" w14:textId="77777777" w:rsidR="002262F7" w:rsidRDefault="002262F7" w:rsidP="002262F7">
      <w:pPr>
        <w:spacing w:line="360" w:lineRule="auto"/>
        <w:jc w:val="center"/>
        <w:rPr>
          <w:rFonts w:ascii="Arial" w:hAnsi="Arial" w:cs="Arial"/>
          <w:b/>
          <w:bCs/>
          <w:sz w:val="28"/>
          <w:szCs w:val="28"/>
        </w:rPr>
      </w:pPr>
    </w:p>
    <w:p w14:paraId="3AD3D14A" w14:textId="77777777" w:rsidR="002262F7" w:rsidRDefault="002262F7" w:rsidP="002262F7">
      <w:pPr>
        <w:spacing w:line="360" w:lineRule="auto"/>
        <w:jc w:val="center"/>
        <w:rPr>
          <w:rFonts w:ascii="Arial" w:hAnsi="Arial" w:cs="Arial"/>
          <w:b/>
          <w:bCs/>
          <w:sz w:val="28"/>
          <w:szCs w:val="28"/>
        </w:rPr>
      </w:pPr>
    </w:p>
    <w:p w14:paraId="7F4528D3" w14:textId="77777777" w:rsidR="002262F7" w:rsidRDefault="002262F7" w:rsidP="002262F7">
      <w:pPr>
        <w:spacing w:line="360" w:lineRule="auto"/>
        <w:jc w:val="center"/>
        <w:rPr>
          <w:rFonts w:ascii="Arial" w:hAnsi="Arial" w:cs="Arial"/>
          <w:b/>
          <w:bCs/>
          <w:sz w:val="28"/>
          <w:szCs w:val="28"/>
        </w:rPr>
      </w:pPr>
    </w:p>
    <w:p w14:paraId="6FEA5770" w14:textId="77777777" w:rsidR="002262F7" w:rsidRDefault="002262F7" w:rsidP="002262F7">
      <w:pPr>
        <w:spacing w:line="360" w:lineRule="auto"/>
        <w:jc w:val="center"/>
        <w:rPr>
          <w:rFonts w:ascii="Arial" w:hAnsi="Arial" w:cs="Arial"/>
          <w:b/>
          <w:bCs/>
          <w:sz w:val="28"/>
          <w:szCs w:val="28"/>
        </w:rPr>
      </w:pPr>
    </w:p>
    <w:p w14:paraId="291B2879" w14:textId="77777777" w:rsidR="002262F7" w:rsidRDefault="002262F7" w:rsidP="002262F7">
      <w:pPr>
        <w:spacing w:line="360" w:lineRule="auto"/>
        <w:jc w:val="center"/>
        <w:rPr>
          <w:rFonts w:ascii="Arial" w:hAnsi="Arial" w:cs="Arial"/>
          <w:b/>
          <w:bCs/>
          <w:sz w:val="28"/>
          <w:szCs w:val="28"/>
        </w:rPr>
      </w:pPr>
    </w:p>
    <w:p w14:paraId="3780B231" w14:textId="77777777" w:rsidR="002262F7" w:rsidRDefault="002262F7" w:rsidP="002262F7">
      <w:pPr>
        <w:spacing w:line="360" w:lineRule="auto"/>
        <w:jc w:val="center"/>
        <w:rPr>
          <w:rFonts w:ascii="Arial" w:hAnsi="Arial" w:cs="Arial"/>
          <w:b/>
          <w:bCs/>
          <w:sz w:val="28"/>
          <w:szCs w:val="28"/>
        </w:rPr>
      </w:pPr>
    </w:p>
    <w:p w14:paraId="52F279E2" w14:textId="77777777" w:rsidR="002262F7" w:rsidRDefault="002262F7" w:rsidP="002262F7">
      <w:pPr>
        <w:spacing w:line="360" w:lineRule="auto"/>
        <w:jc w:val="center"/>
        <w:rPr>
          <w:rFonts w:ascii="Arial" w:hAnsi="Arial" w:cs="Arial"/>
          <w:b/>
          <w:bCs/>
          <w:sz w:val="28"/>
          <w:szCs w:val="28"/>
        </w:rPr>
      </w:pPr>
    </w:p>
    <w:p w14:paraId="56767ACC" w14:textId="77777777" w:rsidR="002262F7" w:rsidRDefault="002262F7" w:rsidP="002262F7">
      <w:pPr>
        <w:spacing w:line="360" w:lineRule="auto"/>
        <w:jc w:val="center"/>
        <w:rPr>
          <w:rFonts w:ascii="Arial" w:hAnsi="Arial" w:cs="Arial"/>
          <w:b/>
          <w:bCs/>
          <w:sz w:val="28"/>
          <w:szCs w:val="28"/>
        </w:rPr>
      </w:pPr>
    </w:p>
    <w:p w14:paraId="06994EBC" w14:textId="77777777" w:rsidR="002262F7" w:rsidRPr="002262F7" w:rsidRDefault="002262F7" w:rsidP="002262F7">
      <w:pPr>
        <w:spacing w:line="360" w:lineRule="auto"/>
        <w:jc w:val="both"/>
        <w:rPr>
          <w:rFonts w:ascii="Arial" w:hAnsi="Arial" w:cs="Arial"/>
          <w:sz w:val="24"/>
          <w:szCs w:val="24"/>
        </w:rPr>
      </w:pPr>
    </w:p>
    <w:p w14:paraId="1DD0F112"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lastRenderedPageBreak/>
        <w:t xml:space="preserve">Introduction </w:t>
      </w:r>
    </w:p>
    <w:p w14:paraId="36220B54" w14:textId="01DCAB7D" w:rsidR="002262F7" w:rsidRPr="00AD6A20" w:rsidRDefault="002262F7" w:rsidP="00AD6A20">
      <w:pPr>
        <w:spacing w:line="360" w:lineRule="auto"/>
        <w:jc w:val="both"/>
        <w:rPr>
          <w:rFonts w:ascii="Arial" w:hAnsi="Arial" w:cs="Arial"/>
          <w:color w:val="000000" w:themeColor="text1"/>
          <w:sz w:val="24"/>
          <w:szCs w:val="24"/>
        </w:rPr>
      </w:pPr>
      <w:proofErr w:type="gramStart"/>
      <w:r w:rsidRPr="00AD6A20">
        <w:rPr>
          <w:rFonts w:ascii="Arial" w:hAnsi="Arial" w:cs="Arial"/>
          <w:color w:val="000000" w:themeColor="text1"/>
          <w:sz w:val="24"/>
          <w:szCs w:val="24"/>
        </w:rPr>
        <w:t>I finished</w:t>
      </w:r>
      <w:proofErr w:type="gramEnd"/>
      <w:r w:rsidRPr="00AD6A20">
        <w:rPr>
          <w:rFonts w:ascii="Arial" w:hAnsi="Arial" w:cs="Arial"/>
          <w:color w:val="000000" w:themeColor="text1"/>
          <w:sz w:val="24"/>
          <w:szCs w:val="24"/>
        </w:rPr>
        <w:t xml:space="preserve"> my supervisory practice at Novotel Birmingham Centre which features 148 rooms and an open-kitchen restaurant alongside a lobby bar with six conference suites under the upper-midscale Accor brand. Trade expos held at the nearby International Convention Centre resulted in an average occupancy rate of 71 % throughout my management period. The food-and-beverage team included nineteen front-of-house staff members supported by two apprentices and four supervisors who worked in split shifts. </w:t>
      </w:r>
      <w:proofErr w:type="gramStart"/>
      <w:r w:rsidRPr="00AD6A20">
        <w:rPr>
          <w:rFonts w:ascii="Arial" w:hAnsi="Arial" w:cs="Arial"/>
          <w:color w:val="000000" w:themeColor="text1"/>
          <w:sz w:val="24"/>
          <w:szCs w:val="24"/>
        </w:rPr>
        <w:t>My placement</w:t>
      </w:r>
      <w:proofErr w:type="gramEnd"/>
      <w:r w:rsidRPr="00AD6A20">
        <w:rPr>
          <w:rFonts w:ascii="Arial" w:hAnsi="Arial" w:cs="Arial"/>
          <w:color w:val="000000" w:themeColor="text1"/>
          <w:sz w:val="24"/>
          <w:szCs w:val="24"/>
        </w:rPr>
        <w:t xml:space="preserve"> brief set three learning goals: The placement required me to train new breakfast staff members while </w:t>
      </w:r>
      <w:proofErr w:type="spellStart"/>
      <w:r w:rsidRPr="00AD6A20">
        <w:rPr>
          <w:rFonts w:ascii="Arial" w:hAnsi="Arial" w:cs="Arial"/>
          <w:color w:val="000000" w:themeColor="text1"/>
          <w:sz w:val="24"/>
          <w:szCs w:val="24"/>
        </w:rPr>
        <w:t>analyzing</w:t>
      </w:r>
      <w:proofErr w:type="spellEnd"/>
      <w:r w:rsidRPr="00AD6A20">
        <w:rPr>
          <w:rFonts w:ascii="Arial" w:hAnsi="Arial" w:cs="Arial"/>
          <w:color w:val="000000" w:themeColor="text1"/>
          <w:sz w:val="24"/>
          <w:szCs w:val="24"/>
        </w:rPr>
        <w:t xml:space="preserve"> daily beverage profits and addressing guest complaints to brand specifications. </w:t>
      </w:r>
      <w:proofErr w:type="gramStart"/>
      <w:r w:rsidRPr="00AD6A20">
        <w:rPr>
          <w:rFonts w:ascii="Arial" w:hAnsi="Arial" w:cs="Arial"/>
          <w:color w:val="000000" w:themeColor="text1"/>
          <w:sz w:val="24"/>
          <w:szCs w:val="24"/>
        </w:rPr>
        <w:t>I implement</w:t>
      </w:r>
      <w:proofErr w:type="gramEnd"/>
      <w:r w:rsidRPr="00AD6A20">
        <w:rPr>
          <w:rFonts w:ascii="Arial" w:hAnsi="Arial" w:cs="Arial"/>
          <w:color w:val="000000" w:themeColor="text1"/>
          <w:sz w:val="24"/>
          <w:szCs w:val="24"/>
        </w:rPr>
        <w:t xml:space="preserve"> Donald Schön’s reflective model to merge in-service intuition with structured after-action analysis which helps me understand how immediate decisions evolve into professional expertise. This log incorporates reflection-in-action and reflection-on-action for </w:t>
      </w:r>
      <w:proofErr w:type="gramStart"/>
      <w:r w:rsidRPr="00AD6A20">
        <w:rPr>
          <w:rFonts w:ascii="Arial" w:hAnsi="Arial" w:cs="Arial"/>
          <w:color w:val="000000" w:themeColor="text1"/>
          <w:sz w:val="24"/>
          <w:szCs w:val="24"/>
        </w:rPr>
        <w:t>important events</w:t>
      </w:r>
      <w:proofErr w:type="gramEnd"/>
      <w:r w:rsidRPr="00AD6A20">
        <w:rPr>
          <w:rFonts w:ascii="Arial" w:hAnsi="Arial" w:cs="Arial"/>
          <w:color w:val="000000" w:themeColor="text1"/>
          <w:sz w:val="24"/>
          <w:szCs w:val="24"/>
        </w:rPr>
        <w:t xml:space="preserve"> and details my skill improvement with a service-improvement strategy that matches Accor standards and hospitality industry studies.</w:t>
      </w:r>
    </w:p>
    <w:p w14:paraId="5319665D"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Reflection Using Schön’s Framework </w:t>
      </w:r>
    </w:p>
    <w:p w14:paraId="1078D741"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Reflection-in-Action </w:t>
      </w:r>
    </w:p>
    <w:p w14:paraId="12069C52" w14:textId="07916000" w:rsidR="002262F7" w:rsidRPr="00AD6A20" w:rsidRDefault="002262F7"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During the Monday breakfast rush the queue at the restaurant entrance extended beyond ten minutes which surpassed the five-minute waiting limit set by Accor for their midscale brand.</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 xml:space="preserve">The new employee stopped working at the payment machine while customers expressed their displeasure. </w:t>
      </w:r>
      <w:proofErr w:type="gramStart"/>
      <w:r w:rsidRPr="00AD6A20">
        <w:rPr>
          <w:rFonts w:ascii="Arial" w:hAnsi="Arial" w:cs="Arial"/>
          <w:color w:val="000000" w:themeColor="text1"/>
          <w:sz w:val="24"/>
          <w:szCs w:val="24"/>
        </w:rPr>
        <w:t>My responsibilities</w:t>
      </w:r>
      <w:proofErr w:type="gramEnd"/>
      <w:r w:rsidRPr="00AD6A20">
        <w:rPr>
          <w:rFonts w:ascii="Arial" w:hAnsi="Arial" w:cs="Arial"/>
          <w:color w:val="000000" w:themeColor="text1"/>
          <w:sz w:val="24"/>
          <w:szCs w:val="24"/>
        </w:rPr>
        <w:t xml:space="preserve"> during the pastry plating process led me to take over the cash desk operations followed by an assignment change to coffee service for her while I restructured the floor layout to establish a second bread station. </w:t>
      </w:r>
      <w:proofErr w:type="gramStart"/>
      <w:r w:rsidRPr="00AD6A20">
        <w:rPr>
          <w:rFonts w:ascii="Arial" w:hAnsi="Arial" w:cs="Arial"/>
          <w:color w:val="000000" w:themeColor="text1"/>
          <w:sz w:val="24"/>
          <w:szCs w:val="24"/>
        </w:rPr>
        <w:t>I used</w:t>
      </w:r>
      <w:proofErr w:type="gramEnd"/>
      <w:r w:rsidRPr="00AD6A20">
        <w:rPr>
          <w:rFonts w:ascii="Arial" w:hAnsi="Arial" w:cs="Arial"/>
          <w:color w:val="000000" w:themeColor="text1"/>
          <w:sz w:val="24"/>
          <w:szCs w:val="24"/>
        </w:rPr>
        <w:t xml:space="preserve"> brief questions like “Which key prints the receipt?” to maintain her engagement instead of giving direct orders. After eight minutes of service adjustment the meal period's peak Net Promoter Score climbed back to +46 which exceeded the weekly average by two points. Through my intervention I demonstrated Schön’s</w:t>
      </w:r>
      <w:r w:rsidR="00747FEF" w:rsidRPr="00AD6A20">
        <w:rPr>
          <w:rFonts w:ascii="Arial" w:hAnsi="Arial" w:cs="Arial"/>
          <w:color w:val="000000" w:themeColor="text1"/>
          <w:sz w:val="24"/>
          <w:szCs w:val="24"/>
        </w:rPr>
        <w:t xml:space="preserve"> (2017) </w:t>
      </w:r>
      <w:r w:rsidRPr="00AD6A20">
        <w:rPr>
          <w:rFonts w:ascii="Arial" w:hAnsi="Arial" w:cs="Arial"/>
          <w:color w:val="000000" w:themeColor="text1"/>
          <w:sz w:val="24"/>
          <w:szCs w:val="24"/>
        </w:rPr>
        <w:t xml:space="preserve">concept of “thinking in action” showing how intuitive knowledge directs </w:t>
      </w:r>
      <w:proofErr w:type="spellStart"/>
      <w:r w:rsidRPr="00AD6A20">
        <w:rPr>
          <w:rFonts w:ascii="Arial" w:hAnsi="Arial" w:cs="Arial"/>
          <w:color w:val="000000" w:themeColor="text1"/>
          <w:sz w:val="24"/>
          <w:szCs w:val="24"/>
        </w:rPr>
        <w:t>behavior</w:t>
      </w:r>
      <w:proofErr w:type="spellEnd"/>
      <w:r w:rsidRPr="00AD6A20">
        <w:rPr>
          <w:rFonts w:ascii="Arial" w:hAnsi="Arial" w:cs="Arial"/>
          <w:color w:val="000000" w:themeColor="text1"/>
          <w:sz w:val="24"/>
          <w:szCs w:val="24"/>
        </w:rPr>
        <w:t xml:space="preserve"> ahead of systematic analysis.</w:t>
      </w:r>
      <w:r w:rsidRPr="00AD6A20">
        <w:rPr>
          <w:rFonts w:ascii="Arial" w:hAnsi="Arial" w:cs="Arial"/>
          <w:color w:val="000000" w:themeColor="text1"/>
          <w:sz w:val="24"/>
          <w:szCs w:val="24"/>
        </w:rPr>
        <w:t xml:space="preserve"> </w:t>
      </w:r>
      <w:proofErr w:type="gramStart"/>
      <w:r w:rsidRPr="00AD6A20">
        <w:rPr>
          <w:rFonts w:ascii="Arial" w:hAnsi="Arial" w:cs="Arial"/>
          <w:color w:val="000000" w:themeColor="text1"/>
          <w:sz w:val="24"/>
          <w:szCs w:val="24"/>
        </w:rPr>
        <w:t>I observed</w:t>
      </w:r>
      <w:proofErr w:type="gramEnd"/>
      <w:r w:rsidRPr="00AD6A20">
        <w:rPr>
          <w:rFonts w:ascii="Arial" w:hAnsi="Arial" w:cs="Arial"/>
          <w:color w:val="000000" w:themeColor="text1"/>
          <w:sz w:val="24"/>
          <w:szCs w:val="24"/>
        </w:rPr>
        <w:t xml:space="preserve"> that the fresh-orange-juice press expelled unusually damp pulp later that morning. Breakfast buffets achieved a yield percentage of 58 % which was under the industry standard of 70 %. </w:t>
      </w:r>
      <w:proofErr w:type="gramStart"/>
      <w:r w:rsidRPr="00AD6A20">
        <w:rPr>
          <w:rFonts w:ascii="Arial" w:hAnsi="Arial" w:cs="Arial"/>
          <w:color w:val="000000" w:themeColor="text1"/>
          <w:sz w:val="24"/>
          <w:szCs w:val="24"/>
        </w:rPr>
        <w:t>I managed</w:t>
      </w:r>
      <w:proofErr w:type="gramEnd"/>
      <w:r w:rsidRPr="00AD6A20">
        <w:rPr>
          <w:rFonts w:ascii="Arial" w:hAnsi="Arial" w:cs="Arial"/>
          <w:color w:val="000000" w:themeColor="text1"/>
          <w:sz w:val="24"/>
          <w:szCs w:val="24"/>
        </w:rPr>
        <w:t xml:space="preserve"> to maintain service flow while I conducted a series of adjustments that included weighing the waste container and adjusting the fruit feed dimensions followed by recalibrating the cutting discs. Adjusting the fruit feed size saved approximately £12 worth of oranges during the shift while enhancing juice </w:t>
      </w:r>
      <w:proofErr w:type="spellStart"/>
      <w:r w:rsidRPr="00AD6A20">
        <w:rPr>
          <w:rFonts w:ascii="Arial" w:hAnsi="Arial" w:cs="Arial"/>
          <w:color w:val="000000" w:themeColor="text1"/>
          <w:sz w:val="24"/>
          <w:szCs w:val="24"/>
        </w:rPr>
        <w:t>color</w:t>
      </w:r>
      <w:proofErr w:type="spellEnd"/>
      <w:r w:rsidRPr="00AD6A20">
        <w:rPr>
          <w:rFonts w:ascii="Arial" w:hAnsi="Arial" w:cs="Arial"/>
          <w:color w:val="000000" w:themeColor="text1"/>
          <w:sz w:val="24"/>
          <w:szCs w:val="24"/>
        </w:rPr>
        <w:t xml:space="preserve"> quality enough to earn positive feedback from two regular guests. Real-time monitoring of sensory data and guest feedback strengthened my conviction that supervisors can enhance performance without interrupting service operations</w:t>
      </w:r>
      <w:r w:rsidR="00747FEF" w:rsidRPr="00AD6A20">
        <w:rPr>
          <w:rFonts w:ascii="Arial" w:hAnsi="Arial" w:cs="Arial"/>
          <w:color w:val="000000" w:themeColor="text1"/>
          <w:sz w:val="24"/>
          <w:szCs w:val="24"/>
        </w:rPr>
        <w:t xml:space="preserve"> (</w:t>
      </w:r>
      <w:proofErr w:type="spellStart"/>
      <w:r w:rsidR="00747FEF" w:rsidRPr="00AD6A20">
        <w:rPr>
          <w:rFonts w:ascii="Arial" w:hAnsi="Arial" w:cs="Arial"/>
          <w:color w:val="000000" w:themeColor="text1"/>
          <w:sz w:val="24"/>
          <w:szCs w:val="24"/>
        </w:rPr>
        <w:t>Mercan</w:t>
      </w:r>
      <w:proofErr w:type="spellEnd"/>
      <w:r w:rsidR="00747FEF" w:rsidRPr="00AD6A20">
        <w:rPr>
          <w:rFonts w:ascii="Arial" w:hAnsi="Arial" w:cs="Arial"/>
          <w:color w:val="000000" w:themeColor="text1"/>
          <w:sz w:val="24"/>
          <w:szCs w:val="24"/>
        </w:rPr>
        <w:t xml:space="preserve"> et al., 2021)</w:t>
      </w:r>
      <w:r w:rsidRPr="00AD6A20">
        <w:rPr>
          <w:rFonts w:ascii="Arial" w:hAnsi="Arial" w:cs="Arial"/>
          <w:color w:val="000000" w:themeColor="text1"/>
          <w:sz w:val="24"/>
          <w:szCs w:val="24"/>
        </w:rPr>
        <w:t>.</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 xml:space="preserve">The third incident occurred when a guest used the table-top feedback tablet to report the lukewarm scrambled eggs. </w:t>
      </w:r>
      <w:proofErr w:type="gramStart"/>
      <w:r w:rsidRPr="00AD6A20">
        <w:rPr>
          <w:rFonts w:ascii="Arial" w:hAnsi="Arial" w:cs="Arial"/>
          <w:color w:val="000000" w:themeColor="text1"/>
          <w:sz w:val="24"/>
          <w:szCs w:val="24"/>
        </w:rPr>
        <w:t>I replaced</w:t>
      </w:r>
      <w:proofErr w:type="gramEnd"/>
      <w:r w:rsidRPr="00AD6A20">
        <w:rPr>
          <w:rFonts w:ascii="Arial" w:hAnsi="Arial" w:cs="Arial"/>
          <w:color w:val="000000" w:themeColor="text1"/>
          <w:sz w:val="24"/>
          <w:szCs w:val="24"/>
        </w:rPr>
        <w:t xml:space="preserve"> the dish and apologised to the guest while delivering a complimentary flat white all within four minutes. Studies focusing on service recovery highlight speed, fairness and explanation as major factors that build guest loyalty</w:t>
      </w:r>
      <w:r w:rsidR="00747FEF" w:rsidRPr="00AD6A20">
        <w:rPr>
          <w:rFonts w:ascii="Arial" w:hAnsi="Arial" w:cs="Arial"/>
          <w:color w:val="000000" w:themeColor="text1"/>
          <w:sz w:val="24"/>
          <w:szCs w:val="24"/>
        </w:rPr>
        <w:t xml:space="preserve"> (</w:t>
      </w:r>
      <w:proofErr w:type="spellStart"/>
      <w:r w:rsidR="00747FEF" w:rsidRPr="00AD6A20">
        <w:rPr>
          <w:rFonts w:ascii="Arial" w:hAnsi="Arial" w:cs="Arial"/>
          <w:color w:val="000000" w:themeColor="text1"/>
          <w:sz w:val="24"/>
          <w:szCs w:val="24"/>
        </w:rPr>
        <w:t>Sukhu</w:t>
      </w:r>
      <w:proofErr w:type="spellEnd"/>
      <w:r w:rsidR="00747FEF" w:rsidRPr="00AD6A20">
        <w:rPr>
          <w:rFonts w:ascii="Arial" w:hAnsi="Arial" w:cs="Arial"/>
          <w:color w:val="000000" w:themeColor="text1"/>
          <w:sz w:val="24"/>
          <w:szCs w:val="24"/>
        </w:rPr>
        <w:t xml:space="preserve"> and </w:t>
      </w:r>
      <w:proofErr w:type="spellStart"/>
      <w:r w:rsidR="00747FEF" w:rsidRPr="00AD6A20">
        <w:rPr>
          <w:rFonts w:ascii="Arial" w:hAnsi="Arial" w:cs="Arial"/>
          <w:color w:val="000000" w:themeColor="text1"/>
          <w:sz w:val="24"/>
          <w:szCs w:val="24"/>
        </w:rPr>
        <w:t>Bilgihan</w:t>
      </w:r>
      <w:proofErr w:type="spellEnd"/>
      <w:r w:rsidR="00747FEF" w:rsidRPr="00AD6A20">
        <w:rPr>
          <w:rFonts w:ascii="Arial" w:hAnsi="Arial" w:cs="Arial"/>
          <w:color w:val="000000" w:themeColor="text1"/>
          <w:sz w:val="24"/>
          <w:szCs w:val="24"/>
        </w:rPr>
        <w:t>, 2023</w:t>
      </w:r>
      <w:r w:rsidR="00747FEF" w:rsidRPr="00AD6A20">
        <w:rPr>
          <w:rFonts w:ascii="Arial" w:hAnsi="Arial" w:cs="Arial"/>
          <w:color w:val="000000" w:themeColor="text1"/>
          <w:sz w:val="24"/>
          <w:szCs w:val="24"/>
        </w:rPr>
        <w:t>)</w:t>
      </w:r>
      <w:r w:rsidRPr="00AD6A20">
        <w:rPr>
          <w:rFonts w:ascii="Arial" w:hAnsi="Arial" w:cs="Arial"/>
          <w:color w:val="000000" w:themeColor="text1"/>
          <w:sz w:val="24"/>
          <w:szCs w:val="24"/>
        </w:rPr>
        <w:t xml:space="preserve">. My response met the speed test requirements but fell short in explaining the kitchen </w:t>
      </w:r>
      <w:proofErr w:type="gramStart"/>
      <w:r w:rsidRPr="00AD6A20">
        <w:rPr>
          <w:rFonts w:ascii="Arial" w:hAnsi="Arial" w:cs="Arial"/>
          <w:color w:val="000000" w:themeColor="text1"/>
          <w:sz w:val="24"/>
          <w:szCs w:val="24"/>
        </w:rPr>
        <w:t>bottleneck</w:t>
      </w:r>
      <w:proofErr w:type="gramEnd"/>
      <w:r w:rsidRPr="00AD6A20">
        <w:rPr>
          <w:rFonts w:ascii="Arial" w:hAnsi="Arial" w:cs="Arial"/>
          <w:color w:val="000000" w:themeColor="text1"/>
          <w:sz w:val="24"/>
          <w:szCs w:val="24"/>
        </w:rPr>
        <w:t xml:space="preserve"> so the guest departed with information but no power to act. The discovery of this shortfall inspired me to improve my future recovery communication plans.</w:t>
      </w:r>
    </w:p>
    <w:p w14:paraId="22A7AF30"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Reflection-on-Action </w:t>
      </w:r>
    </w:p>
    <w:p w14:paraId="3AAB1E70" w14:textId="1B937E82" w:rsidR="002262F7" w:rsidRPr="00AD6A20" w:rsidRDefault="002262F7" w:rsidP="00AD6A20">
      <w:pPr>
        <w:spacing w:line="360" w:lineRule="auto"/>
        <w:jc w:val="both"/>
        <w:rPr>
          <w:rFonts w:ascii="Arial" w:hAnsi="Arial" w:cs="Arial"/>
          <w:color w:val="000000" w:themeColor="text1"/>
          <w:sz w:val="24"/>
          <w:szCs w:val="24"/>
        </w:rPr>
      </w:pPr>
      <w:proofErr w:type="gramStart"/>
      <w:r w:rsidRPr="00AD6A20">
        <w:rPr>
          <w:rFonts w:ascii="Arial" w:hAnsi="Arial" w:cs="Arial"/>
          <w:color w:val="000000" w:themeColor="text1"/>
          <w:sz w:val="24"/>
          <w:szCs w:val="24"/>
        </w:rPr>
        <w:t>I implemented</w:t>
      </w:r>
      <w:proofErr w:type="gramEnd"/>
      <w:r w:rsidRPr="00AD6A20">
        <w:rPr>
          <w:rFonts w:ascii="Arial" w:hAnsi="Arial" w:cs="Arial"/>
          <w:color w:val="000000" w:themeColor="text1"/>
          <w:sz w:val="24"/>
          <w:szCs w:val="24"/>
        </w:rPr>
        <w:t xml:space="preserve"> Schön’s reflection-on-action loop to conduct a structured debrief following the service. First I identified what worked: The effective techniques I identified included situational scanning combined with concise prompts and rapid equipment adjustment. Recent findings show that targeted scenario-based training enhances satisfaction levels during intense operational periods</w:t>
      </w:r>
      <w:r w:rsidR="00747FEF" w:rsidRPr="00AD6A20">
        <w:rPr>
          <w:rFonts w:ascii="Arial" w:hAnsi="Arial" w:cs="Arial"/>
          <w:color w:val="000000" w:themeColor="text1"/>
          <w:sz w:val="24"/>
          <w:szCs w:val="24"/>
        </w:rPr>
        <w:t xml:space="preserve"> (</w:t>
      </w:r>
      <w:proofErr w:type="spellStart"/>
      <w:proofErr w:type="gramStart"/>
      <w:r w:rsidR="00747FEF" w:rsidRPr="00AD6A20">
        <w:rPr>
          <w:rFonts w:ascii="Arial" w:hAnsi="Arial" w:cs="Arial"/>
          <w:color w:val="000000" w:themeColor="text1"/>
          <w:sz w:val="24"/>
          <w:szCs w:val="24"/>
        </w:rPr>
        <w:t>Stavrinoudis</w:t>
      </w:r>
      <w:proofErr w:type="spellEnd"/>
      <w:r w:rsidR="00747FEF" w:rsidRPr="00AD6A20">
        <w:rPr>
          <w:rFonts w:ascii="Arial" w:hAnsi="Arial" w:cs="Arial"/>
          <w:color w:val="000000" w:themeColor="text1"/>
          <w:sz w:val="24"/>
          <w:szCs w:val="24"/>
        </w:rPr>
        <w:t xml:space="preserve"> </w:t>
      </w:r>
      <w:r w:rsidR="00747FEF" w:rsidRPr="00AD6A20">
        <w:rPr>
          <w:rFonts w:ascii="Arial" w:hAnsi="Arial" w:cs="Arial"/>
          <w:color w:val="000000" w:themeColor="text1"/>
          <w:sz w:val="24"/>
          <w:szCs w:val="24"/>
        </w:rPr>
        <w:t xml:space="preserve"> and</w:t>
      </w:r>
      <w:proofErr w:type="gramEnd"/>
      <w:r w:rsidR="00747FEF" w:rsidRPr="00AD6A20">
        <w:rPr>
          <w:rFonts w:ascii="Arial" w:hAnsi="Arial" w:cs="Arial"/>
          <w:color w:val="000000" w:themeColor="text1"/>
          <w:sz w:val="24"/>
          <w:szCs w:val="24"/>
        </w:rPr>
        <w:t xml:space="preserve"> </w:t>
      </w:r>
      <w:proofErr w:type="spellStart"/>
      <w:r w:rsidR="00747FEF" w:rsidRPr="00AD6A20">
        <w:rPr>
          <w:rFonts w:ascii="Arial" w:hAnsi="Arial" w:cs="Arial"/>
          <w:color w:val="000000" w:themeColor="text1"/>
          <w:sz w:val="24"/>
          <w:szCs w:val="24"/>
        </w:rPr>
        <w:t>Psimoulis</w:t>
      </w:r>
      <w:proofErr w:type="spellEnd"/>
      <w:r w:rsidR="00747FEF" w:rsidRPr="00AD6A20">
        <w:rPr>
          <w:rFonts w:ascii="Arial" w:hAnsi="Arial" w:cs="Arial"/>
          <w:color w:val="000000" w:themeColor="text1"/>
          <w:sz w:val="24"/>
          <w:szCs w:val="24"/>
        </w:rPr>
        <w:t>, 2017</w:t>
      </w:r>
      <w:r w:rsidR="00747FEF" w:rsidRPr="00AD6A20">
        <w:rPr>
          <w:rFonts w:ascii="Arial" w:hAnsi="Arial" w:cs="Arial"/>
          <w:color w:val="000000" w:themeColor="text1"/>
          <w:sz w:val="24"/>
          <w:szCs w:val="24"/>
        </w:rPr>
        <w:t>).</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Second I surfaced weaknesses: The trade-show party for 40 delegates lacked proper forecasting while juice calibration failed due to a missing line check and complaint recovery suffered from limited root-cause language. Training alone produces minimal guest satisfaction unless it works together with resource planning and process ownership.</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 xml:space="preserve">Technical drills must </w:t>
      </w:r>
      <w:proofErr w:type="gramStart"/>
      <w:r w:rsidRPr="00AD6A20">
        <w:rPr>
          <w:rFonts w:ascii="Arial" w:hAnsi="Arial" w:cs="Arial"/>
          <w:color w:val="000000" w:themeColor="text1"/>
          <w:sz w:val="24"/>
          <w:szCs w:val="24"/>
        </w:rPr>
        <w:t>be paired</w:t>
      </w:r>
      <w:proofErr w:type="gramEnd"/>
      <w:r w:rsidRPr="00AD6A20">
        <w:rPr>
          <w:rFonts w:ascii="Arial" w:hAnsi="Arial" w:cs="Arial"/>
          <w:color w:val="000000" w:themeColor="text1"/>
          <w:sz w:val="24"/>
          <w:szCs w:val="24"/>
        </w:rPr>
        <w:t xml:space="preserve"> with capacity analysis according to a recent study. I also examined emotional responses</w:t>
      </w:r>
      <w:r w:rsidR="00AD6A20" w:rsidRPr="00AD6A20">
        <w:rPr>
          <w:rFonts w:ascii="Arial" w:hAnsi="Arial" w:cs="Arial"/>
          <w:color w:val="000000" w:themeColor="text1"/>
          <w:sz w:val="24"/>
          <w:szCs w:val="24"/>
        </w:rPr>
        <w:t xml:space="preserve"> (Sharma et al., 2023)</w:t>
      </w:r>
      <w:r w:rsidRPr="00AD6A20">
        <w:rPr>
          <w:rFonts w:ascii="Arial" w:hAnsi="Arial" w:cs="Arial"/>
          <w:color w:val="000000" w:themeColor="text1"/>
          <w:sz w:val="24"/>
          <w:szCs w:val="24"/>
        </w:rPr>
        <w:t xml:space="preserve">. The sharp rise in queue times created tension but consciously shifting into coaching mode brought </w:t>
      </w:r>
      <w:proofErr w:type="spellStart"/>
      <w:r w:rsidRPr="00AD6A20">
        <w:rPr>
          <w:rFonts w:ascii="Arial" w:hAnsi="Arial" w:cs="Arial"/>
          <w:color w:val="000000" w:themeColor="text1"/>
          <w:sz w:val="24"/>
          <w:szCs w:val="24"/>
        </w:rPr>
        <w:t>tranquility</w:t>
      </w:r>
      <w:proofErr w:type="spellEnd"/>
      <w:r w:rsidRPr="00AD6A20">
        <w:rPr>
          <w:rFonts w:ascii="Arial" w:hAnsi="Arial" w:cs="Arial"/>
          <w:color w:val="000000" w:themeColor="text1"/>
          <w:sz w:val="24"/>
          <w:szCs w:val="24"/>
        </w:rPr>
        <w:t xml:space="preserve"> to my colleague and myself. Documenting the affective response reminded me to monitor my pulse rate and breathing when facing peak times. </w:t>
      </w:r>
      <w:r w:rsidRPr="00AD6A20">
        <w:rPr>
          <w:rFonts w:ascii="Arial" w:hAnsi="Arial" w:cs="Arial"/>
          <w:color w:val="000000" w:themeColor="text1"/>
          <w:sz w:val="24"/>
          <w:szCs w:val="24"/>
        </w:rPr>
        <w:t>Finally,</w:t>
      </w:r>
      <w:r w:rsidRPr="00AD6A20">
        <w:rPr>
          <w:rFonts w:ascii="Arial" w:hAnsi="Arial" w:cs="Arial"/>
          <w:color w:val="000000" w:themeColor="text1"/>
          <w:sz w:val="24"/>
          <w:szCs w:val="24"/>
        </w:rPr>
        <w:t xml:space="preserve"> I converted insights into concrete steps: Incorporate a five-minute demand prediction into beginning shift talks and organize weekly reviews of beverage production charts while practicing explanation scripts with team members during peer role-playing exercises.</w:t>
      </w:r>
    </w:p>
    <w:p w14:paraId="51BB85FA" w14:textId="77777777" w:rsidR="002262F7" w:rsidRPr="00AD6A20" w:rsidRDefault="002262F7" w:rsidP="00AD6A20">
      <w:pPr>
        <w:spacing w:line="360" w:lineRule="auto"/>
        <w:jc w:val="both"/>
        <w:rPr>
          <w:rFonts w:ascii="Arial" w:hAnsi="Arial" w:cs="Arial"/>
          <w:color w:val="000000" w:themeColor="text1"/>
          <w:sz w:val="24"/>
          <w:szCs w:val="24"/>
        </w:rPr>
      </w:pPr>
    </w:p>
    <w:p w14:paraId="220FB91D"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Skill Audit </w:t>
      </w:r>
    </w:p>
    <w:p w14:paraId="630DB7F3" w14:textId="4B62AC8C" w:rsidR="002262F7" w:rsidRPr="00AD6A20" w:rsidRDefault="002262F7"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This audit sharpened four core competencies. Through deliberate delegation I enhanced my leadership abilities while my staffing model continues to respond to situations instead of anticipating them. Communication remained clear during stressful </w:t>
      </w:r>
      <w:proofErr w:type="gramStart"/>
      <w:r w:rsidRPr="00AD6A20">
        <w:rPr>
          <w:rFonts w:ascii="Arial" w:hAnsi="Arial" w:cs="Arial"/>
          <w:color w:val="000000" w:themeColor="text1"/>
          <w:sz w:val="24"/>
          <w:szCs w:val="24"/>
        </w:rPr>
        <w:t>moments</w:t>
      </w:r>
      <w:proofErr w:type="gramEnd"/>
      <w:r w:rsidRPr="00AD6A20">
        <w:rPr>
          <w:rFonts w:ascii="Arial" w:hAnsi="Arial" w:cs="Arial"/>
          <w:color w:val="000000" w:themeColor="text1"/>
          <w:sz w:val="24"/>
          <w:szCs w:val="24"/>
        </w:rPr>
        <w:t xml:space="preserve"> but post-shift discussions needed more focused agendas to prevent drift. The juice-yield fix demonstrated problem-solving </w:t>
      </w:r>
      <w:proofErr w:type="gramStart"/>
      <w:r w:rsidRPr="00AD6A20">
        <w:rPr>
          <w:rFonts w:ascii="Arial" w:hAnsi="Arial" w:cs="Arial"/>
          <w:color w:val="000000" w:themeColor="text1"/>
          <w:sz w:val="24"/>
          <w:szCs w:val="24"/>
        </w:rPr>
        <w:t>abilities</w:t>
      </w:r>
      <w:proofErr w:type="gramEnd"/>
      <w:r w:rsidRPr="00AD6A20">
        <w:rPr>
          <w:rFonts w:ascii="Arial" w:hAnsi="Arial" w:cs="Arial"/>
          <w:color w:val="000000" w:themeColor="text1"/>
          <w:sz w:val="24"/>
          <w:szCs w:val="24"/>
        </w:rPr>
        <w:t xml:space="preserve"> but I used physical examination methods instead of the hotel's analytics dashboard. My adaptability became evident when I switched roles during service execution which demonstrated Schön’s concept of “reflection-in-action” in </w:t>
      </w:r>
      <w:proofErr w:type="spellStart"/>
      <w:r w:rsidRPr="00AD6A20">
        <w:rPr>
          <w:rFonts w:ascii="Arial" w:hAnsi="Arial" w:cs="Arial"/>
          <w:color w:val="000000" w:themeColor="text1"/>
          <w:sz w:val="24"/>
          <w:szCs w:val="24"/>
        </w:rPr>
        <w:t>practice</w:t>
      </w:r>
      <w:r w:rsidR="00AD6A20" w:rsidRPr="00AD6A20">
        <w:rPr>
          <w:rFonts w:ascii="Arial" w:hAnsi="Arial" w:cs="Arial"/>
          <w:color w:val="000000" w:themeColor="text1"/>
          <w:sz w:val="24"/>
          <w:szCs w:val="24"/>
        </w:rPr>
        <w:t>.</w:t>
      </w:r>
      <w:r w:rsidRPr="00AD6A20">
        <w:rPr>
          <w:rFonts w:ascii="Arial" w:hAnsi="Arial" w:cs="Arial"/>
          <w:color w:val="000000" w:themeColor="text1"/>
          <w:sz w:val="24"/>
          <w:szCs w:val="24"/>
        </w:rPr>
        <w:t>.Moving</w:t>
      </w:r>
      <w:proofErr w:type="spellEnd"/>
      <w:r w:rsidRPr="00AD6A20">
        <w:rPr>
          <w:rFonts w:ascii="Arial" w:hAnsi="Arial" w:cs="Arial"/>
          <w:color w:val="000000" w:themeColor="text1"/>
          <w:sz w:val="24"/>
          <w:szCs w:val="24"/>
        </w:rPr>
        <w:t xml:space="preserve"> forward I will align each competency with a metric: The performance evaluation will include four key components such as forecast accuracy together with briefing duration and variance reports closed and logged cross-training hours.</w:t>
      </w:r>
    </w:p>
    <w:p w14:paraId="2056DBBE"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Development Journey </w:t>
      </w:r>
    </w:p>
    <w:p w14:paraId="495BD542" w14:textId="68867E06" w:rsidR="002262F7" w:rsidRPr="00AD6A20" w:rsidRDefault="002262F7"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During my Level 4 café placement I </w:t>
      </w:r>
      <w:proofErr w:type="gramStart"/>
      <w:r w:rsidRPr="00AD6A20">
        <w:rPr>
          <w:rFonts w:ascii="Arial" w:hAnsi="Arial" w:cs="Arial"/>
          <w:color w:val="000000" w:themeColor="text1"/>
          <w:sz w:val="24"/>
          <w:szCs w:val="24"/>
        </w:rPr>
        <w:t>handled</w:t>
      </w:r>
      <w:proofErr w:type="gramEnd"/>
      <w:r w:rsidRPr="00AD6A20">
        <w:rPr>
          <w:rFonts w:ascii="Arial" w:hAnsi="Arial" w:cs="Arial"/>
          <w:color w:val="000000" w:themeColor="text1"/>
          <w:sz w:val="24"/>
          <w:szCs w:val="24"/>
        </w:rPr>
        <w:t xml:space="preserve"> routine plate-carrying duties along with taking customer orders. At Novotel I </w:t>
      </w:r>
      <w:proofErr w:type="gramStart"/>
      <w:r w:rsidRPr="00AD6A20">
        <w:rPr>
          <w:rFonts w:ascii="Arial" w:hAnsi="Arial" w:cs="Arial"/>
          <w:color w:val="000000" w:themeColor="text1"/>
          <w:sz w:val="24"/>
          <w:szCs w:val="24"/>
        </w:rPr>
        <w:t>was given</w:t>
      </w:r>
      <w:proofErr w:type="gramEnd"/>
      <w:r w:rsidRPr="00AD6A20">
        <w:rPr>
          <w:rFonts w:ascii="Arial" w:hAnsi="Arial" w:cs="Arial"/>
          <w:color w:val="000000" w:themeColor="text1"/>
          <w:sz w:val="24"/>
          <w:szCs w:val="24"/>
        </w:rPr>
        <w:t xml:space="preserve"> the responsibility to organize front-of-house shifts while verifying discounts and coordinating yield metrics with the chef. This newfound autonomy transitioned my thinking from routine procedures to thoughtful decision-making. University Food &amp; Beverage Operations envisioned service delivery as a straightforward sequence yet during my observations digital menus and dietary clarifications generated service loops on site. Current research indicates that QR menu designs that lack quality can reduce customer loyalty.</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 xml:space="preserve">Some studies report strong acceptance of advanced technologies in forward-thinking locations </w:t>
      </w:r>
      <w:r w:rsidR="00AD6A20" w:rsidRPr="00AD6A20">
        <w:rPr>
          <w:rFonts w:ascii="Arial" w:hAnsi="Arial" w:cs="Arial"/>
          <w:color w:val="000000" w:themeColor="text1"/>
          <w:sz w:val="24"/>
          <w:szCs w:val="24"/>
        </w:rPr>
        <w:t>(</w:t>
      </w:r>
      <w:proofErr w:type="spellStart"/>
      <w:r w:rsidR="00AD6A20" w:rsidRPr="00AD6A20">
        <w:rPr>
          <w:rFonts w:ascii="Arial" w:hAnsi="Arial" w:cs="Arial"/>
          <w:color w:val="000000" w:themeColor="text1"/>
          <w:sz w:val="24"/>
          <w:szCs w:val="24"/>
        </w:rPr>
        <w:t>Vedat</w:t>
      </w:r>
      <w:proofErr w:type="spellEnd"/>
      <w:r w:rsidR="00AD6A20" w:rsidRPr="00AD6A20">
        <w:rPr>
          <w:rFonts w:ascii="Arial" w:hAnsi="Arial" w:cs="Arial"/>
          <w:color w:val="000000" w:themeColor="text1"/>
          <w:sz w:val="24"/>
          <w:szCs w:val="24"/>
        </w:rPr>
        <w:t xml:space="preserve"> </w:t>
      </w:r>
      <w:proofErr w:type="spellStart"/>
      <w:r w:rsidR="00AD6A20" w:rsidRPr="00AD6A20">
        <w:rPr>
          <w:rFonts w:ascii="Arial" w:hAnsi="Arial" w:cs="Arial"/>
          <w:color w:val="000000" w:themeColor="text1"/>
          <w:sz w:val="24"/>
          <w:szCs w:val="24"/>
        </w:rPr>
        <w:t>Yiğitoğlu</w:t>
      </w:r>
      <w:proofErr w:type="spellEnd"/>
      <w:r w:rsidR="00AD6A20" w:rsidRPr="00AD6A20">
        <w:rPr>
          <w:rFonts w:ascii="Arial" w:hAnsi="Arial" w:cs="Arial"/>
          <w:color w:val="000000" w:themeColor="text1"/>
          <w:sz w:val="24"/>
          <w:szCs w:val="24"/>
        </w:rPr>
        <w:t xml:space="preserve"> et al., 2025)</w:t>
      </w:r>
      <w:r w:rsidR="00AD6A20"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We maintain traditional guest satisfaction through paper menus while gathering upsell data from our tech-savvy customers by offering digital menus.</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 xml:space="preserve">The Sustainable Hospitality &amp; Tourism Management modules emphasized the principles of </w:t>
      </w:r>
      <w:proofErr w:type="gramStart"/>
      <w:r w:rsidRPr="00AD6A20">
        <w:rPr>
          <w:rFonts w:ascii="Arial" w:hAnsi="Arial" w:cs="Arial"/>
          <w:color w:val="000000" w:themeColor="text1"/>
          <w:sz w:val="24"/>
          <w:szCs w:val="24"/>
        </w:rPr>
        <w:t>circular-economy</w:t>
      </w:r>
      <w:proofErr w:type="gramEnd"/>
      <w:r w:rsidRPr="00AD6A20">
        <w:rPr>
          <w:rFonts w:ascii="Arial" w:hAnsi="Arial" w:cs="Arial"/>
          <w:color w:val="000000" w:themeColor="text1"/>
          <w:sz w:val="24"/>
          <w:szCs w:val="24"/>
        </w:rPr>
        <w:t xml:space="preserve"> thinking. Novotel has partnered with WWF in 2024 to achieve a 20 % reduction in food waste by 2027</w:t>
      </w:r>
      <w:r w:rsidR="00AD6A20" w:rsidRPr="00AD6A20">
        <w:rPr>
          <w:rFonts w:ascii="Arial" w:hAnsi="Arial" w:cs="Arial"/>
          <w:color w:val="000000" w:themeColor="text1"/>
          <w:sz w:val="24"/>
          <w:szCs w:val="24"/>
        </w:rPr>
        <w:t xml:space="preserve"> (Accor, 2024)</w:t>
      </w:r>
      <w:r w:rsidRPr="00AD6A20">
        <w:rPr>
          <w:rFonts w:ascii="Arial" w:hAnsi="Arial" w:cs="Arial"/>
          <w:color w:val="000000" w:themeColor="text1"/>
          <w:sz w:val="24"/>
          <w:szCs w:val="24"/>
        </w:rPr>
        <w:t xml:space="preserve">. </w:t>
      </w:r>
      <w:r w:rsidR="00AD6A20" w:rsidRPr="00AD6A20">
        <w:rPr>
          <w:rFonts w:ascii="Arial" w:hAnsi="Arial" w:cs="Arial"/>
          <w:color w:val="000000" w:themeColor="text1"/>
          <w:sz w:val="24"/>
          <w:szCs w:val="24"/>
        </w:rPr>
        <w:t xml:space="preserve">Roberts, </w:t>
      </w:r>
      <w:r w:rsidR="00AD6A20" w:rsidRPr="00AD6A20">
        <w:rPr>
          <w:rFonts w:ascii="Arial" w:hAnsi="Arial" w:cs="Arial"/>
          <w:color w:val="000000" w:themeColor="text1"/>
          <w:sz w:val="24"/>
          <w:szCs w:val="24"/>
        </w:rPr>
        <w:t>(</w:t>
      </w:r>
      <w:r w:rsidR="00AD6A20" w:rsidRPr="00AD6A20">
        <w:rPr>
          <w:rFonts w:ascii="Arial" w:hAnsi="Arial" w:cs="Arial"/>
          <w:color w:val="000000" w:themeColor="text1"/>
          <w:sz w:val="24"/>
          <w:szCs w:val="24"/>
        </w:rPr>
        <w:t>2024)</w:t>
      </w:r>
      <w:r w:rsidR="00AD6A20"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indicates that sustainability strategies are now in place for 93 % of British hospitality operators.</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Every night I measured prep waste which I documented in the chef’s chat before using this data to refine the following day’s mise-</w:t>
      </w:r>
      <w:proofErr w:type="spellStart"/>
      <w:r w:rsidRPr="00AD6A20">
        <w:rPr>
          <w:rFonts w:ascii="Arial" w:hAnsi="Arial" w:cs="Arial"/>
          <w:color w:val="000000" w:themeColor="text1"/>
          <w:sz w:val="24"/>
          <w:szCs w:val="24"/>
        </w:rPr>
        <w:t>en</w:t>
      </w:r>
      <w:proofErr w:type="spellEnd"/>
      <w:r w:rsidRPr="00AD6A20">
        <w:rPr>
          <w:rFonts w:ascii="Arial" w:hAnsi="Arial" w:cs="Arial"/>
          <w:color w:val="000000" w:themeColor="text1"/>
          <w:sz w:val="24"/>
          <w:szCs w:val="24"/>
        </w:rPr>
        <w:t>-place. Our practice led to a 6 % decrease in vegetable-trim waste throughout a four-week period.</w:t>
      </w:r>
      <w:r w:rsidRPr="00AD6A20">
        <w:rPr>
          <w:rFonts w:ascii="Arial" w:hAnsi="Arial" w:cs="Arial"/>
          <w:color w:val="000000" w:themeColor="text1"/>
          <w:sz w:val="24"/>
          <w:szCs w:val="24"/>
        </w:rPr>
        <w:t xml:space="preserve"> </w:t>
      </w:r>
      <w:proofErr w:type="gramStart"/>
      <w:r w:rsidRPr="00AD6A20">
        <w:rPr>
          <w:rFonts w:ascii="Arial" w:hAnsi="Arial" w:cs="Arial"/>
          <w:color w:val="000000" w:themeColor="text1"/>
          <w:sz w:val="24"/>
          <w:szCs w:val="24"/>
        </w:rPr>
        <w:t>I worked</w:t>
      </w:r>
      <w:proofErr w:type="gramEnd"/>
      <w:r w:rsidRPr="00AD6A20">
        <w:rPr>
          <w:rFonts w:ascii="Arial" w:hAnsi="Arial" w:cs="Arial"/>
          <w:color w:val="000000" w:themeColor="text1"/>
          <w:sz w:val="24"/>
          <w:szCs w:val="24"/>
        </w:rPr>
        <w:t xml:space="preserve"> with the housekeeping team one morning to run Clean the World’s soap-collection programme beyond my waste reduction work. Our team collected 3.8 kg of used soap bars to produce 40 hygiene kits for shelters. The exercise demonstrated front-of-house leaders' ability to impact back-of-house sustainability while improving teamwork across departments</w:t>
      </w:r>
      <w:r w:rsidR="00AD6A20" w:rsidRPr="00AD6A20">
        <w:rPr>
          <w:rFonts w:ascii="Arial" w:hAnsi="Arial" w:cs="Arial"/>
          <w:color w:val="000000" w:themeColor="text1"/>
          <w:sz w:val="24"/>
          <w:szCs w:val="24"/>
        </w:rPr>
        <w:t xml:space="preserve"> (Hagg, 2013)</w:t>
      </w:r>
      <w:r w:rsidRPr="00AD6A20">
        <w:rPr>
          <w:rFonts w:ascii="Arial" w:hAnsi="Arial" w:cs="Arial"/>
          <w:color w:val="000000" w:themeColor="text1"/>
          <w:sz w:val="24"/>
          <w:szCs w:val="24"/>
        </w:rPr>
        <w:t>. By measuring both the collected weight and the number of kits produced I gained a measurable social impact indicator that will shape my future leadership style.</w:t>
      </w:r>
    </w:p>
    <w:p w14:paraId="63111646"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Service Improvement Proposal </w:t>
      </w:r>
    </w:p>
    <w:p w14:paraId="21905858"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Issue </w:t>
      </w:r>
    </w:p>
    <w:p w14:paraId="6C5B2D28" w14:textId="66C6A81C" w:rsidR="002262F7" w:rsidRPr="00AD6A20" w:rsidRDefault="002262F7"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The service time for taking lunch orders to delivery stands at 18 minutes which exceeds both the company's 12-minute target and the acceptable timing for most customers.</w:t>
      </w:r>
      <w:r w:rsidRPr="00AD6A20">
        <w:rPr>
          <w:rFonts w:ascii="Arial" w:hAnsi="Arial" w:cs="Arial"/>
          <w:color w:val="000000" w:themeColor="text1"/>
          <w:sz w:val="24"/>
          <w:szCs w:val="24"/>
        </w:rPr>
        <w:t xml:space="preserve"> </w:t>
      </w:r>
      <w:r w:rsidRPr="00AD6A20">
        <w:rPr>
          <w:rFonts w:ascii="Arial" w:hAnsi="Arial" w:cs="Arial"/>
          <w:color w:val="000000" w:themeColor="text1"/>
          <w:sz w:val="24"/>
          <w:szCs w:val="24"/>
        </w:rPr>
        <w:t>Extended wait times for service create opportunities for revenue loss and an increase in both employee wages and customer complaints.</w:t>
      </w:r>
    </w:p>
    <w:p w14:paraId="00E0490D"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Recommendations </w:t>
      </w:r>
    </w:p>
    <w:p w14:paraId="375F3264" w14:textId="2F3EA3C7" w:rsidR="002262F7" w:rsidRPr="00AD6A20" w:rsidRDefault="002262F7" w:rsidP="00AD6A20">
      <w:pPr>
        <w:pStyle w:val="ListParagraph"/>
        <w:numPr>
          <w:ilvl w:val="0"/>
          <w:numId w:val="1"/>
        </w:num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Introduce a two-item express menu (pasta and salad) between 12: The shared mise-</w:t>
      </w:r>
      <w:proofErr w:type="spellStart"/>
      <w:r w:rsidRPr="00AD6A20">
        <w:rPr>
          <w:rFonts w:ascii="Arial" w:hAnsi="Arial" w:cs="Arial"/>
          <w:color w:val="000000" w:themeColor="text1"/>
          <w:sz w:val="24"/>
          <w:szCs w:val="24"/>
        </w:rPr>
        <w:t>en</w:t>
      </w:r>
      <w:proofErr w:type="spellEnd"/>
      <w:r w:rsidRPr="00AD6A20">
        <w:rPr>
          <w:rFonts w:ascii="Arial" w:hAnsi="Arial" w:cs="Arial"/>
          <w:color w:val="000000" w:themeColor="text1"/>
          <w:sz w:val="24"/>
          <w:szCs w:val="24"/>
        </w:rPr>
        <w:t>-place setup enables cooks to prepare meals in five minutes during the 00 and 14:00 periods.</w:t>
      </w:r>
    </w:p>
    <w:p w14:paraId="5A1D08C9" w14:textId="77777777" w:rsidR="002262F7" w:rsidRPr="00AD6A20" w:rsidRDefault="002262F7" w:rsidP="00AD6A20">
      <w:pPr>
        <w:pStyle w:val="ListParagraph"/>
        <w:numPr>
          <w:ilvl w:val="0"/>
          <w:numId w:val="1"/>
        </w:num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Implement a weekly 15-minute sales practice drill that uses suggestive selling and check-back phrases based on the three-pillar service-recovery model</w:t>
      </w:r>
    </w:p>
    <w:p w14:paraId="3CEAB9E6" w14:textId="4FE2A8F3" w:rsidR="002262F7" w:rsidRPr="00AD6A20" w:rsidRDefault="002262F7" w:rsidP="00AD6A20">
      <w:pPr>
        <w:pStyle w:val="ListParagraph"/>
        <w:numPr>
          <w:ilvl w:val="0"/>
          <w:numId w:val="1"/>
        </w:num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Place digital QR feedback codes on bar receipts to enable service improvements during service delivery in line with </w:t>
      </w:r>
      <w:proofErr w:type="spellStart"/>
      <w:r w:rsidR="00AD6A20" w:rsidRPr="00AD6A20">
        <w:rPr>
          <w:rFonts w:ascii="Arial" w:hAnsi="Arial" w:cs="Arial"/>
          <w:color w:val="000000" w:themeColor="text1"/>
          <w:sz w:val="24"/>
          <w:szCs w:val="24"/>
        </w:rPr>
        <w:t>Vallen</w:t>
      </w:r>
      <w:proofErr w:type="spellEnd"/>
      <w:r w:rsidR="00AD6A20" w:rsidRPr="00AD6A20">
        <w:rPr>
          <w:rFonts w:ascii="Arial" w:hAnsi="Arial" w:cs="Arial"/>
          <w:color w:val="000000" w:themeColor="text1"/>
          <w:sz w:val="24"/>
          <w:szCs w:val="24"/>
        </w:rPr>
        <w:t xml:space="preserve"> and </w:t>
      </w:r>
      <w:proofErr w:type="spellStart"/>
      <w:r w:rsidR="00AD6A20" w:rsidRPr="00AD6A20">
        <w:rPr>
          <w:rFonts w:ascii="Arial" w:hAnsi="Arial" w:cs="Arial"/>
          <w:color w:val="000000" w:themeColor="text1"/>
          <w:sz w:val="24"/>
          <w:szCs w:val="24"/>
        </w:rPr>
        <w:t>Vallen</w:t>
      </w:r>
      <w:proofErr w:type="spellEnd"/>
      <w:r w:rsidR="00AD6A20" w:rsidRPr="00AD6A20">
        <w:rPr>
          <w:rFonts w:ascii="Arial" w:hAnsi="Arial" w:cs="Arial"/>
          <w:color w:val="000000" w:themeColor="text1"/>
          <w:sz w:val="24"/>
          <w:szCs w:val="24"/>
        </w:rPr>
        <w:t xml:space="preserve"> (2014) </w:t>
      </w:r>
      <w:r w:rsidRPr="00AD6A20">
        <w:rPr>
          <w:rFonts w:ascii="Arial" w:hAnsi="Arial" w:cs="Arial"/>
          <w:color w:val="000000" w:themeColor="text1"/>
          <w:sz w:val="24"/>
          <w:szCs w:val="24"/>
        </w:rPr>
        <w:t>findings that tech-based feedback minimizes paper usage</w:t>
      </w:r>
    </w:p>
    <w:p w14:paraId="13EA7191" w14:textId="77777777" w:rsidR="002262F7" w:rsidRPr="00AD6A20" w:rsidRDefault="002262F7"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 xml:space="preserve">Conclusion </w:t>
      </w:r>
    </w:p>
    <w:p w14:paraId="196C6D2E" w14:textId="251ADC93" w:rsidR="00747FEF" w:rsidRPr="00AD6A20" w:rsidRDefault="002262F7"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Schön’s framework revealed a practical cycle that connects immediate adjustments with intentional learning after actions. </w:t>
      </w:r>
      <w:proofErr w:type="gramStart"/>
      <w:r w:rsidRPr="00AD6A20">
        <w:rPr>
          <w:rFonts w:ascii="Arial" w:hAnsi="Arial" w:cs="Arial"/>
          <w:color w:val="000000" w:themeColor="text1"/>
          <w:sz w:val="24"/>
          <w:szCs w:val="24"/>
        </w:rPr>
        <w:t>I reached</w:t>
      </w:r>
      <w:proofErr w:type="gramEnd"/>
      <w:r w:rsidRPr="00AD6A20">
        <w:rPr>
          <w:rFonts w:ascii="Arial" w:hAnsi="Arial" w:cs="Arial"/>
          <w:color w:val="000000" w:themeColor="text1"/>
          <w:sz w:val="24"/>
          <w:szCs w:val="24"/>
        </w:rPr>
        <w:t xml:space="preserve"> my coaching and cost-control objectives and boosted complaint-response time but still need to improve my forecasting accuracy and explanatory skill. By using brand data and recent research findings this action plan provides quantifiable steps for me to achieve complete F&amp;B leadership</w:t>
      </w:r>
      <w:r w:rsidRPr="00AD6A20">
        <w:rPr>
          <w:rFonts w:ascii="Arial" w:hAnsi="Arial" w:cs="Arial"/>
          <w:color w:val="000000" w:themeColor="text1"/>
          <w:sz w:val="24"/>
          <w:szCs w:val="24"/>
        </w:rPr>
        <w:t>.</w:t>
      </w:r>
    </w:p>
    <w:p w14:paraId="322E4FA6" w14:textId="77777777" w:rsidR="00747FEF" w:rsidRPr="00AD6A20" w:rsidRDefault="00747FEF" w:rsidP="00AD6A20">
      <w:pPr>
        <w:spacing w:line="360" w:lineRule="auto"/>
        <w:jc w:val="both"/>
        <w:rPr>
          <w:rFonts w:ascii="Arial" w:hAnsi="Arial" w:cs="Arial"/>
          <w:color w:val="000000" w:themeColor="text1"/>
          <w:sz w:val="24"/>
          <w:szCs w:val="24"/>
        </w:rPr>
      </w:pPr>
    </w:p>
    <w:p w14:paraId="193A344E" w14:textId="2635EBF9"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Action Plan</w:t>
      </w:r>
    </w:p>
    <w:tbl>
      <w:tblPr>
        <w:tblStyle w:val="TableGrid"/>
        <w:tblW w:w="0" w:type="auto"/>
        <w:tblLook w:val="04A0" w:firstRow="1" w:lastRow="0" w:firstColumn="1" w:lastColumn="0" w:noHBand="0" w:noVBand="1"/>
      </w:tblPr>
      <w:tblGrid>
        <w:gridCol w:w="1803"/>
        <w:gridCol w:w="1803"/>
        <w:gridCol w:w="1803"/>
        <w:gridCol w:w="1803"/>
        <w:gridCol w:w="1804"/>
      </w:tblGrid>
      <w:tr w:rsidR="00AD6A20" w:rsidRPr="00AD6A20" w14:paraId="13569FC4" w14:textId="77777777" w:rsidTr="00747FEF">
        <w:tc>
          <w:tcPr>
            <w:tcW w:w="1803" w:type="dxa"/>
          </w:tcPr>
          <w:p w14:paraId="12C6D9BA" w14:textId="6DD691A5" w:rsidR="00747FEF" w:rsidRPr="00AD6A20" w:rsidRDefault="00747FEF" w:rsidP="00AD6A20">
            <w:pPr>
              <w:spacing w:line="360" w:lineRule="auto"/>
              <w:jc w:val="both"/>
              <w:rPr>
                <w:rFonts w:ascii="Arial" w:hAnsi="Arial" w:cs="Arial"/>
                <w:b/>
                <w:bCs/>
                <w:i/>
                <w:iCs/>
                <w:color w:val="000000" w:themeColor="text1"/>
                <w:sz w:val="24"/>
                <w:szCs w:val="24"/>
              </w:rPr>
            </w:pPr>
            <w:r w:rsidRPr="00AD6A20">
              <w:rPr>
                <w:rFonts w:ascii="Arial" w:hAnsi="Arial" w:cs="Arial"/>
                <w:b/>
                <w:bCs/>
                <w:i/>
                <w:iCs/>
                <w:color w:val="000000" w:themeColor="text1"/>
                <w:sz w:val="24"/>
                <w:szCs w:val="24"/>
              </w:rPr>
              <w:t>Specific goal</w:t>
            </w:r>
          </w:p>
        </w:tc>
        <w:tc>
          <w:tcPr>
            <w:tcW w:w="1803" w:type="dxa"/>
          </w:tcPr>
          <w:p w14:paraId="719B6CD7" w14:textId="5B9E4D84" w:rsidR="00747FEF" w:rsidRPr="00AD6A20" w:rsidRDefault="00747FEF" w:rsidP="00AD6A20">
            <w:pPr>
              <w:spacing w:line="360" w:lineRule="auto"/>
              <w:jc w:val="both"/>
              <w:rPr>
                <w:rFonts w:ascii="Arial" w:hAnsi="Arial" w:cs="Arial"/>
                <w:b/>
                <w:bCs/>
                <w:i/>
                <w:iCs/>
                <w:color w:val="000000" w:themeColor="text1"/>
                <w:sz w:val="24"/>
                <w:szCs w:val="24"/>
              </w:rPr>
            </w:pPr>
            <w:r w:rsidRPr="00AD6A20">
              <w:rPr>
                <w:rFonts w:ascii="Arial" w:hAnsi="Arial" w:cs="Arial"/>
                <w:b/>
                <w:bCs/>
                <w:i/>
                <w:iCs/>
                <w:color w:val="000000" w:themeColor="text1"/>
                <w:sz w:val="24"/>
                <w:szCs w:val="24"/>
              </w:rPr>
              <w:t>Measurable indicator</w:t>
            </w:r>
          </w:p>
        </w:tc>
        <w:tc>
          <w:tcPr>
            <w:tcW w:w="1803" w:type="dxa"/>
          </w:tcPr>
          <w:p w14:paraId="72AB5DC0" w14:textId="6310B46A" w:rsidR="00747FEF" w:rsidRPr="00AD6A20" w:rsidRDefault="00747FEF" w:rsidP="00AD6A20">
            <w:pPr>
              <w:spacing w:line="360" w:lineRule="auto"/>
              <w:jc w:val="both"/>
              <w:rPr>
                <w:rFonts w:ascii="Arial" w:hAnsi="Arial" w:cs="Arial"/>
                <w:b/>
                <w:bCs/>
                <w:i/>
                <w:iCs/>
                <w:color w:val="000000" w:themeColor="text1"/>
                <w:sz w:val="24"/>
                <w:szCs w:val="24"/>
              </w:rPr>
            </w:pPr>
            <w:r w:rsidRPr="00AD6A20">
              <w:rPr>
                <w:rFonts w:ascii="Arial" w:hAnsi="Arial" w:cs="Arial"/>
                <w:b/>
                <w:bCs/>
                <w:i/>
                <w:iCs/>
                <w:color w:val="000000" w:themeColor="text1"/>
                <w:sz w:val="24"/>
                <w:szCs w:val="24"/>
              </w:rPr>
              <w:t>Achievable method</w:t>
            </w:r>
          </w:p>
        </w:tc>
        <w:tc>
          <w:tcPr>
            <w:tcW w:w="1803" w:type="dxa"/>
          </w:tcPr>
          <w:p w14:paraId="33389373" w14:textId="12E64331" w:rsidR="00747FEF" w:rsidRPr="00AD6A20" w:rsidRDefault="00747FEF" w:rsidP="00AD6A20">
            <w:pPr>
              <w:spacing w:line="360" w:lineRule="auto"/>
              <w:jc w:val="both"/>
              <w:rPr>
                <w:rFonts w:ascii="Arial" w:hAnsi="Arial" w:cs="Arial"/>
                <w:b/>
                <w:bCs/>
                <w:i/>
                <w:iCs/>
                <w:color w:val="000000" w:themeColor="text1"/>
                <w:sz w:val="24"/>
                <w:szCs w:val="24"/>
              </w:rPr>
            </w:pPr>
            <w:r w:rsidRPr="00AD6A20">
              <w:rPr>
                <w:rFonts w:ascii="Arial" w:hAnsi="Arial" w:cs="Arial"/>
                <w:b/>
                <w:bCs/>
                <w:i/>
                <w:iCs/>
                <w:color w:val="000000" w:themeColor="text1"/>
                <w:sz w:val="24"/>
                <w:szCs w:val="24"/>
              </w:rPr>
              <w:t>Relevance to role</w:t>
            </w:r>
          </w:p>
        </w:tc>
        <w:tc>
          <w:tcPr>
            <w:tcW w:w="1804" w:type="dxa"/>
          </w:tcPr>
          <w:p w14:paraId="1C7D70A1" w14:textId="26AC6BDF" w:rsidR="00747FEF" w:rsidRPr="00AD6A20" w:rsidRDefault="00747FEF" w:rsidP="00AD6A20">
            <w:pPr>
              <w:spacing w:line="360" w:lineRule="auto"/>
              <w:jc w:val="both"/>
              <w:rPr>
                <w:rFonts w:ascii="Arial" w:hAnsi="Arial" w:cs="Arial"/>
                <w:b/>
                <w:bCs/>
                <w:i/>
                <w:iCs/>
                <w:color w:val="000000" w:themeColor="text1"/>
                <w:sz w:val="24"/>
                <w:szCs w:val="24"/>
              </w:rPr>
            </w:pPr>
            <w:r w:rsidRPr="00AD6A20">
              <w:rPr>
                <w:rFonts w:ascii="Arial" w:hAnsi="Arial" w:cs="Arial"/>
                <w:b/>
                <w:bCs/>
                <w:i/>
                <w:iCs/>
                <w:color w:val="000000" w:themeColor="text1"/>
                <w:sz w:val="24"/>
                <w:szCs w:val="24"/>
              </w:rPr>
              <w:t>Time-bound deadline</w:t>
            </w:r>
          </w:p>
        </w:tc>
      </w:tr>
      <w:tr w:rsidR="00AD6A20" w:rsidRPr="00AD6A20" w14:paraId="0B2D5E83" w14:textId="77777777" w:rsidTr="00747FEF">
        <w:tc>
          <w:tcPr>
            <w:tcW w:w="1803" w:type="dxa"/>
          </w:tcPr>
          <w:p w14:paraId="7D3BDC6B" w14:textId="3FB2FEE9"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 xml:space="preserve">Add a 5-minute </w:t>
            </w:r>
            <w:proofErr w:type="gramStart"/>
            <w:r w:rsidRPr="00AD6A20">
              <w:rPr>
                <w:rFonts w:ascii="Arial" w:hAnsi="Arial" w:cs="Arial"/>
                <w:color w:val="000000" w:themeColor="text1"/>
                <w:sz w:val="24"/>
                <w:szCs w:val="24"/>
              </w:rPr>
              <w:t>head-count</w:t>
            </w:r>
            <w:proofErr w:type="gramEnd"/>
            <w:r w:rsidRPr="00AD6A20">
              <w:rPr>
                <w:rFonts w:ascii="Arial" w:hAnsi="Arial" w:cs="Arial"/>
                <w:color w:val="000000" w:themeColor="text1"/>
                <w:sz w:val="24"/>
                <w:szCs w:val="24"/>
              </w:rPr>
              <w:t xml:space="preserve"> forecast to every breakfast pre-shift briefing.</w:t>
            </w:r>
          </w:p>
        </w:tc>
        <w:tc>
          <w:tcPr>
            <w:tcW w:w="1803" w:type="dxa"/>
          </w:tcPr>
          <w:p w14:paraId="7C83FA3D" w14:textId="50EA13A0"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 xml:space="preserve">Forecast </w:t>
            </w:r>
            <w:proofErr w:type="gramStart"/>
            <w:r w:rsidRPr="00AD6A20">
              <w:rPr>
                <w:rFonts w:ascii="Arial" w:hAnsi="Arial" w:cs="Arial"/>
                <w:color w:val="000000" w:themeColor="text1"/>
                <w:sz w:val="24"/>
                <w:szCs w:val="24"/>
              </w:rPr>
              <w:t>is logged</w:t>
            </w:r>
            <w:proofErr w:type="gramEnd"/>
            <w:r w:rsidRPr="00AD6A20">
              <w:rPr>
                <w:rFonts w:ascii="Arial" w:hAnsi="Arial" w:cs="Arial"/>
                <w:color w:val="000000" w:themeColor="text1"/>
                <w:sz w:val="24"/>
                <w:szCs w:val="24"/>
              </w:rPr>
              <w:t xml:space="preserve"> on the briefing sheet four days out of five each week.</w:t>
            </w:r>
          </w:p>
        </w:tc>
        <w:tc>
          <w:tcPr>
            <w:tcW w:w="1803" w:type="dxa"/>
          </w:tcPr>
          <w:p w14:paraId="6E2402A6" w14:textId="3EFFB8F1"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Use last-year POS data and current pickup report to predict covers; share the number during the stand-up.</w:t>
            </w:r>
          </w:p>
        </w:tc>
        <w:tc>
          <w:tcPr>
            <w:tcW w:w="1803" w:type="dxa"/>
          </w:tcPr>
          <w:p w14:paraId="76868A52" w14:textId="7366CAE4"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Sharp forecasts cut queue time and raise guest satisfaction.</w:t>
            </w:r>
          </w:p>
        </w:tc>
        <w:tc>
          <w:tcPr>
            <w:tcW w:w="1804" w:type="dxa"/>
          </w:tcPr>
          <w:p w14:paraId="22755AE9" w14:textId="498288C2"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Start Monday 23 June 2025; reach 80 % compliance by 31 July 2025.</w:t>
            </w:r>
          </w:p>
        </w:tc>
      </w:tr>
      <w:tr w:rsidR="00AD6A20" w:rsidRPr="00AD6A20" w14:paraId="380708E0" w14:textId="77777777" w:rsidTr="00747FEF">
        <w:tc>
          <w:tcPr>
            <w:tcW w:w="1803" w:type="dxa"/>
          </w:tcPr>
          <w:p w14:paraId="668F6E1A" w14:textId="2FC5651A"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Finish Accor’s online beverage-cost control module.</w:t>
            </w:r>
          </w:p>
        </w:tc>
        <w:tc>
          <w:tcPr>
            <w:tcW w:w="1803" w:type="dxa"/>
          </w:tcPr>
          <w:p w14:paraId="277FC339" w14:textId="42C45C21"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Course certificate uploaded to the HR portal.</w:t>
            </w:r>
          </w:p>
        </w:tc>
        <w:tc>
          <w:tcPr>
            <w:tcW w:w="1803" w:type="dxa"/>
          </w:tcPr>
          <w:p w14:paraId="6B712B22" w14:textId="020F34FC"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Block two 90-minute study slots per week; ask the F&amp;B manager to sign off quizzes.</w:t>
            </w:r>
          </w:p>
        </w:tc>
        <w:tc>
          <w:tcPr>
            <w:tcW w:w="1803" w:type="dxa"/>
          </w:tcPr>
          <w:p w14:paraId="6F90B7DA" w14:textId="1C70569B"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Strong cost control lifts gross profit and shows readiness for a supervisor post.</w:t>
            </w:r>
          </w:p>
        </w:tc>
        <w:tc>
          <w:tcPr>
            <w:tcW w:w="1804" w:type="dxa"/>
          </w:tcPr>
          <w:p w14:paraId="1DEA13D1" w14:textId="1CB72E7D"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Complete the module by 31 July 2025.</w:t>
            </w:r>
          </w:p>
        </w:tc>
      </w:tr>
      <w:tr w:rsidR="00AD6A20" w:rsidRPr="00AD6A20" w14:paraId="7539068E" w14:textId="77777777" w:rsidTr="00747FEF">
        <w:tc>
          <w:tcPr>
            <w:tcW w:w="1803" w:type="dxa"/>
          </w:tcPr>
          <w:p w14:paraId="00EC4BF3" w14:textId="3A7F220A"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Practise root-cause explanations in weekly peer role-plays.</w:t>
            </w:r>
          </w:p>
        </w:tc>
        <w:tc>
          <w:tcPr>
            <w:tcW w:w="1803" w:type="dxa"/>
          </w:tcPr>
          <w:p w14:paraId="042A6333" w14:textId="3A49AF0D"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Keep a log of at least six rehearsals and one peer feedback note per session.</w:t>
            </w:r>
          </w:p>
        </w:tc>
        <w:tc>
          <w:tcPr>
            <w:tcW w:w="1803" w:type="dxa"/>
          </w:tcPr>
          <w:p w14:paraId="692C5EA9" w14:textId="37CD6243"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Pair with another trainee every Friday after lunch; rotate guest-complaint scenarios.</w:t>
            </w:r>
          </w:p>
        </w:tc>
        <w:tc>
          <w:tcPr>
            <w:tcW w:w="1803" w:type="dxa"/>
          </w:tcPr>
          <w:p w14:paraId="66387B80" w14:textId="5D3F6454"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Clear explanations improve service recovery and staff confidence.</w:t>
            </w:r>
          </w:p>
        </w:tc>
        <w:tc>
          <w:tcPr>
            <w:tcW w:w="1804" w:type="dxa"/>
          </w:tcPr>
          <w:p w14:paraId="1FE6D2FD" w14:textId="63F8C900"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color w:val="000000" w:themeColor="text1"/>
                <w:sz w:val="24"/>
                <w:szCs w:val="24"/>
              </w:rPr>
              <w:t>First session 20 June 2025; run six consecutive weeks to 25 July 2025.</w:t>
            </w:r>
          </w:p>
        </w:tc>
      </w:tr>
    </w:tbl>
    <w:p w14:paraId="1C14A593" w14:textId="77777777" w:rsidR="002262F7" w:rsidRPr="00AD6A20" w:rsidRDefault="002262F7" w:rsidP="00AD6A20">
      <w:pPr>
        <w:spacing w:line="360" w:lineRule="auto"/>
        <w:jc w:val="both"/>
        <w:rPr>
          <w:rFonts w:ascii="Arial" w:hAnsi="Arial" w:cs="Arial"/>
          <w:b/>
          <w:bCs/>
          <w:color w:val="000000" w:themeColor="text1"/>
          <w:sz w:val="24"/>
          <w:szCs w:val="24"/>
        </w:rPr>
      </w:pPr>
    </w:p>
    <w:p w14:paraId="1679BC7B" w14:textId="77777777" w:rsidR="002262F7" w:rsidRPr="00AD6A20" w:rsidRDefault="002262F7" w:rsidP="00AD6A20">
      <w:pPr>
        <w:spacing w:line="360" w:lineRule="auto"/>
        <w:jc w:val="both"/>
        <w:rPr>
          <w:rFonts w:ascii="Arial" w:hAnsi="Arial" w:cs="Arial"/>
          <w:b/>
          <w:bCs/>
          <w:color w:val="000000" w:themeColor="text1"/>
          <w:sz w:val="24"/>
          <w:szCs w:val="24"/>
        </w:rPr>
      </w:pPr>
    </w:p>
    <w:p w14:paraId="3B87FBCD" w14:textId="77777777" w:rsidR="00747FEF" w:rsidRPr="00AD6A20" w:rsidRDefault="00747FEF" w:rsidP="00AD6A20">
      <w:pPr>
        <w:spacing w:line="360" w:lineRule="auto"/>
        <w:jc w:val="both"/>
        <w:rPr>
          <w:rFonts w:ascii="Arial" w:hAnsi="Arial" w:cs="Arial"/>
          <w:b/>
          <w:bCs/>
          <w:color w:val="000000" w:themeColor="text1"/>
          <w:sz w:val="24"/>
          <w:szCs w:val="24"/>
        </w:rPr>
      </w:pPr>
    </w:p>
    <w:p w14:paraId="551F949A" w14:textId="77777777" w:rsidR="00747FEF" w:rsidRPr="00AD6A20" w:rsidRDefault="00747FEF" w:rsidP="00AD6A20">
      <w:pPr>
        <w:spacing w:line="360" w:lineRule="auto"/>
        <w:jc w:val="both"/>
        <w:rPr>
          <w:rFonts w:ascii="Arial" w:hAnsi="Arial" w:cs="Arial"/>
          <w:b/>
          <w:bCs/>
          <w:color w:val="000000" w:themeColor="text1"/>
          <w:sz w:val="24"/>
          <w:szCs w:val="24"/>
        </w:rPr>
      </w:pPr>
    </w:p>
    <w:p w14:paraId="2FA983C7" w14:textId="77777777" w:rsidR="00747FEF" w:rsidRPr="00AD6A20" w:rsidRDefault="00747FEF" w:rsidP="00AD6A20">
      <w:pPr>
        <w:spacing w:line="360" w:lineRule="auto"/>
        <w:jc w:val="both"/>
        <w:rPr>
          <w:rFonts w:ascii="Arial" w:hAnsi="Arial" w:cs="Arial"/>
          <w:b/>
          <w:bCs/>
          <w:color w:val="000000" w:themeColor="text1"/>
          <w:sz w:val="24"/>
          <w:szCs w:val="24"/>
        </w:rPr>
      </w:pPr>
    </w:p>
    <w:p w14:paraId="5E1941D4" w14:textId="77777777" w:rsidR="00747FEF" w:rsidRPr="00AD6A20" w:rsidRDefault="00747FEF" w:rsidP="00AD6A20">
      <w:pPr>
        <w:spacing w:line="360" w:lineRule="auto"/>
        <w:jc w:val="both"/>
        <w:rPr>
          <w:rFonts w:ascii="Arial" w:hAnsi="Arial" w:cs="Arial"/>
          <w:b/>
          <w:bCs/>
          <w:color w:val="000000" w:themeColor="text1"/>
          <w:sz w:val="24"/>
          <w:szCs w:val="24"/>
        </w:rPr>
      </w:pPr>
    </w:p>
    <w:p w14:paraId="5769CB14" w14:textId="1515FA26" w:rsidR="00747FEF" w:rsidRPr="00AD6A20" w:rsidRDefault="00747FEF" w:rsidP="00AD6A20">
      <w:pPr>
        <w:spacing w:line="360" w:lineRule="auto"/>
        <w:jc w:val="both"/>
        <w:rPr>
          <w:rFonts w:ascii="Arial" w:hAnsi="Arial" w:cs="Arial"/>
          <w:b/>
          <w:bCs/>
          <w:color w:val="000000" w:themeColor="text1"/>
          <w:sz w:val="24"/>
          <w:szCs w:val="24"/>
        </w:rPr>
      </w:pPr>
      <w:r w:rsidRPr="00AD6A20">
        <w:rPr>
          <w:rFonts w:ascii="Arial" w:hAnsi="Arial" w:cs="Arial"/>
          <w:b/>
          <w:bCs/>
          <w:color w:val="000000" w:themeColor="text1"/>
          <w:sz w:val="24"/>
          <w:szCs w:val="24"/>
        </w:rPr>
        <w:t>References</w:t>
      </w:r>
    </w:p>
    <w:p w14:paraId="12E42CE6" w14:textId="350F09ED" w:rsidR="00AD6A20" w:rsidRPr="00AD6A20" w:rsidRDefault="00AD6A20"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Accor (2024)</w:t>
      </w:r>
      <w:r w:rsidRPr="00AD6A20">
        <w:rPr>
          <w:rFonts w:ascii="Arial" w:eastAsia="Times New Roman" w:hAnsi="Arial" w:cs="Arial"/>
          <w:b/>
          <w:color w:val="000000" w:themeColor="text1"/>
          <w:sz w:val="24"/>
          <w:szCs w:val="24"/>
        </w:rPr>
        <w:t xml:space="preserve"> </w:t>
      </w:r>
      <w:r w:rsidRPr="00AD6A20">
        <w:rPr>
          <w:rFonts w:ascii="Arial" w:hAnsi="Arial" w:cs="Arial"/>
          <w:i/>
          <w:iCs/>
          <w:color w:val="000000" w:themeColor="text1"/>
          <w:sz w:val="24"/>
          <w:szCs w:val="24"/>
        </w:rPr>
        <w:t>Paris, 10 June 2024 – Novotel, Accor’s founding brand, today announced the launch...</w:t>
      </w:r>
      <w:r w:rsidRPr="00AD6A20">
        <w:rPr>
          <w:rFonts w:ascii="Arial" w:hAnsi="Arial" w:cs="Arial"/>
          <w:color w:val="000000" w:themeColor="text1"/>
          <w:sz w:val="24"/>
          <w:szCs w:val="24"/>
        </w:rPr>
        <w:t> [online] Accor – Newsroom. Available at: https://press.accor.com/novotel-announces-ocean-protection-partnership-with-wwf/?lang=eng.</w:t>
      </w:r>
    </w:p>
    <w:p w14:paraId="6F41386A" w14:textId="7D07F355" w:rsidR="00AD6A20" w:rsidRPr="00AD6A20" w:rsidRDefault="00AD6A20"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‌Hagg, E. (2013) Internship Guide: Work Placements Step by Step. 5th Ed. The Hague: Eleven International Publishing. </w:t>
      </w:r>
    </w:p>
    <w:p w14:paraId="1A5CE9E5" w14:textId="694AA24C" w:rsidR="00747FEF" w:rsidRPr="00AD6A20" w:rsidRDefault="00747FEF" w:rsidP="00AD6A20">
      <w:pPr>
        <w:spacing w:line="360" w:lineRule="auto"/>
        <w:jc w:val="both"/>
        <w:rPr>
          <w:rFonts w:ascii="Arial" w:hAnsi="Arial" w:cs="Arial"/>
          <w:color w:val="000000" w:themeColor="text1"/>
          <w:sz w:val="24"/>
          <w:szCs w:val="24"/>
        </w:rPr>
      </w:pPr>
      <w:proofErr w:type="spellStart"/>
      <w:r w:rsidRPr="00AD6A20">
        <w:rPr>
          <w:rFonts w:ascii="Arial" w:hAnsi="Arial" w:cs="Arial"/>
          <w:color w:val="000000" w:themeColor="text1"/>
          <w:sz w:val="24"/>
          <w:szCs w:val="24"/>
        </w:rPr>
        <w:t>Mercan</w:t>
      </w:r>
      <w:proofErr w:type="spellEnd"/>
      <w:r w:rsidRPr="00AD6A20">
        <w:rPr>
          <w:rFonts w:ascii="Arial" w:hAnsi="Arial" w:cs="Arial"/>
          <w:color w:val="000000" w:themeColor="text1"/>
          <w:sz w:val="24"/>
          <w:szCs w:val="24"/>
        </w:rPr>
        <w:t xml:space="preserve">, S., Cain, L., </w:t>
      </w:r>
      <w:proofErr w:type="spellStart"/>
      <w:r w:rsidRPr="00AD6A20">
        <w:rPr>
          <w:rFonts w:ascii="Arial" w:hAnsi="Arial" w:cs="Arial"/>
          <w:color w:val="000000" w:themeColor="text1"/>
          <w:sz w:val="24"/>
          <w:szCs w:val="24"/>
        </w:rPr>
        <w:t>Akkaya</w:t>
      </w:r>
      <w:proofErr w:type="spellEnd"/>
      <w:r w:rsidRPr="00AD6A20">
        <w:rPr>
          <w:rFonts w:ascii="Arial" w:hAnsi="Arial" w:cs="Arial"/>
          <w:color w:val="000000" w:themeColor="text1"/>
          <w:sz w:val="24"/>
          <w:szCs w:val="24"/>
        </w:rPr>
        <w:t xml:space="preserve">, K., </w:t>
      </w:r>
      <w:proofErr w:type="spellStart"/>
      <w:r w:rsidRPr="00AD6A20">
        <w:rPr>
          <w:rFonts w:ascii="Arial" w:hAnsi="Arial" w:cs="Arial"/>
          <w:color w:val="000000" w:themeColor="text1"/>
          <w:sz w:val="24"/>
          <w:szCs w:val="24"/>
        </w:rPr>
        <w:t>Cebe</w:t>
      </w:r>
      <w:proofErr w:type="spellEnd"/>
      <w:r w:rsidRPr="00AD6A20">
        <w:rPr>
          <w:rFonts w:ascii="Arial" w:hAnsi="Arial" w:cs="Arial"/>
          <w:color w:val="000000" w:themeColor="text1"/>
          <w:sz w:val="24"/>
          <w:szCs w:val="24"/>
        </w:rPr>
        <w:t xml:space="preserve">, M., </w:t>
      </w:r>
      <w:proofErr w:type="spellStart"/>
      <w:r w:rsidRPr="00AD6A20">
        <w:rPr>
          <w:rFonts w:ascii="Arial" w:hAnsi="Arial" w:cs="Arial"/>
          <w:color w:val="000000" w:themeColor="text1"/>
          <w:sz w:val="24"/>
          <w:szCs w:val="24"/>
        </w:rPr>
        <w:t>Uluagac</w:t>
      </w:r>
      <w:proofErr w:type="spellEnd"/>
      <w:r w:rsidRPr="00AD6A20">
        <w:rPr>
          <w:rFonts w:ascii="Arial" w:hAnsi="Arial" w:cs="Arial"/>
          <w:color w:val="000000" w:themeColor="text1"/>
          <w:sz w:val="24"/>
          <w:szCs w:val="24"/>
        </w:rPr>
        <w:t xml:space="preserve">, S., Alonso, M. and </w:t>
      </w:r>
      <w:proofErr w:type="spellStart"/>
      <w:r w:rsidRPr="00AD6A20">
        <w:rPr>
          <w:rFonts w:ascii="Arial" w:hAnsi="Arial" w:cs="Arial"/>
          <w:color w:val="000000" w:themeColor="text1"/>
          <w:sz w:val="24"/>
          <w:szCs w:val="24"/>
        </w:rPr>
        <w:t>Cobanoglu</w:t>
      </w:r>
      <w:proofErr w:type="spellEnd"/>
      <w:r w:rsidRPr="00AD6A20">
        <w:rPr>
          <w:rFonts w:ascii="Arial" w:hAnsi="Arial" w:cs="Arial"/>
          <w:color w:val="000000" w:themeColor="text1"/>
          <w:sz w:val="24"/>
          <w:szCs w:val="24"/>
        </w:rPr>
        <w:t>, C., 2021. Improving the service industry with hyper-connectivity: IoT in hospitality. International Journal of Contemporary Hospitality Management, 33(1), pp.243-262.</w:t>
      </w:r>
    </w:p>
    <w:p w14:paraId="13720839" w14:textId="0C6515BF" w:rsidR="00AD6A20" w:rsidRPr="00AD6A20" w:rsidRDefault="00AD6A20"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Roberts, I. (2024). The UK hospitality sector and sustainability in 2024 - </w:t>
      </w:r>
      <w:proofErr w:type="spellStart"/>
      <w:r w:rsidRPr="00AD6A20">
        <w:rPr>
          <w:rFonts w:ascii="Arial" w:hAnsi="Arial" w:cs="Arial"/>
          <w:color w:val="000000" w:themeColor="text1"/>
          <w:sz w:val="24"/>
          <w:szCs w:val="24"/>
        </w:rPr>
        <w:t>UKHospitality</w:t>
      </w:r>
      <w:proofErr w:type="spellEnd"/>
      <w:r w:rsidRPr="00AD6A20">
        <w:rPr>
          <w:rFonts w:ascii="Arial" w:hAnsi="Arial" w:cs="Arial"/>
          <w:color w:val="000000" w:themeColor="text1"/>
          <w:sz w:val="24"/>
          <w:szCs w:val="24"/>
        </w:rPr>
        <w:t xml:space="preserve">. [online] </w:t>
      </w:r>
      <w:proofErr w:type="spellStart"/>
      <w:r w:rsidRPr="00AD6A20">
        <w:rPr>
          <w:rFonts w:ascii="Arial" w:hAnsi="Arial" w:cs="Arial"/>
          <w:color w:val="000000" w:themeColor="text1"/>
          <w:sz w:val="24"/>
          <w:szCs w:val="24"/>
        </w:rPr>
        <w:t>UKHospitality</w:t>
      </w:r>
      <w:proofErr w:type="spellEnd"/>
      <w:r w:rsidRPr="00AD6A20">
        <w:rPr>
          <w:rFonts w:ascii="Arial" w:hAnsi="Arial" w:cs="Arial"/>
          <w:color w:val="000000" w:themeColor="text1"/>
          <w:sz w:val="24"/>
          <w:szCs w:val="24"/>
        </w:rPr>
        <w:t>. Available at: https://www.ukhospitality.org.uk/the-uk-hospitality-sector-and-sustainability-in-2024/.</w:t>
      </w:r>
    </w:p>
    <w:p w14:paraId="17691B31" w14:textId="5A3960C3" w:rsidR="00747FEF" w:rsidRPr="00AD6A20" w:rsidRDefault="00747FEF"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Schön, D.A., 2017. The reflective practitioner: How professionals think in action. Routledge.</w:t>
      </w:r>
    </w:p>
    <w:p w14:paraId="4BB99575" w14:textId="0E0AB231" w:rsidR="00AD6A20" w:rsidRPr="00AD6A20" w:rsidRDefault="00AD6A20" w:rsidP="00AD6A20">
      <w:pPr>
        <w:spacing w:line="360" w:lineRule="auto"/>
        <w:jc w:val="both"/>
        <w:rPr>
          <w:rFonts w:ascii="Arial" w:hAnsi="Arial" w:cs="Arial"/>
          <w:color w:val="000000" w:themeColor="text1"/>
          <w:sz w:val="24"/>
          <w:szCs w:val="24"/>
        </w:rPr>
      </w:pPr>
      <w:r w:rsidRPr="00AD6A20">
        <w:rPr>
          <w:rFonts w:ascii="Arial" w:hAnsi="Arial" w:cs="Arial"/>
          <w:color w:val="000000" w:themeColor="text1"/>
          <w:sz w:val="24"/>
          <w:szCs w:val="24"/>
        </w:rPr>
        <w:t xml:space="preserve">Sharma, N., William, P., </w:t>
      </w:r>
      <w:proofErr w:type="spellStart"/>
      <w:r w:rsidRPr="00AD6A20">
        <w:rPr>
          <w:rFonts w:ascii="Arial" w:hAnsi="Arial" w:cs="Arial"/>
          <w:color w:val="000000" w:themeColor="text1"/>
          <w:sz w:val="24"/>
          <w:szCs w:val="24"/>
        </w:rPr>
        <w:t>Kulshreshtha</w:t>
      </w:r>
      <w:proofErr w:type="spellEnd"/>
      <w:r w:rsidRPr="00AD6A20">
        <w:rPr>
          <w:rFonts w:ascii="Arial" w:hAnsi="Arial" w:cs="Arial"/>
          <w:color w:val="000000" w:themeColor="text1"/>
          <w:sz w:val="24"/>
          <w:szCs w:val="24"/>
        </w:rPr>
        <w:t xml:space="preserve">, K., Sharma, G., </w:t>
      </w:r>
      <w:proofErr w:type="spellStart"/>
      <w:r w:rsidRPr="00AD6A20">
        <w:rPr>
          <w:rFonts w:ascii="Arial" w:hAnsi="Arial" w:cs="Arial"/>
          <w:color w:val="000000" w:themeColor="text1"/>
          <w:sz w:val="24"/>
          <w:szCs w:val="24"/>
        </w:rPr>
        <w:t>Haralayya</w:t>
      </w:r>
      <w:proofErr w:type="spellEnd"/>
      <w:r w:rsidRPr="00AD6A20">
        <w:rPr>
          <w:rFonts w:ascii="Arial" w:hAnsi="Arial" w:cs="Arial"/>
          <w:color w:val="000000" w:themeColor="text1"/>
          <w:sz w:val="24"/>
          <w:szCs w:val="24"/>
        </w:rPr>
        <w:t>, D.B. and Chauhan, Y., 2023. Human resource management model with ICT architecture: solution of management &amp; understanding of psychology of human resources and corporate social responsibility. Available at SSRN 5000303.</w:t>
      </w:r>
    </w:p>
    <w:p w14:paraId="5674491D" w14:textId="78BF316E" w:rsidR="00747FEF" w:rsidRPr="00AD6A20" w:rsidRDefault="00747FEF" w:rsidP="00AD6A20">
      <w:pPr>
        <w:spacing w:line="360" w:lineRule="auto"/>
        <w:jc w:val="both"/>
        <w:rPr>
          <w:rFonts w:ascii="Arial" w:hAnsi="Arial" w:cs="Arial"/>
          <w:color w:val="000000" w:themeColor="text1"/>
          <w:sz w:val="24"/>
          <w:szCs w:val="24"/>
        </w:rPr>
      </w:pPr>
      <w:proofErr w:type="spellStart"/>
      <w:r w:rsidRPr="00AD6A20">
        <w:rPr>
          <w:rFonts w:ascii="Arial" w:hAnsi="Arial" w:cs="Arial"/>
          <w:color w:val="000000" w:themeColor="text1"/>
          <w:sz w:val="24"/>
          <w:szCs w:val="24"/>
        </w:rPr>
        <w:t>Stavrinoudis</w:t>
      </w:r>
      <w:proofErr w:type="spellEnd"/>
      <w:r w:rsidRPr="00AD6A20">
        <w:rPr>
          <w:rFonts w:ascii="Arial" w:hAnsi="Arial" w:cs="Arial"/>
          <w:color w:val="000000" w:themeColor="text1"/>
          <w:sz w:val="24"/>
          <w:szCs w:val="24"/>
        </w:rPr>
        <w:t xml:space="preserve">, T. and </w:t>
      </w:r>
      <w:proofErr w:type="spellStart"/>
      <w:r w:rsidRPr="00AD6A20">
        <w:rPr>
          <w:rFonts w:ascii="Arial" w:hAnsi="Arial" w:cs="Arial"/>
          <w:color w:val="000000" w:themeColor="text1"/>
          <w:sz w:val="24"/>
          <w:szCs w:val="24"/>
        </w:rPr>
        <w:t>Psimoulis</w:t>
      </w:r>
      <w:proofErr w:type="spellEnd"/>
      <w:r w:rsidRPr="00AD6A20">
        <w:rPr>
          <w:rFonts w:ascii="Arial" w:hAnsi="Arial" w:cs="Arial"/>
          <w:color w:val="000000" w:themeColor="text1"/>
          <w:sz w:val="24"/>
          <w:szCs w:val="24"/>
        </w:rPr>
        <w:t>, M., 2017. How do education and training policies determine customer satisfaction and hotels’ performance?. European Journal of Tourism Research, 17, pp.177-190.</w:t>
      </w:r>
    </w:p>
    <w:p w14:paraId="36DF5AA8" w14:textId="756F2F01" w:rsidR="00747FEF" w:rsidRPr="00AD6A20" w:rsidRDefault="00747FEF" w:rsidP="00AD6A20">
      <w:pPr>
        <w:spacing w:line="360" w:lineRule="auto"/>
        <w:jc w:val="both"/>
        <w:rPr>
          <w:rFonts w:ascii="Arial" w:hAnsi="Arial" w:cs="Arial"/>
          <w:color w:val="000000" w:themeColor="text1"/>
          <w:sz w:val="24"/>
          <w:szCs w:val="24"/>
        </w:rPr>
      </w:pPr>
      <w:proofErr w:type="spellStart"/>
      <w:r w:rsidRPr="00AD6A20">
        <w:rPr>
          <w:rFonts w:ascii="Arial" w:hAnsi="Arial" w:cs="Arial"/>
          <w:color w:val="000000" w:themeColor="text1"/>
          <w:sz w:val="24"/>
          <w:szCs w:val="24"/>
        </w:rPr>
        <w:t>Sukhu</w:t>
      </w:r>
      <w:proofErr w:type="spellEnd"/>
      <w:r w:rsidRPr="00AD6A20">
        <w:rPr>
          <w:rFonts w:ascii="Arial" w:hAnsi="Arial" w:cs="Arial"/>
          <w:color w:val="000000" w:themeColor="text1"/>
          <w:sz w:val="24"/>
          <w:szCs w:val="24"/>
        </w:rPr>
        <w:t xml:space="preserve">, A. and </w:t>
      </w:r>
      <w:proofErr w:type="spellStart"/>
      <w:r w:rsidRPr="00AD6A20">
        <w:rPr>
          <w:rFonts w:ascii="Arial" w:hAnsi="Arial" w:cs="Arial"/>
          <w:color w:val="000000" w:themeColor="text1"/>
          <w:sz w:val="24"/>
          <w:szCs w:val="24"/>
        </w:rPr>
        <w:t>Bilgihan</w:t>
      </w:r>
      <w:proofErr w:type="spellEnd"/>
      <w:r w:rsidRPr="00AD6A20">
        <w:rPr>
          <w:rFonts w:ascii="Arial" w:hAnsi="Arial" w:cs="Arial"/>
          <w:color w:val="000000" w:themeColor="text1"/>
          <w:sz w:val="24"/>
          <w:szCs w:val="24"/>
        </w:rPr>
        <w:t>, A., 2023. Service recovery strategies: mitigating negative word-of-mouth in the hotel industry through enhanced customer engagement. International Hospitality Review.</w:t>
      </w:r>
    </w:p>
    <w:p w14:paraId="34B3798F" w14:textId="3B74409E" w:rsidR="00AD6A20" w:rsidRPr="00AD6A20" w:rsidRDefault="00AD6A20" w:rsidP="00AD6A20">
      <w:pPr>
        <w:spacing w:line="360" w:lineRule="auto"/>
        <w:jc w:val="both"/>
        <w:rPr>
          <w:rFonts w:ascii="Arial" w:hAnsi="Arial" w:cs="Arial"/>
          <w:color w:val="000000" w:themeColor="text1"/>
          <w:sz w:val="24"/>
          <w:szCs w:val="24"/>
        </w:rPr>
      </w:pPr>
      <w:proofErr w:type="spellStart"/>
      <w:r w:rsidRPr="00AD6A20">
        <w:rPr>
          <w:rFonts w:ascii="Arial" w:hAnsi="Arial" w:cs="Arial"/>
          <w:color w:val="000000" w:themeColor="text1"/>
          <w:sz w:val="24"/>
          <w:szCs w:val="24"/>
        </w:rPr>
        <w:t>Vallen</w:t>
      </w:r>
      <w:proofErr w:type="spellEnd"/>
      <w:r w:rsidRPr="00AD6A20">
        <w:rPr>
          <w:rFonts w:ascii="Arial" w:hAnsi="Arial" w:cs="Arial"/>
          <w:color w:val="000000" w:themeColor="text1"/>
          <w:sz w:val="24"/>
          <w:szCs w:val="24"/>
        </w:rPr>
        <w:t xml:space="preserve">, G.K. &amp; </w:t>
      </w:r>
      <w:proofErr w:type="spellStart"/>
      <w:r w:rsidRPr="00AD6A20">
        <w:rPr>
          <w:rFonts w:ascii="Arial" w:hAnsi="Arial" w:cs="Arial"/>
          <w:color w:val="000000" w:themeColor="text1"/>
          <w:sz w:val="24"/>
          <w:szCs w:val="24"/>
        </w:rPr>
        <w:t>Vallen</w:t>
      </w:r>
      <w:proofErr w:type="spellEnd"/>
      <w:r w:rsidRPr="00AD6A20">
        <w:rPr>
          <w:rFonts w:ascii="Arial" w:hAnsi="Arial" w:cs="Arial"/>
          <w:color w:val="000000" w:themeColor="text1"/>
          <w:sz w:val="24"/>
          <w:szCs w:val="24"/>
        </w:rPr>
        <w:t xml:space="preserve">, Jerome J. (2014) Check-In </w:t>
      </w:r>
      <w:proofErr w:type="spellStart"/>
      <w:r w:rsidRPr="00AD6A20">
        <w:rPr>
          <w:rFonts w:ascii="Arial" w:hAnsi="Arial" w:cs="Arial"/>
          <w:color w:val="000000" w:themeColor="text1"/>
          <w:sz w:val="24"/>
          <w:szCs w:val="24"/>
        </w:rPr>
        <w:t>CheckOut</w:t>
      </w:r>
      <w:proofErr w:type="spellEnd"/>
      <w:r w:rsidRPr="00AD6A20">
        <w:rPr>
          <w:rFonts w:ascii="Arial" w:hAnsi="Arial" w:cs="Arial"/>
          <w:color w:val="000000" w:themeColor="text1"/>
          <w:sz w:val="24"/>
          <w:szCs w:val="24"/>
        </w:rPr>
        <w:t>: Managing Hotel Operations. 9th Ed. Harlow: Pearson Education Limited.</w:t>
      </w:r>
    </w:p>
    <w:p w14:paraId="2DD76572" w14:textId="77777777" w:rsidR="00AD6A20" w:rsidRPr="00AD6A20" w:rsidRDefault="00AD6A20" w:rsidP="00AD6A20">
      <w:pPr>
        <w:spacing w:line="360" w:lineRule="auto"/>
        <w:jc w:val="both"/>
        <w:rPr>
          <w:rFonts w:ascii="Arial" w:hAnsi="Arial" w:cs="Arial"/>
          <w:color w:val="000000" w:themeColor="text1"/>
          <w:sz w:val="24"/>
          <w:szCs w:val="24"/>
        </w:rPr>
      </w:pPr>
      <w:proofErr w:type="spellStart"/>
      <w:r w:rsidRPr="00AD6A20">
        <w:rPr>
          <w:rFonts w:ascii="Arial" w:hAnsi="Arial" w:cs="Arial"/>
          <w:color w:val="000000" w:themeColor="text1"/>
          <w:sz w:val="24"/>
          <w:szCs w:val="24"/>
        </w:rPr>
        <w:t>Vedat</w:t>
      </w:r>
      <w:proofErr w:type="spellEnd"/>
      <w:r w:rsidRPr="00AD6A20">
        <w:rPr>
          <w:rFonts w:ascii="Arial" w:hAnsi="Arial" w:cs="Arial"/>
          <w:color w:val="000000" w:themeColor="text1"/>
          <w:sz w:val="24"/>
          <w:szCs w:val="24"/>
        </w:rPr>
        <w:t xml:space="preserve"> </w:t>
      </w:r>
      <w:proofErr w:type="spellStart"/>
      <w:r w:rsidRPr="00AD6A20">
        <w:rPr>
          <w:rFonts w:ascii="Arial" w:hAnsi="Arial" w:cs="Arial"/>
          <w:color w:val="000000" w:themeColor="text1"/>
          <w:sz w:val="24"/>
          <w:szCs w:val="24"/>
        </w:rPr>
        <w:t>Yiğitoğlu</w:t>
      </w:r>
      <w:proofErr w:type="spellEnd"/>
      <w:r w:rsidRPr="00AD6A20">
        <w:rPr>
          <w:rFonts w:ascii="Arial" w:hAnsi="Arial" w:cs="Arial"/>
          <w:color w:val="000000" w:themeColor="text1"/>
          <w:sz w:val="24"/>
          <w:szCs w:val="24"/>
        </w:rPr>
        <w:t xml:space="preserve">, </w:t>
      </w:r>
      <w:proofErr w:type="spellStart"/>
      <w:r w:rsidRPr="00AD6A20">
        <w:rPr>
          <w:rFonts w:ascii="Arial" w:hAnsi="Arial" w:cs="Arial"/>
          <w:color w:val="000000" w:themeColor="text1"/>
          <w:sz w:val="24"/>
          <w:szCs w:val="24"/>
        </w:rPr>
        <w:t>Esra</w:t>
      </w:r>
      <w:proofErr w:type="spellEnd"/>
      <w:r w:rsidRPr="00AD6A20">
        <w:rPr>
          <w:rFonts w:ascii="Arial" w:hAnsi="Arial" w:cs="Arial"/>
          <w:color w:val="000000" w:themeColor="text1"/>
          <w:sz w:val="24"/>
          <w:szCs w:val="24"/>
        </w:rPr>
        <w:t xml:space="preserve"> </w:t>
      </w:r>
      <w:proofErr w:type="spellStart"/>
      <w:r w:rsidRPr="00AD6A20">
        <w:rPr>
          <w:rFonts w:ascii="Arial" w:hAnsi="Arial" w:cs="Arial"/>
          <w:color w:val="000000" w:themeColor="text1"/>
          <w:sz w:val="24"/>
          <w:szCs w:val="24"/>
        </w:rPr>
        <w:t>Şahin</w:t>
      </w:r>
      <w:proofErr w:type="spellEnd"/>
      <w:r w:rsidRPr="00AD6A20">
        <w:rPr>
          <w:rFonts w:ascii="Arial" w:hAnsi="Arial" w:cs="Arial"/>
          <w:color w:val="000000" w:themeColor="text1"/>
          <w:sz w:val="24"/>
          <w:szCs w:val="24"/>
        </w:rPr>
        <w:t xml:space="preserve">, </w:t>
      </w:r>
      <w:proofErr w:type="spellStart"/>
      <w:r w:rsidRPr="00AD6A20">
        <w:rPr>
          <w:rFonts w:ascii="Arial" w:hAnsi="Arial" w:cs="Arial"/>
          <w:color w:val="000000" w:themeColor="text1"/>
          <w:sz w:val="24"/>
          <w:szCs w:val="24"/>
        </w:rPr>
        <w:t>Beysun</w:t>
      </w:r>
      <w:proofErr w:type="spellEnd"/>
      <w:r w:rsidRPr="00AD6A20">
        <w:rPr>
          <w:rFonts w:ascii="Arial" w:hAnsi="Arial" w:cs="Arial"/>
          <w:color w:val="000000" w:themeColor="text1"/>
          <w:sz w:val="24"/>
          <w:szCs w:val="24"/>
        </w:rPr>
        <w:t xml:space="preserve"> </w:t>
      </w:r>
      <w:proofErr w:type="spellStart"/>
      <w:r w:rsidRPr="00AD6A20">
        <w:rPr>
          <w:rFonts w:ascii="Arial" w:hAnsi="Arial" w:cs="Arial"/>
          <w:color w:val="000000" w:themeColor="text1"/>
          <w:sz w:val="24"/>
          <w:szCs w:val="24"/>
        </w:rPr>
        <w:t>Güneri</w:t>
      </w:r>
      <w:proofErr w:type="spellEnd"/>
      <w:r w:rsidRPr="00AD6A20">
        <w:rPr>
          <w:rFonts w:ascii="Arial" w:hAnsi="Arial" w:cs="Arial"/>
          <w:color w:val="000000" w:themeColor="text1"/>
          <w:sz w:val="24"/>
          <w:szCs w:val="24"/>
        </w:rPr>
        <w:t xml:space="preserve"> and Demir, M.Ö. (2025). The Impact of Sustainable QR Menus on Service Quality and Customer Satisfaction: The Moderating Role of Perceived Risk. Sustainability, [online] 17(5), p.2323. </w:t>
      </w:r>
      <w:proofErr w:type="spellStart"/>
      <w:proofErr w:type="gramStart"/>
      <w:r w:rsidRPr="00AD6A20">
        <w:rPr>
          <w:rFonts w:ascii="Arial" w:hAnsi="Arial" w:cs="Arial"/>
          <w:color w:val="000000" w:themeColor="text1"/>
          <w:sz w:val="24"/>
          <w:szCs w:val="24"/>
        </w:rPr>
        <w:t>doi:https</w:t>
      </w:r>
      <w:proofErr w:type="spellEnd"/>
      <w:r w:rsidRPr="00AD6A20">
        <w:rPr>
          <w:rFonts w:ascii="Arial" w:hAnsi="Arial" w:cs="Arial"/>
          <w:color w:val="000000" w:themeColor="text1"/>
          <w:sz w:val="24"/>
          <w:szCs w:val="24"/>
        </w:rPr>
        <w:t>://doi.org/10.3390/su17052323</w:t>
      </w:r>
      <w:proofErr w:type="gramEnd"/>
      <w:r w:rsidRPr="00AD6A20">
        <w:rPr>
          <w:rFonts w:ascii="Arial" w:hAnsi="Arial" w:cs="Arial"/>
          <w:color w:val="000000" w:themeColor="text1"/>
          <w:sz w:val="24"/>
          <w:szCs w:val="24"/>
        </w:rPr>
        <w:t>.</w:t>
      </w:r>
    </w:p>
    <w:p w14:paraId="3B5B9936" w14:textId="77777777" w:rsidR="00AD6A20" w:rsidRPr="00AD6A20" w:rsidRDefault="00AD6A20" w:rsidP="00AD6A20">
      <w:pPr>
        <w:rPr>
          <w:rFonts w:ascii="Arial" w:hAnsi="Arial" w:cs="Arial"/>
          <w:sz w:val="24"/>
          <w:szCs w:val="24"/>
        </w:rPr>
      </w:pPr>
    </w:p>
    <w:p w14:paraId="14728DB0" w14:textId="44117B71" w:rsidR="00AD6A20" w:rsidRPr="00AD6A20" w:rsidRDefault="00AD6A20" w:rsidP="00AD6A20">
      <w:pPr>
        <w:rPr>
          <w:rFonts w:ascii="Arial" w:hAnsi="Arial" w:cs="Arial"/>
          <w:sz w:val="24"/>
          <w:szCs w:val="24"/>
        </w:rPr>
      </w:pPr>
      <w:r w:rsidRPr="00AD6A20">
        <w:rPr>
          <w:rFonts w:ascii="Arial" w:hAnsi="Arial" w:cs="Arial"/>
          <w:sz w:val="24"/>
          <w:szCs w:val="24"/>
        </w:rPr>
        <w:t>‌</w:t>
      </w:r>
    </w:p>
    <w:sectPr w:rsidR="00AD6A20" w:rsidRPr="00AD6A20" w:rsidSect="002262F7">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17B78" w14:textId="77777777" w:rsidR="002262F7" w:rsidRDefault="002262F7" w:rsidP="002262F7">
      <w:pPr>
        <w:spacing w:after="0" w:line="240" w:lineRule="auto"/>
      </w:pPr>
      <w:r>
        <w:separator/>
      </w:r>
    </w:p>
  </w:endnote>
  <w:endnote w:type="continuationSeparator" w:id="0">
    <w:p w14:paraId="75843E78" w14:textId="77777777" w:rsidR="002262F7" w:rsidRDefault="002262F7" w:rsidP="0022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206851449"/>
      <w:docPartObj>
        <w:docPartGallery w:val="Page Numbers (Bottom of Page)"/>
        <w:docPartUnique/>
      </w:docPartObj>
    </w:sdtPr>
    <w:sdtEndPr>
      <w:rPr>
        <w:noProof/>
      </w:rPr>
    </w:sdtEndPr>
    <w:sdtContent>
      <w:p w14:paraId="55A783D6" w14:textId="4F4877A7" w:rsidR="002262F7" w:rsidRDefault="002262F7">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592CDB90" w14:textId="77777777" w:rsidR="002262F7" w:rsidRDefault="00226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83EA2" w14:textId="77777777" w:rsidR="002262F7" w:rsidRDefault="002262F7" w:rsidP="002262F7">
      <w:pPr>
        <w:spacing w:after="0" w:line="240" w:lineRule="auto"/>
      </w:pPr>
      <w:r>
        <w:separator/>
      </w:r>
    </w:p>
  </w:footnote>
  <w:footnote w:type="continuationSeparator" w:id="0">
    <w:p w14:paraId="73044BA8" w14:textId="77777777" w:rsidR="002262F7" w:rsidRDefault="002262F7" w:rsidP="00226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D7A24"/>
    <w:multiLevelType w:val="hybridMultilevel"/>
    <w:tmpl w:val="1242A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7129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2F7"/>
    <w:rsid w:val="002262F7"/>
    <w:rsid w:val="00747FEF"/>
    <w:rsid w:val="007B0CC3"/>
    <w:rsid w:val="00A66718"/>
    <w:rsid w:val="00AD6A20"/>
    <w:rsid w:val="00B151A8"/>
    <w:rsid w:val="00C82D1F"/>
    <w:rsid w:val="00D7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9F326"/>
  <w15:chartTrackingRefBased/>
  <w15:docId w15:val="{F986CDB0-1B53-4716-92AB-EFEAEF2EC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262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62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62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62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6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6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6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6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262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62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62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62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6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2F7"/>
    <w:rPr>
      <w:rFonts w:eastAsiaTheme="majorEastAsia" w:cstheme="majorBidi"/>
      <w:color w:val="272727" w:themeColor="text1" w:themeTint="D8"/>
    </w:rPr>
  </w:style>
  <w:style w:type="paragraph" w:styleId="Title">
    <w:name w:val="Title"/>
    <w:basedOn w:val="Normal"/>
    <w:next w:val="Normal"/>
    <w:link w:val="TitleChar"/>
    <w:uiPriority w:val="10"/>
    <w:qFormat/>
    <w:rsid w:val="00226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6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2F7"/>
    <w:pPr>
      <w:spacing w:before="160"/>
      <w:jc w:val="center"/>
    </w:pPr>
    <w:rPr>
      <w:i/>
      <w:iCs/>
      <w:color w:val="404040" w:themeColor="text1" w:themeTint="BF"/>
    </w:rPr>
  </w:style>
  <w:style w:type="character" w:customStyle="1" w:styleId="QuoteChar">
    <w:name w:val="Quote Char"/>
    <w:basedOn w:val="DefaultParagraphFont"/>
    <w:link w:val="Quote"/>
    <w:uiPriority w:val="29"/>
    <w:rsid w:val="002262F7"/>
    <w:rPr>
      <w:i/>
      <w:iCs/>
      <w:color w:val="404040" w:themeColor="text1" w:themeTint="BF"/>
    </w:rPr>
  </w:style>
  <w:style w:type="paragraph" w:styleId="ListParagraph">
    <w:name w:val="List Paragraph"/>
    <w:basedOn w:val="Normal"/>
    <w:uiPriority w:val="34"/>
    <w:qFormat/>
    <w:rsid w:val="002262F7"/>
    <w:pPr>
      <w:ind w:left="720"/>
      <w:contextualSpacing/>
    </w:pPr>
  </w:style>
  <w:style w:type="character" w:styleId="IntenseEmphasis">
    <w:name w:val="Intense Emphasis"/>
    <w:basedOn w:val="DefaultParagraphFont"/>
    <w:uiPriority w:val="21"/>
    <w:qFormat/>
    <w:rsid w:val="002262F7"/>
    <w:rPr>
      <w:i/>
      <w:iCs/>
      <w:color w:val="2F5496" w:themeColor="accent1" w:themeShade="BF"/>
    </w:rPr>
  </w:style>
  <w:style w:type="paragraph" w:styleId="IntenseQuote">
    <w:name w:val="Intense Quote"/>
    <w:basedOn w:val="Normal"/>
    <w:next w:val="Normal"/>
    <w:link w:val="IntenseQuoteChar"/>
    <w:uiPriority w:val="30"/>
    <w:qFormat/>
    <w:rsid w:val="002262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62F7"/>
    <w:rPr>
      <w:i/>
      <w:iCs/>
      <w:color w:val="2F5496" w:themeColor="accent1" w:themeShade="BF"/>
    </w:rPr>
  </w:style>
  <w:style w:type="character" w:styleId="IntenseReference">
    <w:name w:val="Intense Reference"/>
    <w:basedOn w:val="DefaultParagraphFont"/>
    <w:uiPriority w:val="32"/>
    <w:qFormat/>
    <w:rsid w:val="002262F7"/>
    <w:rPr>
      <w:b/>
      <w:bCs/>
      <w:smallCaps/>
      <w:color w:val="2F5496" w:themeColor="accent1" w:themeShade="BF"/>
      <w:spacing w:val="5"/>
    </w:rPr>
  </w:style>
  <w:style w:type="paragraph" w:styleId="Header">
    <w:name w:val="header"/>
    <w:basedOn w:val="Normal"/>
    <w:link w:val="HeaderChar"/>
    <w:uiPriority w:val="99"/>
    <w:unhideWhenUsed/>
    <w:rsid w:val="00226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2F7"/>
  </w:style>
  <w:style w:type="paragraph" w:styleId="Footer">
    <w:name w:val="footer"/>
    <w:basedOn w:val="Normal"/>
    <w:link w:val="FooterChar"/>
    <w:uiPriority w:val="99"/>
    <w:unhideWhenUsed/>
    <w:rsid w:val="00226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2F7"/>
  </w:style>
  <w:style w:type="table" w:styleId="TableGrid">
    <w:name w:val="Table Grid"/>
    <w:basedOn w:val="TableNormal"/>
    <w:uiPriority w:val="39"/>
    <w:rsid w:val="00747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6A2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4152">
      <w:bodyDiv w:val="1"/>
      <w:marLeft w:val="0"/>
      <w:marRight w:val="0"/>
      <w:marTop w:val="0"/>
      <w:marBottom w:val="0"/>
      <w:divBdr>
        <w:top w:val="none" w:sz="0" w:space="0" w:color="auto"/>
        <w:left w:val="none" w:sz="0" w:space="0" w:color="auto"/>
        <w:bottom w:val="none" w:sz="0" w:space="0" w:color="auto"/>
        <w:right w:val="none" w:sz="0" w:space="0" w:color="auto"/>
      </w:divBdr>
    </w:div>
    <w:div w:id="210753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8</Pages>
  <Words>1864</Words>
  <Characters>10629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2025-06-16T22:00:00Z</dcterms:created>
  <dcterms:modified xsi:type="dcterms:W3CDTF">2025-06-16T22:27:00Z</dcterms:modified>
</cp:coreProperties>
</file>