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56ED335" wp14:paraId="5E5787A5" wp14:textId="745FE1A6">
      <w:pPr>
        <w:rPr>
          <w:rFonts w:ascii="Arial" w:hAnsi="Arial" w:eastAsia="Arial" w:cs="Arial"/>
          <w:sz w:val="22"/>
          <w:szCs w:val="22"/>
        </w:rPr>
      </w:pPr>
      <w:r w:rsidRPr="556ED335" w:rsidR="11EFFF82">
        <w:rPr>
          <w:rFonts w:ascii="Arial" w:hAnsi="Arial" w:eastAsia="Arial" w:cs="Arial"/>
          <w:b w:val="1"/>
          <w:bCs w:val="1"/>
          <w:sz w:val="22"/>
          <w:szCs w:val="22"/>
        </w:rPr>
        <w:t xml:space="preserve">Name: </w:t>
      </w:r>
      <w:r w:rsidRPr="556ED335" w:rsidR="11EFFF82">
        <w:rPr>
          <w:rFonts w:ascii="Arial" w:hAnsi="Arial" w:eastAsia="Arial" w:cs="Arial"/>
          <w:sz w:val="22"/>
          <w:szCs w:val="22"/>
        </w:rPr>
        <w:t>Gloria Ma</w:t>
      </w:r>
      <w:r w:rsidRPr="556ED335" w:rsidR="026BEFC5">
        <w:rPr>
          <w:rFonts w:ascii="Arial" w:hAnsi="Arial" w:eastAsia="Arial" w:cs="Arial"/>
          <w:sz w:val="22"/>
          <w:szCs w:val="22"/>
        </w:rPr>
        <w:t>rgarita Ramos Agramonte</w:t>
      </w:r>
    </w:p>
    <w:p w:rsidR="11EFFF82" w:rsidP="556ED335" w:rsidRDefault="11EFFF82" w14:paraId="50830C17" w14:textId="1BE75368">
      <w:pPr>
        <w:rPr>
          <w:rFonts w:ascii="Arial" w:hAnsi="Arial" w:eastAsia="Arial" w:cs="Arial"/>
          <w:sz w:val="22"/>
          <w:szCs w:val="22"/>
        </w:rPr>
      </w:pPr>
      <w:r w:rsidRPr="556ED335" w:rsidR="11EFFF82">
        <w:rPr>
          <w:rFonts w:ascii="Arial" w:hAnsi="Arial" w:eastAsia="Arial" w:cs="Arial"/>
          <w:b w:val="1"/>
          <w:bCs w:val="1"/>
          <w:sz w:val="22"/>
          <w:szCs w:val="22"/>
        </w:rPr>
        <w:t>Student Number:</w:t>
      </w:r>
      <w:r w:rsidRPr="556ED335" w:rsidR="7796E18C">
        <w:rPr>
          <w:rFonts w:ascii="Arial" w:hAnsi="Arial" w:eastAsia="Arial" w:cs="Arial"/>
          <w:b w:val="1"/>
          <w:bCs w:val="1"/>
          <w:sz w:val="22"/>
          <w:szCs w:val="22"/>
        </w:rPr>
        <w:t xml:space="preserve"> </w:t>
      </w:r>
      <w:r w:rsidRPr="556ED335" w:rsidR="7D6C4E5A">
        <w:rPr>
          <w:rFonts w:ascii="Arial" w:hAnsi="Arial" w:eastAsia="Arial" w:cs="Arial"/>
          <w:sz w:val="22"/>
          <w:szCs w:val="22"/>
        </w:rPr>
        <w:t>2426859</w:t>
      </w:r>
    </w:p>
    <w:p w:rsidR="11EFFF82" w:rsidP="556ED335" w:rsidRDefault="11EFFF82" w14:paraId="68A2A602" w14:textId="19D7BF62">
      <w:pPr>
        <w:rPr>
          <w:rFonts w:ascii="Arial" w:hAnsi="Arial" w:eastAsia="Arial" w:cs="Arial"/>
          <w:sz w:val="22"/>
          <w:szCs w:val="22"/>
        </w:rPr>
      </w:pPr>
      <w:r w:rsidRPr="556ED335" w:rsidR="11EFFF82">
        <w:rPr>
          <w:rFonts w:ascii="Arial" w:hAnsi="Arial" w:eastAsia="Arial" w:cs="Arial"/>
          <w:b w:val="1"/>
          <w:bCs w:val="1"/>
          <w:sz w:val="22"/>
          <w:szCs w:val="22"/>
        </w:rPr>
        <w:t xml:space="preserve">Module </w:t>
      </w:r>
      <w:r w:rsidRPr="556ED335" w:rsidR="0C7A6BCD">
        <w:rPr>
          <w:rFonts w:ascii="Arial" w:hAnsi="Arial" w:eastAsia="Arial" w:cs="Arial"/>
          <w:b w:val="1"/>
          <w:bCs w:val="1"/>
          <w:sz w:val="22"/>
          <w:szCs w:val="22"/>
        </w:rPr>
        <w:t xml:space="preserve">Code: </w:t>
      </w:r>
      <w:r w:rsidRPr="556ED335" w:rsidR="0C7A6BCD">
        <w:rPr>
          <w:rFonts w:ascii="Arial" w:hAnsi="Arial" w:eastAsia="Arial" w:cs="Arial"/>
          <w:sz w:val="22"/>
          <w:szCs w:val="22"/>
        </w:rPr>
        <w:t>LCHS</w:t>
      </w:r>
      <w:r w:rsidRPr="556ED335" w:rsidR="0C7A6BCD">
        <w:rPr>
          <w:rFonts w:ascii="Arial" w:hAnsi="Arial" w:eastAsia="Arial" w:cs="Arial"/>
          <w:sz w:val="22"/>
          <w:szCs w:val="22"/>
        </w:rPr>
        <w:t>4010</w:t>
      </w:r>
    </w:p>
    <w:p w:rsidR="11EFFF82" w:rsidP="556ED335" w:rsidRDefault="11EFFF82" w14:paraId="4E047F43" w14:textId="59AE0139">
      <w:pPr>
        <w:rPr>
          <w:rFonts w:ascii="Arial" w:hAnsi="Arial" w:eastAsia="Arial" w:cs="Arial"/>
          <w:sz w:val="22"/>
          <w:szCs w:val="22"/>
        </w:rPr>
      </w:pPr>
      <w:r w:rsidRPr="556ED335" w:rsidR="11EFFF82">
        <w:rPr>
          <w:rFonts w:ascii="Arial" w:hAnsi="Arial" w:eastAsia="Arial" w:cs="Arial"/>
          <w:b w:val="1"/>
          <w:bCs w:val="1"/>
          <w:sz w:val="22"/>
          <w:szCs w:val="22"/>
        </w:rPr>
        <w:t>Module Title:</w:t>
      </w:r>
      <w:r w:rsidRPr="556ED335" w:rsidR="1819F14C">
        <w:rPr>
          <w:rFonts w:ascii="Arial" w:hAnsi="Arial" w:eastAsia="Arial" w:cs="Arial"/>
          <w:sz w:val="22"/>
          <w:szCs w:val="22"/>
        </w:rPr>
        <w:t xml:space="preserve"> Psychology in Health and Social Care</w:t>
      </w:r>
    </w:p>
    <w:p w:rsidR="11EFFF82" w:rsidP="556ED335" w:rsidRDefault="11EFFF82" w14:paraId="3152CB76" w14:textId="1A28FD75">
      <w:pPr>
        <w:rPr>
          <w:rFonts w:ascii="Arial" w:hAnsi="Arial" w:eastAsia="Arial" w:cs="Arial"/>
          <w:sz w:val="22"/>
          <w:szCs w:val="22"/>
        </w:rPr>
      </w:pPr>
      <w:r w:rsidRPr="556ED335" w:rsidR="11EFFF82">
        <w:rPr>
          <w:rFonts w:ascii="Arial" w:hAnsi="Arial" w:eastAsia="Arial" w:cs="Arial"/>
          <w:b w:val="1"/>
          <w:bCs w:val="1"/>
          <w:sz w:val="22"/>
          <w:szCs w:val="22"/>
        </w:rPr>
        <w:t>Lecture Name:</w:t>
      </w:r>
      <w:r w:rsidRPr="556ED335" w:rsidR="584F1A34">
        <w:rPr>
          <w:rFonts w:ascii="Arial" w:hAnsi="Arial" w:eastAsia="Arial" w:cs="Arial"/>
          <w:sz w:val="22"/>
          <w:szCs w:val="22"/>
        </w:rPr>
        <w:t xml:space="preserve"> Kennedy </w:t>
      </w:r>
      <w:r w:rsidRPr="556ED335" w:rsidR="584F1A34">
        <w:rPr>
          <w:rFonts w:ascii="Arial" w:hAnsi="Arial" w:eastAsia="Arial" w:cs="Arial"/>
          <w:sz w:val="22"/>
          <w:szCs w:val="22"/>
        </w:rPr>
        <w:t>Obohwemu</w:t>
      </w:r>
    </w:p>
    <w:p w:rsidR="11EFFF82" w:rsidP="556ED335" w:rsidRDefault="11EFFF82" w14:paraId="741BB4BB" w14:textId="530D6EC5">
      <w:pPr>
        <w:pStyle w:val="Normal"/>
        <w:rPr>
          <w:rFonts w:ascii="Arial" w:hAnsi="Arial" w:eastAsia="Arial" w:cs="Arial"/>
          <w:noProof w:val="0"/>
          <w:sz w:val="22"/>
          <w:szCs w:val="22"/>
          <w:lang w:val="en-US"/>
        </w:rPr>
      </w:pPr>
      <w:r w:rsidRPr="556ED335" w:rsidR="11EFFF82">
        <w:rPr>
          <w:rFonts w:ascii="Arial" w:hAnsi="Arial" w:eastAsia="Arial" w:cs="Arial"/>
          <w:b w:val="1"/>
          <w:bCs w:val="1"/>
          <w:sz w:val="22"/>
          <w:szCs w:val="22"/>
        </w:rPr>
        <w:t>Assignment Title:</w:t>
      </w:r>
      <w:r w:rsidRPr="556ED335" w:rsidR="50A36E33">
        <w:rPr>
          <w:rFonts w:ascii="Arial" w:hAnsi="Arial" w:eastAsia="Arial" w:cs="Arial"/>
          <w:b w:val="1"/>
          <w:bCs w:val="1"/>
          <w:sz w:val="22"/>
          <w:szCs w:val="22"/>
        </w:rPr>
        <w:t xml:space="preserve"> </w:t>
      </w:r>
      <w:r w:rsidRPr="556ED335" w:rsidR="01FB6F7F">
        <w:rPr>
          <w:rFonts w:ascii="Arial" w:hAnsi="Arial" w:eastAsia="Arial" w:cs="Arial"/>
          <w:b w:val="0"/>
          <w:bCs w:val="0"/>
          <w:noProof w:val="0"/>
          <w:sz w:val="22"/>
          <w:szCs w:val="22"/>
          <w:lang w:val="en-US"/>
        </w:rPr>
        <w:t>Assignment 2 Written Task 1500 words</w:t>
      </w:r>
    </w:p>
    <w:p w:rsidR="556ED335" w:rsidRDefault="556ED335" w14:paraId="048C70A5" w14:textId="69255C9C"/>
    <w:p w:rsidR="556ED335" w:rsidRDefault="556ED335" w14:paraId="444B8D2F" w14:textId="47CE3500"/>
    <w:p w:rsidR="556ED335" w:rsidRDefault="556ED335" w14:paraId="0BF5DF87" w14:textId="4DDF9C0C"/>
    <w:p w:rsidR="556ED335" w:rsidRDefault="556ED335" w14:paraId="307A46A6" w14:textId="1BA18E1C"/>
    <w:p w:rsidR="73549AA5" w:rsidP="556ED335" w:rsidRDefault="73549AA5" w14:paraId="637C3743" w14:textId="0AAEC0E1">
      <w:pPr>
        <w:shd w:val="clear" w:color="auto" w:fill="FFFFFF" w:themeFill="background1"/>
        <w:spacing w:before="0" w:beforeAutospacing="off" w:after="224" w:afterAutospacing="off"/>
        <w:rPr>
          <w:rFonts w:ascii="Arial" w:hAnsi="Arial" w:eastAsia="Arial" w:cs="Arial"/>
          <w:b w:val="1"/>
          <w:bCs w:val="1"/>
          <w:i w:val="0"/>
          <w:iCs w:val="0"/>
          <w:caps w:val="0"/>
          <w:smallCaps w:val="0"/>
          <w:noProof w:val="0"/>
          <w:color w:val="000000" w:themeColor="text1" w:themeTint="FF" w:themeShade="FF"/>
          <w:sz w:val="36"/>
          <w:szCs w:val="36"/>
          <w:lang w:val="en-GB"/>
        </w:rPr>
      </w:pPr>
      <w:r w:rsidRPr="556ED335" w:rsidR="73549AA5">
        <w:rPr>
          <w:rFonts w:ascii="Arial" w:hAnsi="Arial" w:eastAsia="Arial" w:cs="Arial"/>
          <w:b w:val="1"/>
          <w:bCs w:val="1"/>
          <w:i w:val="0"/>
          <w:iCs w:val="0"/>
          <w:caps w:val="0"/>
          <w:smallCaps w:val="0"/>
          <w:noProof w:val="0"/>
          <w:color w:val="000000" w:themeColor="text1" w:themeTint="FF" w:themeShade="FF"/>
          <w:sz w:val="36"/>
          <w:szCs w:val="36"/>
          <w:lang w:val="en-GB"/>
        </w:rPr>
        <w:t>Introduction</w:t>
      </w:r>
    </w:p>
    <w:p w:rsidR="73549AA5" w:rsidP="556ED335" w:rsidRDefault="73549AA5" w14:paraId="3D3C8C46" w14:textId="187DD019">
      <w:pPr>
        <w:pStyle w:val="Normal"/>
        <w:shd w:val="clear" w:color="auto" w:fill="FFFFFF" w:themeFill="background1"/>
        <w:spacing w:before="0" w:beforeAutospacing="off" w:after="1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Ageing is a natural part of life that brings both physical and emotional changes. As people get older, their health and independence can start to decline, which often affects how they feel about themselves and their relationships with others. While studying in the UK and learning about health and social care, I have realised how important it is for professionals to understand the psychological aspects of ageing, especially when supporting older adults in care homes.</w:t>
      </w:r>
    </w:p>
    <w:p w:rsidR="73549AA5" w:rsidP="556ED335" w:rsidRDefault="73549AA5" w14:paraId="118D96C7" w14:textId="4CC4BBCE">
      <w:pPr>
        <w:pStyle w:val="Normal"/>
        <w:shd w:val="clear" w:color="auto" w:fill="FFFFFF" w:themeFill="background1"/>
        <w:spacing w:before="0" w:beforeAutospacing="off" w:after="180" w:afterAutospacing="off"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This report focuses on Arthur, a 79-year-old man who lives in a residential care home and has Parkinson’s disease. He experiences tremors, stiffness, and frustration when he cannot manage daily tasks like eating or dressing by himself. However, he enjoys listening to classical music, which helps him to stay calm. The purpose of this report is to explore how two psychological </w:t>
      </w:r>
      <w:r w:rsidRPr="556ED335" w:rsidR="17900040">
        <w:rPr>
          <w:rFonts w:ascii="Arial" w:hAnsi="Arial" w:eastAsia="Arial" w:cs="Arial"/>
          <w:b w:val="0"/>
          <w:bCs w:val="0"/>
          <w:i w:val="0"/>
          <w:iCs w:val="0"/>
          <w:caps w:val="0"/>
          <w:smallCaps w:val="0"/>
          <w:noProof w:val="0"/>
          <w:color w:val="000000" w:themeColor="text1" w:themeTint="FF" w:themeShade="FF"/>
          <w:sz w:val="22"/>
          <w:szCs w:val="22"/>
          <w:lang w:val="en-GB"/>
        </w:rPr>
        <w:t>theories Social</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Disengagement Theory and Activity </w:t>
      </w:r>
      <w:r w:rsidRPr="556ED335" w:rsidR="5CCDE916">
        <w:rPr>
          <w:rFonts w:ascii="Arial" w:hAnsi="Arial" w:eastAsia="Arial" w:cs="Arial"/>
          <w:b w:val="0"/>
          <w:bCs w:val="0"/>
          <w:i w:val="0"/>
          <w:iCs w:val="0"/>
          <w:caps w:val="0"/>
          <w:smallCaps w:val="0"/>
          <w:noProof w:val="0"/>
          <w:color w:val="000000" w:themeColor="text1" w:themeTint="FF" w:themeShade="FF"/>
          <w:sz w:val="22"/>
          <w:szCs w:val="22"/>
          <w:lang w:val="en-GB"/>
        </w:rPr>
        <w:t>Theory can</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be applied to support Arthur and others in similar situations. These theories help care staff to understand the emotional needs of older people and to promote their overall </w:t>
      </w:r>
      <w:r w:rsidRPr="556ED335" w:rsidR="2ED35615">
        <w:rPr>
          <w:rFonts w:ascii="Arial" w:hAnsi="Arial" w:eastAsia="Arial" w:cs="Arial"/>
          <w:b w:val="0"/>
          <w:bCs w:val="0"/>
          <w:i w:val="0"/>
          <w:iCs w:val="0"/>
          <w:caps w:val="0"/>
          <w:smallCaps w:val="0"/>
          <w:noProof w:val="0"/>
          <w:color w:val="000000" w:themeColor="text1" w:themeTint="FF" w:themeShade="FF"/>
          <w:sz w:val="22"/>
          <w:szCs w:val="22"/>
          <w:lang w:val="en-GB"/>
        </w:rPr>
        <w:t>well-being</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within the care environment.</w:t>
      </w:r>
    </w:p>
    <w:p w:rsidR="73549AA5" w:rsidP="556ED335" w:rsidRDefault="73549AA5" w14:paraId="569853D4" w14:textId="0E394580">
      <w:pPr>
        <w:pStyle w:val="Normal"/>
        <w:shd w:val="clear" w:color="auto" w:fill="FFFFFF" w:themeFill="background1"/>
        <w:spacing w:before="0" w:beforeAutospacing="off" w:after="18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556ED335" w:rsidR="73549AA5">
        <w:rPr>
          <w:rFonts w:ascii="Arial" w:hAnsi="Arial" w:eastAsia="Arial" w:cs="Arial"/>
          <w:b w:val="1"/>
          <w:bCs w:val="1"/>
          <w:i w:val="0"/>
          <w:iCs w:val="0"/>
          <w:caps w:val="0"/>
          <w:smallCaps w:val="0"/>
          <w:noProof w:val="0"/>
          <w:color w:val="000000" w:themeColor="text1" w:themeTint="FF" w:themeShade="FF"/>
          <w:sz w:val="22"/>
          <w:szCs w:val="22"/>
          <w:lang w:val="en-GB"/>
        </w:rPr>
        <w:t>Overview of Two Psychological Theories</w:t>
      </w:r>
    </w:p>
    <w:p w:rsidR="73549AA5" w:rsidP="556ED335" w:rsidRDefault="73549AA5" w14:paraId="79C30835" w14:textId="2C64A6F1">
      <w:pPr>
        <w:pStyle w:val="Normal"/>
        <w:shd w:val="clear" w:color="auto" w:fill="FFFFFF" w:themeFill="background1"/>
        <w:spacing w:before="0" w:beforeAutospacing="off" w:after="18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556ED335" w:rsidR="73549AA5">
        <w:rPr>
          <w:rFonts w:ascii="Arial" w:hAnsi="Arial" w:eastAsia="Arial" w:cs="Arial"/>
          <w:b w:val="1"/>
          <w:bCs w:val="1"/>
          <w:i w:val="0"/>
          <w:iCs w:val="0"/>
          <w:caps w:val="0"/>
          <w:smallCaps w:val="0"/>
          <w:noProof w:val="0"/>
          <w:color w:val="000000" w:themeColor="text1" w:themeTint="FF" w:themeShade="FF"/>
          <w:sz w:val="22"/>
          <w:szCs w:val="22"/>
          <w:lang w:val="en-GB"/>
        </w:rPr>
        <w:t>1. Social Disengagement Theory</w:t>
      </w:r>
    </w:p>
    <w:p w:rsidR="73549AA5" w:rsidP="556ED335" w:rsidRDefault="73549AA5" w14:paraId="67615A81" w14:textId="6DC317DD">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Social Disengagement Theory was introduced by Cumming and Henry (1961), who suggested that as people grow older, they naturally start to withdraw from social roles and activities. This process of disengagement can happen gradually as individuals experience physical limitations, loss of friends, or retirement. Society also tends to expect less from older adults, which reinforces this withdrawal.</w:t>
      </w:r>
    </w:p>
    <w:p w:rsidR="73549AA5" w:rsidP="556ED335" w:rsidRDefault="73549AA5" w14:paraId="035738E7" w14:textId="0C1FAED8">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 xml:space="preserve">In some cases, this can be a positive adjustment that helps people accept the ageing process and </w:t>
      </w: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maintain</w:t>
      </w: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 xml:space="preserve"> emotional balance. However, when the withdrawal becomes too extreme, it may lead to loneliness, anxiety, or depression (Victor and Bowling, 2012).</w:t>
      </w:r>
    </w:p>
    <w:p w:rsidR="73549AA5" w:rsidP="556ED335" w:rsidRDefault="73549AA5" w14:paraId="4FAEF880" w14:textId="50A8AB62">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In Arthur’s case, his reduced participation in activities might not mean he wants to be alone, but that his Parkinson’s symptoms limit his confidence and mobility. Understanding this helps staff avoid misinterpreting his behaviour as a lack of interest. Instead, they can see it as a natural reaction to his condition and support him in ways that respect his comfort and dignity.</w:t>
      </w:r>
    </w:p>
    <w:p w:rsidR="73549AA5" w:rsidP="556ED335" w:rsidRDefault="73549AA5" w14:paraId="51A4BFE9" w14:textId="76C79499">
      <w:pPr>
        <w:pStyle w:val="Normal"/>
        <w:shd w:val="clear" w:color="auto" w:fill="FFFFFF" w:themeFill="background1"/>
        <w:spacing w:before="0" w:beforeAutospacing="off" w:after="18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556ED335" w:rsidR="73549AA5">
        <w:rPr>
          <w:rFonts w:ascii="Arial" w:hAnsi="Arial" w:eastAsia="Arial" w:cs="Arial"/>
          <w:b w:val="1"/>
          <w:bCs w:val="1"/>
          <w:i w:val="0"/>
          <w:iCs w:val="0"/>
          <w:caps w:val="0"/>
          <w:smallCaps w:val="0"/>
          <w:noProof w:val="0"/>
          <w:color w:val="000000" w:themeColor="text1" w:themeTint="FF" w:themeShade="FF"/>
          <w:sz w:val="24"/>
          <w:szCs w:val="24"/>
          <w:lang w:val="en-GB"/>
        </w:rPr>
        <w:t>2. Activity Theory</w:t>
      </w:r>
    </w:p>
    <w:p w:rsidR="73549AA5" w:rsidP="556ED335" w:rsidRDefault="73549AA5" w14:paraId="42D14DAF" w14:textId="06E97B94">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 xml:space="preserve">The Activity Theory, developed by Havighurst (1961), offers an opposite perspective. It proposes that older adults stay happier and healthier when they </w:t>
      </w: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remain</w:t>
      </w: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 xml:space="preserve"> active and socially engaged. Taking part in meaningful activities gives them a sense of purpose, identity, and connection to others.</w:t>
      </w:r>
    </w:p>
    <w:p w:rsidR="73549AA5" w:rsidP="556ED335" w:rsidRDefault="73549AA5" w14:paraId="15CA2233" w14:textId="16EF3D00">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 xml:space="preserve">For example, activities such as gardening, music, or group games can help older adults feel valued and motivated (Adams, </w:t>
      </w: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Leibbrandt</w:t>
      </w: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 xml:space="preserve"> and Moon, 2011). Staying active also supports cognitive and emotional health, which is especially important for people living with chronic illnesses.</w:t>
      </w:r>
    </w:p>
    <w:p w:rsidR="73549AA5" w:rsidP="556ED335" w:rsidRDefault="73549AA5" w14:paraId="6CC333BB" w14:textId="3EDC802D">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For Arthur, who enjoys classical music and gardening, these interests can be powerful tools to support his mental well-being. Even small, adapted activities can help him feel included and independent. The Activity Theory</w:t>
      </w:r>
    </w:p>
    <w:p w:rsidR="73549AA5" w:rsidP="556ED335" w:rsidRDefault="73549AA5" w14:paraId="20D11AD4" w14:textId="448E09B1">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56ED335" w:rsidR="73549AA5">
        <w:rPr>
          <w:rFonts w:ascii="Arial" w:hAnsi="Arial" w:eastAsia="Arial" w:cs="Arial"/>
          <w:b w:val="0"/>
          <w:bCs w:val="0"/>
          <w:i w:val="0"/>
          <w:iCs w:val="0"/>
          <w:caps w:val="0"/>
          <w:smallCaps w:val="0"/>
          <w:noProof w:val="0"/>
          <w:color w:val="000000" w:themeColor="text1" w:themeTint="FF" w:themeShade="FF"/>
          <w:sz w:val="24"/>
          <w:szCs w:val="24"/>
          <w:lang w:val="en-GB"/>
        </w:rPr>
        <w:t>encourages care professionals to focus on what older adults can do, rather than what they cannot.</w:t>
      </w:r>
    </w:p>
    <w:p w:rsidR="73549AA5" w:rsidP="556ED335" w:rsidRDefault="73549AA5" w14:paraId="0D707A44" w14:textId="6E4AB146">
      <w:pPr>
        <w:pStyle w:val="Normal"/>
        <w:shd w:val="clear" w:color="auto" w:fill="FFFFFF" w:themeFill="background1"/>
        <w:spacing w:before="0" w:beforeAutospacing="off" w:after="18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556ED335" w:rsidR="73549AA5">
        <w:rPr>
          <w:rFonts w:ascii="Arial" w:hAnsi="Arial" w:eastAsia="Arial" w:cs="Arial"/>
          <w:b w:val="1"/>
          <w:bCs w:val="1"/>
          <w:i w:val="0"/>
          <w:iCs w:val="0"/>
          <w:caps w:val="0"/>
          <w:smallCaps w:val="0"/>
          <w:noProof w:val="0"/>
          <w:color w:val="000000" w:themeColor="text1" w:themeTint="FF" w:themeShade="FF"/>
          <w:sz w:val="24"/>
          <w:szCs w:val="24"/>
          <w:lang w:val="en-GB"/>
        </w:rPr>
        <w:t>Application in the Health and Social Care Context</w:t>
      </w:r>
    </w:p>
    <w:p w:rsidR="73549AA5" w:rsidP="556ED335" w:rsidRDefault="73549AA5" w14:paraId="7B7B2942" w14:textId="67CB7D8C">
      <w:pPr>
        <w:pStyle w:val="Normal"/>
        <w:shd w:val="clear" w:color="auto" w:fill="FFFFFF" w:themeFill="background1"/>
        <w:spacing w:before="0" w:beforeAutospacing="off" w:after="180" w:afterAutospacing="off"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r w:rsidRPr="556ED335" w:rsidR="73549AA5">
        <w:rPr>
          <w:rFonts w:ascii="Arial" w:hAnsi="Arial" w:eastAsia="Arial" w:cs="Arial"/>
          <w:b w:val="1"/>
          <w:bCs w:val="1"/>
          <w:i w:val="0"/>
          <w:iCs w:val="0"/>
          <w:caps w:val="0"/>
          <w:smallCaps w:val="0"/>
          <w:noProof w:val="0"/>
          <w:color w:val="000000" w:themeColor="text1" w:themeTint="FF" w:themeShade="FF"/>
          <w:sz w:val="24"/>
          <w:szCs w:val="24"/>
          <w:lang w:val="en-GB"/>
        </w:rPr>
        <w:t>1. Applying Social Disengagement Theory</w:t>
      </w:r>
    </w:p>
    <w:p w:rsidR="73549AA5" w:rsidP="556ED335" w:rsidRDefault="73549AA5" w14:paraId="1EBA3AAF" w14:textId="66BEF001">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In a residential care home, understanding Social Disengagement Theory helps staff recognise that not every older person wants to be involved in constant activity. For Arthur, who prefers quiet routines and calm environments, disengagement may provide comfort and reduce anxiety.</w:t>
      </w:r>
    </w:p>
    <w:p w:rsidR="73549AA5" w:rsidP="556ED335" w:rsidRDefault="73549AA5" w14:paraId="1E7E0582" w14:textId="29153CE2">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Practical application:</w:t>
      </w:r>
    </w:p>
    <w:p w:rsidR="73549AA5" w:rsidP="556ED335" w:rsidRDefault="73549AA5" w14:paraId="50BB211D" w14:textId="7BB9D51C">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Staff can support Arthur by giving him a structured daily routine and allowing him to enjoy peaceful moments without pressure.</w:t>
      </w:r>
    </w:p>
    <w:p w:rsidR="73549AA5" w:rsidP="556ED335" w:rsidRDefault="73549AA5" w14:paraId="12A6251E" w14:textId="441119A4">
      <w:pPr>
        <w:pStyle w:val="Normal"/>
        <w:shd w:val="clear" w:color="auto" w:fill="FFFFFF" w:themeFill="background1"/>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They can ensure that his environment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remains</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calm, avoiding too much noise or sudden changes that might cause confusion or stress.</w:t>
      </w:r>
    </w:p>
    <w:p w:rsidR="73549AA5" w:rsidP="556ED335" w:rsidRDefault="73549AA5" w14:paraId="19692C6C" w14:textId="0A504502">
      <w:pPr>
        <w:pStyle w:val="Normal"/>
        <w:shd w:val="clear" w:color="auto" w:fill="FFFFFF" w:themeFill="background1"/>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Gentle, one-to-one interactions such as listening to music together or having short conversations can still provide emotional support without overwhelming him.</w:t>
      </w:r>
    </w:p>
    <w:p w:rsidR="73549AA5" w:rsidP="556ED335" w:rsidRDefault="73549AA5" w14:paraId="7C791AE9" w14:textId="0E5CEC16">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Challenges:</w:t>
      </w:r>
    </w:p>
    <w:p w:rsidR="73549AA5" w:rsidP="556ED335" w:rsidRDefault="73549AA5" w14:paraId="1E47C62C" w14:textId="2BA7EC65">
      <w:pPr>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The main challenge with this theory is that professionals might misinterpret normal disengagement as emotional decline or depression. Overusing the theory could lead to unintentional neglect if staff stop encouraging participation altogether (Cornwell and Waite, 2009).</w:t>
      </w:r>
    </w:p>
    <w:p w:rsidR="73549AA5" w:rsidP="556ED335" w:rsidRDefault="73549AA5" w14:paraId="0DDDCA34" w14:textId="473F055C">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Strategies:</w:t>
      </w:r>
    </w:p>
    <w:p w:rsidR="73549AA5" w:rsidP="556ED335" w:rsidRDefault="73549AA5" w14:paraId="6434F98A" w14:textId="670F1EDE">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Regular emotional assessments can help to differentiate between natural withdrawal and signs of depression.</w:t>
      </w:r>
      <w:r w:rsidRPr="556ED335" w:rsidR="1857625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Encouraging Arthur to take part in small social activities, like talking about his favourite music, allows for a balance between rest and engagement.</w:t>
      </w:r>
      <w:r w:rsidRPr="556ED335" w:rsidR="609476A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Following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Kitwood’s</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(1997) person-centred approach ensures that Arthur’s individuality is respected while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his psychological health.</w:t>
      </w:r>
    </w:p>
    <w:p w:rsidR="73549AA5" w:rsidP="556ED335" w:rsidRDefault="73549AA5" w14:paraId="02CB6699" w14:textId="72E2FD21">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By applying this theory carefully, staff can respect Arthur’s need for peace while still ensuring he feels supported and connected.</w:t>
      </w:r>
    </w:p>
    <w:p w:rsidR="73549AA5" w:rsidP="556ED335" w:rsidRDefault="73549AA5" w14:paraId="6BBB655C" w14:textId="488D39FC">
      <w:pPr>
        <w:pStyle w:val="Normal"/>
        <w:shd w:val="clear" w:color="auto" w:fill="FFFFFF" w:themeFill="background1"/>
        <w:spacing w:before="0" w:beforeAutospacing="off" w:after="18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556ED335" w:rsidR="73549AA5">
        <w:rPr>
          <w:rFonts w:ascii="Arial" w:hAnsi="Arial" w:eastAsia="Arial" w:cs="Arial"/>
          <w:b w:val="1"/>
          <w:bCs w:val="1"/>
          <w:i w:val="0"/>
          <w:iCs w:val="0"/>
          <w:caps w:val="0"/>
          <w:smallCaps w:val="0"/>
          <w:noProof w:val="0"/>
          <w:color w:val="000000" w:themeColor="text1" w:themeTint="FF" w:themeShade="FF"/>
          <w:sz w:val="22"/>
          <w:szCs w:val="22"/>
          <w:lang w:val="en-GB"/>
        </w:rPr>
        <w:t>2. Applying Activity Theory</w:t>
      </w:r>
    </w:p>
    <w:p w:rsidR="73549AA5" w:rsidP="556ED335" w:rsidRDefault="73549AA5" w14:paraId="0B9250E7" w14:textId="3569588B">
      <w:pPr>
        <w:shd w:val="clear" w:color="auto" w:fill="FFFFFF" w:themeFill="background1"/>
        <w:spacing w:before="0" w:beforeAutospacing="off" w:after="21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The Activity Theory provides another valuable approach for supporting older adults like Arthur. Even though he struggles with mobility, there are many ways he can still be active both mentally and socially.</w:t>
      </w:r>
    </w:p>
    <w:p w:rsidR="73549AA5" w:rsidP="556ED335" w:rsidRDefault="73549AA5" w14:paraId="18614851" w14:textId="70F8CCAD">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Practical application:</w:t>
      </w:r>
    </w:p>
    <w:p w:rsidR="73549AA5" w:rsidP="556ED335" w:rsidRDefault="73549AA5" w14:paraId="57803FD6" w14:textId="4871CF26">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Staff could help Arthur join music therapy sessions, where he can listen, hum, or discuss classical pieces that bring him joy.</w:t>
      </w:r>
    </w:p>
    <w:p w:rsidR="73549AA5" w:rsidP="556ED335" w:rsidRDefault="73549AA5" w14:paraId="03960653" w14:textId="0D1EAB9F">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Gardening activities can be adapted using raised beds or indoor pots, allowing him to engage without physical strain.</w:t>
      </w:r>
    </w:p>
    <w:p w:rsidR="73549AA5" w:rsidP="556ED335" w:rsidRDefault="73549AA5" w14:paraId="1D16157D" w14:textId="0DAA3E70">
      <w:pPr>
        <w:pStyle w:val="Normal"/>
        <w:shd w:val="clear" w:color="auto" w:fill="FFFFFF" w:themeFill="background1"/>
        <w:spacing w:before="0" w:beforeAutospacing="off" w:after="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Light seated exercises or stretching routines guided by care staff can help reduce stiffness and improve his sense of independence.</w:t>
      </w:r>
    </w:p>
    <w:p w:rsidR="73549AA5" w:rsidP="556ED335" w:rsidRDefault="73549AA5" w14:paraId="6986168B" w14:textId="33528A30">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These activities not only enhance Arthur’s mood but also help prevent feelings of isolation, which can worsen for older adults living in residential care (Adams et al., 2011).</w:t>
      </w:r>
    </w:p>
    <w:p w:rsidR="73549AA5" w:rsidP="556ED335" w:rsidRDefault="73549AA5" w14:paraId="1DA66353" w14:textId="62C5F40B">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Challenges:</w:t>
      </w:r>
    </w:p>
    <w:p w:rsidR="73549AA5" w:rsidP="556ED335" w:rsidRDefault="73549AA5" w14:paraId="20D3AA09" w14:textId="1A94B088">
      <w:pPr>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In practice, implementing Activity Theory can be difficult due to</w:t>
      </w:r>
      <w:r w:rsidRPr="556ED335" w:rsidR="73549AA5">
        <w:rPr>
          <w:rFonts w:ascii="Times New Roman" w:hAnsi="Times New Roman" w:eastAsia="Times New Roman" w:cs="Times New Roman"/>
          <w:b w:val="0"/>
          <w:bCs w:val="0"/>
          <w:i w:val="0"/>
          <w:iCs w:val="0"/>
          <w:caps w:val="0"/>
          <w:smallCaps w:val="0"/>
          <w:noProof w:val="0"/>
          <w:color w:val="000000" w:themeColor="text1" w:themeTint="FF" w:themeShade="FF"/>
          <w:sz w:val="30"/>
          <w:szCs w:val="30"/>
          <w:lang w:val="en-GB"/>
        </w:rPr>
        <w:t xml:space="preserve">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limited staff time, lack of resources, or the individual’s health limitations (Lee and</w:t>
      </w:r>
    </w:p>
    <w:p w:rsidR="73549AA5" w:rsidP="556ED335" w:rsidRDefault="73549AA5" w14:paraId="178713E1" w14:textId="79D8D028">
      <w:pPr>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Kim, 2020). Some residents may resist activities if they feel tired or unwell.</w:t>
      </w:r>
    </w:p>
    <w:p w:rsidR="73549AA5" w:rsidP="556ED335" w:rsidRDefault="73549AA5" w14:paraId="2F4325DC" w14:textId="40A0EAF7">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Strategies:</w:t>
      </w:r>
    </w:p>
    <w:p w:rsidR="73549AA5" w:rsidP="556ED335" w:rsidRDefault="73549AA5" w14:paraId="6F342158" w14:textId="0CAD872C">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Activities should be personalised and flexible, matching each resident’s preferences and physical condition.</w:t>
      </w:r>
      <w:r w:rsidRPr="556ED335" w:rsidR="186E699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Staff training in inclusive activity planning can improve confidence in supporting residents with Parkinson’s or dementia</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w:t>
      </w:r>
      <w:r w:rsidRPr="556ED335" w:rsidR="3A5C508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Group sessions should allow participants to join or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observe</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ensuring everyone feels included without pressure.</w:t>
      </w:r>
    </w:p>
    <w:p w:rsidR="73549AA5" w:rsidP="556ED335" w:rsidRDefault="73549AA5" w14:paraId="43621228" w14:textId="76517ECF">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In Arthur’s case, this means creating a balance between active engagement and rest, based on how he feels each day.</w:t>
      </w:r>
    </w:p>
    <w:p w:rsidR="73549AA5" w:rsidP="556ED335" w:rsidRDefault="73549AA5" w14:paraId="3F3AE416" w14:textId="39452A1C">
      <w:pPr>
        <w:pStyle w:val="Normal"/>
        <w:shd w:val="clear" w:color="auto" w:fill="FFFFFF" w:themeFill="background1"/>
        <w:spacing w:before="0" w:beforeAutospacing="off" w:after="18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556ED335" w:rsidR="73549AA5">
        <w:rPr>
          <w:rFonts w:ascii="Arial" w:hAnsi="Arial" w:eastAsia="Arial" w:cs="Arial"/>
          <w:b w:val="1"/>
          <w:bCs w:val="1"/>
          <w:i w:val="0"/>
          <w:iCs w:val="0"/>
          <w:caps w:val="0"/>
          <w:smallCaps w:val="0"/>
          <w:noProof w:val="0"/>
          <w:color w:val="000000" w:themeColor="text1" w:themeTint="FF" w:themeShade="FF"/>
          <w:sz w:val="22"/>
          <w:szCs w:val="22"/>
          <w:lang w:val="en-GB"/>
        </w:rPr>
        <w:t>Critical Evaluation</w:t>
      </w:r>
      <w:r w:rsidRPr="556ED335" w:rsidR="72005F1F">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73549AA5" w:rsidP="556ED335" w:rsidRDefault="73549AA5" w14:paraId="47D3FA60" w14:textId="78197DB2">
      <w:pPr>
        <w:shd w:val="clear" w:color="auto" w:fill="FFFFFF" w:themeFill="background1"/>
        <w:spacing w:before="0" w:beforeAutospacing="off" w:after="224"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Both theories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provide</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useful insights but differ in how they view ageing. Social Disengagement Theory helps professionals understand that withdrawal can be part of a natural process, allowing older adults to conserve energy and adapt emotionally. However, it can be seen as outdated, as it may not suit everyone and might encourage passivity (Victor,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Scambler</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and Bond, 2009).</w:t>
      </w:r>
    </w:p>
    <w:p w:rsidR="73549AA5" w:rsidP="556ED335" w:rsidRDefault="73549AA5" w14:paraId="091163B1" w14:textId="074CE357">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For Arthur, this means respecting his quiet nature while still offering opportun</w:t>
      </w:r>
      <w:r w:rsidRPr="556ED335" w:rsidR="66DE21F7">
        <w:rPr>
          <w:rFonts w:ascii="Arial" w:hAnsi="Arial" w:eastAsia="Arial" w:cs="Arial"/>
          <w:b w:val="0"/>
          <w:bCs w:val="0"/>
          <w:i w:val="0"/>
          <w:iCs w:val="0"/>
          <w:caps w:val="0"/>
          <w:smallCaps w:val="0"/>
          <w:noProof w:val="0"/>
          <w:color w:val="000000" w:themeColor="text1" w:themeTint="FF" w:themeShade="FF"/>
          <w:sz w:val="22"/>
          <w:szCs w:val="22"/>
          <w:lang w:val="en-GB"/>
        </w:rPr>
        <w:t xml:space="preserve"> Activity Theory, on the other hand, is more in line with modern health and social care values, especially in the UK, where active ageing and person-centred care are key principles (NHS England, 2019). Encouraging older people to take part in meaningful activities supports mental health and reduces the risk of depression or loneliness. However, it may not always be practical for those with advanced illnesses who find movement or communication difficult (Phillipson, 2013).</w:t>
      </w:r>
    </w:p>
    <w:p w:rsidR="66DE21F7" w:rsidP="556ED335" w:rsidRDefault="66DE21F7" w14:paraId="2CA777E1" w14:textId="0B781BB0">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66DE21F7">
        <w:rPr>
          <w:rFonts w:ascii="Arial" w:hAnsi="Arial" w:eastAsia="Arial" w:cs="Arial"/>
          <w:b w:val="0"/>
          <w:bCs w:val="0"/>
          <w:i w:val="0"/>
          <w:iCs w:val="0"/>
          <w:caps w:val="0"/>
          <w:smallCaps w:val="0"/>
          <w:noProof w:val="0"/>
          <w:color w:val="000000" w:themeColor="text1" w:themeTint="FF" w:themeShade="FF"/>
          <w:sz w:val="22"/>
          <w:szCs w:val="22"/>
          <w:lang w:val="en-GB"/>
        </w:rPr>
        <w:t xml:space="preserve">In my opinion, based on what I have learned in my studies in the UK, the most effective approach is to combine both theories. Health and social care professionals should recognise when disengagement is beneficial and when gentle encouragement to participate is needed.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ities to enjoy music or light gardening. This flexible approach reflects the idea of treating people as individuals something strongly emphasised in UK care settings.</w:t>
      </w:r>
    </w:p>
    <w:p w:rsidR="73549AA5" w:rsidP="556ED335" w:rsidRDefault="73549AA5" w14:paraId="2E7A6170" w14:textId="20825A46">
      <w:pPr>
        <w:pStyle w:val="Normal"/>
        <w:shd w:val="clear" w:color="auto" w:fill="FFFFFF" w:themeFill="background1"/>
        <w:spacing w:before="0" w:beforeAutospacing="off" w:after="18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556ED335" w:rsidR="73549AA5">
        <w:rPr>
          <w:rFonts w:ascii="Arial" w:hAnsi="Arial" w:eastAsia="Arial" w:cs="Arial"/>
          <w:b w:val="1"/>
          <w:bCs w:val="1"/>
          <w:i w:val="0"/>
          <w:iCs w:val="0"/>
          <w:caps w:val="0"/>
          <w:smallCaps w:val="0"/>
          <w:noProof w:val="0"/>
          <w:color w:val="000000" w:themeColor="text1" w:themeTint="FF" w:themeShade="FF"/>
          <w:sz w:val="22"/>
          <w:szCs w:val="22"/>
          <w:lang w:val="en-GB"/>
        </w:rPr>
        <w:t>Conclusion</w:t>
      </w:r>
      <w:r w:rsidRPr="556ED335" w:rsidR="73B3CCDE">
        <w:rPr>
          <w:rFonts w:ascii="Arial" w:hAnsi="Arial" w:eastAsia="Arial" w:cs="Arial"/>
          <w:b w:val="1"/>
          <w:bCs w:val="1"/>
          <w:i w:val="0"/>
          <w:iCs w:val="0"/>
          <w:caps w:val="0"/>
          <w:smallCaps w:val="0"/>
          <w:noProof w:val="0"/>
          <w:color w:val="000000" w:themeColor="text1" w:themeTint="FF" w:themeShade="FF"/>
          <w:sz w:val="22"/>
          <w:szCs w:val="22"/>
          <w:lang w:val="en-GB"/>
        </w:rPr>
        <w:t>;</w:t>
      </w:r>
    </w:p>
    <w:p w:rsidR="73549AA5" w:rsidP="556ED335" w:rsidRDefault="73549AA5" w14:paraId="42585845" w14:textId="1A31A3BD">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Studying in the UK has helped me understand how important psychological theories are in shaping the way care is provided to older adults. Both Social Disengagement Theory and Activity Theory help professionals see ageing not just as a physical process, but as a stage where emotional and social needs must be carefully supported.</w:t>
      </w:r>
    </w:p>
    <w:p w:rsidR="73549AA5" w:rsidP="556ED335" w:rsidRDefault="73549AA5" w14:paraId="1E77B62F" w14:textId="44FF71DC">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In Arthur’s case, these theories offer practical guidance for care staff to provide compassionate, person-centred support. While some disengagement can promote comfort,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meaningful activity brings joy and a sense of purpose. The best care approach combines both </w:t>
      </w:r>
      <w:r w:rsidRPr="556ED335" w:rsidR="440CD17A">
        <w:rPr>
          <w:rFonts w:ascii="Arial" w:hAnsi="Arial" w:eastAsia="Arial" w:cs="Arial"/>
          <w:b w:val="0"/>
          <w:bCs w:val="0"/>
          <w:i w:val="0"/>
          <w:iCs w:val="0"/>
          <w:caps w:val="0"/>
          <w:smallCaps w:val="0"/>
          <w:noProof w:val="0"/>
          <w:color w:val="000000" w:themeColor="text1" w:themeTint="FF" w:themeShade="FF"/>
          <w:sz w:val="22"/>
          <w:szCs w:val="22"/>
          <w:lang w:val="en-GB"/>
        </w:rPr>
        <w:t>perspectives encouraging</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participation without forcing it and always respecting the individual’s wishes.</w:t>
      </w:r>
    </w:p>
    <w:p w:rsidR="73549AA5" w:rsidP="556ED335" w:rsidRDefault="73549AA5" w14:paraId="0124C6EF" w14:textId="073E2B60">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By understanding and applying these theories, health and social care professionals can help older adults live with dignity, independence, and emotional well-being, even when facing challenges such as Parkinson’s disease.</w:t>
      </w:r>
    </w:p>
    <w:p w:rsidR="73549AA5" w:rsidP="556ED335" w:rsidRDefault="73549AA5" w14:paraId="20CE8CE8" w14:textId="7BA38633">
      <w:pPr>
        <w:pStyle w:val="Normal"/>
        <w:shd w:val="clear" w:color="auto" w:fill="FFFFFF" w:themeFill="background1"/>
        <w:spacing w:before="0" w:beforeAutospacing="off" w:after="180" w:afterAutospacing="off"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556ED335" w:rsidR="73549AA5">
        <w:rPr>
          <w:rFonts w:ascii="Arial" w:hAnsi="Arial" w:eastAsia="Arial" w:cs="Arial"/>
          <w:b w:val="1"/>
          <w:bCs w:val="1"/>
          <w:i w:val="0"/>
          <w:iCs w:val="0"/>
          <w:caps w:val="0"/>
          <w:smallCaps w:val="0"/>
          <w:noProof w:val="0"/>
          <w:color w:val="000000" w:themeColor="text1" w:themeTint="FF" w:themeShade="FF"/>
          <w:sz w:val="22"/>
          <w:szCs w:val="22"/>
          <w:lang w:val="en-GB"/>
        </w:rPr>
        <w:t xml:space="preserve">References </w:t>
      </w:r>
    </w:p>
    <w:p w:rsidR="73549AA5" w:rsidP="556ED335" w:rsidRDefault="73549AA5" w14:paraId="3E350618" w14:textId="13C46700">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Adams, K. B., Leibbrandt,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S.</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and Moon, H. (2011) ‘A critical review of the literature on social and leisure activity and wellbeing in later life’, Ageing and Society, 31(4), pp. 683–712.</w:t>
      </w:r>
    </w:p>
    <w:p w:rsidR="73549AA5" w:rsidP="556ED335" w:rsidRDefault="73549AA5" w14:paraId="338EE9BD" w14:textId="636AD703">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Cornwell, E.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Y.</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and Waite, L. J. (2009) ‘Social disconnectedness, perceived isolation, and health among older adults’, Journal of Health and Social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Behavior</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50(1), pp. 31–48.</w:t>
      </w:r>
    </w:p>
    <w:p w:rsidR="73549AA5" w:rsidP="556ED335" w:rsidRDefault="73549AA5" w14:paraId="0C5E7ACC" w14:textId="71F40DB6">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Cumming,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E.</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and Henry, W. E. (1961) Growing Old: The Process of Disengagement. New York: Basic Books.</w:t>
      </w:r>
    </w:p>
    <w:p w:rsidR="73549AA5" w:rsidP="556ED335" w:rsidRDefault="73549AA5" w14:paraId="5EBD2120" w14:textId="09AD8E30">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Havighurst, R. J. (1961) ‘Successful aging’, The Gerontologist, 1(1), pp. 8–13.</w:t>
      </w:r>
    </w:p>
    <w:p w:rsidR="73549AA5" w:rsidP="556ED335" w:rsidRDefault="73549AA5" w14:paraId="6690A78E" w14:textId="69562CAC">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Kitwood</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T. (1997) Dementia Reconsidered: The Person Comes First. Buckingham: Open University Press.</w:t>
      </w:r>
    </w:p>
    <w:p w:rsidR="73549AA5" w:rsidP="556ED335" w:rsidRDefault="73549AA5" w14:paraId="4C2E7260" w14:textId="4AB7B3CE">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Lee,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S.</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and Kim, J. (2020) ‘Activity engagement and psychological well-being of older adults in long-term care’, Geriatric Nursing, 41(2), pp. 174–180.</w:t>
      </w:r>
    </w:p>
    <w:p w:rsidR="73549AA5" w:rsidP="556ED335" w:rsidRDefault="73549AA5" w14:paraId="5CFFE4DF" w14:textId="462AA31B">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Lemon, B. W., Bengtson, V. L. and Peterson, J. A. (1972) ‘An exploration of the activity theory of aging: Activity types and life satisfaction among in-movers to a retirement community’, Journal of Gerontology, 27(4), pp. 511–523.</w:t>
      </w:r>
    </w:p>
    <w:p w:rsidR="73549AA5" w:rsidP="556ED335" w:rsidRDefault="73549AA5" w14:paraId="1F25C1A7" w14:textId="174BB0F5">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NHS England (2019) The NHS Long Term Plan. Available at: </w:t>
      </w:r>
      <w:hyperlink r:id="Rfd779489f3d84775">
        <w:r w:rsidRPr="556ED335" w:rsidR="73549AA5">
          <w:rPr>
            <w:rStyle w:val="Hyperlink"/>
            <w:rFonts w:ascii="Arial" w:hAnsi="Arial" w:eastAsia="Arial" w:cs="Arial"/>
            <w:b w:val="0"/>
            <w:bCs w:val="0"/>
            <w:i w:val="0"/>
            <w:iCs w:val="0"/>
            <w:caps w:val="0"/>
            <w:smallCaps w:val="0"/>
            <w:noProof w:val="0"/>
            <w:sz w:val="22"/>
            <w:szCs w:val="22"/>
            <w:lang w:val="en-GB"/>
          </w:rPr>
          <w:t>https://www.longtermplan.nhs.uk</w:t>
        </w:r>
      </w:hyperlink>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31 October 2025).</w:t>
      </w:r>
    </w:p>
    <w:p w:rsidR="73549AA5" w:rsidP="556ED335" w:rsidRDefault="73549AA5" w14:paraId="45320129" w14:textId="7866AE7C">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Phillipson, C. (2013) Ageing. Cambridge: Polity Press.</w:t>
      </w:r>
    </w:p>
    <w:p w:rsidR="73549AA5" w:rsidP="556ED335" w:rsidRDefault="73549AA5" w14:paraId="50EDC23F" w14:textId="7C8B0F33">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Victor, C.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R.</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 and Bowling, A. (2012) ‘A longitudinal analysis of loneliness among older people in Great Britain’, The Journal of Psychology, 146(3), pp. 313–331.</w:t>
      </w:r>
    </w:p>
    <w:p w:rsidR="73549AA5" w:rsidP="556ED335" w:rsidRDefault="73549AA5" w14:paraId="3D4BBE55" w14:textId="71A7DF17">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xml:space="preserve">Victor, C. R., </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Scambler</w:t>
      </w: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 S. and Bond, J. (2009) The Social World of Older People: Understanding Loneliness and Social Isolation in Later Life. Maidenhead: Open University Press.</w:t>
      </w:r>
    </w:p>
    <w:p w:rsidR="73549AA5" w:rsidP="556ED335" w:rsidRDefault="73549AA5" w14:paraId="72DBE092" w14:textId="51DB723A">
      <w:pPr>
        <w:pStyle w:val="Normal"/>
        <w:shd w:val="clear" w:color="auto" w:fill="FFFFFF" w:themeFill="background1"/>
        <w:spacing w:before="0" w:beforeAutospacing="off" w:after="180" w:afterAutospacing="off"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556ED335" w:rsidR="73549AA5">
        <w:rPr>
          <w:rFonts w:ascii="Arial" w:hAnsi="Arial" w:eastAsia="Arial" w:cs="Arial"/>
          <w:b w:val="0"/>
          <w:bCs w:val="0"/>
          <w:i w:val="0"/>
          <w:iCs w:val="0"/>
          <w:caps w:val="0"/>
          <w:smallCaps w:val="0"/>
          <w:noProof w:val="0"/>
          <w:color w:val="000000" w:themeColor="text1" w:themeTint="FF" w:themeShade="FF"/>
          <w:sz w:val="22"/>
          <w:szCs w:val="22"/>
          <w:lang w:val="en-GB"/>
        </w:rPr>
        <w:t>WHO (2020) Decade of Healthy Ageing 2020–2030. Geneva: World Health Organization.</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nsid w:val="43e9c2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855da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81ed4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2566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DB931D"/>
    <w:rsid w:val="01C7DF94"/>
    <w:rsid w:val="01FB6F7F"/>
    <w:rsid w:val="026BEFC5"/>
    <w:rsid w:val="02DB931D"/>
    <w:rsid w:val="0755AFC4"/>
    <w:rsid w:val="07799A47"/>
    <w:rsid w:val="08350F3D"/>
    <w:rsid w:val="0A01347B"/>
    <w:rsid w:val="0ABEC008"/>
    <w:rsid w:val="0C7A6BCD"/>
    <w:rsid w:val="10262432"/>
    <w:rsid w:val="11332DDE"/>
    <w:rsid w:val="113ABABD"/>
    <w:rsid w:val="11EFFF82"/>
    <w:rsid w:val="1377019F"/>
    <w:rsid w:val="1464E254"/>
    <w:rsid w:val="17359808"/>
    <w:rsid w:val="17900040"/>
    <w:rsid w:val="1819F14C"/>
    <w:rsid w:val="18576251"/>
    <w:rsid w:val="186E6990"/>
    <w:rsid w:val="197F2302"/>
    <w:rsid w:val="1F44E0C6"/>
    <w:rsid w:val="1FD71207"/>
    <w:rsid w:val="25643B91"/>
    <w:rsid w:val="2BBF1DA0"/>
    <w:rsid w:val="2DA3ABAF"/>
    <w:rsid w:val="2ED35615"/>
    <w:rsid w:val="2F8A0AFE"/>
    <w:rsid w:val="378376D0"/>
    <w:rsid w:val="37E81719"/>
    <w:rsid w:val="39812061"/>
    <w:rsid w:val="3A5C5087"/>
    <w:rsid w:val="3BED96B4"/>
    <w:rsid w:val="440CD17A"/>
    <w:rsid w:val="4D167765"/>
    <w:rsid w:val="50A36E33"/>
    <w:rsid w:val="531FC8A9"/>
    <w:rsid w:val="556ED335"/>
    <w:rsid w:val="565777A7"/>
    <w:rsid w:val="5705D457"/>
    <w:rsid w:val="584F1A34"/>
    <w:rsid w:val="5B446A63"/>
    <w:rsid w:val="5C9909A5"/>
    <w:rsid w:val="5CCDE916"/>
    <w:rsid w:val="5E597CDC"/>
    <w:rsid w:val="5FCAF352"/>
    <w:rsid w:val="609476A4"/>
    <w:rsid w:val="64ED904A"/>
    <w:rsid w:val="6646EC3F"/>
    <w:rsid w:val="66DE21F7"/>
    <w:rsid w:val="67853080"/>
    <w:rsid w:val="6BDCBF25"/>
    <w:rsid w:val="6CAB0F37"/>
    <w:rsid w:val="70467BFB"/>
    <w:rsid w:val="72005F1F"/>
    <w:rsid w:val="72DA54BA"/>
    <w:rsid w:val="73549AA5"/>
    <w:rsid w:val="73B3CCDE"/>
    <w:rsid w:val="74473531"/>
    <w:rsid w:val="749E10E6"/>
    <w:rsid w:val="76F8E604"/>
    <w:rsid w:val="7796E18C"/>
    <w:rsid w:val="79447694"/>
    <w:rsid w:val="79702325"/>
    <w:rsid w:val="79FF9A24"/>
    <w:rsid w:val="7D6C4E5A"/>
    <w:rsid w:val="7F7D0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B931D"/>
  <w15:chartTrackingRefBased/>
  <w15:docId w15:val="{1456F37D-CF0B-4F92-9E99-863EAD04D2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56ED335"/>
    <w:pPr>
      <w:spacing/>
      <w:ind w:left="720"/>
      <w:contextualSpacing/>
    </w:pPr>
  </w:style>
  <w:style w:type="character" w:styleId="Hyperlink">
    <w:uiPriority w:val="99"/>
    <w:name w:val="Hyperlink"/>
    <w:basedOn w:val="DefaultParagraphFont"/>
    <w:unhideWhenUsed/>
    <w:rsid w:val="556ED33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ongtermplan.nhs.uk" TargetMode="External" Id="Rfd779489f3d84775" /><Relationship Type="http://schemas.openxmlformats.org/officeDocument/2006/relationships/numbering" Target="/word/numbering.xml" Id="Re941b4ed5c19445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Gloria Margarita Ramos Agramonte (2426859)</dc:creator>
  <keywords/>
  <dc:description/>
  <lastModifiedBy>Gloria Margarita Ramos Agramonte (2426859)</lastModifiedBy>
  <revision>2</revision>
  <dcterms:created xsi:type="dcterms:W3CDTF">2025-11-03T09:16:28.3475113Z</dcterms:created>
  <dcterms:modified xsi:type="dcterms:W3CDTF">2025-11-03T10:00:59.6172469Z</dcterms:modified>
</coreProperties>
</file>