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2A572" w14:textId="0F2A4759" w:rsidR="001D5F8B" w:rsidRPr="00FC2D21" w:rsidRDefault="00E33DE8" w:rsidP="00AD5EEC">
      <w:pPr>
        <w:spacing w:after="160" w:line="360" w:lineRule="auto"/>
        <w:rPr>
          <w:sz w:val="28"/>
          <w:szCs w:val="28"/>
        </w:rPr>
      </w:pPr>
      <w:r w:rsidRPr="00FC2D21">
        <w:rPr>
          <w:sz w:val="28"/>
          <w:szCs w:val="28"/>
        </w:rPr>
        <w:t>Critical Review</w:t>
      </w:r>
      <w:r w:rsidR="00300208">
        <w:rPr>
          <w:rStyle w:val="FootnoteReference"/>
          <w:sz w:val="28"/>
          <w:szCs w:val="28"/>
        </w:rPr>
        <w:footnoteReference w:id="1"/>
      </w:r>
      <w:r w:rsidR="001D5F8B" w:rsidRPr="00FC2D21">
        <w:rPr>
          <w:sz w:val="28"/>
          <w:szCs w:val="28"/>
        </w:rPr>
        <w:t xml:space="preserve"> </w:t>
      </w:r>
    </w:p>
    <w:p w14:paraId="1F412EDB" w14:textId="186465EA" w:rsidR="004110D8" w:rsidRPr="00FC2D21" w:rsidRDefault="004110D8" w:rsidP="00AD5EEC">
      <w:pPr>
        <w:spacing w:after="160" w:line="360" w:lineRule="auto"/>
        <w:rPr>
          <w:sz w:val="28"/>
          <w:szCs w:val="28"/>
        </w:rPr>
      </w:pPr>
      <w:r w:rsidRPr="00FC2D21">
        <w:rPr>
          <w:sz w:val="32"/>
          <w:szCs w:val="32"/>
        </w:rPr>
        <w:t>Kieburg: Aphrodite, Hephaistos and Ares</w:t>
      </w:r>
      <w:r w:rsidRPr="00FC2D21">
        <w:rPr>
          <w:rStyle w:val="FootnoteReference"/>
          <w:sz w:val="28"/>
          <w:szCs w:val="28"/>
        </w:rPr>
        <w:footnoteReference w:id="2"/>
      </w:r>
    </w:p>
    <w:p w14:paraId="522051A0" w14:textId="77777777" w:rsidR="00350876" w:rsidRPr="00FC2D21" w:rsidRDefault="00350876" w:rsidP="00AD5EEC">
      <w:pPr>
        <w:pStyle w:val="FootnoteText"/>
        <w:spacing w:after="160" w:line="360" w:lineRule="auto"/>
        <w:rPr>
          <w:sz w:val="24"/>
          <w:szCs w:val="24"/>
        </w:rPr>
      </w:pPr>
    </w:p>
    <w:p w14:paraId="7F1EF60B" w14:textId="624BB13F" w:rsidR="00350876" w:rsidRPr="00FC2D21" w:rsidRDefault="00350876" w:rsidP="004F380B">
      <w:pPr>
        <w:pStyle w:val="FootnoteText"/>
        <w:spacing w:after="160" w:line="360" w:lineRule="auto"/>
        <w:rPr>
          <w:sz w:val="24"/>
          <w:szCs w:val="24"/>
        </w:rPr>
      </w:pPr>
      <w:r w:rsidRPr="00FC2D21">
        <w:rPr>
          <w:sz w:val="24"/>
          <w:szCs w:val="24"/>
        </w:rPr>
        <w:t>Th</w:t>
      </w:r>
      <w:r w:rsidR="004F380B">
        <w:rPr>
          <w:sz w:val="24"/>
          <w:szCs w:val="24"/>
        </w:rPr>
        <w:t xml:space="preserve">e </w:t>
      </w:r>
      <w:r w:rsidR="004110D8" w:rsidRPr="00FC2D21">
        <w:rPr>
          <w:sz w:val="24"/>
          <w:szCs w:val="24"/>
        </w:rPr>
        <w:t xml:space="preserve">paper </w:t>
      </w:r>
      <w:r w:rsidR="004F380B">
        <w:rPr>
          <w:sz w:val="24"/>
          <w:szCs w:val="24"/>
        </w:rPr>
        <w:t xml:space="preserve">under review </w:t>
      </w:r>
      <w:r w:rsidR="004110D8" w:rsidRPr="00FC2D21">
        <w:rPr>
          <w:sz w:val="24"/>
          <w:szCs w:val="24"/>
        </w:rPr>
        <w:t xml:space="preserve">was presented at the 2006 Postgraduate Cypriot Archaeology Conference (POCA), </w:t>
      </w:r>
      <w:r w:rsidR="004110D8" w:rsidRPr="00FC2D21">
        <w:rPr>
          <w:i/>
          <w:iCs/>
          <w:sz w:val="24"/>
          <w:szCs w:val="24"/>
        </w:rPr>
        <w:t>Island Dialogues: Cyprus in the Mediterranean Network</w:t>
      </w:r>
      <w:r w:rsidR="004110D8" w:rsidRPr="00FC2D21">
        <w:rPr>
          <w:sz w:val="24"/>
          <w:szCs w:val="24"/>
        </w:rPr>
        <w:t>. The author has more recently published an eight-language Archaeological Excavation Dictionary</w:t>
      </w:r>
      <w:r w:rsidR="009C7143" w:rsidRPr="00FC2D21">
        <w:rPr>
          <w:rStyle w:val="FootnoteReference"/>
          <w:sz w:val="24"/>
          <w:szCs w:val="24"/>
        </w:rPr>
        <w:footnoteReference w:id="3"/>
      </w:r>
      <w:r w:rsidR="009C7143" w:rsidRPr="00FC2D21">
        <w:rPr>
          <w:sz w:val="24"/>
          <w:szCs w:val="24"/>
        </w:rPr>
        <w:t xml:space="preserve"> She is presently associated with the Leibniz Centre for Archaeology, engaged in archaeological research and science education.</w:t>
      </w:r>
      <w:r w:rsidR="009C7143" w:rsidRPr="00FC2D21">
        <w:rPr>
          <w:rStyle w:val="FootnoteReference"/>
          <w:sz w:val="24"/>
          <w:szCs w:val="24"/>
        </w:rPr>
        <w:footnoteReference w:id="4"/>
      </w:r>
    </w:p>
    <w:p w14:paraId="7B1C4B1C" w14:textId="77777777" w:rsidR="009C7143" w:rsidRPr="00FC2D21" w:rsidRDefault="009C7143" w:rsidP="004F380B">
      <w:pPr>
        <w:pStyle w:val="FootnoteText"/>
        <w:spacing w:after="160" w:line="360" w:lineRule="auto"/>
        <w:rPr>
          <w:sz w:val="24"/>
          <w:szCs w:val="24"/>
        </w:rPr>
      </w:pPr>
    </w:p>
    <w:p w14:paraId="7E29FC4E" w14:textId="67D53F34" w:rsidR="00B45802" w:rsidRPr="00FC2D21" w:rsidRDefault="009C7143" w:rsidP="004F380B">
      <w:pPr>
        <w:pStyle w:val="FootnoteText"/>
        <w:spacing w:after="160" w:line="360" w:lineRule="auto"/>
        <w:rPr>
          <w:sz w:val="24"/>
          <w:szCs w:val="24"/>
        </w:rPr>
      </w:pPr>
      <w:r w:rsidRPr="00FC2D21">
        <w:rPr>
          <w:sz w:val="24"/>
          <w:szCs w:val="24"/>
        </w:rPr>
        <w:t>In the later ‘mythology’ of Classical Greece, the deities Aphrodite, Hephaestus and Ares are strongly linked.</w:t>
      </w:r>
      <w:r w:rsidRPr="00FC2D21">
        <w:rPr>
          <w:rStyle w:val="FootnoteReference"/>
          <w:sz w:val="24"/>
          <w:szCs w:val="24"/>
        </w:rPr>
        <w:footnoteReference w:id="5"/>
      </w:r>
      <w:r w:rsidRPr="00FC2D21">
        <w:rPr>
          <w:sz w:val="24"/>
          <w:szCs w:val="24"/>
        </w:rPr>
        <w:t xml:space="preserve"> </w:t>
      </w:r>
      <w:r w:rsidR="00616A01" w:rsidRPr="00FC2D21">
        <w:rPr>
          <w:sz w:val="24"/>
          <w:szCs w:val="24"/>
        </w:rPr>
        <w:t>The ‘Homeric Hymn to Aphrodite’ begins by calling Her “Golden Aphrodite the Cyprian”.</w:t>
      </w:r>
      <w:r w:rsidR="00616A01" w:rsidRPr="00FC2D21">
        <w:rPr>
          <w:rStyle w:val="FootnoteReference"/>
          <w:sz w:val="24"/>
          <w:szCs w:val="24"/>
        </w:rPr>
        <w:footnoteReference w:id="6"/>
      </w:r>
      <w:r w:rsidR="00616A01" w:rsidRPr="00FC2D21">
        <w:rPr>
          <w:sz w:val="24"/>
          <w:szCs w:val="24"/>
        </w:rPr>
        <w:t xml:space="preserve"> Further, that “She first taught earthly craftsmen to make chariots of war and cars variously wrought with bronze”.</w:t>
      </w:r>
      <w:r w:rsidR="009D45A7" w:rsidRPr="00FC2D21">
        <w:rPr>
          <w:rStyle w:val="FootnoteReference"/>
          <w:sz w:val="24"/>
          <w:szCs w:val="24"/>
        </w:rPr>
        <w:footnoteReference w:id="7"/>
      </w:r>
      <w:r w:rsidR="00616A01" w:rsidRPr="00FC2D21">
        <w:rPr>
          <w:sz w:val="24"/>
          <w:szCs w:val="24"/>
        </w:rPr>
        <w:t xml:space="preserve"> </w:t>
      </w:r>
      <w:r w:rsidR="009D45A7" w:rsidRPr="00FC2D21">
        <w:rPr>
          <w:sz w:val="24"/>
          <w:szCs w:val="24"/>
        </w:rPr>
        <w:t xml:space="preserve">Kieburg’s </w:t>
      </w:r>
      <w:r w:rsidRPr="00FC2D21">
        <w:rPr>
          <w:sz w:val="24"/>
          <w:szCs w:val="24"/>
        </w:rPr>
        <w:t>article argues that th</w:t>
      </w:r>
      <w:r w:rsidR="00350603" w:rsidRPr="00FC2D21">
        <w:rPr>
          <w:sz w:val="24"/>
          <w:szCs w:val="24"/>
        </w:rPr>
        <w:t xml:space="preserve">e triple association dates back to </w:t>
      </w:r>
      <w:r w:rsidR="00713FA3" w:rsidRPr="00FC2D21">
        <w:rPr>
          <w:sz w:val="24"/>
          <w:szCs w:val="24"/>
        </w:rPr>
        <w:t xml:space="preserve">the Cypriot </w:t>
      </w:r>
      <w:r w:rsidR="00350603" w:rsidRPr="00FC2D21">
        <w:rPr>
          <w:sz w:val="24"/>
          <w:szCs w:val="24"/>
        </w:rPr>
        <w:t>Bronze Age</w:t>
      </w:r>
      <w:r w:rsidR="00C5121B" w:rsidRPr="00FC2D21">
        <w:rPr>
          <w:sz w:val="24"/>
          <w:szCs w:val="24"/>
        </w:rPr>
        <w:t xml:space="preserve">, citing Schaeffer for “definite evidence for the association between the </w:t>
      </w:r>
      <w:r w:rsidR="00DB6689" w:rsidRPr="00FC2D21">
        <w:rPr>
          <w:sz w:val="24"/>
          <w:szCs w:val="24"/>
        </w:rPr>
        <w:t>“</w:t>
      </w:r>
      <w:r w:rsidR="00C5121B" w:rsidRPr="00FC2D21">
        <w:rPr>
          <w:sz w:val="24"/>
          <w:szCs w:val="24"/>
        </w:rPr>
        <w:t>Great Goddess</w:t>
      </w:r>
      <w:r w:rsidR="00DB6689" w:rsidRPr="00FC2D21">
        <w:rPr>
          <w:sz w:val="24"/>
          <w:szCs w:val="24"/>
        </w:rPr>
        <w:t>”</w:t>
      </w:r>
      <w:r w:rsidR="00C5121B" w:rsidRPr="00FC2D21">
        <w:rPr>
          <w:sz w:val="24"/>
          <w:szCs w:val="24"/>
        </w:rPr>
        <w:t xml:space="preserve"> of Cyprus and the local copper metallurgy </w:t>
      </w:r>
      <w:r w:rsidR="00C5121B" w:rsidRPr="00FC2D21">
        <w:rPr>
          <w:sz w:val="24"/>
          <w:szCs w:val="24"/>
        </w:rPr>
        <w:lastRenderedPageBreak/>
        <w:t>industry.</w:t>
      </w:r>
      <w:r w:rsidR="00771D5D" w:rsidRPr="00FC2D21">
        <w:rPr>
          <w:rStyle w:val="FootnoteReference"/>
          <w:sz w:val="24"/>
          <w:szCs w:val="24"/>
        </w:rPr>
        <w:footnoteReference w:id="8"/>
      </w:r>
      <w:r w:rsidR="003B7D0E" w:rsidRPr="00FC2D21">
        <w:rPr>
          <w:sz w:val="24"/>
          <w:szCs w:val="24"/>
        </w:rPr>
        <w:t xml:space="preserve"> </w:t>
      </w:r>
      <w:r w:rsidR="00175BA6" w:rsidRPr="00FC2D21">
        <w:rPr>
          <w:sz w:val="24"/>
          <w:szCs w:val="24"/>
        </w:rPr>
        <w:t>It is only to be expected that th</w:t>
      </w:r>
      <w:r w:rsidR="00B94A7F" w:rsidRPr="00FC2D21">
        <w:rPr>
          <w:sz w:val="24"/>
          <w:szCs w:val="24"/>
        </w:rPr>
        <w:t xml:space="preserve">e redolent </w:t>
      </w:r>
      <w:r w:rsidR="00175BA6" w:rsidRPr="00FC2D21">
        <w:rPr>
          <w:sz w:val="24"/>
          <w:szCs w:val="24"/>
        </w:rPr>
        <w:t>material</w:t>
      </w:r>
      <w:r w:rsidR="00B94A7F" w:rsidRPr="00FC2D21">
        <w:rPr>
          <w:sz w:val="24"/>
          <w:szCs w:val="24"/>
        </w:rPr>
        <w:t>ity of this</w:t>
      </w:r>
      <w:r w:rsidR="00175BA6" w:rsidRPr="00FC2D21">
        <w:rPr>
          <w:sz w:val="24"/>
          <w:szCs w:val="24"/>
        </w:rPr>
        <w:t xml:space="preserve"> process would be entangled with religious </w:t>
      </w:r>
      <w:r w:rsidR="00B94A7F" w:rsidRPr="00FC2D21">
        <w:rPr>
          <w:sz w:val="24"/>
          <w:szCs w:val="24"/>
        </w:rPr>
        <w:t xml:space="preserve">experience, beliefs and </w:t>
      </w:r>
      <w:r w:rsidR="00F94EAC" w:rsidRPr="00FC2D21">
        <w:rPr>
          <w:sz w:val="24"/>
          <w:szCs w:val="24"/>
        </w:rPr>
        <w:t xml:space="preserve">practice: the idea is widespread </w:t>
      </w:r>
      <w:r w:rsidR="00B94A7F" w:rsidRPr="00FC2D21">
        <w:rPr>
          <w:sz w:val="24"/>
          <w:szCs w:val="24"/>
        </w:rPr>
        <w:t xml:space="preserve">across the world </w:t>
      </w:r>
      <w:r w:rsidR="00F94EAC" w:rsidRPr="00FC2D21">
        <w:rPr>
          <w:sz w:val="24"/>
          <w:szCs w:val="24"/>
        </w:rPr>
        <w:t>of ores and metals ‘growing’ within the Womb of Mother Earth</w:t>
      </w:r>
      <w:r w:rsidR="00F94EAC" w:rsidRPr="00FC2D21">
        <w:rPr>
          <w:rStyle w:val="FootnoteReference"/>
          <w:sz w:val="24"/>
          <w:szCs w:val="24"/>
        </w:rPr>
        <w:footnoteReference w:id="9"/>
      </w:r>
      <w:r w:rsidR="00F94EAC" w:rsidRPr="00FC2D21">
        <w:rPr>
          <w:sz w:val="24"/>
          <w:szCs w:val="24"/>
        </w:rPr>
        <w:t>; metallurgical practice still has ‘magical’ quality.</w:t>
      </w:r>
      <w:r w:rsidR="00F94EAC" w:rsidRPr="00FC2D21">
        <w:rPr>
          <w:rStyle w:val="FootnoteReference"/>
          <w:sz w:val="24"/>
          <w:szCs w:val="24"/>
        </w:rPr>
        <w:footnoteReference w:id="10"/>
      </w:r>
      <w:r w:rsidR="00F94EAC" w:rsidRPr="00FC2D21">
        <w:rPr>
          <w:sz w:val="24"/>
          <w:szCs w:val="24"/>
        </w:rPr>
        <w:t xml:space="preserve"> </w:t>
      </w:r>
    </w:p>
    <w:p w14:paraId="73C708D5" w14:textId="77777777" w:rsidR="00F94EAC" w:rsidRPr="00FC2D21" w:rsidRDefault="00F94EAC" w:rsidP="004F380B">
      <w:pPr>
        <w:pStyle w:val="FootnoteText"/>
        <w:spacing w:after="160" w:line="360" w:lineRule="auto"/>
        <w:rPr>
          <w:sz w:val="24"/>
          <w:szCs w:val="24"/>
        </w:rPr>
      </w:pPr>
    </w:p>
    <w:p w14:paraId="1A3405B7" w14:textId="42821CAC" w:rsidR="00B45802" w:rsidRPr="00FC2D21" w:rsidRDefault="00B45802" w:rsidP="004F380B">
      <w:pPr>
        <w:pStyle w:val="FootnoteText"/>
        <w:spacing w:after="160" w:line="360" w:lineRule="auto"/>
        <w:rPr>
          <w:sz w:val="24"/>
          <w:szCs w:val="24"/>
        </w:rPr>
      </w:pPr>
      <w:r w:rsidRPr="00FC2D21">
        <w:rPr>
          <w:sz w:val="24"/>
          <w:szCs w:val="24"/>
        </w:rPr>
        <w:t xml:space="preserve">The author utilises a number of primary source materials, including excavation reports from the </w:t>
      </w:r>
      <w:r w:rsidR="00E00E66" w:rsidRPr="00FC2D21">
        <w:rPr>
          <w:sz w:val="24"/>
          <w:szCs w:val="24"/>
        </w:rPr>
        <w:t>Mission Archéologique d’Alasia</w:t>
      </w:r>
      <w:r w:rsidRPr="00FC2D21">
        <w:rPr>
          <w:sz w:val="24"/>
          <w:szCs w:val="24"/>
        </w:rPr>
        <w:t>,</w:t>
      </w:r>
      <w:r w:rsidRPr="00FC2D21">
        <w:rPr>
          <w:rStyle w:val="FootnoteReference"/>
          <w:sz w:val="24"/>
          <w:szCs w:val="24"/>
        </w:rPr>
        <w:footnoteReference w:id="11"/>
      </w:r>
      <w:r w:rsidRPr="00FC2D21">
        <w:rPr>
          <w:sz w:val="24"/>
          <w:szCs w:val="24"/>
        </w:rPr>
        <w:t xml:space="preserve">, but </w:t>
      </w:r>
      <w:r w:rsidR="007F0CEC" w:rsidRPr="00FC2D21">
        <w:rPr>
          <w:sz w:val="24"/>
          <w:szCs w:val="24"/>
        </w:rPr>
        <w:t xml:space="preserve">paraphrases, rather than </w:t>
      </w:r>
      <w:r w:rsidRPr="00FC2D21">
        <w:rPr>
          <w:sz w:val="24"/>
          <w:szCs w:val="24"/>
        </w:rPr>
        <w:t>quot</w:t>
      </w:r>
      <w:r w:rsidR="007F0CEC" w:rsidRPr="00FC2D21">
        <w:rPr>
          <w:sz w:val="24"/>
          <w:szCs w:val="24"/>
        </w:rPr>
        <w:t>ing</w:t>
      </w:r>
      <w:r w:rsidRPr="00FC2D21">
        <w:rPr>
          <w:sz w:val="24"/>
          <w:szCs w:val="24"/>
        </w:rPr>
        <w:t xml:space="preserve"> them. The article is presented in a straightforward, jargon-free style, well illustrated with respect to figurines and temple plans, and with specific page references. </w:t>
      </w:r>
      <w:r w:rsidR="004F380B">
        <w:rPr>
          <w:sz w:val="24"/>
          <w:szCs w:val="24"/>
        </w:rPr>
        <w:t xml:space="preserve">Somewhat </w:t>
      </w:r>
      <w:r w:rsidRPr="00FC2D21">
        <w:rPr>
          <w:sz w:val="24"/>
          <w:szCs w:val="24"/>
        </w:rPr>
        <w:t>annoying is the frequent use of the tired Victorian trope of ‘fertility’</w:t>
      </w:r>
      <w:r w:rsidR="00655A77" w:rsidRPr="00FC2D21">
        <w:rPr>
          <w:rStyle w:val="FootnoteReference"/>
          <w:sz w:val="24"/>
          <w:szCs w:val="24"/>
        </w:rPr>
        <w:footnoteReference w:id="12"/>
      </w:r>
      <w:r w:rsidRPr="00FC2D21">
        <w:rPr>
          <w:sz w:val="24"/>
          <w:szCs w:val="24"/>
        </w:rPr>
        <w:t xml:space="preserve"> as the primary attribute of Aphrodite and the presumed Goddess/es of the Bronze Age and earlier that remain anonymous to us.</w:t>
      </w:r>
      <w:r w:rsidRPr="00FC2D21">
        <w:rPr>
          <w:rStyle w:val="FootnoteReference"/>
          <w:sz w:val="24"/>
          <w:szCs w:val="24"/>
        </w:rPr>
        <w:footnoteReference w:id="13"/>
      </w:r>
      <w:r w:rsidRPr="00FC2D21">
        <w:rPr>
          <w:sz w:val="24"/>
          <w:szCs w:val="24"/>
        </w:rPr>
        <w:t xml:space="preserve"> </w:t>
      </w:r>
      <w:r w:rsidR="00A31354" w:rsidRPr="00FC2D21">
        <w:rPr>
          <w:sz w:val="24"/>
          <w:szCs w:val="24"/>
        </w:rPr>
        <w:t xml:space="preserve">Budin argues </w:t>
      </w:r>
      <w:r w:rsidR="00AE0A15" w:rsidRPr="00FC2D21">
        <w:rPr>
          <w:sz w:val="24"/>
          <w:szCs w:val="24"/>
        </w:rPr>
        <w:t xml:space="preserve">by contrast </w:t>
      </w:r>
      <w:r w:rsidR="00A31354" w:rsidRPr="00FC2D21">
        <w:rPr>
          <w:sz w:val="24"/>
          <w:szCs w:val="24"/>
        </w:rPr>
        <w:t xml:space="preserve">against an automatic equation of Goddess and fertility, that an “eroticized goddess” was by Late Cypriot III (c. 1250-1050) </w:t>
      </w:r>
      <w:r w:rsidR="004F380B">
        <w:rPr>
          <w:sz w:val="24"/>
          <w:szCs w:val="24"/>
        </w:rPr>
        <w:t>“</w:t>
      </w:r>
      <w:r w:rsidR="00A31354" w:rsidRPr="00FC2D21">
        <w:rPr>
          <w:sz w:val="24"/>
          <w:szCs w:val="24"/>
        </w:rPr>
        <w:t>divorced from notions of motherhood”.</w:t>
      </w:r>
      <w:r w:rsidR="00A31354" w:rsidRPr="00FC2D21">
        <w:rPr>
          <w:rStyle w:val="FootnoteReference"/>
          <w:sz w:val="24"/>
          <w:szCs w:val="24"/>
        </w:rPr>
        <w:footnoteReference w:id="14"/>
      </w:r>
      <w:r w:rsidR="00A31354" w:rsidRPr="00FC2D21">
        <w:rPr>
          <w:sz w:val="24"/>
          <w:szCs w:val="24"/>
        </w:rPr>
        <w:t xml:space="preserve"> </w:t>
      </w:r>
    </w:p>
    <w:p w14:paraId="58CBEB69" w14:textId="77777777" w:rsidR="00B45802" w:rsidRPr="00FC2D21" w:rsidRDefault="00B45802" w:rsidP="004F380B">
      <w:pPr>
        <w:pStyle w:val="FootnoteText"/>
        <w:spacing w:after="160" w:line="360" w:lineRule="auto"/>
        <w:rPr>
          <w:sz w:val="24"/>
          <w:szCs w:val="24"/>
        </w:rPr>
      </w:pPr>
    </w:p>
    <w:p w14:paraId="6F078275" w14:textId="3E904EA7" w:rsidR="00B52904" w:rsidRPr="00FC2D21" w:rsidRDefault="00B52904" w:rsidP="004F380B">
      <w:pPr>
        <w:pStyle w:val="FootnoteText"/>
        <w:spacing w:after="160" w:line="360" w:lineRule="auto"/>
        <w:rPr>
          <w:sz w:val="24"/>
          <w:szCs w:val="24"/>
        </w:rPr>
      </w:pPr>
      <w:r w:rsidRPr="00FC2D21">
        <w:rPr>
          <w:sz w:val="24"/>
          <w:szCs w:val="24"/>
        </w:rPr>
        <w:t>The past of Cyprus remains largely ‘prehistoric’ for us due to the non-decipherment of Cypriot scripts</w:t>
      </w:r>
      <w:r w:rsidR="004F380B">
        <w:rPr>
          <w:sz w:val="24"/>
          <w:szCs w:val="24"/>
        </w:rPr>
        <w:t>:</w:t>
      </w:r>
      <w:r w:rsidRPr="00FC2D21">
        <w:rPr>
          <w:sz w:val="24"/>
          <w:szCs w:val="24"/>
        </w:rPr>
        <w:t xml:space="preserve"> historic, that is textual, intelligibility only beginning after what appears to be </w:t>
      </w:r>
      <w:r w:rsidRPr="00FC2D21">
        <w:rPr>
          <w:sz w:val="24"/>
          <w:szCs w:val="24"/>
        </w:rPr>
        <w:lastRenderedPageBreak/>
        <w:t>a immigration of Achaean groups around 1200-1100 BCE.</w:t>
      </w:r>
      <w:r w:rsidRPr="00FC2D21">
        <w:rPr>
          <w:rStyle w:val="FootnoteReference"/>
          <w:sz w:val="24"/>
          <w:szCs w:val="24"/>
        </w:rPr>
        <w:footnoteReference w:id="15"/>
      </w:r>
      <w:r w:rsidRPr="00FC2D21">
        <w:rPr>
          <w:sz w:val="24"/>
          <w:szCs w:val="24"/>
        </w:rPr>
        <w:t xml:space="preserve"> We simply do not know how the Cypriots prior to this point actually understood their deities, permitting </w:t>
      </w:r>
      <w:r w:rsidR="00EC2B6D" w:rsidRPr="00FC2D21">
        <w:rPr>
          <w:sz w:val="24"/>
          <w:szCs w:val="24"/>
        </w:rPr>
        <w:t xml:space="preserve">some archaeologists to express </w:t>
      </w:r>
      <w:r w:rsidRPr="00FC2D21">
        <w:rPr>
          <w:sz w:val="24"/>
          <w:szCs w:val="24"/>
        </w:rPr>
        <w:t xml:space="preserve">maximal scepticism </w:t>
      </w:r>
      <w:r w:rsidR="00EC2B6D" w:rsidRPr="00FC2D21">
        <w:rPr>
          <w:sz w:val="24"/>
          <w:szCs w:val="24"/>
        </w:rPr>
        <w:t>regarding a ‘Mother Goddess’</w:t>
      </w:r>
      <w:r w:rsidRPr="00FC2D21">
        <w:rPr>
          <w:sz w:val="24"/>
          <w:szCs w:val="24"/>
        </w:rPr>
        <w:t>.</w:t>
      </w:r>
      <w:r w:rsidRPr="00FC2D21">
        <w:rPr>
          <w:rStyle w:val="FootnoteReference"/>
          <w:sz w:val="24"/>
          <w:szCs w:val="24"/>
        </w:rPr>
        <w:footnoteReference w:id="16"/>
      </w:r>
      <w:r w:rsidRPr="00FC2D21">
        <w:rPr>
          <w:sz w:val="24"/>
          <w:szCs w:val="24"/>
        </w:rPr>
        <w:t xml:space="preserve"> On the other hand, Cyprus was surrounded by and frequently interactive with, cultures that do have intelligible scripts, all of which had multiple Goddesses that </w:t>
      </w:r>
      <w:r w:rsidR="004B3A7F">
        <w:rPr>
          <w:sz w:val="24"/>
          <w:szCs w:val="24"/>
        </w:rPr>
        <w:t xml:space="preserve">were envisaged </w:t>
      </w:r>
      <w:r w:rsidRPr="00FC2D21">
        <w:rPr>
          <w:sz w:val="24"/>
          <w:szCs w:val="24"/>
        </w:rPr>
        <w:t xml:space="preserve">‘fairly well </w:t>
      </w:r>
      <w:r w:rsidR="00B65AB2" w:rsidRPr="00FC2D21">
        <w:rPr>
          <w:sz w:val="24"/>
          <w:szCs w:val="24"/>
        </w:rPr>
        <w:t>defined’</w:t>
      </w:r>
      <w:r w:rsidR="00B65AB2">
        <w:rPr>
          <w:sz w:val="24"/>
          <w:szCs w:val="24"/>
        </w:rPr>
        <w:t xml:space="preserve"> (that is, anthropomorphic, with human-like personality). </w:t>
      </w:r>
      <w:r w:rsidRPr="00FC2D21">
        <w:rPr>
          <w:sz w:val="24"/>
          <w:szCs w:val="24"/>
        </w:rPr>
        <w:t>Only a short sea journey away, Levantine Byblos celebrated Baalat Gebal;</w:t>
      </w:r>
      <w:r w:rsidRPr="00FC2D21">
        <w:rPr>
          <w:rStyle w:val="FootnoteReference"/>
          <w:sz w:val="24"/>
          <w:szCs w:val="24"/>
        </w:rPr>
        <w:footnoteReference w:id="17"/>
      </w:r>
      <w:r w:rsidRPr="00FC2D21">
        <w:rPr>
          <w:sz w:val="24"/>
          <w:szCs w:val="24"/>
        </w:rPr>
        <w:t xml:space="preserve"> Egypt honoured numerous Goddesses, Crete to the west, the Hittites and Mesopotamian cultures likewise</w:t>
      </w:r>
      <w:r w:rsidR="00B65AB2">
        <w:rPr>
          <w:sz w:val="24"/>
          <w:szCs w:val="24"/>
        </w:rPr>
        <w:t xml:space="preserve"> - though few if any are solely ‘Mothers’</w:t>
      </w:r>
      <w:r w:rsidR="00B65AB2" w:rsidRPr="00FC2D21">
        <w:rPr>
          <w:sz w:val="24"/>
          <w:szCs w:val="24"/>
        </w:rPr>
        <w:t xml:space="preserve">. </w:t>
      </w:r>
      <w:r w:rsidRPr="00FC2D21">
        <w:rPr>
          <w:sz w:val="24"/>
          <w:szCs w:val="24"/>
        </w:rPr>
        <w:t xml:space="preserve">It seems implausible that religious concepts in Cyprus were much different, even if the “advance” to “complex, socially-stratified society” occurred some centuries later than </w:t>
      </w:r>
      <w:r w:rsidR="007E2604" w:rsidRPr="00FC2D21">
        <w:rPr>
          <w:sz w:val="24"/>
          <w:szCs w:val="24"/>
        </w:rPr>
        <w:t>in</w:t>
      </w:r>
      <w:r w:rsidRPr="00FC2D21">
        <w:rPr>
          <w:sz w:val="24"/>
          <w:szCs w:val="24"/>
        </w:rPr>
        <w:t xml:space="preserve"> Crete.</w:t>
      </w:r>
      <w:r w:rsidRPr="00FC2D21">
        <w:rPr>
          <w:rStyle w:val="FootnoteReference"/>
          <w:sz w:val="24"/>
          <w:szCs w:val="24"/>
        </w:rPr>
        <w:footnoteReference w:id="18"/>
      </w:r>
      <w:r w:rsidR="004609AA" w:rsidRPr="00FC2D21">
        <w:rPr>
          <w:sz w:val="24"/>
          <w:szCs w:val="24"/>
        </w:rPr>
        <w:t xml:space="preserve"> </w:t>
      </w:r>
      <w:r w:rsidR="00AC02BB" w:rsidRPr="00FC2D21">
        <w:rPr>
          <w:sz w:val="24"/>
          <w:szCs w:val="24"/>
        </w:rPr>
        <w:t>Budin argues that a Goddess “who clearly conforms to the Aphrodite-type appears through the island by the beginning of Late Cypriot II”.</w:t>
      </w:r>
      <w:r w:rsidR="00AC02BB" w:rsidRPr="00FC2D21">
        <w:rPr>
          <w:rStyle w:val="FootnoteReference"/>
          <w:sz w:val="24"/>
          <w:szCs w:val="24"/>
        </w:rPr>
        <w:footnoteReference w:id="19"/>
      </w:r>
      <w:r w:rsidR="00AC02BB" w:rsidRPr="00FC2D21">
        <w:rPr>
          <w:sz w:val="24"/>
          <w:szCs w:val="24"/>
        </w:rPr>
        <w:t xml:space="preserve"> </w:t>
      </w:r>
      <w:r w:rsidR="004609AA" w:rsidRPr="00FC2D21">
        <w:rPr>
          <w:sz w:val="24"/>
          <w:szCs w:val="24"/>
        </w:rPr>
        <w:t>Kieburg describes Bronze Age Cyprus as “a vibrant intersection of peoples…several civilisations alongside each other on the island creating an intense cultural and religious mixture”.</w:t>
      </w:r>
      <w:r w:rsidR="004609AA" w:rsidRPr="00FC2D21">
        <w:rPr>
          <w:rStyle w:val="FootnoteReference"/>
          <w:sz w:val="24"/>
          <w:szCs w:val="24"/>
        </w:rPr>
        <w:footnoteReference w:id="20"/>
      </w:r>
      <w:r w:rsidR="003C4C13" w:rsidRPr="00FC2D21">
        <w:rPr>
          <w:sz w:val="24"/>
          <w:szCs w:val="24"/>
        </w:rPr>
        <w:t xml:space="preserve"> </w:t>
      </w:r>
    </w:p>
    <w:p w14:paraId="3A58782F" w14:textId="77777777" w:rsidR="00B52904" w:rsidRPr="00FC2D21" w:rsidRDefault="00B52904" w:rsidP="004F380B">
      <w:pPr>
        <w:pStyle w:val="FootnoteText"/>
        <w:spacing w:after="160" w:line="360" w:lineRule="auto"/>
        <w:rPr>
          <w:sz w:val="24"/>
          <w:szCs w:val="24"/>
        </w:rPr>
      </w:pPr>
    </w:p>
    <w:p w14:paraId="5D83088D" w14:textId="004BB255" w:rsidR="001F1B4F" w:rsidRPr="00FC2D21" w:rsidRDefault="001F1B4F" w:rsidP="004F380B">
      <w:pPr>
        <w:pStyle w:val="FootnoteText"/>
        <w:spacing w:after="160" w:line="360" w:lineRule="auto"/>
        <w:rPr>
          <w:sz w:val="24"/>
          <w:szCs w:val="24"/>
        </w:rPr>
      </w:pPr>
      <w:r w:rsidRPr="00FC2D21">
        <w:rPr>
          <w:sz w:val="24"/>
          <w:szCs w:val="24"/>
        </w:rPr>
        <w:t xml:space="preserve">The author gives little if any mention of theoretical / methodological perspectives, nor any hint of </w:t>
      </w:r>
      <w:r w:rsidR="00713FA3" w:rsidRPr="00FC2D21">
        <w:rPr>
          <w:sz w:val="24"/>
          <w:szCs w:val="24"/>
        </w:rPr>
        <w:t xml:space="preserve">the </w:t>
      </w:r>
      <w:r w:rsidRPr="00FC2D21">
        <w:rPr>
          <w:sz w:val="24"/>
          <w:szCs w:val="24"/>
        </w:rPr>
        <w:t>phenomenolog</w:t>
      </w:r>
      <w:r w:rsidR="00713FA3" w:rsidRPr="00FC2D21">
        <w:rPr>
          <w:sz w:val="24"/>
          <w:szCs w:val="24"/>
        </w:rPr>
        <w:t>ical</w:t>
      </w:r>
      <w:r w:rsidRPr="00FC2D21">
        <w:rPr>
          <w:sz w:val="24"/>
          <w:szCs w:val="24"/>
        </w:rPr>
        <w:t xml:space="preserve">: the article cannot really be positioned with respect to processual / post-processual debate. The author mentions her research as part of a </w:t>
      </w:r>
      <w:r w:rsidRPr="00FC2D21">
        <w:rPr>
          <w:sz w:val="24"/>
          <w:szCs w:val="24"/>
        </w:rPr>
        <w:lastRenderedPageBreak/>
        <w:t>“Genderstudy-Project” so may be considered in that context.</w:t>
      </w:r>
      <w:r w:rsidRPr="00FC2D21">
        <w:rPr>
          <w:rStyle w:val="FootnoteReference"/>
          <w:sz w:val="24"/>
          <w:szCs w:val="24"/>
        </w:rPr>
        <w:footnoteReference w:id="21"/>
      </w:r>
      <w:r w:rsidRPr="00FC2D21">
        <w:rPr>
          <w:sz w:val="24"/>
          <w:szCs w:val="24"/>
        </w:rPr>
        <w:t xml:space="preserve">. The general approach, closely </w:t>
      </w:r>
      <w:r w:rsidR="0077531E" w:rsidRPr="00FC2D21">
        <w:rPr>
          <w:sz w:val="24"/>
          <w:szCs w:val="24"/>
        </w:rPr>
        <w:t>linking</w:t>
      </w:r>
      <w:r w:rsidRPr="00FC2D21">
        <w:rPr>
          <w:sz w:val="24"/>
          <w:szCs w:val="24"/>
        </w:rPr>
        <w:t xml:space="preserve"> archaeological findings with myths known from later literary material, seems more akin to Archaeomythology.</w:t>
      </w:r>
      <w:r w:rsidRPr="00FC2D21">
        <w:rPr>
          <w:rStyle w:val="FootnoteReference"/>
          <w:sz w:val="24"/>
          <w:szCs w:val="24"/>
        </w:rPr>
        <w:footnoteReference w:id="22"/>
      </w:r>
      <w:r w:rsidR="005F570F" w:rsidRPr="00FC2D21">
        <w:rPr>
          <w:sz w:val="24"/>
          <w:szCs w:val="24"/>
        </w:rPr>
        <w:t xml:space="preserve"> </w:t>
      </w:r>
      <w:r w:rsidR="006E50E1" w:rsidRPr="00FC2D21">
        <w:rPr>
          <w:sz w:val="24"/>
          <w:szCs w:val="24"/>
        </w:rPr>
        <w:t xml:space="preserve">Although Kieburg’s problematic seems entirely that of </w:t>
      </w:r>
      <w:r w:rsidR="00336CF4" w:rsidRPr="00FC2D21">
        <w:rPr>
          <w:sz w:val="24"/>
          <w:szCs w:val="24"/>
        </w:rPr>
        <w:t xml:space="preserve">‘myth’ / </w:t>
      </w:r>
      <w:r w:rsidR="006E50E1" w:rsidRPr="00FC2D21">
        <w:rPr>
          <w:sz w:val="24"/>
          <w:szCs w:val="24"/>
        </w:rPr>
        <w:t xml:space="preserve">‘religion’, her </w:t>
      </w:r>
      <w:r w:rsidR="005F570F" w:rsidRPr="00FC2D21">
        <w:rPr>
          <w:sz w:val="24"/>
          <w:szCs w:val="24"/>
        </w:rPr>
        <w:t>references, however, are very much skewed to the archaeological</w:t>
      </w:r>
      <w:r w:rsidR="00AE0A15" w:rsidRPr="00FC2D21">
        <w:rPr>
          <w:sz w:val="24"/>
          <w:szCs w:val="24"/>
        </w:rPr>
        <w:t>, but lacking in any critical analysis</w:t>
      </w:r>
      <w:r w:rsidR="006915B2" w:rsidRPr="00FC2D21">
        <w:rPr>
          <w:sz w:val="24"/>
          <w:szCs w:val="24"/>
        </w:rPr>
        <w:t>.</w:t>
      </w:r>
      <w:r w:rsidR="006915B2" w:rsidRPr="00FC2D21">
        <w:rPr>
          <w:rStyle w:val="FootnoteReference"/>
          <w:sz w:val="24"/>
          <w:szCs w:val="24"/>
        </w:rPr>
        <w:footnoteReference w:id="23"/>
      </w:r>
    </w:p>
    <w:p w14:paraId="34027659" w14:textId="77777777" w:rsidR="001F1B4F" w:rsidRPr="00FC2D21" w:rsidRDefault="001F1B4F" w:rsidP="004F380B">
      <w:pPr>
        <w:pStyle w:val="FootnoteText"/>
        <w:spacing w:after="160" w:line="360" w:lineRule="auto"/>
        <w:rPr>
          <w:sz w:val="24"/>
          <w:szCs w:val="24"/>
        </w:rPr>
      </w:pPr>
    </w:p>
    <w:p w14:paraId="21F586F3" w14:textId="29BD14AC" w:rsidR="00C5121B" w:rsidRPr="00FC2D21" w:rsidRDefault="006B71EC" w:rsidP="004F380B">
      <w:pPr>
        <w:pStyle w:val="FootnoteText"/>
        <w:spacing w:after="160" w:line="360" w:lineRule="auto"/>
        <w:rPr>
          <w:sz w:val="24"/>
          <w:szCs w:val="24"/>
        </w:rPr>
      </w:pPr>
      <w:r w:rsidRPr="00FC2D21">
        <w:rPr>
          <w:sz w:val="24"/>
          <w:szCs w:val="24"/>
        </w:rPr>
        <w:t xml:space="preserve">The article </w:t>
      </w:r>
      <w:r w:rsidR="00957A7E" w:rsidRPr="00FC2D21">
        <w:rPr>
          <w:sz w:val="24"/>
          <w:szCs w:val="24"/>
        </w:rPr>
        <w:t xml:space="preserve">largely </w:t>
      </w:r>
      <w:r w:rsidRPr="00FC2D21">
        <w:rPr>
          <w:sz w:val="24"/>
          <w:szCs w:val="24"/>
        </w:rPr>
        <w:t>focus</w:t>
      </w:r>
      <w:r w:rsidR="00C5121B" w:rsidRPr="00FC2D21">
        <w:rPr>
          <w:sz w:val="24"/>
          <w:szCs w:val="24"/>
        </w:rPr>
        <w:t xml:space="preserve">es </w:t>
      </w:r>
      <w:r w:rsidRPr="00FC2D21">
        <w:rPr>
          <w:sz w:val="24"/>
          <w:szCs w:val="24"/>
        </w:rPr>
        <w:t>on what is known from two centres: Enkomi, first founded around 1700 BCE (‘Middle’ BA) and Kition.</w:t>
      </w:r>
      <w:r w:rsidR="00585409" w:rsidRPr="00FC2D21">
        <w:rPr>
          <w:rStyle w:val="FootnoteReference"/>
          <w:sz w:val="24"/>
          <w:szCs w:val="24"/>
        </w:rPr>
        <w:footnoteReference w:id="24"/>
      </w:r>
      <w:r w:rsidRPr="00FC2D21">
        <w:rPr>
          <w:sz w:val="24"/>
          <w:szCs w:val="24"/>
        </w:rPr>
        <w:t xml:space="preserve"> Both are thought to have been rebuilt by Achaeans around 1200 BCE (</w:t>
      </w:r>
      <w:r w:rsidR="007E2604" w:rsidRPr="00FC2D21">
        <w:rPr>
          <w:sz w:val="24"/>
          <w:szCs w:val="24"/>
        </w:rPr>
        <w:t>‘</w:t>
      </w:r>
      <w:r w:rsidRPr="00FC2D21">
        <w:rPr>
          <w:sz w:val="24"/>
          <w:szCs w:val="24"/>
        </w:rPr>
        <w:t>Late</w:t>
      </w:r>
      <w:r w:rsidR="007E2604" w:rsidRPr="00FC2D21">
        <w:rPr>
          <w:sz w:val="24"/>
          <w:szCs w:val="24"/>
        </w:rPr>
        <w:t>’</w:t>
      </w:r>
      <w:r w:rsidRPr="00FC2D21">
        <w:rPr>
          <w:sz w:val="24"/>
          <w:szCs w:val="24"/>
        </w:rPr>
        <w:t xml:space="preserve"> BA).</w:t>
      </w:r>
      <w:r w:rsidRPr="00FC2D21">
        <w:rPr>
          <w:rStyle w:val="FootnoteReference"/>
          <w:sz w:val="24"/>
          <w:szCs w:val="24"/>
        </w:rPr>
        <w:footnoteReference w:id="25"/>
      </w:r>
      <w:r w:rsidRPr="00FC2D21">
        <w:rPr>
          <w:sz w:val="24"/>
          <w:szCs w:val="24"/>
        </w:rPr>
        <w:t xml:space="preserve"> The author argues for an increase during this period of the “Great Goddess cult”</w:t>
      </w:r>
      <w:r w:rsidR="00A44BE4" w:rsidRPr="00FC2D21">
        <w:rPr>
          <w:sz w:val="24"/>
          <w:szCs w:val="24"/>
        </w:rPr>
        <w:t xml:space="preserve"> with </w:t>
      </w:r>
      <w:r w:rsidRPr="00FC2D21">
        <w:rPr>
          <w:sz w:val="24"/>
          <w:szCs w:val="24"/>
        </w:rPr>
        <w:t>a significant building and renovation of temples</w:t>
      </w:r>
      <w:r w:rsidR="00A44BE4" w:rsidRPr="00FC2D21">
        <w:rPr>
          <w:sz w:val="24"/>
          <w:szCs w:val="24"/>
        </w:rPr>
        <w:t>. Inscriptions, in Greek from the later Iron Age period</w:t>
      </w:r>
      <w:r w:rsidR="00585409" w:rsidRPr="00FC2D21">
        <w:rPr>
          <w:sz w:val="24"/>
          <w:szCs w:val="24"/>
        </w:rPr>
        <w:t>,</w:t>
      </w:r>
      <w:r w:rsidR="00A44BE4" w:rsidRPr="00FC2D21">
        <w:rPr>
          <w:sz w:val="24"/>
          <w:szCs w:val="24"/>
        </w:rPr>
        <w:t xml:space="preserve"> </w:t>
      </w:r>
      <w:r w:rsidR="001F1B4F" w:rsidRPr="00FC2D21">
        <w:rPr>
          <w:sz w:val="24"/>
          <w:szCs w:val="24"/>
        </w:rPr>
        <w:t xml:space="preserve">that </w:t>
      </w:r>
      <w:r w:rsidR="00A44BE4" w:rsidRPr="00FC2D21">
        <w:rPr>
          <w:sz w:val="24"/>
          <w:szCs w:val="24"/>
        </w:rPr>
        <w:t xml:space="preserve">refer to the deity by titles such as ἡ θεά (“the Goddess”), and ἀνάσσα (“the Queen/Mistress”) </w:t>
      </w:r>
      <w:r w:rsidR="001F1B4F" w:rsidRPr="00FC2D21">
        <w:rPr>
          <w:sz w:val="24"/>
          <w:szCs w:val="24"/>
        </w:rPr>
        <w:t xml:space="preserve">do </w:t>
      </w:r>
      <w:r w:rsidR="00A44BE4" w:rsidRPr="00FC2D21">
        <w:rPr>
          <w:sz w:val="24"/>
          <w:szCs w:val="24"/>
        </w:rPr>
        <w:t xml:space="preserve">suggest that the being honoured was indeed a unitary ‘Great Goddess’: on the other hand, titles such as </w:t>
      </w:r>
      <w:r w:rsidR="00B03C4D" w:rsidRPr="00FC2D21">
        <w:rPr>
          <w:sz w:val="24"/>
          <w:szCs w:val="24"/>
        </w:rPr>
        <w:t>Πάφια (“the Paphian”) or Γολγία (“the Golgian”) are interpretable as having ‘local’ implication</w:t>
      </w:r>
      <w:r w:rsidR="00B45802" w:rsidRPr="00FC2D21">
        <w:rPr>
          <w:sz w:val="24"/>
          <w:szCs w:val="24"/>
        </w:rPr>
        <w:t>,</w:t>
      </w:r>
      <w:r w:rsidR="00B03C4D" w:rsidRPr="00FC2D21">
        <w:rPr>
          <w:sz w:val="24"/>
          <w:szCs w:val="24"/>
        </w:rPr>
        <w:t xml:space="preserve"> one Goddess among many. The actual name Aphrodite </w:t>
      </w:r>
      <w:r w:rsidR="00B45802" w:rsidRPr="00FC2D21">
        <w:rPr>
          <w:sz w:val="24"/>
          <w:szCs w:val="24"/>
        </w:rPr>
        <w:t xml:space="preserve">- the origin of which remains questionable - </w:t>
      </w:r>
      <w:r w:rsidR="00B03C4D" w:rsidRPr="00FC2D21">
        <w:rPr>
          <w:sz w:val="24"/>
          <w:szCs w:val="24"/>
        </w:rPr>
        <w:t xml:space="preserve">does not appear </w:t>
      </w:r>
      <w:r w:rsidR="00B45802" w:rsidRPr="00FC2D21">
        <w:rPr>
          <w:sz w:val="24"/>
          <w:szCs w:val="24"/>
        </w:rPr>
        <w:t xml:space="preserve">in Cyprus </w:t>
      </w:r>
      <w:r w:rsidR="00B03C4D" w:rsidRPr="00FC2D21">
        <w:rPr>
          <w:sz w:val="24"/>
          <w:szCs w:val="24"/>
        </w:rPr>
        <w:t>until 4</w:t>
      </w:r>
      <w:r w:rsidR="00B03C4D" w:rsidRPr="00FC2D21">
        <w:rPr>
          <w:sz w:val="24"/>
          <w:szCs w:val="24"/>
          <w:vertAlign w:val="superscript"/>
        </w:rPr>
        <w:t>th</w:t>
      </w:r>
      <w:r w:rsidR="00B03C4D" w:rsidRPr="00FC2D21">
        <w:rPr>
          <w:sz w:val="24"/>
          <w:szCs w:val="24"/>
        </w:rPr>
        <w:t xml:space="preserve"> century BCE at Amathous.</w:t>
      </w:r>
      <w:r w:rsidR="00B03C4D" w:rsidRPr="00FC2D21">
        <w:rPr>
          <w:rStyle w:val="FootnoteReference"/>
          <w:sz w:val="24"/>
          <w:szCs w:val="24"/>
        </w:rPr>
        <w:footnoteReference w:id="26"/>
      </w:r>
    </w:p>
    <w:p w14:paraId="2E81F719" w14:textId="77777777" w:rsidR="00C5121B" w:rsidRPr="00FC2D21" w:rsidRDefault="00C5121B" w:rsidP="004F380B">
      <w:pPr>
        <w:pStyle w:val="FootnoteText"/>
        <w:spacing w:after="160" w:line="360" w:lineRule="auto"/>
        <w:rPr>
          <w:sz w:val="24"/>
          <w:szCs w:val="24"/>
        </w:rPr>
      </w:pPr>
    </w:p>
    <w:p w14:paraId="28553710" w14:textId="79378974" w:rsidR="006F3F93" w:rsidRPr="00FC2D21" w:rsidRDefault="00C5121B" w:rsidP="004F380B">
      <w:pPr>
        <w:pStyle w:val="FootnoteText"/>
        <w:spacing w:after="160" w:line="360" w:lineRule="auto"/>
        <w:rPr>
          <w:sz w:val="24"/>
          <w:szCs w:val="24"/>
        </w:rPr>
      </w:pPr>
      <w:r w:rsidRPr="00FC2D21">
        <w:rPr>
          <w:sz w:val="24"/>
          <w:szCs w:val="24"/>
        </w:rPr>
        <w:lastRenderedPageBreak/>
        <w:t xml:space="preserve">Kieburg then </w:t>
      </w:r>
      <w:r w:rsidR="006E7447" w:rsidRPr="00FC2D21">
        <w:rPr>
          <w:sz w:val="24"/>
          <w:szCs w:val="24"/>
        </w:rPr>
        <w:t xml:space="preserve">further </w:t>
      </w:r>
      <w:r w:rsidRPr="00FC2D21">
        <w:rPr>
          <w:sz w:val="24"/>
          <w:szCs w:val="24"/>
        </w:rPr>
        <w:t xml:space="preserve">argues </w:t>
      </w:r>
      <w:r w:rsidR="006E7447" w:rsidRPr="00FC2D21">
        <w:rPr>
          <w:sz w:val="24"/>
          <w:szCs w:val="24"/>
        </w:rPr>
        <w:t>that there is now evidence of a “male companion deity”.</w:t>
      </w:r>
      <w:r w:rsidR="006E7447" w:rsidRPr="00FC2D21">
        <w:rPr>
          <w:rStyle w:val="FootnoteReference"/>
          <w:sz w:val="24"/>
          <w:szCs w:val="24"/>
        </w:rPr>
        <w:footnoteReference w:id="27"/>
      </w:r>
      <w:r w:rsidRPr="00FC2D21">
        <w:rPr>
          <w:sz w:val="24"/>
          <w:szCs w:val="24"/>
        </w:rPr>
        <w:t xml:space="preserve"> </w:t>
      </w:r>
      <w:r w:rsidR="00AF55AE" w:rsidRPr="00FC2D21">
        <w:rPr>
          <w:sz w:val="24"/>
          <w:szCs w:val="24"/>
        </w:rPr>
        <w:t>Th</w:t>
      </w:r>
      <w:r w:rsidR="000309C6" w:rsidRPr="00FC2D21">
        <w:rPr>
          <w:sz w:val="24"/>
          <w:szCs w:val="24"/>
        </w:rPr>
        <w:t>e</w:t>
      </w:r>
      <w:r w:rsidR="00AF55AE" w:rsidRPr="00FC2D21">
        <w:rPr>
          <w:sz w:val="24"/>
          <w:szCs w:val="24"/>
        </w:rPr>
        <w:t xml:space="preserve"> critical find from Enkomi is the “Ingot God”, dated 12</w:t>
      </w:r>
      <w:r w:rsidR="00AF55AE" w:rsidRPr="00FC2D21">
        <w:rPr>
          <w:sz w:val="24"/>
          <w:szCs w:val="24"/>
          <w:vertAlign w:val="superscript"/>
        </w:rPr>
        <w:t>th</w:t>
      </w:r>
      <w:r w:rsidR="00AF55AE" w:rsidRPr="00FC2D21">
        <w:rPr>
          <w:sz w:val="24"/>
          <w:szCs w:val="24"/>
        </w:rPr>
        <w:t xml:space="preserve"> century BCE.</w:t>
      </w:r>
      <w:r w:rsidR="00AF55AE" w:rsidRPr="00FC2D21">
        <w:rPr>
          <w:rStyle w:val="FootnoteReference"/>
          <w:sz w:val="24"/>
          <w:szCs w:val="24"/>
        </w:rPr>
        <w:footnoteReference w:id="28"/>
      </w:r>
      <w:r w:rsidR="00AF55AE" w:rsidRPr="00FC2D21">
        <w:rPr>
          <w:sz w:val="24"/>
          <w:szCs w:val="24"/>
        </w:rPr>
        <w:t xml:space="preserve"> </w:t>
      </w:r>
      <w:r w:rsidR="001C677B" w:rsidRPr="00FC2D21">
        <w:rPr>
          <w:sz w:val="24"/>
          <w:szCs w:val="24"/>
        </w:rPr>
        <w:t>Schaeffer describes it as “clearly an object in a fervent religious cult” on the basis of the find context, which contained hundreds of skulls of bulls and other horned creatures.</w:t>
      </w:r>
      <w:r w:rsidRPr="00FC2D21">
        <w:rPr>
          <w:rStyle w:val="FootnoteReference"/>
          <w:sz w:val="24"/>
          <w:szCs w:val="24"/>
        </w:rPr>
        <w:footnoteReference w:id="29"/>
      </w:r>
      <w:r w:rsidR="001C677B" w:rsidRPr="00FC2D21">
        <w:rPr>
          <w:sz w:val="24"/>
          <w:szCs w:val="24"/>
        </w:rPr>
        <w:t xml:space="preserve"> </w:t>
      </w:r>
      <w:r w:rsidR="00AF55AE" w:rsidRPr="00FC2D21">
        <w:rPr>
          <w:sz w:val="24"/>
          <w:szCs w:val="24"/>
        </w:rPr>
        <w:t xml:space="preserve">The term ‘ingot’ appears to derive from the shape of the figurine base: plausibly </w:t>
      </w:r>
      <w:r w:rsidR="00585409" w:rsidRPr="00FC2D21">
        <w:rPr>
          <w:sz w:val="24"/>
          <w:szCs w:val="24"/>
        </w:rPr>
        <w:t xml:space="preserve">as much </w:t>
      </w:r>
      <w:r w:rsidR="00AF55AE" w:rsidRPr="00FC2D21">
        <w:rPr>
          <w:sz w:val="24"/>
          <w:szCs w:val="24"/>
        </w:rPr>
        <w:t>for stability</w:t>
      </w:r>
      <w:r w:rsidR="00585409" w:rsidRPr="00FC2D21">
        <w:rPr>
          <w:sz w:val="24"/>
          <w:szCs w:val="24"/>
        </w:rPr>
        <w:t xml:space="preserve"> as referential</w:t>
      </w:r>
      <w:r w:rsidR="00AF55AE" w:rsidRPr="00FC2D21">
        <w:rPr>
          <w:sz w:val="24"/>
          <w:szCs w:val="24"/>
        </w:rPr>
        <w:t>.</w:t>
      </w:r>
      <w:r w:rsidR="00330401">
        <w:rPr>
          <w:sz w:val="24"/>
          <w:szCs w:val="24"/>
        </w:rPr>
        <w:t xml:space="preserve"> </w:t>
      </w:r>
      <w:r w:rsidR="00AF55AE" w:rsidRPr="00FC2D21">
        <w:rPr>
          <w:sz w:val="24"/>
          <w:szCs w:val="24"/>
        </w:rPr>
        <w:t xml:space="preserve">The figure is of a spear-wielding warrior, hence Ares-like, not a </w:t>
      </w:r>
      <w:r w:rsidR="00585409" w:rsidRPr="00FC2D21">
        <w:rPr>
          <w:sz w:val="24"/>
          <w:szCs w:val="24"/>
        </w:rPr>
        <w:t>H</w:t>
      </w:r>
      <w:r w:rsidR="00AF55AE" w:rsidRPr="00FC2D21">
        <w:rPr>
          <w:sz w:val="24"/>
          <w:szCs w:val="24"/>
        </w:rPr>
        <w:t xml:space="preserve">ammer-wielder as appropriate for Hephaestus. The shape is athletic, not in any way ‘disabled’ as classically </w:t>
      </w:r>
      <w:r w:rsidR="006F57FF" w:rsidRPr="00FC2D21">
        <w:rPr>
          <w:sz w:val="24"/>
          <w:szCs w:val="24"/>
        </w:rPr>
        <w:t xml:space="preserve">considered of </w:t>
      </w:r>
      <w:r w:rsidR="00AF55AE" w:rsidRPr="00FC2D21">
        <w:rPr>
          <w:sz w:val="24"/>
          <w:szCs w:val="24"/>
        </w:rPr>
        <w:t>Hephaestus.</w:t>
      </w:r>
      <w:r w:rsidR="00AF55AE" w:rsidRPr="00FC2D21">
        <w:rPr>
          <w:rStyle w:val="FootnoteReference"/>
          <w:sz w:val="24"/>
          <w:szCs w:val="24"/>
        </w:rPr>
        <w:footnoteReference w:id="30"/>
      </w:r>
      <w:r w:rsidR="000309C6" w:rsidRPr="00FC2D21">
        <w:rPr>
          <w:sz w:val="24"/>
          <w:szCs w:val="24"/>
        </w:rPr>
        <w:t xml:space="preserve"> A further male figurine from Enkomi, </w:t>
      </w:r>
      <w:r w:rsidR="00953A35" w:rsidRPr="00FC2D21">
        <w:rPr>
          <w:sz w:val="24"/>
          <w:szCs w:val="24"/>
        </w:rPr>
        <w:t xml:space="preserve">described by the excavators as </w:t>
      </w:r>
      <w:r w:rsidR="000309C6" w:rsidRPr="00FC2D21">
        <w:rPr>
          <w:sz w:val="24"/>
          <w:szCs w:val="24"/>
        </w:rPr>
        <w:t xml:space="preserve">‘Baal’ </w:t>
      </w:r>
      <w:r w:rsidR="00953A35" w:rsidRPr="00FC2D21">
        <w:rPr>
          <w:sz w:val="24"/>
          <w:szCs w:val="24"/>
        </w:rPr>
        <w:t>(implying a close resemblance to Syrian figurines</w:t>
      </w:r>
      <w:r w:rsidR="00B65AB2">
        <w:rPr>
          <w:sz w:val="24"/>
          <w:szCs w:val="24"/>
        </w:rPr>
        <w:t xml:space="preserve"> of that deity</w:t>
      </w:r>
      <w:r w:rsidR="00953A35" w:rsidRPr="00FC2D21">
        <w:rPr>
          <w:sz w:val="24"/>
          <w:szCs w:val="24"/>
        </w:rPr>
        <w:t xml:space="preserve">) </w:t>
      </w:r>
      <w:r w:rsidR="000309C6" w:rsidRPr="00FC2D21">
        <w:rPr>
          <w:sz w:val="24"/>
          <w:szCs w:val="24"/>
        </w:rPr>
        <w:t xml:space="preserve">has a similar posture </w:t>
      </w:r>
      <w:r w:rsidR="00953A35" w:rsidRPr="00FC2D21">
        <w:rPr>
          <w:sz w:val="24"/>
          <w:szCs w:val="24"/>
        </w:rPr>
        <w:t xml:space="preserve">to that of the Ingot God, </w:t>
      </w:r>
      <w:r w:rsidR="00655A77" w:rsidRPr="00FC2D21">
        <w:rPr>
          <w:sz w:val="24"/>
          <w:szCs w:val="24"/>
        </w:rPr>
        <w:t xml:space="preserve">except that the spear has </w:t>
      </w:r>
      <w:r w:rsidR="00B52904" w:rsidRPr="00FC2D21">
        <w:rPr>
          <w:sz w:val="24"/>
          <w:szCs w:val="24"/>
        </w:rPr>
        <w:t xml:space="preserve">presumably </w:t>
      </w:r>
      <w:r w:rsidR="00655A77" w:rsidRPr="00FC2D21">
        <w:rPr>
          <w:sz w:val="24"/>
          <w:szCs w:val="24"/>
        </w:rPr>
        <w:t>been lost.</w:t>
      </w:r>
      <w:r w:rsidR="00655A77" w:rsidRPr="00FC2D21">
        <w:rPr>
          <w:rStyle w:val="FootnoteReference"/>
          <w:sz w:val="24"/>
          <w:szCs w:val="24"/>
        </w:rPr>
        <w:footnoteReference w:id="31"/>
      </w:r>
    </w:p>
    <w:p w14:paraId="40DD67FA" w14:textId="4E79FAAD" w:rsidR="006F57FF" w:rsidRPr="00FC2D21" w:rsidRDefault="004F380B" w:rsidP="004F380B">
      <w:pPr>
        <w:pStyle w:val="FootnoteText"/>
        <w:spacing w:after="160" w:line="360" w:lineRule="auto"/>
        <w:rPr>
          <w:sz w:val="24"/>
          <w:szCs w:val="24"/>
        </w:rPr>
      </w:pPr>
      <w:r>
        <w:rPr>
          <w:noProof/>
        </w:rPr>
        <w:drawing>
          <wp:anchor distT="0" distB="0" distL="114300" distR="114300" simplePos="0" relativeHeight="251658240" behindDoc="0" locked="0" layoutInCell="1" allowOverlap="1" wp14:anchorId="32E7DB25" wp14:editId="6AF05BCE">
            <wp:simplePos x="0" y="0"/>
            <wp:positionH relativeFrom="column">
              <wp:posOffset>0</wp:posOffset>
            </wp:positionH>
            <wp:positionV relativeFrom="paragraph">
              <wp:posOffset>508</wp:posOffset>
            </wp:positionV>
            <wp:extent cx="3894718" cy="2921254"/>
            <wp:effectExtent l="0" t="0" r="0" b="0"/>
            <wp:wrapSquare wrapText="bothSides"/>
            <wp:docPr id="1252755508" name="Picture 1" descr="Searching for the Lost City of Copper | National Ge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rching for the Lost City of Copper | National Geographi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4718" cy="29212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70A852" w14:textId="3AD17040" w:rsidR="004F380B" w:rsidRPr="00B65AB2" w:rsidRDefault="004F380B" w:rsidP="004B3A7F">
      <w:pPr>
        <w:pStyle w:val="FootnoteText"/>
        <w:spacing w:after="160"/>
        <w:rPr>
          <w:i/>
          <w:iCs/>
          <w:sz w:val="24"/>
          <w:szCs w:val="24"/>
        </w:rPr>
      </w:pPr>
      <w:r w:rsidRPr="00B65AB2">
        <w:rPr>
          <w:i/>
          <w:iCs/>
          <w:sz w:val="24"/>
          <w:szCs w:val="24"/>
        </w:rPr>
        <w:t>The Enkomi ‘Ingot God’</w:t>
      </w:r>
      <w:r w:rsidRPr="00B65AB2">
        <w:rPr>
          <w:rStyle w:val="FootnoteReference"/>
          <w:sz w:val="24"/>
          <w:szCs w:val="24"/>
        </w:rPr>
        <w:footnoteReference w:id="32"/>
      </w:r>
    </w:p>
    <w:p w14:paraId="0D22EA2B" w14:textId="77777777" w:rsidR="004F380B" w:rsidRPr="00B65AB2" w:rsidRDefault="004F380B" w:rsidP="004B3A7F">
      <w:pPr>
        <w:pStyle w:val="FootnoteText"/>
        <w:spacing w:after="160"/>
        <w:rPr>
          <w:i/>
          <w:iCs/>
          <w:sz w:val="24"/>
          <w:szCs w:val="24"/>
        </w:rPr>
      </w:pPr>
      <w:r w:rsidRPr="00B65AB2">
        <w:rPr>
          <w:i/>
          <w:iCs/>
          <w:sz w:val="24"/>
          <w:szCs w:val="24"/>
        </w:rPr>
        <w:t>Rather more Mycenaean Ares than Hephaestus…</w:t>
      </w:r>
    </w:p>
    <w:p w14:paraId="76EAED86" w14:textId="77777777" w:rsidR="004F380B" w:rsidRDefault="004F380B" w:rsidP="004F380B">
      <w:pPr>
        <w:pStyle w:val="FootnoteText"/>
        <w:spacing w:after="160" w:line="360" w:lineRule="auto"/>
        <w:rPr>
          <w:sz w:val="24"/>
          <w:szCs w:val="24"/>
        </w:rPr>
      </w:pPr>
    </w:p>
    <w:p w14:paraId="0294FD79" w14:textId="77777777" w:rsidR="004F380B" w:rsidRDefault="004F380B" w:rsidP="004F380B">
      <w:pPr>
        <w:pStyle w:val="FootnoteText"/>
        <w:spacing w:after="160" w:line="360" w:lineRule="auto"/>
        <w:rPr>
          <w:sz w:val="24"/>
          <w:szCs w:val="24"/>
        </w:rPr>
      </w:pPr>
    </w:p>
    <w:p w14:paraId="5011ACC0" w14:textId="77777777" w:rsidR="004F380B" w:rsidRDefault="004F380B" w:rsidP="004F380B">
      <w:pPr>
        <w:pStyle w:val="FootnoteText"/>
        <w:spacing w:after="160" w:line="360" w:lineRule="auto"/>
        <w:rPr>
          <w:sz w:val="24"/>
          <w:szCs w:val="24"/>
        </w:rPr>
      </w:pPr>
    </w:p>
    <w:p w14:paraId="65A9B6A9" w14:textId="77777777" w:rsidR="004F380B" w:rsidRDefault="004F380B" w:rsidP="004F380B">
      <w:pPr>
        <w:pStyle w:val="FootnoteText"/>
        <w:spacing w:after="160" w:line="360" w:lineRule="auto"/>
        <w:rPr>
          <w:sz w:val="24"/>
          <w:szCs w:val="24"/>
        </w:rPr>
      </w:pPr>
    </w:p>
    <w:p w14:paraId="30E60BCA" w14:textId="0D683323" w:rsidR="006F57FF" w:rsidRPr="00FC2D21" w:rsidRDefault="006F57FF" w:rsidP="004F380B">
      <w:pPr>
        <w:pStyle w:val="FootnoteText"/>
        <w:spacing w:after="160" w:line="360" w:lineRule="auto"/>
        <w:rPr>
          <w:sz w:val="24"/>
          <w:szCs w:val="24"/>
        </w:rPr>
      </w:pPr>
      <w:r w:rsidRPr="00FC2D21">
        <w:rPr>
          <w:sz w:val="24"/>
          <w:szCs w:val="24"/>
        </w:rPr>
        <w:lastRenderedPageBreak/>
        <w:t xml:space="preserve">The </w:t>
      </w:r>
      <w:r w:rsidR="004F6F3B" w:rsidRPr="00FC2D21">
        <w:rPr>
          <w:sz w:val="24"/>
          <w:szCs w:val="24"/>
        </w:rPr>
        <w:t xml:space="preserve">compound of four </w:t>
      </w:r>
      <w:r w:rsidRPr="00FC2D21">
        <w:rPr>
          <w:sz w:val="24"/>
          <w:szCs w:val="24"/>
        </w:rPr>
        <w:t>temple</w:t>
      </w:r>
      <w:r w:rsidR="004F6F3B" w:rsidRPr="00FC2D21">
        <w:rPr>
          <w:sz w:val="24"/>
          <w:szCs w:val="24"/>
        </w:rPr>
        <w:t>s</w:t>
      </w:r>
      <w:r w:rsidRPr="00FC2D21">
        <w:rPr>
          <w:sz w:val="24"/>
          <w:szCs w:val="24"/>
        </w:rPr>
        <w:t xml:space="preserve"> at Kition is discussed at greater length.</w:t>
      </w:r>
      <w:r w:rsidR="0077531E" w:rsidRPr="00FC2D21">
        <w:rPr>
          <w:sz w:val="24"/>
          <w:szCs w:val="24"/>
        </w:rPr>
        <w:t xml:space="preserve"> Kieburg argues that copper smelting took place in some rooms, others used for casting of copper into ingots.</w:t>
      </w:r>
      <w:r w:rsidR="0077531E" w:rsidRPr="00FC2D21">
        <w:rPr>
          <w:rStyle w:val="FootnoteReference"/>
          <w:sz w:val="24"/>
          <w:szCs w:val="24"/>
        </w:rPr>
        <w:footnoteReference w:id="33"/>
      </w:r>
      <w:r w:rsidR="00B173CC" w:rsidRPr="00FC2D21">
        <w:rPr>
          <w:sz w:val="24"/>
          <w:szCs w:val="24"/>
        </w:rPr>
        <w:t xml:space="preserve"> Karageorghis &amp; Kassia</w:t>
      </w:r>
      <w:r w:rsidR="0077531E" w:rsidRPr="00FC2D21">
        <w:rPr>
          <w:sz w:val="24"/>
          <w:szCs w:val="24"/>
        </w:rPr>
        <w:t>n</w:t>
      </w:r>
      <w:r w:rsidR="00B173CC" w:rsidRPr="00FC2D21">
        <w:rPr>
          <w:sz w:val="24"/>
          <w:szCs w:val="24"/>
        </w:rPr>
        <w:t>idou have argued that this site shows “metalworking workshops clearly associated with the temples”.</w:t>
      </w:r>
      <w:r w:rsidR="00B173CC" w:rsidRPr="00FC2D21">
        <w:rPr>
          <w:rStyle w:val="FootnoteReference"/>
          <w:sz w:val="24"/>
          <w:szCs w:val="24"/>
        </w:rPr>
        <w:footnoteReference w:id="34"/>
      </w:r>
      <w:r w:rsidR="00B173CC" w:rsidRPr="00FC2D21">
        <w:rPr>
          <w:sz w:val="24"/>
          <w:szCs w:val="24"/>
        </w:rPr>
        <w:t xml:space="preserve"> </w:t>
      </w:r>
      <w:r w:rsidR="004F6F3B" w:rsidRPr="00FC2D21">
        <w:rPr>
          <w:sz w:val="24"/>
          <w:szCs w:val="24"/>
        </w:rPr>
        <w:t>The pairing of architectural features, s</w:t>
      </w:r>
      <w:r w:rsidRPr="00FC2D21">
        <w:rPr>
          <w:sz w:val="24"/>
          <w:szCs w:val="24"/>
        </w:rPr>
        <w:t xml:space="preserve">imilar to </w:t>
      </w:r>
      <w:r w:rsidR="004F6F3B" w:rsidRPr="00FC2D21">
        <w:rPr>
          <w:sz w:val="24"/>
          <w:szCs w:val="24"/>
        </w:rPr>
        <w:t xml:space="preserve">that of </w:t>
      </w:r>
      <w:r w:rsidRPr="00FC2D21">
        <w:rPr>
          <w:sz w:val="24"/>
          <w:szCs w:val="24"/>
        </w:rPr>
        <w:t>Levantine templ</w:t>
      </w:r>
      <w:r w:rsidR="00AD2EC3" w:rsidRPr="00FC2D21">
        <w:rPr>
          <w:sz w:val="24"/>
          <w:szCs w:val="24"/>
        </w:rPr>
        <w:t>e</w:t>
      </w:r>
      <w:r w:rsidRPr="00FC2D21">
        <w:rPr>
          <w:sz w:val="24"/>
          <w:szCs w:val="24"/>
        </w:rPr>
        <w:t>s</w:t>
      </w:r>
      <w:r w:rsidR="004F6F3B" w:rsidRPr="00FC2D21">
        <w:rPr>
          <w:sz w:val="24"/>
          <w:szCs w:val="24"/>
        </w:rPr>
        <w:t xml:space="preserve">, is </w:t>
      </w:r>
      <w:r w:rsidRPr="00FC2D21">
        <w:rPr>
          <w:sz w:val="24"/>
          <w:szCs w:val="24"/>
        </w:rPr>
        <w:t>cited as proof that Kition was “a religious centre with a female and a male deity worshipped in conjunction with and in close relation to the practice of metallurgy</w:t>
      </w:r>
      <w:r w:rsidR="00372115" w:rsidRPr="00FC2D21">
        <w:rPr>
          <w:sz w:val="24"/>
          <w:szCs w:val="24"/>
        </w:rPr>
        <w:t>”.</w:t>
      </w:r>
      <w:r w:rsidR="00372115" w:rsidRPr="00FC2D21">
        <w:rPr>
          <w:rStyle w:val="FootnoteReference"/>
          <w:sz w:val="24"/>
          <w:szCs w:val="24"/>
        </w:rPr>
        <w:footnoteReference w:id="35"/>
      </w:r>
      <w:r w:rsidRPr="00FC2D21">
        <w:rPr>
          <w:sz w:val="24"/>
          <w:szCs w:val="24"/>
        </w:rPr>
        <w:t xml:space="preserve"> </w:t>
      </w:r>
      <w:r w:rsidR="004B46DB" w:rsidRPr="00FC2D21">
        <w:rPr>
          <w:sz w:val="24"/>
          <w:szCs w:val="24"/>
        </w:rPr>
        <w:t>Karageorghis nonetheless describes the Kition cult in Levantine terms, the Goddess as Astarte.</w:t>
      </w:r>
      <w:r w:rsidR="004B46DB" w:rsidRPr="00FC2D21">
        <w:rPr>
          <w:rStyle w:val="FootnoteReference"/>
          <w:sz w:val="24"/>
          <w:szCs w:val="24"/>
        </w:rPr>
        <w:footnoteReference w:id="36"/>
      </w:r>
      <w:r w:rsidR="004B46DB" w:rsidRPr="00FC2D21">
        <w:rPr>
          <w:sz w:val="24"/>
          <w:szCs w:val="24"/>
        </w:rPr>
        <w:t xml:space="preserve"> </w:t>
      </w:r>
      <w:r w:rsidR="007E2604" w:rsidRPr="00FC2D21">
        <w:rPr>
          <w:sz w:val="24"/>
          <w:szCs w:val="24"/>
        </w:rPr>
        <w:t xml:space="preserve">Webb, however, </w:t>
      </w:r>
      <w:r w:rsidR="004B46DB" w:rsidRPr="00FC2D21">
        <w:rPr>
          <w:sz w:val="24"/>
          <w:szCs w:val="24"/>
        </w:rPr>
        <w:t xml:space="preserve">considers </w:t>
      </w:r>
      <w:r w:rsidR="007E2604" w:rsidRPr="00FC2D21">
        <w:rPr>
          <w:sz w:val="24"/>
          <w:szCs w:val="24"/>
        </w:rPr>
        <w:t>the deities “co-opted” by the industry.</w:t>
      </w:r>
      <w:r w:rsidR="007E2604" w:rsidRPr="00FC2D21">
        <w:rPr>
          <w:rStyle w:val="FootnoteReference"/>
          <w:sz w:val="24"/>
          <w:szCs w:val="24"/>
        </w:rPr>
        <w:footnoteReference w:id="37"/>
      </w:r>
      <w:r w:rsidR="007E2604" w:rsidRPr="00FC2D21">
        <w:rPr>
          <w:sz w:val="24"/>
          <w:szCs w:val="24"/>
        </w:rPr>
        <w:t xml:space="preserve"> </w:t>
      </w:r>
      <w:r w:rsidR="00927AE7" w:rsidRPr="00FC2D21">
        <w:rPr>
          <w:sz w:val="24"/>
          <w:szCs w:val="24"/>
        </w:rPr>
        <w:t>Alberghini stresses the need to recognise ritual significance of the skilled workers, their actions, and the contexts as well as simply the objects produced.</w:t>
      </w:r>
      <w:r w:rsidR="00927AE7" w:rsidRPr="00FC2D21">
        <w:rPr>
          <w:rStyle w:val="FootnoteReference"/>
          <w:sz w:val="24"/>
          <w:szCs w:val="24"/>
        </w:rPr>
        <w:footnoteReference w:id="38"/>
      </w:r>
    </w:p>
    <w:p w14:paraId="74501E63" w14:textId="77777777" w:rsidR="00A25DAC" w:rsidRPr="00FC2D21" w:rsidRDefault="00A25DAC" w:rsidP="004F380B">
      <w:pPr>
        <w:pStyle w:val="FootnoteText"/>
        <w:spacing w:after="160" w:line="360" w:lineRule="auto"/>
        <w:rPr>
          <w:sz w:val="24"/>
          <w:szCs w:val="24"/>
        </w:rPr>
      </w:pPr>
    </w:p>
    <w:p w14:paraId="35239DAC" w14:textId="6A9D11D9" w:rsidR="00B65AB2" w:rsidRDefault="001F1B4F" w:rsidP="004F380B">
      <w:pPr>
        <w:pStyle w:val="FootnoteText"/>
        <w:spacing w:after="160" w:line="360" w:lineRule="auto"/>
        <w:rPr>
          <w:sz w:val="24"/>
          <w:szCs w:val="24"/>
        </w:rPr>
      </w:pPr>
      <w:r w:rsidRPr="00FC2D21">
        <w:rPr>
          <w:sz w:val="24"/>
          <w:szCs w:val="24"/>
        </w:rPr>
        <w:t xml:space="preserve">Kieburg proceeds to discuss </w:t>
      </w:r>
      <w:r w:rsidR="003C4C13" w:rsidRPr="00FC2D21">
        <w:rPr>
          <w:sz w:val="24"/>
          <w:szCs w:val="24"/>
        </w:rPr>
        <w:t xml:space="preserve">“Sacred </w:t>
      </w:r>
      <w:r w:rsidR="00372B13" w:rsidRPr="00FC2D21">
        <w:rPr>
          <w:sz w:val="24"/>
          <w:szCs w:val="24"/>
        </w:rPr>
        <w:t>Statuettes</w:t>
      </w:r>
      <w:r w:rsidR="003C4C13" w:rsidRPr="00FC2D21">
        <w:rPr>
          <w:sz w:val="24"/>
          <w:szCs w:val="24"/>
        </w:rPr>
        <w:t>”</w:t>
      </w:r>
      <w:r w:rsidR="00372B13" w:rsidRPr="00FC2D21">
        <w:rPr>
          <w:sz w:val="24"/>
          <w:szCs w:val="24"/>
        </w:rPr>
        <w:t xml:space="preserve"> </w:t>
      </w:r>
      <w:r w:rsidR="003C4C13" w:rsidRPr="00FC2D21">
        <w:rPr>
          <w:sz w:val="24"/>
          <w:szCs w:val="24"/>
        </w:rPr>
        <w:t>such as the hundreds of terracotta female figurines known from the above sites and others over a long period of time.</w:t>
      </w:r>
      <w:r w:rsidR="003C4C13" w:rsidRPr="00FC2D21">
        <w:rPr>
          <w:rStyle w:val="FootnoteReference"/>
          <w:sz w:val="24"/>
          <w:szCs w:val="24"/>
        </w:rPr>
        <w:footnoteReference w:id="39"/>
      </w:r>
      <w:r w:rsidR="003C4C13" w:rsidRPr="00FC2D21">
        <w:rPr>
          <w:sz w:val="24"/>
          <w:szCs w:val="24"/>
        </w:rPr>
        <w:t xml:space="preserve"> </w:t>
      </w:r>
      <w:r w:rsidR="00AE0A15" w:rsidRPr="00FC2D21">
        <w:rPr>
          <w:sz w:val="24"/>
          <w:szCs w:val="24"/>
        </w:rPr>
        <w:t>Kieburg’s approach seems entirely to consider the figurines simply as ‘manufactured things’, in no way considering any entanglement</w:t>
      </w:r>
      <w:r w:rsidR="00B65AB2">
        <w:rPr>
          <w:sz w:val="24"/>
          <w:szCs w:val="24"/>
        </w:rPr>
        <w:t>s</w:t>
      </w:r>
      <w:r w:rsidR="00AE0A15" w:rsidRPr="00FC2D21">
        <w:rPr>
          <w:sz w:val="24"/>
          <w:szCs w:val="24"/>
        </w:rPr>
        <w:t xml:space="preserve"> between makers</w:t>
      </w:r>
      <w:r w:rsidR="00B65AB2">
        <w:rPr>
          <w:sz w:val="24"/>
          <w:szCs w:val="24"/>
        </w:rPr>
        <w:t xml:space="preserve">, </w:t>
      </w:r>
      <w:r w:rsidR="00AE0A15" w:rsidRPr="00FC2D21">
        <w:rPr>
          <w:sz w:val="24"/>
          <w:szCs w:val="24"/>
        </w:rPr>
        <w:t>materials</w:t>
      </w:r>
      <w:r w:rsidR="00B65AB2">
        <w:rPr>
          <w:sz w:val="24"/>
          <w:szCs w:val="24"/>
        </w:rPr>
        <w:t xml:space="preserve"> and users</w:t>
      </w:r>
      <w:r w:rsidR="00627E9C">
        <w:rPr>
          <w:sz w:val="24"/>
          <w:szCs w:val="24"/>
        </w:rPr>
        <w:t>.</w:t>
      </w:r>
      <w:r w:rsidR="00AE0A15" w:rsidRPr="00FC2D21">
        <w:rPr>
          <w:rStyle w:val="FootnoteReference"/>
          <w:sz w:val="24"/>
          <w:szCs w:val="24"/>
        </w:rPr>
        <w:footnoteReference w:id="40"/>
      </w:r>
      <w:r w:rsidR="00627E9C">
        <w:rPr>
          <w:sz w:val="24"/>
          <w:szCs w:val="24"/>
        </w:rPr>
        <w:t>.</w:t>
      </w:r>
      <w:r w:rsidR="00AE0A15" w:rsidRPr="00FC2D21">
        <w:rPr>
          <w:sz w:val="24"/>
          <w:szCs w:val="24"/>
        </w:rPr>
        <w:t xml:space="preserve"> </w:t>
      </w:r>
      <w:r w:rsidR="003C4C13" w:rsidRPr="00FC2D21">
        <w:rPr>
          <w:sz w:val="24"/>
          <w:szCs w:val="24"/>
        </w:rPr>
        <w:t xml:space="preserve">The presence of these figures is considered to demonstrate their location as a sanctuary, but, arguably with some circularity of logic, the view that the Goddess Aphrodite is represented therein is </w:t>
      </w:r>
    </w:p>
    <w:p w14:paraId="588D402C" w14:textId="2D51D66D" w:rsidR="00B65AB2" w:rsidRDefault="00300208" w:rsidP="004F380B">
      <w:pPr>
        <w:pStyle w:val="FootnoteText"/>
        <w:spacing w:after="160" w:line="360" w:lineRule="auto"/>
        <w:rPr>
          <w:sz w:val="24"/>
          <w:szCs w:val="24"/>
        </w:rPr>
      </w:pPr>
      <w:r w:rsidRPr="00FC2D21">
        <w:rPr>
          <w:sz w:val="24"/>
          <w:szCs w:val="24"/>
        </w:rPr>
        <w:lastRenderedPageBreak/>
        <w:t>at least partly derived from their being in a sanctuary.</w:t>
      </w:r>
      <w:r w:rsidRPr="00FC2D21">
        <w:rPr>
          <w:rStyle w:val="FootnoteReference"/>
          <w:sz w:val="24"/>
          <w:szCs w:val="24"/>
        </w:rPr>
        <w:footnoteReference w:id="41"/>
      </w:r>
      <w:r w:rsidRPr="00FC2D21">
        <w:rPr>
          <w:sz w:val="24"/>
          <w:szCs w:val="24"/>
        </w:rPr>
        <w:t xml:space="preserve"> Most interesting to Kieburg are the female ‘Ingot Goddesses’, certainly Cypriot but of unknown provenance, discovered near Lefkosia, somewhat earlier.</w:t>
      </w:r>
      <w:r w:rsidRPr="00FC2D21">
        <w:rPr>
          <w:rStyle w:val="FootnoteReference"/>
          <w:sz w:val="24"/>
          <w:szCs w:val="24"/>
        </w:rPr>
        <w:footnoteReference w:id="42"/>
      </w:r>
      <w:r w:rsidRPr="00FC2D21">
        <w:rPr>
          <w:sz w:val="24"/>
          <w:szCs w:val="24"/>
        </w:rPr>
        <w:t xml:space="preserve"> These bronze figurines have very flat bellies, entirely unlike those of pregnancy, so the customary notion of ‘fertility’ must surely be questioned. The posture of the Ingot Goddesses is upright, with hands in a specific placing on the solar plexus, not on the breasts, nor holding a child like some earlier figurines,</w:t>
      </w:r>
      <w:r w:rsidRPr="00FC2D21">
        <w:rPr>
          <w:rStyle w:val="FootnoteReference"/>
          <w:sz w:val="24"/>
          <w:szCs w:val="24"/>
        </w:rPr>
        <w:footnoteReference w:id="43"/>
      </w:r>
      <w:r w:rsidRPr="00FC2D21">
        <w:rPr>
          <w:sz w:val="24"/>
          <w:szCs w:val="24"/>
        </w:rPr>
        <w:t xml:space="preserve"> hence quite different from the broadly contemporary ‘Teratsoudia Goddess’.</w:t>
      </w:r>
      <w:r w:rsidRPr="00FC2D21">
        <w:rPr>
          <w:rStyle w:val="FootnoteReference"/>
          <w:sz w:val="24"/>
          <w:szCs w:val="24"/>
        </w:rPr>
        <w:footnoteReference w:id="44"/>
      </w:r>
      <w:r w:rsidRPr="00FC2D21">
        <w:rPr>
          <w:sz w:val="24"/>
          <w:szCs w:val="24"/>
        </w:rPr>
        <w:t xml:space="preserve"> </w:t>
      </w:r>
    </w:p>
    <w:p w14:paraId="6368FA7A" w14:textId="0F688A9F" w:rsidR="00B65AB2" w:rsidRDefault="00B65AB2" w:rsidP="004F380B">
      <w:pPr>
        <w:pStyle w:val="FootnoteText"/>
        <w:spacing w:after="160" w:line="360" w:lineRule="auto"/>
        <w:rPr>
          <w:sz w:val="24"/>
          <w:szCs w:val="24"/>
        </w:rPr>
      </w:pPr>
      <w:r>
        <w:rPr>
          <w:noProof/>
        </w:rPr>
        <w:drawing>
          <wp:anchor distT="0" distB="0" distL="114300" distR="114300" simplePos="0" relativeHeight="251660288" behindDoc="0" locked="0" layoutInCell="1" allowOverlap="1" wp14:anchorId="389AB6CD" wp14:editId="4B84870B">
            <wp:simplePos x="0" y="0"/>
            <wp:positionH relativeFrom="margin">
              <wp:align>left</wp:align>
            </wp:positionH>
            <wp:positionV relativeFrom="paragraph">
              <wp:posOffset>6223</wp:posOffset>
            </wp:positionV>
            <wp:extent cx="2706370" cy="3378835"/>
            <wp:effectExtent l="0" t="0" r="0" b="0"/>
            <wp:wrapSquare wrapText="bothSides"/>
            <wp:docPr id="194498950" name="Picture 2" descr="This figurine was made over 3,000 years ago! It was produced in Cyprus and  most probably represents the Cypriot goddess of fertility, whose name, at  the time of this object's creation, 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is figurine was made over 3,000 years ago! It was produced in Cyprus and  most probably represents the Cypriot goddess of fertility, whose name, at  the time of this object's creation, w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6370" cy="3378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E0C23" w14:textId="77777777" w:rsidR="00B65AB2" w:rsidRDefault="00B65AB2" w:rsidP="004B3A7F">
      <w:pPr>
        <w:pStyle w:val="FootnoteText"/>
        <w:spacing w:after="160"/>
        <w:rPr>
          <w:i/>
          <w:iCs/>
          <w:sz w:val="24"/>
          <w:szCs w:val="24"/>
        </w:rPr>
      </w:pPr>
      <w:r w:rsidRPr="00B65AB2">
        <w:rPr>
          <w:i/>
          <w:iCs/>
          <w:sz w:val="24"/>
          <w:szCs w:val="24"/>
        </w:rPr>
        <w:t>‘Ingot Goddess’</w:t>
      </w:r>
    </w:p>
    <w:p w14:paraId="5B38C73A" w14:textId="59FCD72C" w:rsidR="006B413E" w:rsidRPr="006B413E" w:rsidRDefault="006B413E" w:rsidP="004B3A7F">
      <w:pPr>
        <w:pStyle w:val="FootnoteText"/>
        <w:spacing w:after="160"/>
        <w:rPr>
          <w:sz w:val="24"/>
          <w:szCs w:val="24"/>
        </w:rPr>
      </w:pPr>
      <w:r w:rsidRPr="00B65AB2">
        <w:rPr>
          <w:i/>
          <w:iCs/>
          <w:sz w:val="24"/>
          <w:szCs w:val="24"/>
        </w:rPr>
        <w:t>Bomford Collection, Ashmolean Museum</w:t>
      </w:r>
      <w:r>
        <w:rPr>
          <w:sz w:val="24"/>
          <w:szCs w:val="24"/>
        </w:rPr>
        <w:t>.</w:t>
      </w:r>
      <w:r>
        <w:rPr>
          <w:rStyle w:val="FootnoteReference"/>
          <w:sz w:val="24"/>
          <w:szCs w:val="24"/>
        </w:rPr>
        <w:footnoteReference w:id="45"/>
      </w:r>
    </w:p>
    <w:p w14:paraId="543BC8B0" w14:textId="77777777" w:rsidR="00B65AB2" w:rsidRDefault="00B65AB2" w:rsidP="004F380B">
      <w:pPr>
        <w:pStyle w:val="FootnoteText"/>
        <w:spacing w:after="160" w:line="360" w:lineRule="auto"/>
        <w:rPr>
          <w:sz w:val="24"/>
          <w:szCs w:val="24"/>
        </w:rPr>
      </w:pPr>
    </w:p>
    <w:p w14:paraId="19093FE1" w14:textId="77777777" w:rsidR="006B413E" w:rsidRDefault="006B413E" w:rsidP="004F380B">
      <w:pPr>
        <w:pStyle w:val="FootnoteText"/>
        <w:spacing w:after="160" w:line="360" w:lineRule="auto"/>
        <w:rPr>
          <w:sz w:val="24"/>
          <w:szCs w:val="24"/>
        </w:rPr>
      </w:pPr>
    </w:p>
    <w:p w14:paraId="5DB5CD56" w14:textId="77777777" w:rsidR="006B413E" w:rsidRDefault="006B413E" w:rsidP="004F380B">
      <w:pPr>
        <w:pStyle w:val="FootnoteText"/>
        <w:spacing w:after="160" w:line="360" w:lineRule="auto"/>
        <w:rPr>
          <w:sz w:val="24"/>
          <w:szCs w:val="24"/>
        </w:rPr>
      </w:pPr>
    </w:p>
    <w:p w14:paraId="091DA0CC" w14:textId="77777777" w:rsidR="006B413E" w:rsidRDefault="006B413E" w:rsidP="004F380B">
      <w:pPr>
        <w:pStyle w:val="FootnoteText"/>
        <w:spacing w:after="160" w:line="360" w:lineRule="auto"/>
        <w:rPr>
          <w:sz w:val="24"/>
          <w:szCs w:val="24"/>
        </w:rPr>
      </w:pPr>
    </w:p>
    <w:p w14:paraId="4FA3E455" w14:textId="77777777" w:rsidR="006B413E" w:rsidRDefault="006B413E" w:rsidP="004F380B">
      <w:pPr>
        <w:pStyle w:val="FootnoteText"/>
        <w:spacing w:after="160" w:line="360" w:lineRule="auto"/>
        <w:rPr>
          <w:sz w:val="24"/>
          <w:szCs w:val="24"/>
        </w:rPr>
      </w:pPr>
    </w:p>
    <w:p w14:paraId="149C931D" w14:textId="77777777" w:rsidR="004B3A7F" w:rsidRDefault="004B3A7F" w:rsidP="004F380B">
      <w:pPr>
        <w:pStyle w:val="FootnoteText"/>
        <w:spacing w:after="160" w:line="360" w:lineRule="auto"/>
        <w:rPr>
          <w:sz w:val="24"/>
          <w:szCs w:val="24"/>
        </w:rPr>
      </w:pPr>
    </w:p>
    <w:p w14:paraId="44E6DD46" w14:textId="180D4A76" w:rsidR="00372B13" w:rsidRPr="00FC2D21" w:rsidRDefault="00300208" w:rsidP="004F380B">
      <w:pPr>
        <w:pStyle w:val="FootnoteText"/>
        <w:spacing w:after="160" w:line="360" w:lineRule="auto"/>
        <w:rPr>
          <w:sz w:val="24"/>
          <w:szCs w:val="24"/>
        </w:rPr>
      </w:pPr>
      <w:r>
        <w:rPr>
          <w:sz w:val="24"/>
          <w:szCs w:val="24"/>
        </w:rPr>
        <w:lastRenderedPageBreak/>
        <w:t>T</w:t>
      </w:r>
      <w:r w:rsidR="005A3CA5" w:rsidRPr="00FC2D21">
        <w:rPr>
          <w:sz w:val="24"/>
          <w:szCs w:val="24"/>
        </w:rPr>
        <w:t xml:space="preserve">hey do however depict a long ‘necklace’, very plausibly the κεστος ιμας, the beautifully embroidered </w:t>
      </w:r>
      <w:r w:rsidR="00B52904" w:rsidRPr="00FC2D21">
        <w:rPr>
          <w:sz w:val="24"/>
          <w:szCs w:val="24"/>
        </w:rPr>
        <w:t>‘</w:t>
      </w:r>
      <w:r w:rsidR="005A3CA5" w:rsidRPr="00FC2D21">
        <w:rPr>
          <w:sz w:val="24"/>
          <w:szCs w:val="24"/>
        </w:rPr>
        <w:t>magic</w:t>
      </w:r>
      <w:r w:rsidR="00B52904" w:rsidRPr="00FC2D21">
        <w:rPr>
          <w:sz w:val="24"/>
          <w:szCs w:val="24"/>
        </w:rPr>
        <w:t>’</w:t>
      </w:r>
      <w:r w:rsidR="005A3CA5" w:rsidRPr="00FC2D21">
        <w:rPr>
          <w:sz w:val="24"/>
          <w:szCs w:val="24"/>
        </w:rPr>
        <w:t xml:space="preserve"> girdle attributed to Aphrodite, guaranteeing the seductive power of it</w:t>
      </w:r>
      <w:r w:rsidR="00ED1213" w:rsidRPr="00FC2D21">
        <w:rPr>
          <w:sz w:val="24"/>
          <w:szCs w:val="24"/>
        </w:rPr>
        <w:t>s</w:t>
      </w:r>
      <w:r w:rsidR="005A3CA5" w:rsidRPr="00FC2D21">
        <w:rPr>
          <w:sz w:val="24"/>
          <w:szCs w:val="24"/>
        </w:rPr>
        <w:t xml:space="preserve"> wearer.</w:t>
      </w:r>
      <w:r w:rsidR="005A3CA5" w:rsidRPr="00FC2D21">
        <w:rPr>
          <w:rStyle w:val="FootnoteReference"/>
          <w:sz w:val="24"/>
          <w:szCs w:val="24"/>
        </w:rPr>
        <w:footnoteReference w:id="46"/>
      </w:r>
      <w:r w:rsidR="005A3CA5" w:rsidRPr="00FC2D21">
        <w:rPr>
          <w:sz w:val="24"/>
          <w:szCs w:val="24"/>
        </w:rPr>
        <w:t xml:space="preserve"> </w:t>
      </w:r>
    </w:p>
    <w:p w14:paraId="42E8F0BC" w14:textId="3CC5E82B" w:rsidR="00FB2A15" w:rsidRPr="00FC2D21" w:rsidRDefault="00FB2A15" w:rsidP="004F380B">
      <w:pPr>
        <w:pStyle w:val="FootnoteText"/>
        <w:spacing w:after="160" w:line="360" w:lineRule="auto"/>
        <w:rPr>
          <w:sz w:val="24"/>
          <w:szCs w:val="24"/>
        </w:rPr>
      </w:pPr>
    </w:p>
    <w:p w14:paraId="674C24C5" w14:textId="4FE913CE" w:rsidR="00A4473B" w:rsidRPr="00FC2D21" w:rsidRDefault="002810F5" w:rsidP="004F380B">
      <w:pPr>
        <w:pStyle w:val="FootnoteText"/>
        <w:spacing w:after="160" w:line="360" w:lineRule="auto"/>
        <w:rPr>
          <w:sz w:val="24"/>
          <w:szCs w:val="24"/>
        </w:rPr>
      </w:pPr>
      <w:r w:rsidRPr="00FC2D21">
        <w:rPr>
          <w:sz w:val="24"/>
          <w:szCs w:val="24"/>
        </w:rPr>
        <w:t xml:space="preserve">It is not known at what point Aphrodite was </w:t>
      </w:r>
      <w:r w:rsidR="00457359" w:rsidRPr="00FC2D21">
        <w:rPr>
          <w:sz w:val="24"/>
          <w:szCs w:val="24"/>
        </w:rPr>
        <w:t>‘</w:t>
      </w:r>
      <w:r w:rsidRPr="00FC2D21">
        <w:rPr>
          <w:sz w:val="24"/>
          <w:szCs w:val="24"/>
        </w:rPr>
        <w:t>absorbed</w:t>
      </w:r>
      <w:r w:rsidR="00457359" w:rsidRPr="00FC2D21">
        <w:rPr>
          <w:sz w:val="24"/>
          <w:szCs w:val="24"/>
        </w:rPr>
        <w:t>’</w:t>
      </w:r>
      <w:r w:rsidRPr="00FC2D21">
        <w:rPr>
          <w:sz w:val="24"/>
          <w:szCs w:val="24"/>
        </w:rPr>
        <w:t xml:space="preserve"> into the Olympian Dodekatheon</w:t>
      </w:r>
      <w:r w:rsidR="00457359" w:rsidRPr="00FC2D21">
        <w:rPr>
          <w:sz w:val="24"/>
          <w:szCs w:val="24"/>
        </w:rPr>
        <w:t>,</w:t>
      </w:r>
      <w:r w:rsidR="00984996" w:rsidRPr="00FC2D21">
        <w:rPr>
          <w:rStyle w:val="FootnoteReference"/>
          <w:sz w:val="24"/>
          <w:szCs w:val="24"/>
        </w:rPr>
        <w:footnoteReference w:id="47"/>
      </w:r>
      <w:r w:rsidR="00457359" w:rsidRPr="00FC2D21">
        <w:rPr>
          <w:sz w:val="24"/>
          <w:szCs w:val="24"/>
        </w:rPr>
        <w:t xml:space="preserve"> nor how such a process might have occurred. </w:t>
      </w:r>
      <w:r w:rsidR="00B61EF5" w:rsidRPr="00FC2D21">
        <w:rPr>
          <w:sz w:val="24"/>
          <w:szCs w:val="24"/>
        </w:rPr>
        <w:t>It can be argued that Aphrodite was ‘demoted’ by this</w:t>
      </w:r>
      <w:r w:rsidR="0052574B" w:rsidRPr="00FC2D21">
        <w:rPr>
          <w:sz w:val="24"/>
          <w:szCs w:val="24"/>
        </w:rPr>
        <w:t>.</w:t>
      </w:r>
      <w:r w:rsidR="00B61EF5" w:rsidRPr="00FC2D21">
        <w:rPr>
          <w:sz w:val="24"/>
          <w:szCs w:val="24"/>
        </w:rPr>
        <w:t xml:space="preserve"> The Hesiodic story</w:t>
      </w:r>
      <w:r w:rsidR="008C0D51" w:rsidRPr="00FC2D21">
        <w:rPr>
          <w:rStyle w:val="FootnoteReference"/>
          <w:sz w:val="24"/>
          <w:szCs w:val="24"/>
        </w:rPr>
        <w:footnoteReference w:id="48"/>
      </w:r>
      <w:r w:rsidR="00B61EF5" w:rsidRPr="00FC2D21">
        <w:rPr>
          <w:sz w:val="24"/>
          <w:szCs w:val="24"/>
        </w:rPr>
        <w:t xml:space="preserve"> giving Her origin from Ouranus </w:t>
      </w:r>
      <w:r w:rsidR="008C0D51" w:rsidRPr="00FC2D21">
        <w:rPr>
          <w:sz w:val="24"/>
          <w:szCs w:val="24"/>
        </w:rPr>
        <w:t xml:space="preserve">combined with Her epithet of Ourania, </w:t>
      </w:r>
      <w:r w:rsidR="00B61EF5" w:rsidRPr="00FC2D21">
        <w:rPr>
          <w:sz w:val="24"/>
          <w:szCs w:val="24"/>
        </w:rPr>
        <w:t xml:space="preserve">definitely suggests a ‘Great Goddess’ status, </w:t>
      </w:r>
      <w:r w:rsidR="008C0D51" w:rsidRPr="00FC2D21">
        <w:rPr>
          <w:sz w:val="24"/>
          <w:szCs w:val="24"/>
        </w:rPr>
        <w:t xml:space="preserve">Aphrodite </w:t>
      </w:r>
      <w:r w:rsidR="00300208">
        <w:rPr>
          <w:sz w:val="24"/>
          <w:szCs w:val="24"/>
        </w:rPr>
        <w:t xml:space="preserve">then </w:t>
      </w:r>
      <w:r w:rsidR="00B61EF5" w:rsidRPr="00FC2D21">
        <w:rPr>
          <w:sz w:val="24"/>
          <w:szCs w:val="24"/>
        </w:rPr>
        <w:t xml:space="preserve">effectively being </w:t>
      </w:r>
      <w:r w:rsidR="0052574B" w:rsidRPr="00FC2D21">
        <w:rPr>
          <w:sz w:val="24"/>
          <w:szCs w:val="24"/>
        </w:rPr>
        <w:t xml:space="preserve">‘elder’ and </w:t>
      </w:r>
      <w:r w:rsidR="00B61EF5" w:rsidRPr="00FC2D21">
        <w:rPr>
          <w:sz w:val="24"/>
          <w:szCs w:val="24"/>
        </w:rPr>
        <w:t xml:space="preserve">‘aunt’ of Zeus, </w:t>
      </w:r>
      <w:r w:rsidR="00330401">
        <w:rPr>
          <w:sz w:val="24"/>
          <w:szCs w:val="24"/>
        </w:rPr>
        <w:t xml:space="preserve">but </w:t>
      </w:r>
      <w:r w:rsidR="00300208">
        <w:rPr>
          <w:sz w:val="24"/>
          <w:szCs w:val="24"/>
        </w:rPr>
        <w:t>later</w:t>
      </w:r>
      <w:r w:rsidR="008C0D51" w:rsidRPr="00FC2D21">
        <w:rPr>
          <w:sz w:val="24"/>
          <w:szCs w:val="24"/>
        </w:rPr>
        <w:t xml:space="preserve"> </w:t>
      </w:r>
      <w:r w:rsidR="00B61EF5" w:rsidRPr="00FC2D21">
        <w:rPr>
          <w:sz w:val="24"/>
          <w:szCs w:val="24"/>
        </w:rPr>
        <w:t>downgraded to being a ‘mere daughter’.</w:t>
      </w:r>
      <w:r w:rsidR="008C0D51" w:rsidRPr="00FC2D21">
        <w:rPr>
          <w:rStyle w:val="FootnoteReference"/>
          <w:sz w:val="24"/>
          <w:szCs w:val="24"/>
        </w:rPr>
        <w:footnoteReference w:id="49"/>
      </w:r>
      <w:r w:rsidR="00B61EF5" w:rsidRPr="00FC2D21">
        <w:rPr>
          <w:sz w:val="24"/>
          <w:szCs w:val="24"/>
        </w:rPr>
        <w:t xml:space="preserve"> </w:t>
      </w:r>
      <w:r w:rsidRPr="00FC2D21">
        <w:rPr>
          <w:sz w:val="24"/>
          <w:szCs w:val="24"/>
        </w:rPr>
        <w:t>Mycenaean / Linear B tablets include the name of Ares, so that He may be considered a</w:t>
      </w:r>
      <w:r w:rsidR="00B45802" w:rsidRPr="00FC2D21">
        <w:rPr>
          <w:sz w:val="24"/>
          <w:szCs w:val="24"/>
        </w:rPr>
        <w:t xml:space="preserve"> prior</w:t>
      </w:r>
      <w:r w:rsidRPr="00FC2D21">
        <w:rPr>
          <w:sz w:val="24"/>
          <w:szCs w:val="24"/>
        </w:rPr>
        <w:t xml:space="preserve"> “Indo-European </w:t>
      </w:r>
      <w:r w:rsidR="005B326C" w:rsidRPr="00FC2D21">
        <w:rPr>
          <w:sz w:val="24"/>
          <w:szCs w:val="24"/>
        </w:rPr>
        <w:t>W</w:t>
      </w:r>
      <w:r w:rsidRPr="00FC2D21">
        <w:rPr>
          <w:sz w:val="24"/>
          <w:szCs w:val="24"/>
        </w:rPr>
        <w:t>arrior God”</w:t>
      </w:r>
      <w:r w:rsidR="00457359" w:rsidRPr="00FC2D21">
        <w:rPr>
          <w:sz w:val="24"/>
          <w:szCs w:val="24"/>
        </w:rPr>
        <w:t xml:space="preserve">, but neither Aphrodite </w:t>
      </w:r>
      <w:r w:rsidR="007E2604" w:rsidRPr="00FC2D21">
        <w:rPr>
          <w:sz w:val="24"/>
          <w:szCs w:val="24"/>
        </w:rPr>
        <w:t>n</w:t>
      </w:r>
      <w:r w:rsidR="00457359" w:rsidRPr="00FC2D21">
        <w:rPr>
          <w:sz w:val="24"/>
          <w:szCs w:val="24"/>
        </w:rPr>
        <w:t>or Hephaestus are known in Greek texts prior to Homer (8</w:t>
      </w:r>
      <w:r w:rsidR="00457359" w:rsidRPr="00FC2D21">
        <w:rPr>
          <w:sz w:val="24"/>
          <w:szCs w:val="24"/>
          <w:vertAlign w:val="superscript"/>
        </w:rPr>
        <w:t>th</w:t>
      </w:r>
      <w:r w:rsidR="00457359" w:rsidRPr="00FC2D21">
        <w:rPr>
          <w:sz w:val="24"/>
          <w:szCs w:val="24"/>
        </w:rPr>
        <w:t xml:space="preserve"> </w:t>
      </w:r>
      <w:r w:rsidR="00AF0D92" w:rsidRPr="00FC2D21">
        <w:rPr>
          <w:sz w:val="24"/>
          <w:szCs w:val="24"/>
        </w:rPr>
        <w:t>- 7</w:t>
      </w:r>
      <w:r w:rsidR="00AF0D92" w:rsidRPr="00FC2D21">
        <w:rPr>
          <w:sz w:val="24"/>
          <w:szCs w:val="24"/>
          <w:vertAlign w:val="superscript"/>
        </w:rPr>
        <w:t>th</w:t>
      </w:r>
      <w:r w:rsidR="00AF0D92" w:rsidRPr="00FC2D21">
        <w:rPr>
          <w:sz w:val="24"/>
          <w:szCs w:val="24"/>
        </w:rPr>
        <w:t xml:space="preserve"> </w:t>
      </w:r>
      <w:r w:rsidR="00457359" w:rsidRPr="00FC2D21">
        <w:rPr>
          <w:sz w:val="24"/>
          <w:szCs w:val="24"/>
        </w:rPr>
        <w:t xml:space="preserve">century BCE). </w:t>
      </w:r>
      <w:r w:rsidR="00372115" w:rsidRPr="00FC2D21">
        <w:rPr>
          <w:sz w:val="24"/>
          <w:szCs w:val="24"/>
        </w:rPr>
        <w:t xml:space="preserve">The name of Hephaestus is considered </w:t>
      </w:r>
      <w:r w:rsidR="005B326C" w:rsidRPr="00FC2D21">
        <w:rPr>
          <w:sz w:val="24"/>
          <w:szCs w:val="24"/>
        </w:rPr>
        <w:t xml:space="preserve">by some </w:t>
      </w:r>
      <w:r w:rsidR="00372115" w:rsidRPr="00FC2D21">
        <w:rPr>
          <w:sz w:val="24"/>
          <w:szCs w:val="24"/>
        </w:rPr>
        <w:t>to derive from the Egyptian Ptah, master craftsman and demiurge.</w:t>
      </w:r>
      <w:r w:rsidR="00372115" w:rsidRPr="00FC2D21">
        <w:rPr>
          <w:rStyle w:val="FootnoteReference"/>
          <w:sz w:val="24"/>
          <w:szCs w:val="24"/>
        </w:rPr>
        <w:footnoteReference w:id="50"/>
      </w:r>
      <w:r w:rsidR="00372115" w:rsidRPr="00FC2D21">
        <w:rPr>
          <w:sz w:val="24"/>
          <w:szCs w:val="24"/>
        </w:rPr>
        <w:t xml:space="preserve"> </w:t>
      </w:r>
      <w:r w:rsidR="004F6F3B" w:rsidRPr="00FC2D21">
        <w:rPr>
          <w:sz w:val="24"/>
          <w:szCs w:val="24"/>
        </w:rPr>
        <w:t xml:space="preserve">Mythologically </w:t>
      </w:r>
      <w:r w:rsidR="000309C6" w:rsidRPr="00FC2D21">
        <w:rPr>
          <w:sz w:val="24"/>
          <w:szCs w:val="24"/>
        </w:rPr>
        <w:t xml:space="preserve">Hephaestus </w:t>
      </w:r>
      <w:r w:rsidR="004F6F3B" w:rsidRPr="00FC2D21">
        <w:rPr>
          <w:sz w:val="24"/>
          <w:szCs w:val="24"/>
        </w:rPr>
        <w:t xml:space="preserve">is most closely linked </w:t>
      </w:r>
      <w:r w:rsidR="000309C6" w:rsidRPr="00FC2D21">
        <w:rPr>
          <w:sz w:val="24"/>
          <w:szCs w:val="24"/>
        </w:rPr>
        <w:t xml:space="preserve">with </w:t>
      </w:r>
      <w:r w:rsidR="001F1B4F" w:rsidRPr="00FC2D21">
        <w:rPr>
          <w:sz w:val="24"/>
          <w:szCs w:val="24"/>
        </w:rPr>
        <w:t xml:space="preserve">volcanoes and </w:t>
      </w:r>
      <w:r w:rsidR="004F6F3B" w:rsidRPr="00FC2D21">
        <w:rPr>
          <w:sz w:val="24"/>
          <w:szCs w:val="24"/>
        </w:rPr>
        <w:t xml:space="preserve">to </w:t>
      </w:r>
      <w:r w:rsidR="001F1B4F" w:rsidRPr="00FC2D21">
        <w:rPr>
          <w:sz w:val="24"/>
          <w:szCs w:val="24"/>
        </w:rPr>
        <w:t xml:space="preserve">the isle of </w:t>
      </w:r>
      <w:r w:rsidR="004F6F3B" w:rsidRPr="00FC2D21">
        <w:rPr>
          <w:sz w:val="24"/>
          <w:szCs w:val="24"/>
        </w:rPr>
        <w:t xml:space="preserve">Lemnos, far distant from Cyprus, and also to Hera. </w:t>
      </w:r>
      <w:r w:rsidR="00372115" w:rsidRPr="00FC2D21">
        <w:rPr>
          <w:sz w:val="24"/>
          <w:szCs w:val="24"/>
        </w:rPr>
        <w:t xml:space="preserve">It is difficult therefore to see </w:t>
      </w:r>
      <w:r w:rsidR="0052574B" w:rsidRPr="00FC2D21">
        <w:rPr>
          <w:sz w:val="24"/>
          <w:szCs w:val="24"/>
        </w:rPr>
        <w:t>a scenario</w:t>
      </w:r>
      <w:r w:rsidR="00372115" w:rsidRPr="00FC2D21">
        <w:rPr>
          <w:sz w:val="24"/>
          <w:szCs w:val="24"/>
        </w:rPr>
        <w:t xml:space="preserve"> for </w:t>
      </w:r>
      <w:r w:rsidR="00457359" w:rsidRPr="00FC2D21">
        <w:rPr>
          <w:sz w:val="24"/>
          <w:szCs w:val="24"/>
        </w:rPr>
        <w:t>Kieburg</w:t>
      </w:r>
      <w:r w:rsidR="00372115" w:rsidRPr="00FC2D21">
        <w:rPr>
          <w:sz w:val="24"/>
          <w:szCs w:val="24"/>
        </w:rPr>
        <w:t xml:space="preserve">’s idea </w:t>
      </w:r>
      <w:r w:rsidR="000309C6" w:rsidRPr="00FC2D21">
        <w:rPr>
          <w:sz w:val="24"/>
          <w:szCs w:val="24"/>
        </w:rPr>
        <w:t>(also argued earlier by Catling</w:t>
      </w:r>
      <w:r w:rsidR="000309C6" w:rsidRPr="00FC2D21">
        <w:rPr>
          <w:rStyle w:val="FootnoteReference"/>
          <w:sz w:val="24"/>
          <w:szCs w:val="24"/>
        </w:rPr>
        <w:footnoteReference w:id="51"/>
      </w:r>
      <w:r w:rsidR="000309C6" w:rsidRPr="00FC2D21">
        <w:rPr>
          <w:sz w:val="24"/>
          <w:szCs w:val="24"/>
        </w:rPr>
        <w:t xml:space="preserve">) </w:t>
      </w:r>
      <w:r w:rsidR="00372115" w:rsidRPr="00FC2D21">
        <w:rPr>
          <w:sz w:val="24"/>
          <w:szCs w:val="24"/>
        </w:rPr>
        <w:t xml:space="preserve">that a </w:t>
      </w:r>
      <w:r w:rsidR="00330401">
        <w:rPr>
          <w:sz w:val="24"/>
          <w:szCs w:val="24"/>
        </w:rPr>
        <w:t>unitary</w:t>
      </w:r>
      <w:r w:rsidR="00372115" w:rsidRPr="00FC2D21">
        <w:rPr>
          <w:sz w:val="24"/>
          <w:szCs w:val="24"/>
        </w:rPr>
        <w:t xml:space="preserve"> Cypriot male </w:t>
      </w:r>
      <w:r w:rsidR="00330401">
        <w:rPr>
          <w:sz w:val="24"/>
          <w:szCs w:val="24"/>
        </w:rPr>
        <w:t xml:space="preserve">deity </w:t>
      </w:r>
      <w:r w:rsidR="00372115" w:rsidRPr="00FC2D21">
        <w:rPr>
          <w:sz w:val="24"/>
          <w:szCs w:val="24"/>
        </w:rPr>
        <w:t xml:space="preserve">somehow ‘split aspects’ on </w:t>
      </w:r>
      <w:r w:rsidR="00B45802" w:rsidRPr="00FC2D21">
        <w:rPr>
          <w:sz w:val="24"/>
          <w:szCs w:val="24"/>
        </w:rPr>
        <w:t xml:space="preserve">the joint </w:t>
      </w:r>
      <w:r w:rsidR="00372115" w:rsidRPr="00FC2D21">
        <w:rPr>
          <w:sz w:val="24"/>
          <w:szCs w:val="24"/>
        </w:rPr>
        <w:t>migration to Greece.</w:t>
      </w:r>
      <w:r w:rsidR="001F1B4F" w:rsidRPr="00FC2D21">
        <w:rPr>
          <w:rStyle w:val="FootnoteReference"/>
          <w:sz w:val="24"/>
          <w:szCs w:val="24"/>
        </w:rPr>
        <w:footnoteReference w:id="52"/>
      </w:r>
      <w:r w:rsidR="00B61EF5" w:rsidRPr="00FC2D21">
        <w:rPr>
          <w:sz w:val="24"/>
          <w:szCs w:val="24"/>
        </w:rPr>
        <w:t xml:space="preserve"> </w:t>
      </w:r>
    </w:p>
    <w:p w14:paraId="7083338B" w14:textId="77777777" w:rsidR="004609AA" w:rsidRPr="00FC2D21" w:rsidRDefault="004609AA" w:rsidP="004F380B">
      <w:pPr>
        <w:pStyle w:val="FootnoteText"/>
        <w:spacing w:after="160" w:line="360" w:lineRule="auto"/>
        <w:rPr>
          <w:sz w:val="24"/>
          <w:szCs w:val="24"/>
        </w:rPr>
      </w:pPr>
    </w:p>
    <w:p w14:paraId="7FC52546" w14:textId="318DCEAE" w:rsidR="00001106" w:rsidRPr="00FC2D21" w:rsidRDefault="00B52904" w:rsidP="004F380B">
      <w:pPr>
        <w:pStyle w:val="FootnoteText"/>
        <w:spacing w:after="160" w:line="360" w:lineRule="auto"/>
        <w:rPr>
          <w:sz w:val="24"/>
          <w:szCs w:val="24"/>
        </w:rPr>
      </w:pPr>
      <w:r w:rsidRPr="00FC2D21">
        <w:rPr>
          <w:sz w:val="24"/>
          <w:szCs w:val="24"/>
        </w:rPr>
        <w:t xml:space="preserve">Kieburg makes no effort to </w:t>
      </w:r>
      <w:r w:rsidR="002D1B43" w:rsidRPr="00FC2D21">
        <w:rPr>
          <w:sz w:val="24"/>
          <w:szCs w:val="24"/>
        </w:rPr>
        <w:t xml:space="preserve">suggest </w:t>
      </w:r>
      <w:r w:rsidRPr="00FC2D21">
        <w:rPr>
          <w:sz w:val="24"/>
          <w:szCs w:val="24"/>
        </w:rPr>
        <w:t>how the details of ‘mythology’ developed: for example, she simply makes the bald statement that “The Great Goddess of Cyprus took a male consort and together they acquired the attributes of deities protecting the metallurgical industry”.</w:t>
      </w:r>
      <w:r w:rsidRPr="00FC2D21">
        <w:rPr>
          <w:rStyle w:val="FootnoteReference"/>
          <w:sz w:val="24"/>
          <w:szCs w:val="24"/>
        </w:rPr>
        <w:footnoteReference w:id="53"/>
      </w:r>
      <w:r w:rsidRPr="00FC2D21">
        <w:rPr>
          <w:sz w:val="24"/>
          <w:szCs w:val="24"/>
        </w:rPr>
        <w:t xml:space="preserve"> Similarly, regarding Hellenization, </w:t>
      </w:r>
      <w:r w:rsidR="00953A35" w:rsidRPr="00FC2D21">
        <w:rPr>
          <w:sz w:val="24"/>
          <w:szCs w:val="24"/>
        </w:rPr>
        <w:t xml:space="preserve">“The Great Goddess of Cyprus </w:t>
      </w:r>
      <w:r w:rsidR="00953A35" w:rsidRPr="00296810">
        <w:rPr>
          <w:i/>
          <w:iCs/>
          <w:sz w:val="24"/>
          <w:szCs w:val="24"/>
        </w:rPr>
        <w:t>became</w:t>
      </w:r>
      <w:r w:rsidR="00953A35" w:rsidRPr="00FC2D21">
        <w:rPr>
          <w:sz w:val="24"/>
          <w:szCs w:val="24"/>
        </w:rPr>
        <w:t xml:space="preserve"> Aphrodite …The Late Bronze Age companion of the Goddess </w:t>
      </w:r>
      <w:r w:rsidR="00953A35" w:rsidRPr="00296810">
        <w:rPr>
          <w:i/>
          <w:iCs/>
          <w:sz w:val="24"/>
          <w:szCs w:val="24"/>
        </w:rPr>
        <w:t>became</w:t>
      </w:r>
      <w:r w:rsidR="00953A35" w:rsidRPr="00FC2D21">
        <w:rPr>
          <w:sz w:val="24"/>
          <w:szCs w:val="24"/>
        </w:rPr>
        <w:t xml:space="preserve"> two separate gods”.</w:t>
      </w:r>
      <w:r w:rsidR="00953A35" w:rsidRPr="00FC2D21">
        <w:rPr>
          <w:rStyle w:val="FootnoteReference"/>
          <w:sz w:val="24"/>
          <w:szCs w:val="24"/>
        </w:rPr>
        <w:footnoteReference w:id="54"/>
      </w:r>
      <w:r w:rsidR="00953A35" w:rsidRPr="00FC2D21">
        <w:rPr>
          <w:sz w:val="24"/>
          <w:szCs w:val="24"/>
        </w:rPr>
        <w:t xml:space="preserve"> This should be the question, not the answer. For this writer, such statements are problematic also by implicit conflation of ‘deity-as-entity’ with ‘deity-as-concept’.</w:t>
      </w:r>
      <w:r w:rsidR="00953A35" w:rsidRPr="00FC2D21">
        <w:rPr>
          <w:rStyle w:val="FootnoteReference"/>
          <w:sz w:val="24"/>
          <w:szCs w:val="24"/>
        </w:rPr>
        <w:footnoteReference w:id="55"/>
      </w:r>
    </w:p>
    <w:p w14:paraId="0A40D898" w14:textId="77777777" w:rsidR="00953A35" w:rsidRPr="00FC2D21" w:rsidRDefault="00953A35" w:rsidP="004F380B">
      <w:pPr>
        <w:pStyle w:val="FootnoteText"/>
        <w:spacing w:after="160" w:line="360" w:lineRule="auto"/>
        <w:rPr>
          <w:sz w:val="24"/>
          <w:szCs w:val="24"/>
        </w:rPr>
      </w:pPr>
    </w:p>
    <w:p w14:paraId="747E00B5" w14:textId="173278CB" w:rsidR="00410903" w:rsidRPr="00FC2D21" w:rsidRDefault="00B45802" w:rsidP="004F380B">
      <w:pPr>
        <w:pStyle w:val="FootnoteText"/>
        <w:spacing w:after="160" w:line="360" w:lineRule="auto"/>
        <w:rPr>
          <w:sz w:val="24"/>
          <w:szCs w:val="24"/>
        </w:rPr>
      </w:pPr>
      <w:r w:rsidRPr="00FC2D21">
        <w:rPr>
          <w:sz w:val="24"/>
          <w:szCs w:val="24"/>
        </w:rPr>
        <w:t>This writer’s personal research topic is that of Goddess worship in Cyprus, from earliest times, through the classical, and as far as may be determined, to the present day.</w:t>
      </w:r>
      <w:r w:rsidRPr="00FC2D21">
        <w:rPr>
          <w:rStyle w:val="FootnoteReference"/>
          <w:sz w:val="24"/>
          <w:szCs w:val="24"/>
        </w:rPr>
        <w:footnoteReference w:id="56"/>
      </w:r>
      <w:r w:rsidRPr="00FC2D21">
        <w:rPr>
          <w:sz w:val="24"/>
          <w:szCs w:val="24"/>
        </w:rPr>
        <w:t xml:space="preserve"> The author</w:t>
      </w:r>
      <w:r w:rsidR="00627E9C">
        <w:rPr>
          <w:sz w:val="24"/>
          <w:szCs w:val="24"/>
        </w:rPr>
        <w:t>’</w:t>
      </w:r>
      <w:r w:rsidRPr="00FC2D21">
        <w:rPr>
          <w:sz w:val="24"/>
          <w:szCs w:val="24"/>
        </w:rPr>
        <w:t xml:space="preserve">s broad survey provides </w:t>
      </w:r>
      <w:r w:rsidR="00EC2B6D" w:rsidRPr="00FC2D21">
        <w:rPr>
          <w:sz w:val="24"/>
          <w:szCs w:val="24"/>
        </w:rPr>
        <w:t xml:space="preserve">introductory </w:t>
      </w:r>
      <w:r w:rsidRPr="00FC2D21">
        <w:rPr>
          <w:sz w:val="24"/>
          <w:szCs w:val="24"/>
        </w:rPr>
        <w:t xml:space="preserve">background and context to this research and useful references. It does not however provide any </w:t>
      </w:r>
      <w:r w:rsidR="0052574B" w:rsidRPr="00FC2D21">
        <w:rPr>
          <w:sz w:val="24"/>
          <w:szCs w:val="24"/>
        </w:rPr>
        <w:t>recent</w:t>
      </w:r>
      <w:r w:rsidRPr="00FC2D21">
        <w:rPr>
          <w:sz w:val="24"/>
          <w:szCs w:val="24"/>
        </w:rPr>
        <w:t xml:space="preserve"> archaeological information and fails to engage in any of the academic debates on the </w:t>
      </w:r>
      <w:r w:rsidR="00AD5EEC" w:rsidRPr="00FC2D21">
        <w:rPr>
          <w:sz w:val="24"/>
          <w:szCs w:val="24"/>
        </w:rPr>
        <w:t xml:space="preserve">various types of </w:t>
      </w:r>
      <w:r w:rsidRPr="00FC2D21">
        <w:rPr>
          <w:sz w:val="24"/>
          <w:szCs w:val="24"/>
        </w:rPr>
        <w:t>figurines and their meanings in religious context (or otherwise)</w:t>
      </w:r>
      <w:r w:rsidR="00EC2B6D" w:rsidRPr="00FC2D21">
        <w:rPr>
          <w:sz w:val="24"/>
          <w:szCs w:val="24"/>
        </w:rPr>
        <w:t>:</w:t>
      </w:r>
      <w:r w:rsidR="00410903" w:rsidRPr="00FC2D21">
        <w:rPr>
          <w:sz w:val="24"/>
          <w:szCs w:val="24"/>
        </w:rPr>
        <w:t xml:space="preserve"> the more closely it is read, the less substance it seems to have</w:t>
      </w:r>
      <w:r w:rsidRPr="00FC2D21">
        <w:rPr>
          <w:sz w:val="24"/>
          <w:szCs w:val="24"/>
        </w:rPr>
        <w:t xml:space="preserve">, its thesis </w:t>
      </w:r>
      <w:r w:rsidR="00410903" w:rsidRPr="00FC2D21">
        <w:rPr>
          <w:sz w:val="24"/>
          <w:szCs w:val="24"/>
        </w:rPr>
        <w:t xml:space="preserve">assertive rather than </w:t>
      </w:r>
      <w:r w:rsidRPr="00FC2D21">
        <w:rPr>
          <w:sz w:val="24"/>
          <w:szCs w:val="24"/>
        </w:rPr>
        <w:t xml:space="preserve">something </w:t>
      </w:r>
      <w:r w:rsidR="00410903" w:rsidRPr="00FC2D21">
        <w:rPr>
          <w:sz w:val="24"/>
          <w:szCs w:val="24"/>
        </w:rPr>
        <w:t>demonstrat</w:t>
      </w:r>
      <w:r w:rsidRPr="00FC2D21">
        <w:rPr>
          <w:sz w:val="24"/>
          <w:szCs w:val="24"/>
        </w:rPr>
        <w:t>ed.</w:t>
      </w:r>
      <w:r w:rsidR="00AD2852" w:rsidRPr="00FC2D21">
        <w:rPr>
          <w:rStyle w:val="FootnoteReference"/>
          <w:sz w:val="24"/>
          <w:szCs w:val="24"/>
        </w:rPr>
        <w:footnoteReference w:id="57"/>
      </w:r>
      <w:r w:rsidRPr="00FC2D21">
        <w:rPr>
          <w:sz w:val="24"/>
          <w:szCs w:val="24"/>
        </w:rPr>
        <w:t xml:space="preserve"> </w:t>
      </w:r>
      <w:r w:rsidR="00410903" w:rsidRPr="00FC2D21">
        <w:rPr>
          <w:sz w:val="24"/>
          <w:szCs w:val="24"/>
        </w:rPr>
        <w:t xml:space="preserve">This writer happily honours Cyprian / Kytheran Aphrodite, but in the face of academic attacks on </w:t>
      </w:r>
      <w:r w:rsidR="00410903" w:rsidRPr="00FC2D21">
        <w:rPr>
          <w:sz w:val="24"/>
          <w:szCs w:val="24"/>
        </w:rPr>
        <w:lastRenderedPageBreak/>
        <w:t xml:space="preserve">concepts of </w:t>
      </w:r>
      <w:r w:rsidR="00B03C4D" w:rsidRPr="00FC2D21">
        <w:rPr>
          <w:sz w:val="24"/>
          <w:szCs w:val="24"/>
        </w:rPr>
        <w:t xml:space="preserve">Goddesses in general, and especially on the idea of a </w:t>
      </w:r>
      <w:r w:rsidR="00410903" w:rsidRPr="00FC2D21">
        <w:rPr>
          <w:sz w:val="24"/>
          <w:szCs w:val="24"/>
        </w:rPr>
        <w:t>‘</w:t>
      </w:r>
      <w:r w:rsidR="00B03C4D" w:rsidRPr="00FC2D21">
        <w:rPr>
          <w:sz w:val="24"/>
          <w:szCs w:val="24"/>
        </w:rPr>
        <w:t xml:space="preserve">Great </w:t>
      </w:r>
      <w:r w:rsidR="00410903" w:rsidRPr="00FC2D21">
        <w:rPr>
          <w:sz w:val="24"/>
          <w:szCs w:val="24"/>
        </w:rPr>
        <w:t xml:space="preserve">Goddess’, She needs stronger defence than this. </w:t>
      </w:r>
    </w:p>
    <w:p w14:paraId="62A5CAF6" w14:textId="77777777" w:rsidR="00627E9C" w:rsidRDefault="00627E9C" w:rsidP="00AF0D92">
      <w:pPr>
        <w:pStyle w:val="FootnoteText"/>
        <w:spacing w:after="160" w:line="480" w:lineRule="auto"/>
        <w:rPr>
          <w:sz w:val="24"/>
          <w:szCs w:val="24"/>
          <w:u w:val="single"/>
        </w:rPr>
      </w:pPr>
    </w:p>
    <w:p w14:paraId="14536ACF" w14:textId="0650BE6B" w:rsidR="00410903" w:rsidRPr="00FC2D21" w:rsidRDefault="0052574B" w:rsidP="00AF0D92">
      <w:pPr>
        <w:pStyle w:val="FootnoteText"/>
        <w:spacing w:after="160" w:line="480" w:lineRule="auto"/>
        <w:rPr>
          <w:sz w:val="24"/>
          <w:szCs w:val="24"/>
          <w:u w:val="single"/>
        </w:rPr>
      </w:pPr>
      <w:r w:rsidRPr="00FC2D21">
        <w:rPr>
          <w:sz w:val="24"/>
          <w:szCs w:val="24"/>
          <w:u w:val="single"/>
        </w:rPr>
        <w:t>Works Cited</w:t>
      </w:r>
    </w:p>
    <w:p w14:paraId="5A39BF58" w14:textId="77777777" w:rsidR="004B46DB" w:rsidRPr="004B46DB" w:rsidRDefault="004B46DB" w:rsidP="004B46DB">
      <w:pPr>
        <w:pStyle w:val="FootnoteText"/>
        <w:spacing w:after="160"/>
        <w:rPr>
          <w:sz w:val="24"/>
          <w:szCs w:val="24"/>
        </w:rPr>
      </w:pPr>
      <w:r w:rsidRPr="004B46DB">
        <w:rPr>
          <w:sz w:val="24"/>
          <w:szCs w:val="24"/>
        </w:rPr>
        <w:t>ALBERGHINA, D.M., 2023. Smelting Metals, Enacting Rituals. The Interplay of Religious Symbolisms and Metallurgical Practices in the Ancient Eastern Mediterranean. </w:t>
      </w:r>
      <w:r w:rsidRPr="004B46DB">
        <w:rPr>
          <w:i/>
          <w:iCs/>
          <w:sz w:val="24"/>
          <w:szCs w:val="24"/>
        </w:rPr>
        <w:t>Asia Anteriore antica, </w:t>
      </w:r>
      <w:r w:rsidRPr="004B46DB">
        <w:rPr>
          <w:sz w:val="24"/>
          <w:szCs w:val="24"/>
        </w:rPr>
        <w:t>5.</w:t>
      </w:r>
    </w:p>
    <w:p w14:paraId="746E7A5E" w14:textId="77777777" w:rsidR="004B46DB" w:rsidRPr="004B46DB" w:rsidRDefault="004B46DB" w:rsidP="004B46DB">
      <w:pPr>
        <w:pStyle w:val="FootnoteText"/>
        <w:spacing w:after="160"/>
        <w:rPr>
          <w:sz w:val="24"/>
          <w:szCs w:val="24"/>
        </w:rPr>
      </w:pPr>
      <w:r w:rsidRPr="004B46DB">
        <w:rPr>
          <w:sz w:val="24"/>
          <w:szCs w:val="24"/>
        </w:rPr>
        <w:t>BAZOPOULOU-KYRKANIDOU, E., 1997. What makes Hephaestus lame? </w:t>
      </w:r>
      <w:r w:rsidRPr="004B46DB">
        <w:rPr>
          <w:i/>
          <w:iCs/>
          <w:sz w:val="24"/>
          <w:szCs w:val="24"/>
        </w:rPr>
        <w:t>American Journal of Medical Genetics, </w:t>
      </w:r>
      <w:r w:rsidRPr="004B46DB">
        <w:rPr>
          <w:sz w:val="24"/>
          <w:szCs w:val="24"/>
        </w:rPr>
        <w:t>72(2), pp. 144–155.</w:t>
      </w:r>
    </w:p>
    <w:p w14:paraId="4D595B76" w14:textId="77777777" w:rsidR="004B46DB" w:rsidRPr="004B46DB" w:rsidRDefault="004B46DB" w:rsidP="004B46DB">
      <w:pPr>
        <w:pStyle w:val="FootnoteText"/>
        <w:spacing w:after="160"/>
        <w:rPr>
          <w:sz w:val="24"/>
          <w:szCs w:val="24"/>
        </w:rPr>
      </w:pPr>
      <w:r w:rsidRPr="004B46DB">
        <w:rPr>
          <w:sz w:val="24"/>
          <w:szCs w:val="24"/>
        </w:rPr>
        <w:t>BERNAL, M., 2006. </w:t>
      </w:r>
      <w:r w:rsidRPr="004B46DB">
        <w:rPr>
          <w:i/>
          <w:iCs/>
          <w:sz w:val="24"/>
          <w:szCs w:val="24"/>
        </w:rPr>
        <w:t>Black Athena. The Afroasiatic Roots of Classical Civilization. Volume III: the Linguistic Evidence. </w:t>
      </w:r>
      <w:r w:rsidRPr="004B46DB">
        <w:rPr>
          <w:sz w:val="24"/>
          <w:szCs w:val="24"/>
        </w:rPr>
        <w:t>New Brunswick, NJ: Rutgers University Press.</w:t>
      </w:r>
    </w:p>
    <w:p w14:paraId="7816ACAF" w14:textId="0208D366" w:rsidR="004B46DB" w:rsidRPr="004B46DB" w:rsidRDefault="004B46DB" w:rsidP="004B46DB">
      <w:pPr>
        <w:pStyle w:val="FootnoteText"/>
        <w:spacing w:after="160"/>
        <w:rPr>
          <w:sz w:val="24"/>
          <w:szCs w:val="24"/>
        </w:rPr>
      </w:pPr>
      <w:r w:rsidRPr="004B46DB">
        <w:rPr>
          <w:sz w:val="24"/>
          <w:szCs w:val="24"/>
        </w:rPr>
        <w:t xml:space="preserve">KNAPP, </w:t>
      </w:r>
      <w:r w:rsidR="00162B11" w:rsidRPr="004B46DB">
        <w:rPr>
          <w:sz w:val="24"/>
          <w:szCs w:val="24"/>
        </w:rPr>
        <w:t xml:space="preserve">BERNARD </w:t>
      </w:r>
      <w:r w:rsidRPr="004B46DB">
        <w:rPr>
          <w:sz w:val="24"/>
          <w:szCs w:val="24"/>
        </w:rPr>
        <w:t>A., 2013. Revolution Within Evolution: The Emergence of a 'Secondary State' on Protohistoric Bronze Age Cyprus. </w:t>
      </w:r>
      <w:r w:rsidRPr="004B46DB">
        <w:rPr>
          <w:i/>
          <w:iCs/>
          <w:sz w:val="24"/>
          <w:szCs w:val="24"/>
        </w:rPr>
        <w:t>Levant (London), </w:t>
      </w:r>
      <w:r w:rsidRPr="004B46DB">
        <w:rPr>
          <w:sz w:val="24"/>
          <w:szCs w:val="24"/>
        </w:rPr>
        <w:t>45(1), pp. 19–44.</w:t>
      </w:r>
    </w:p>
    <w:p w14:paraId="18EBA838" w14:textId="77777777" w:rsidR="004B46DB" w:rsidRPr="004B46DB" w:rsidRDefault="004B46DB" w:rsidP="004B46DB">
      <w:pPr>
        <w:pStyle w:val="FootnoteText"/>
        <w:spacing w:after="160"/>
        <w:rPr>
          <w:sz w:val="24"/>
          <w:szCs w:val="24"/>
        </w:rPr>
      </w:pPr>
      <w:r w:rsidRPr="004B46DB">
        <w:rPr>
          <w:sz w:val="24"/>
          <w:szCs w:val="24"/>
        </w:rPr>
        <w:t>BUDIN, S.L., 2014. Before Kypris was Aphrodite. In: D.T. SUGIMOTO, ed, </w:t>
      </w:r>
      <w:r w:rsidRPr="004B46DB">
        <w:rPr>
          <w:i/>
          <w:iCs/>
          <w:sz w:val="24"/>
          <w:szCs w:val="24"/>
        </w:rPr>
        <w:t>Transformation of a Goddess: Ishtar - Astarte - Aphrodite. </w:t>
      </w:r>
      <w:r w:rsidRPr="004B46DB">
        <w:rPr>
          <w:sz w:val="24"/>
          <w:szCs w:val="24"/>
        </w:rPr>
        <w:t>Fribourg: Academic Press, pp. 195–215.</w:t>
      </w:r>
    </w:p>
    <w:p w14:paraId="23A11C86" w14:textId="77777777" w:rsidR="004B46DB" w:rsidRPr="004B46DB" w:rsidRDefault="004B46DB" w:rsidP="004B46DB">
      <w:pPr>
        <w:pStyle w:val="FootnoteText"/>
        <w:spacing w:after="160"/>
        <w:rPr>
          <w:sz w:val="24"/>
          <w:szCs w:val="24"/>
        </w:rPr>
      </w:pPr>
      <w:r w:rsidRPr="004B46DB">
        <w:rPr>
          <w:sz w:val="24"/>
          <w:szCs w:val="24"/>
        </w:rPr>
        <w:t>BUDIN, S.L., 2000. </w:t>
      </w:r>
      <w:r w:rsidRPr="004B46DB">
        <w:rPr>
          <w:i/>
          <w:iCs/>
          <w:sz w:val="24"/>
          <w:szCs w:val="24"/>
        </w:rPr>
        <w:t>The origins of Aphrodite</w:t>
      </w:r>
      <w:r w:rsidRPr="004B46DB">
        <w:rPr>
          <w:sz w:val="24"/>
          <w:szCs w:val="24"/>
        </w:rPr>
        <w:t>, ProQuest Dissertations &amp; Theses.</w:t>
      </w:r>
    </w:p>
    <w:p w14:paraId="76D012A6" w14:textId="76934549" w:rsidR="004B46DB" w:rsidRPr="004B46DB" w:rsidRDefault="004B46DB" w:rsidP="004B46DB">
      <w:pPr>
        <w:pStyle w:val="FootnoteText"/>
        <w:spacing w:after="160"/>
        <w:rPr>
          <w:sz w:val="24"/>
          <w:szCs w:val="24"/>
        </w:rPr>
      </w:pPr>
      <w:r w:rsidRPr="004B46DB">
        <w:rPr>
          <w:sz w:val="24"/>
          <w:szCs w:val="24"/>
        </w:rPr>
        <w:t xml:space="preserve">D'AGATA, A.L. </w:t>
      </w:r>
      <w:r w:rsidR="00162B11">
        <w:rPr>
          <w:sz w:val="24"/>
          <w:szCs w:val="24"/>
        </w:rPr>
        <w:t xml:space="preserve">&amp; </w:t>
      </w:r>
      <w:r w:rsidRPr="004B46DB">
        <w:rPr>
          <w:sz w:val="24"/>
          <w:szCs w:val="24"/>
        </w:rPr>
        <w:t>HERMARY, A., 2012. Ritual and cult in Crete and Cyprus from the third millennium to the first millennium BC: towards a comparative framework. </w:t>
      </w:r>
      <w:r w:rsidRPr="004B46DB">
        <w:rPr>
          <w:i/>
          <w:iCs/>
          <w:sz w:val="24"/>
          <w:szCs w:val="24"/>
        </w:rPr>
        <w:t>British School at Athens studies, </w:t>
      </w:r>
      <w:r w:rsidRPr="004B46DB">
        <w:rPr>
          <w:sz w:val="24"/>
          <w:szCs w:val="24"/>
        </w:rPr>
        <w:t>20, pp. 273–288.</w:t>
      </w:r>
    </w:p>
    <w:p w14:paraId="27685F92" w14:textId="2DA38968" w:rsidR="004B46DB" w:rsidRPr="004B46DB" w:rsidRDefault="004B46DB" w:rsidP="004B46DB">
      <w:pPr>
        <w:pStyle w:val="FootnoteText"/>
        <w:spacing w:after="160"/>
        <w:rPr>
          <w:sz w:val="24"/>
          <w:szCs w:val="24"/>
        </w:rPr>
      </w:pPr>
      <w:r w:rsidRPr="004B46DB">
        <w:rPr>
          <w:sz w:val="24"/>
          <w:szCs w:val="24"/>
        </w:rPr>
        <w:t>ELIADE, M., 1978. </w:t>
      </w:r>
      <w:r w:rsidRPr="004B46DB">
        <w:rPr>
          <w:i/>
          <w:iCs/>
          <w:sz w:val="24"/>
          <w:szCs w:val="24"/>
        </w:rPr>
        <w:t>The Forge and the Crucible. </w:t>
      </w:r>
      <w:r w:rsidRPr="004B46DB">
        <w:rPr>
          <w:sz w:val="24"/>
          <w:szCs w:val="24"/>
        </w:rPr>
        <w:t>2nd ed. Chicago: University of Chicago Press.</w:t>
      </w:r>
    </w:p>
    <w:p w14:paraId="6A2721DA" w14:textId="0DF1DE50" w:rsidR="004B46DB" w:rsidRPr="004B46DB" w:rsidRDefault="004B46DB" w:rsidP="004B46DB">
      <w:pPr>
        <w:pStyle w:val="FootnoteText"/>
        <w:spacing w:after="160"/>
        <w:rPr>
          <w:sz w:val="24"/>
          <w:szCs w:val="24"/>
        </w:rPr>
      </w:pPr>
      <w:r w:rsidRPr="004B46DB">
        <w:rPr>
          <w:sz w:val="24"/>
          <w:szCs w:val="24"/>
        </w:rPr>
        <w:t xml:space="preserve">GOODISON, L., </w:t>
      </w:r>
      <w:r w:rsidR="00162B11">
        <w:rPr>
          <w:sz w:val="24"/>
          <w:szCs w:val="24"/>
        </w:rPr>
        <w:t xml:space="preserve">&amp; </w:t>
      </w:r>
      <w:r w:rsidRPr="004B46DB">
        <w:rPr>
          <w:sz w:val="24"/>
          <w:szCs w:val="24"/>
        </w:rPr>
        <w:t>MORRIS, C. 1998. </w:t>
      </w:r>
      <w:r w:rsidRPr="004B46DB">
        <w:rPr>
          <w:i/>
          <w:iCs/>
          <w:sz w:val="24"/>
          <w:szCs w:val="24"/>
        </w:rPr>
        <w:t>Ancient goddesses : the myths and the evidence. </w:t>
      </w:r>
      <w:r w:rsidRPr="004B46DB">
        <w:rPr>
          <w:sz w:val="24"/>
          <w:szCs w:val="24"/>
        </w:rPr>
        <w:t>London: British Museum Press.</w:t>
      </w:r>
    </w:p>
    <w:p w14:paraId="7A4AA2C6" w14:textId="74E0708B" w:rsidR="004B46DB" w:rsidRPr="004B46DB" w:rsidRDefault="004B46DB" w:rsidP="004B46DB">
      <w:pPr>
        <w:pStyle w:val="FootnoteText"/>
        <w:spacing w:after="160"/>
        <w:rPr>
          <w:sz w:val="24"/>
          <w:szCs w:val="24"/>
        </w:rPr>
      </w:pPr>
      <w:r w:rsidRPr="004B46DB">
        <w:rPr>
          <w:sz w:val="24"/>
          <w:szCs w:val="24"/>
        </w:rPr>
        <w:t>KARAGEORGHIS, J., 2015-last update, Aphrodite, Goddess of Cyprus. Available: </w:t>
      </w:r>
      <w:r w:rsidRPr="00A32D3F">
        <w:rPr>
          <w:sz w:val="24"/>
          <w:szCs w:val="24"/>
        </w:rPr>
        <w:t>https://kyprioscharacter.eie.gr/en/t/AH</w:t>
      </w:r>
      <w:r w:rsidRPr="004B46DB">
        <w:rPr>
          <w:sz w:val="24"/>
          <w:szCs w:val="24"/>
        </w:rPr>
        <w:t> [November 5th, 2025].</w:t>
      </w:r>
    </w:p>
    <w:p w14:paraId="1C538C6E" w14:textId="77777777" w:rsidR="004B46DB" w:rsidRPr="004B46DB" w:rsidRDefault="004B46DB" w:rsidP="004B46DB">
      <w:pPr>
        <w:pStyle w:val="FootnoteText"/>
        <w:spacing w:after="160"/>
        <w:rPr>
          <w:sz w:val="24"/>
          <w:szCs w:val="24"/>
        </w:rPr>
      </w:pPr>
      <w:r w:rsidRPr="004B46DB">
        <w:rPr>
          <w:sz w:val="24"/>
          <w:szCs w:val="24"/>
        </w:rPr>
        <w:t>KARAGEORGHIS, J., 2005. </w:t>
      </w:r>
      <w:r w:rsidRPr="004B46DB">
        <w:rPr>
          <w:i/>
          <w:iCs/>
          <w:sz w:val="24"/>
          <w:szCs w:val="24"/>
        </w:rPr>
        <w:t>Kypris : the Aphrodite of Cyprus : ancient sources and archaeological evidence. </w:t>
      </w:r>
      <w:r w:rsidRPr="004B46DB">
        <w:rPr>
          <w:sz w:val="24"/>
          <w:szCs w:val="24"/>
        </w:rPr>
        <w:t>Nicosia: A.G. Leventis Foundation.</w:t>
      </w:r>
    </w:p>
    <w:p w14:paraId="4C3F0D3C" w14:textId="457A08F0" w:rsidR="004B46DB" w:rsidRPr="004B46DB" w:rsidRDefault="004B46DB" w:rsidP="004B46DB">
      <w:pPr>
        <w:pStyle w:val="FootnoteText"/>
        <w:spacing w:after="160"/>
        <w:rPr>
          <w:sz w:val="24"/>
          <w:szCs w:val="24"/>
        </w:rPr>
      </w:pPr>
      <w:r w:rsidRPr="004B46DB">
        <w:rPr>
          <w:sz w:val="24"/>
          <w:szCs w:val="24"/>
        </w:rPr>
        <w:t xml:space="preserve">KARAGEORGHIS, V. </w:t>
      </w:r>
      <w:r w:rsidR="00162B11">
        <w:rPr>
          <w:sz w:val="24"/>
          <w:szCs w:val="24"/>
        </w:rPr>
        <w:t xml:space="preserve">&amp; </w:t>
      </w:r>
      <w:r w:rsidRPr="004B46DB">
        <w:rPr>
          <w:sz w:val="24"/>
          <w:szCs w:val="24"/>
        </w:rPr>
        <w:t>KASSIANIDOU, V., 1999. Metalworking and Recycling in Late Bronze Age Cyprus - the Evidence from Kition. </w:t>
      </w:r>
      <w:r w:rsidRPr="004B46DB">
        <w:rPr>
          <w:i/>
          <w:iCs/>
          <w:sz w:val="24"/>
          <w:szCs w:val="24"/>
        </w:rPr>
        <w:t>Oxford journal of archaeology, </w:t>
      </w:r>
      <w:r w:rsidRPr="004B46DB">
        <w:rPr>
          <w:sz w:val="24"/>
          <w:szCs w:val="24"/>
        </w:rPr>
        <w:t>18(2), pp. 171–188.</w:t>
      </w:r>
    </w:p>
    <w:p w14:paraId="29EB9642" w14:textId="77777777" w:rsidR="004B46DB" w:rsidRPr="004B46DB" w:rsidRDefault="004B46DB" w:rsidP="004B46DB">
      <w:pPr>
        <w:pStyle w:val="FootnoteText"/>
        <w:spacing w:after="160"/>
        <w:rPr>
          <w:sz w:val="24"/>
          <w:szCs w:val="24"/>
        </w:rPr>
      </w:pPr>
      <w:r w:rsidRPr="004B46DB">
        <w:rPr>
          <w:sz w:val="24"/>
          <w:szCs w:val="24"/>
        </w:rPr>
        <w:t>KIEBURG, A., 2016. </w:t>
      </w:r>
      <w:r w:rsidRPr="004B46DB">
        <w:rPr>
          <w:i/>
          <w:iCs/>
          <w:sz w:val="24"/>
          <w:szCs w:val="24"/>
        </w:rPr>
        <w:t>The Archaeological Excavation Dictionary. </w:t>
      </w:r>
      <w:r w:rsidRPr="004B46DB">
        <w:rPr>
          <w:sz w:val="24"/>
          <w:szCs w:val="24"/>
        </w:rPr>
        <w:t>Barnsley: Pen and Sword Archaeology.</w:t>
      </w:r>
    </w:p>
    <w:p w14:paraId="4DF02530" w14:textId="623B34CF" w:rsidR="004B46DB" w:rsidRPr="004B46DB" w:rsidRDefault="004B46DB" w:rsidP="004B46DB">
      <w:pPr>
        <w:pStyle w:val="FootnoteText"/>
        <w:spacing w:after="160"/>
        <w:rPr>
          <w:sz w:val="24"/>
          <w:szCs w:val="24"/>
        </w:rPr>
      </w:pPr>
      <w:r w:rsidRPr="004B46DB">
        <w:rPr>
          <w:sz w:val="24"/>
          <w:szCs w:val="24"/>
        </w:rPr>
        <w:t>KIEBURG, A., 2008. Aphrodite, Hephaistos and Ares: Some thoughts on the origins of the mythical connection of the three gods in the metallurgy of Late Bronze Age Cyprus. In: MCCARTHY</w:t>
      </w:r>
      <w:r w:rsidR="00162B11">
        <w:rPr>
          <w:sz w:val="24"/>
          <w:szCs w:val="24"/>
        </w:rPr>
        <w:t xml:space="preserve">, </w:t>
      </w:r>
      <w:r w:rsidRPr="004B46DB">
        <w:rPr>
          <w:sz w:val="24"/>
          <w:szCs w:val="24"/>
        </w:rPr>
        <w:t>ANDREW P., ed</w:t>
      </w:r>
      <w:r w:rsidR="00162B11">
        <w:rPr>
          <w:sz w:val="24"/>
          <w:szCs w:val="24"/>
        </w:rPr>
        <w:t>.</w:t>
      </w:r>
      <w:r w:rsidRPr="004B46DB">
        <w:rPr>
          <w:sz w:val="24"/>
          <w:szCs w:val="24"/>
        </w:rPr>
        <w:t>, </w:t>
      </w:r>
      <w:r w:rsidRPr="004B46DB">
        <w:rPr>
          <w:i/>
          <w:iCs/>
          <w:sz w:val="24"/>
          <w:szCs w:val="24"/>
        </w:rPr>
        <w:t>Island Dialogues: Cyprus in the Mediterranean Network. </w:t>
      </w:r>
      <w:r w:rsidRPr="004B46DB">
        <w:rPr>
          <w:sz w:val="24"/>
          <w:szCs w:val="24"/>
        </w:rPr>
        <w:t>Edinburgh: University of Edinburgh., pp. 210–231.</w:t>
      </w:r>
    </w:p>
    <w:p w14:paraId="10CF79A8" w14:textId="77777777" w:rsidR="004B46DB" w:rsidRPr="004B46DB" w:rsidRDefault="004B46DB" w:rsidP="004B46DB">
      <w:pPr>
        <w:pStyle w:val="FootnoteText"/>
        <w:spacing w:after="160"/>
        <w:rPr>
          <w:sz w:val="24"/>
          <w:szCs w:val="24"/>
        </w:rPr>
      </w:pPr>
      <w:r w:rsidRPr="004B46DB">
        <w:rPr>
          <w:sz w:val="24"/>
          <w:szCs w:val="24"/>
        </w:rPr>
        <w:t>PIRENNE-DELFORGE, V., 2010. Flourishing Aphrodite: An Overview. pp. 1–16.</w:t>
      </w:r>
    </w:p>
    <w:p w14:paraId="027AE5FF" w14:textId="357CE18A" w:rsidR="004B46DB" w:rsidRPr="004B46DB" w:rsidRDefault="004B46DB" w:rsidP="004B46DB">
      <w:pPr>
        <w:pStyle w:val="FootnoteText"/>
        <w:spacing w:after="160"/>
        <w:rPr>
          <w:sz w:val="24"/>
          <w:szCs w:val="24"/>
        </w:rPr>
      </w:pPr>
      <w:r w:rsidRPr="004B46DB">
        <w:rPr>
          <w:sz w:val="24"/>
          <w:szCs w:val="24"/>
        </w:rPr>
        <w:lastRenderedPageBreak/>
        <w:t>SCHAEFFER, C. F.-A.</w:t>
      </w:r>
      <w:r w:rsidR="00162B11">
        <w:rPr>
          <w:sz w:val="24"/>
          <w:szCs w:val="24"/>
        </w:rPr>
        <w:t>,</w:t>
      </w:r>
      <w:r w:rsidRPr="004B46DB">
        <w:rPr>
          <w:sz w:val="24"/>
          <w:szCs w:val="24"/>
        </w:rPr>
        <w:t xml:space="preserve"> 1965. An ingot god from Cyprus. </w:t>
      </w:r>
      <w:r w:rsidRPr="004B46DB">
        <w:rPr>
          <w:i/>
          <w:iCs/>
          <w:sz w:val="24"/>
          <w:szCs w:val="24"/>
        </w:rPr>
        <w:t>Antiquity, </w:t>
      </w:r>
      <w:r w:rsidRPr="004B46DB">
        <w:rPr>
          <w:sz w:val="24"/>
          <w:szCs w:val="24"/>
        </w:rPr>
        <w:t>39, pp. 56–57.</w:t>
      </w:r>
    </w:p>
    <w:p w14:paraId="3FD61172" w14:textId="543F76C8" w:rsidR="004B46DB" w:rsidRPr="004B46DB" w:rsidRDefault="004B46DB" w:rsidP="004B46DB">
      <w:pPr>
        <w:pStyle w:val="FootnoteText"/>
        <w:spacing w:after="160"/>
        <w:rPr>
          <w:sz w:val="24"/>
          <w:szCs w:val="24"/>
        </w:rPr>
      </w:pPr>
      <w:r w:rsidRPr="004B46DB">
        <w:rPr>
          <w:sz w:val="24"/>
          <w:szCs w:val="24"/>
        </w:rPr>
        <w:t>SPIGELMAN, M., 2012. Copper and Cult in Bronze Age Cyprus. In: GEORGIOU and ARTEMIS, eds, </w:t>
      </w:r>
      <w:r w:rsidRPr="004B46DB">
        <w:rPr>
          <w:i/>
          <w:iCs/>
          <w:sz w:val="24"/>
          <w:szCs w:val="24"/>
        </w:rPr>
        <w:t>Cyprus: An Island Culture. Society and Social Relations from the Bronze Age to the Venetian Period, </w:t>
      </w:r>
      <w:r w:rsidRPr="004B46DB">
        <w:rPr>
          <w:sz w:val="24"/>
          <w:szCs w:val="24"/>
        </w:rPr>
        <w:t>Oxford: Oxbow Books, pp. 133</w:t>
      </w:r>
      <w:r w:rsidRPr="004B46DB">
        <w:rPr>
          <w:sz w:val="24"/>
          <w:szCs w:val="24"/>
        </w:rPr>
        <w:noBreakHyphen/>
        <w:t>152.</w:t>
      </w:r>
    </w:p>
    <w:p w14:paraId="126829E5" w14:textId="77777777" w:rsidR="004B46DB" w:rsidRPr="004B46DB" w:rsidRDefault="004B46DB" w:rsidP="004B46DB">
      <w:pPr>
        <w:pStyle w:val="FootnoteText"/>
        <w:spacing w:after="160"/>
        <w:rPr>
          <w:sz w:val="24"/>
          <w:szCs w:val="24"/>
        </w:rPr>
      </w:pPr>
      <w:r w:rsidRPr="004B46DB">
        <w:rPr>
          <w:sz w:val="24"/>
          <w:szCs w:val="24"/>
        </w:rPr>
        <w:t>STEEL, L., 2020. Feats of Clay: Considering the Materiality of Late Bronze Age Cyprus. </w:t>
      </w:r>
      <w:r w:rsidRPr="004B46DB">
        <w:rPr>
          <w:i/>
          <w:iCs/>
          <w:sz w:val="24"/>
          <w:szCs w:val="24"/>
        </w:rPr>
        <w:t>Sustainability, </w:t>
      </w:r>
      <w:r w:rsidRPr="004B46DB">
        <w:rPr>
          <w:sz w:val="24"/>
          <w:szCs w:val="24"/>
        </w:rPr>
        <w:t>12(17), pp. 6942.</w:t>
      </w:r>
    </w:p>
    <w:p w14:paraId="411BFAC0" w14:textId="77777777" w:rsidR="004B46DB" w:rsidRPr="004B46DB" w:rsidRDefault="004B46DB" w:rsidP="004B46DB">
      <w:pPr>
        <w:pStyle w:val="FootnoteText"/>
        <w:spacing w:after="160"/>
        <w:rPr>
          <w:sz w:val="24"/>
          <w:szCs w:val="24"/>
        </w:rPr>
      </w:pPr>
      <w:r w:rsidRPr="004B46DB">
        <w:rPr>
          <w:sz w:val="24"/>
          <w:szCs w:val="24"/>
        </w:rPr>
        <w:t>STEEL, L., 2002. </w:t>
      </w:r>
      <w:r w:rsidRPr="004B46DB">
        <w:rPr>
          <w:i/>
          <w:iCs/>
          <w:sz w:val="24"/>
          <w:szCs w:val="24"/>
        </w:rPr>
        <w:t>Cyprus before history : from the earliest settlers to the end of the Bronze Age. </w:t>
      </w:r>
      <w:r w:rsidRPr="004B46DB">
        <w:rPr>
          <w:sz w:val="24"/>
          <w:szCs w:val="24"/>
        </w:rPr>
        <w:t>London: Duckworth.</w:t>
      </w:r>
    </w:p>
    <w:p w14:paraId="696F794E" w14:textId="01761298" w:rsidR="004B46DB" w:rsidRPr="004B46DB" w:rsidRDefault="004B46DB" w:rsidP="004B46DB">
      <w:pPr>
        <w:pStyle w:val="FootnoteText"/>
        <w:spacing w:after="160"/>
        <w:rPr>
          <w:sz w:val="24"/>
          <w:szCs w:val="24"/>
        </w:rPr>
      </w:pPr>
      <w:r w:rsidRPr="004B46DB">
        <w:rPr>
          <w:sz w:val="24"/>
          <w:szCs w:val="24"/>
        </w:rPr>
        <w:t>WEBB, J., 2014. Ritual as the setting for contentious interaction: from social negotiation to institutionalised authority in Bronze Age Cyprus. In: KNAPP</w:t>
      </w:r>
      <w:r w:rsidR="00162B11">
        <w:rPr>
          <w:sz w:val="24"/>
          <w:szCs w:val="24"/>
        </w:rPr>
        <w:t xml:space="preserve"> &amp;</w:t>
      </w:r>
      <w:r w:rsidRPr="004B46DB">
        <w:rPr>
          <w:sz w:val="24"/>
          <w:szCs w:val="24"/>
        </w:rPr>
        <w:t xml:space="preserve"> VAN DOMMELEN, eds, </w:t>
      </w:r>
      <w:r w:rsidRPr="004B46DB">
        <w:rPr>
          <w:i/>
          <w:iCs/>
          <w:sz w:val="24"/>
          <w:szCs w:val="24"/>
        </w:rPr>
        <w:t>The Cambridge Prehistory of the Bronze and Iron Age Mediterranean World. </w:t>
      </w:r>
      <w:r w:rsidRPr="004B46DB">
        <w:rPr>
          <w:sz w:val="24"/>
          <w:szCs w:val="24"/>
        </w:rPr>
        <w:t>Cambridge: Cambridge University Press, pp. 619–634.</w:t>
      </w:r>
    </w:p>
    <w:p w14:paraId="6E3C7C68" w14:textId="77777777" w:rsidR="0052574B" w:rsidRPr="00FC2D21" w:rsidRDefault="0052574B" w:rsidP="00AF0D92">
      <w:pPr>
        <w:pStyle w:val="FootnoteText"/>
        <w:spacing w:after="160" w:line="480" w:lineRule="auto"/>
        <w:rPr>
          <w:sz w:val="24"/>
          <w:szCs w:val="24"/>
        </w:rPr>
      </w:pPr>
    </w:p>
    <w:sectPr w:rsidR="0052574B" w:rsidRPr="00FC2D21" w:rsidSect="00F97B0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25668" w14:textId="77777777" w:rsidR="00C759FD" w:rsidRPr="00984996" w:rsidRDefault="00C759FD" w:rsidP="006F3F93">
      <w:pPr>
        <w:spacing w:after="0"/>
      </w:pPr>
      <w:r w:rsidRPr="00984996">
        <w:separator/>
      </w:r>
    </w:p>
  </w:endnote>
  <w:endnote w:type="continuationSeparator" w:id="0">
    <w:p w14:paraId="241B7017" w14:textId="77777777" w:rsidR="00C759FD" w:rsidRPr="00984996" w:rsidRDefault="00C759FD" w:rsidP="006F3F93">
      <w:pPr>
        <w:spacing w:after="0"/>
      </w:pPr>
      <w:r w:rsidRPr="009849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676156"/>
      <w:docPartObj>
        <w:docPartGallery w:val="Page Numbers (Bottom of Page)"/>
        <w:docPartUnique/>
      </w:docPartObj>
    </w:sdtPr>
    <w:sdtContent>
      <w:sdt>
        <w:sdtPr>
          <w:id w:val="-1705238520"/>
          <w:docPartObj>
            <w:docPartGallery w:val="Page Numbers (Top of Page)"/>
            <w:docPartUnique/>
          </w:docPartObj>
        </w:sdtPr>
        <w:sdtContent>
          <w:p w14:paraId="6DD1D463" w14:textId="1F281F5C" w:rsidR="00E00E66" w:rsidRPr="00984996" w:rsidRDefault="00E00E66">
            <w:pPr>
              <w:pStyle w:val="Footer"/>
            </w:pPr>
            <w:r w:rsidRPr="00984996">
              <w:t>HPAH7014-2025-I-Critical Review</w:t>
            </w:r>
            <w:r w:rsidRPr="00984996">
              <w:tab/>
              <w:t>2310535</w:t>
            </w:r>
            <w:r w:rsidRPr="00984996">
              <w:tab/>
              <w:t xml:space="preserve">Page </w:t>
            </w:r>
            <w:r w:rsidRPr="00984996">
              <w:rPr>
                <w:b/>
                <w:bCs/>
              </w:rPr>
              <w:fldChar w:fldCharType="begin"/>
            </w:r>
            <w:r w:rsidRPr="00984996">
              <w:rPr>
                <w:b/>
                <w:bCs/>
              </w:rPr>
              <w:instrText xml:space="preserve"> PAGE </w:instrText>
            </w:r>
            <w:r w:rsidRPr="00984996">
              <w:rPr>
                <w:b/>
                <w:bCs/>
              </w:rPr>
              <w:fldChar w:fldCharType="separate"/>
            </w:r>
            <w:r w:rsidRPr="00984996">
              <w:rPr>
                <w:b/>
                <w:bCs/>
              </w:rPr>
              <w:t>2</w:t>
            </w:r>
            <w:r w:rsidRPr="00984996">
              <w:rPr>
                <w:b/>
                <w:bCs/>
              </w:rPr>
              <w:fldChar w:fldCharType="end"/>
            </w:r>
            <w:r w:rsidRPr="00984996">
              <w:t xml:space="preserve"> of </w:t>
            </w:r>
            <w:r w:rsidRPr="00984996">
              <w:rPr>
                <w:b/>
                <w:bCs/>
              </w:rPr>
              <w:fldChar w:fldCharType="begin"/>
            </w:r>
            <w:r w:rsidRPr="00984996">
              <w:rPr>
                <w:b/>
                <w:bCs/>
              </w:rPr>
              <w:instrText xml:space="preserve"> NUMPAGES  </w:instrText>
            </w:r>
            <w:r w:rsidRPr="00984996">
              <w:rPr>
                <w:b/>
                <w:bCs/>
              </w:rPr>
              <w:fldChar w:fldCharType="separate"/>
            </w:r>
            <w:r w:rsidRPr="00984996">
              <w:rPr>
                <w:b/>
                <w:bCs/>
              </w:rPr>
              <w:t>2</w:t>
            </w:r>
            <w:r w:rsidRPr="00984996">
              <w:rPr>
                <w:b/>
                <w:bCs/>
              </w:rPr>
              <w:fldChar w:fldCharType="end"/>
            </w:r>
          </w:p>
        </w:sdtContent>
      </w:sdt>
    </w:sdtContent>
  </w:sdt>
  <w:p w14:paraId="03BE4944" w14:textId="77777777" w:rsidR="00E00E66" w:rsidRPr="00984996" w:rsidRDefault="00E00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5F97D" w14:textId="77777777" w:rsidR="00C759FD" w:rsidRPr="00984996" w:rsidRDefault="00C759FD" w:rsidP="006F3F93">
      <w:pPr>
        <w:spacing w:after="0"/>
      </w:pPr>
      <w:r w:rsidRPr="00984996">
        <w:separator/>
      </w:r>
    </w:p>
  </w:footnote>
  <w:footnote w:type="continuationSeparator" w:id="0">
    <w:p w14:paraId="019797BF" w14:textId="77777777" w:rsidR="00C759FD" w:rsidRPr="00984996" w:rsidRDefault="00C759FD" w:rsidP="006F3F93">
      <w:pPr>
        <w:spacing w:after="0"/>
      </w:pPr>
      <w:r w:rsidRPr="00984996">
        <w:continuationSeparator/>
      </w:r>
    </w:p>
  </w:footnote>
  <w:footnote w:id="1">
    <w:p w14:paraId="63FFEA63" w14:textId="46A8F8C5" w:rsidR="00300208" w:rsidRPr="00300208" w:rsidRDefault="00300208" w:rsidP="00300208">
      <w:pPr>
        <w:pStyle w:val="FootnoteText"/>
        <w:spacing w:after="120"/>
        <w:rPr>
          <w:rFonts w:asciiTheme="minorHAnsi" w:hAnsiTheme="minorHAnsi" w:cstheme="minorHAnsi"/>
          <w:sz w:val="22"/>
          <w:szCs w:val="22"/>
        </w:rPr>
      </w:pPr>
      <w:r>
        <w:rPr>
          <w:rStyle w:val="FootnoteReference"/>
        </w:rPr>
        <w:footnoteRef/>
      </w:r>
      <w:r>
        <w:t xml:space="preserve"> </w:t>
      </w:r>
      <w:r w:rsidRPr="00300208">
        <w:rPr>
          <w:rFonts w:asciiTheme="minorHAnsi" w:hAnsiTheme="minorHAnsi" w:cstheme="minorHAnsi"/>
          <w:sz w:val="22"/>
          <w:szCs w:val="22"/>
        </w:rPr>
        <w:t>Word count net of headings, footnotes, bibliography, etc. = 1604.</w:t>
      </w:r>
    </w:p>
  </w:footnote>
  <w:footnote w:id="2">
    <w:p w14:paraId="5EA684B1" w14:textId="0CDBB421" w:rsidR="004110D8" w:rsidRPr="00300208" w:rsidRDefault="004110D8"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Kieburg, 2008.</w:t>
      </w:r>
      <w:r w:rsidR="00367401" w:rsidRPr="00300208">
        <w:rPr>
          <w:rFonts w:asciiTheme="minorHAnsi" w:hAnsiTheme="minorHAnsi" w:cstheme="minorHAnsi"/>
          <w:sz w:val="22"/>
          <w:szCs w:val="22"/>
        </w:rPr>
        <w:t xml:space="preserve"> In attempting to review this article there has been a significant problem in that </w:t>
      </w:r>
      <w:r w:rsidR="00B94A7F" w:rsidRPr="00300208">
        <w:rPr>
          <w:rFonts w:asciiTheme="minorHAnsi" w:hAnsiTheme="minorHAnsi" w:cstheme="minorHAnsi"/>
          <w:sz w:val="22"/>
          <w:szCs w:val="22"/>
        </w:rPr>
        <w:t xml:space="preserve">a number </w:t>
      </w:r>
      <w:r w:rsidR="00367401" w:rsidRPr="00300208">
        <w:rPr>
          <w:rFonts w:asciiTheme="minorHAnsi" w:hAnsiTheme="minorHAnsi" w:cstheme="minorHAnsi"/>
          <w:sz w:val="22"/>
          <w:szCs w:val="22"/>
        </w:rPr>
        <w:t>of the author’s citations, such as the works of Catling, V. &amp; J. Karageo</w:t>
      </w:r>
      <w:r w:rsidR="004F380B" w:rsidRPr="00300208">
        <w:rPr>
          <w:rFonts w:asciiTheme="minorHAnsi" w:hAnsiTheme="minorHAnsi" w:cstheme="minorHAnsi"/>
          <w:sz w:val="22"/>
          <w:szCs w:val="22"/>
        </w:rPr>
        <w:t>r</w:t>
      </w:r>
      <w:r w:rsidR="00367401" w:rsidRPr="00300208">
        <w:rPr>
          <w:rFonts w:asciiTheme="minorHAnsi" w:hAnsiTheme="minorHAnsi" w:cstheme="minorHAnsi"/>
          <w:sz w:val="22"/>
          <w:szCs w:val="22"/>
        </w:rPr>
        <w:t xml:space="preserve">ghis, Schaeffer and others, have been </w:t>
      </w:r>
      <w:r w:rsidR="00713FA3" w:rsidRPr="00300208">
        <w:rPr>
          <w:rFonts w:asciiTheme="minorHAnsi" w:hAnsiTheme="minorHAnsi" w:cstheme="minorHAnsi"/>
          <w:sz w:val="22"/>
          <w:szCs w:val="22"/>
        </w:rPr>
        <w:t>un</w:t>
      </w:r>
      <w:r w:rsidR="00367401" w:rsidRPr="00300208">
        <w:rPr>
          <w:rFonts w:asciiTheme="minorHAnsi" w:hAnsiTheme="minorHAnsi" w:cstheme="minorHAnsi"/>
          <w:sz w:val="22"/>
          <w:szCs w:val="22"/>
        </w:rPr>
        <w:t xml:space="preserve">available from the UWTSD library. The author relies heavily on these and other works, but proper reference to the propriety of the references has been difficult. </w:t>
      </w:r>
    </w:p>
  </w:footnote>
  <w:footnote w:id="3">
    <w:p w14:paraId="05DF370D" w14:textId="06A33911" w:rsidR="009C7143" w:rsidRPr="00300208" w:rsidRDefault="009C7143"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Kieburg, 2016.</w:t>
      </w:r>
    </w:p>
  </w:footnote>
  <w:footnote w:id="4">
    <w:p w14:paraId="262C36E0" w14:textId="3AF32A90" w:rsidR="009C7143" w:rsidRPr="00300208" w:rsidRDefault="009C7143"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7E2604" w:rsidRPr="00330401">
        <w:rPr>
          <w:rFonts w:asciiTheme="minorHAnsi" w:hAnsiTheme="minorHAnsi" w:cstheme="minorHAnsi"/>
          <w:sz w:val="22"/>
          <w:szCs w:val="22"/>
        </w:rPr>
        <w:t>https://www.leiza.de/ueber-uns/team/person/anna-kieburg</w:t>
      </w:r>
      <w:r w:rsidR="007E2604" w:rsidRPr="00300208">
        <w:rPr>
          <w:rFonts w:asciiTheme="minorHAnsi" w:hAnsiTheme="minorHAnsi" w:cstheme="minorHAnsi"/>
          <w:sz w:val="22"/>
          <w:szCs w:val="22"/>
        </w:rPr>
        <w:t>. This web page lists other scholarly work by the author: none appear to have any content related to Cyprus.</w:t>
      </w:r>
    </w:p>
  </w:footnote>
  <w:footnote w:id="5">
    <w:p w14:paraId="37B67F57" w14:textId="1B8BAE5A" w:rsidR="009C7143" w:rsidRPr="00300208" w:rsidRDefault="009C7143"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The </w:t>
      </w:r>
      <w:r w:rsidR="003B7D0E" w:rsidRPr="00300208">
        <w:rPr>
          <w:rFonts w:asciiTheme="minorHAnsi" w:hAnsiTheme="minorHAnsi" w:cstheme="minorHAnsi"/>
          <w:sz w:val="22"/>
          <w:szCs w:val="22"/>
        </w:rPr>
        <w:t>principal narrative of the threesome is an ‘inner story’ related at Homer: Odyssey, VIII:266-366, subsequently used by Ovid and</w:t>
      </w:r>
      <w:r w:rsidR="00350603" w:rsidRPr="00300208">
        <w:rPr>
          <w:rFonts w:asciiTheme="minorHAnsi" w:hAnsiTheme="minorHAnsi" w:cstheme="minorHAnsi"/>
          <w:sz w:val="22"/>
          <w:szCs w:val="22"/>
        </w:rPr>
        <w:t xml:space="preserve"> in the Hyginus Fabulae</w:t>
      </w:r>
      <w:r w:rsidR="003B7D0E" w:rsidRPr="00300208">
        <w:rPr>
          <w:rFonts w:asciiTheme="minorHAnsi" w:hAnsiTheme="minorHAnsi" w:cstheme="minorHAnsi"/>
          <w:sz w:val="22"/>
          <w:szCs w:val="22"/>
        </w:rPr>
        <w:t>, b</w:t>
      </w:r>
      <w:r w:rsidR="00220FD3" w:rsidRPr="00300208">
        <w:rPr>
          <w:rFonts w:asciiTheme="minorHAnsi" w:hAnsiTheme="minorHAnsi" w:cstheme="minorHAnsi"/>
          <w:sz w:val="22"/>
          <w:szCs w:val="22"/>
        </w:rPr>
        <w:t>ut</w:t>
      </w:r>
      <w:r w:rsidR="003B7D0E" w:rsidRPr="00300208">
        <w:rPr>
          <w:rFonts w:asciiTheme="minorHAnsi" w:hAnsiTheme="minorHAnsi" w:cstheme="minorHAnsi"/>
          <w:sz w:val="22"/>
          <w:szCs w:val="22"/>
        </w:rPr>
        <w:t xml:space="preserve"> ignored by Apollodorus.</w:t>
      </w:r>
      <w:r w:rsidR="00220FD3" w:rsidRPr="00300208">
        <w:rPr>
          <w:rFonts w:asciiTheme="minorHAnsi" w:hAnsiTheme="minorHAnsi" w:cstheme="minorHAnsi"/>
          <w:sz w:val="22"/>
          <w:szCs w:val="22"/>
        </w:rPr>
        <w:t xml:space="preserve"> Kieburg terms this “fable”.</w:t>
      </w:r>
    </w:p>
  </w:footnote>
  <w:footnote w:id="6">
    <w:p w14:paraId="759E1C8C" w14:textId="4392A6BE" w:rsidR="00616A01" w:rsidRPr="00300208" w:rsidRDefault="00616A01"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Known as Homeric due to style and metre rather than actually by the author of Iliad and Odyssey. The </w:t>
      </w:r>
      <w:r w:rsidR="009D45A7" w:rsidRPr="00300208">
        <w:rPr>
          <w:rFonts w:asciiTheme="minorHAnsi" w:hAnsiTheme="minorHAnsi" w:cstheme="minorHAnsi"/>
          <w:sz w:val="22"/>
          <w:szCs w:val="22"/>
        </w:rPr>
        <w:t xml:space="preserve">opening of the </w:t>
      </w:r>
      <w:r w:rsidRPr="00300208">
        <w:rPr>
          <w:rFonts w:asciiTheme="minorHAnsi" w:hAnsiTheme="minorHAnsi" w:cstheme="minorHAnsi"/>
          <w:sz w:val="22"/>
          <w:szCs w:val="22"/>
        </w:rPr>
        <w:t xml:space="preserve">Hymn also calls </w:t>
      </w:r>
      <w:r w:rsidR="006B3B03" w:rsidRPr="00300208">
        <w:rPr>
          <w:rFonts w:asciiTheme="minorHAnsi" w:hAnsiTheme="minorHAnsi" w:cstheme="minorHAnsi"/>
          <w:sz w:val="22"/>
          <w:szCs w:val="22"/>
        </w:rPr>
        <w:t>H</w:t>
      </w:r>
      <w:r w:rsidRPr="00300208">
        <w:rPr>
          <w:rFonts w:asciiTheme="minorHAnsi" w:hAnsiTheme="minorHAnsi" w:cstheme="minorHAnsi"/>
          <w:sz w:val="22"/>
          <w:szCs w:val="22"/>
        </w:rPr>
        <w:t>er Cytherea (</w:t>
      </w:r>
      <w:r w:rsidR="006B3B03" w:rsidRPr="00300208">
        <w:rPr>
          <w:rFonts w:asciiTheme="minorHAnsi" w:hAnsiTheme="minorHAnsi" w:cstheme="minorHAnsi"/>
          <w:sz w:val="22"/>
          <w:szCs w:val="22"/>
        </w:rPr>
        <w:t>i.e.</w:t>
      </w:r>
      <w:r w:rsidRPr="00300208">
        <w:rPr>
          <w:rFonts w:asciiTheme="minorHAnsi" w:hAnsiTheme="minorHAnsi" w:cstheme="minorHAnsi"/>
          <w:sz w:val="22"/>
          <w:szCs w:val="22"/>
        </w:rPr>
        <w:t xml:space="preserve"> of the island Kythira, south of the Peloponnese): it does not mention the indignity of </w:t>
      </w:r>
      <w:r w:rsidR="006B3B03" w:rsidRPr="00300208">
        <w:rPr>
          <w:rFonts w:asciiTheme="minorHAnsi" w:hAnsiTheme="minorHAnsi" w:cstheme="minorHAnsi"/>
          <w:sz w:val="22"/>
          <w:szCs w:val="22"/>
        </w:rPr>
        <w:t xml:space="preserve">Aphrodite </w:t>
      </w:r>
      <w:r w:rsidRPr="00300208">
        <w:rPr>
          <w:rFonts w:asciiTheme="minorHAnsi" w:hAnsiTheme="minorHAnsi" w:cstheme="minorHAnsi"/>
          <w:sz w:val="22"/>
          <w:szCs w:val="22"/>
        </w:rPr>
        <w:t xml:space="preserve">being caught </w:t>
      </w:r>
      <w:r w:rsidRPr="00300208">
        <w:rPr>
          <w:rFonts w:asciiTheme="minorHAnsi" w:hAnsiTheme="minorHAnsi" w:cstheme="minorHAnsi"/>
          <w:i/>
          <w:iCs/>
          <w:sz w:val="22"/>
          <w:szCs w:val="22"/>
        </w:rPr>
        <w:t>in flagrante</w:t>
      </w:r>
      <w:r w:rsidRPr="00300208">
        <w:rPr>
          <w:rFonts w:asciiTheme="minorHAnsi" w:hAnsiTheme="minorHAnsi" w:cstheme="minorHAnsi"/>
          <w:sz w:val="22"/>
          <w:szCs w:val="22"/>
        </w:rPr>
        <w:t>.</w:t>
      </w:r>
    </w:p>
  </w:footnote>
  <w:footnote w:id="7">
    <w:p w14:paraId="7A040605" w14:textId="296F9D29" w:rsidR="009D45A7" w:rsidRPr="00300208" w:rsidRDefault="009D45A7"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From the translation by Hugh G. Evelyn-White, at www.perseus.tufts.edu.</w:t>
      </w:r>
    </w:p>
  </w:footnote>
  <w:footnote w:id="8">
    <w:p w14:paraId="422AE82E" w14:textId="1CCF5ED5" w:rsidR="00771D5D" w:rsidRPr="00300208" w:rsidRDefault="00771D5D"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lang w:val="fr-FR"/>
        </w:rPr>
        <w:t xml:space="preserve"> Kieburg cites Schaeffer 1971: Les peuples de la mer et leurs sanctuaires à Enkomi-Alasia aux XIIe – XIe s. au N.E., pp. 506-510), in Schaeffer, C. F.-A. (ed.) </w:t>
      </w:r>
      <w:r w:rsidRPr="00300208">
        <w:rPr>
          <w:rFonts w:asciiTheme="minorHAnsi" w:hAnsiTheme="minorHAnsi" w:cstheme="minorHAnsi"/>
          <w:sz w:val="22"/>
          <w:szCs w:val="22"/>
        </w:rPr>
        <w:t>Alasia I – Mission archéologique d’Alasia, Paris</w:t>
      </w:r>
      <w:r w:rsidR="00B94A7F" w:rsidRPr="00300208">
        <w:rPr>
          <w:rFonts w:asciiTheme="minorHAnsi" w:hAnsiTheme="minorHAnsi" w:cstheme="minorHAnsi"/>
          <w:sz w:val="22"/>
          <w:szCs w:val="22"/>
        </w:rPr>
        <w:t xml:space="preserve">. </w:t>
      </w:r>
      <w:r w:rsidRPr="00300208">
        <w:rPr>
          <w:rFonts w:asciiTheme="minorHAnsi" w:hAnsiTheme="minorHAnsi" w:cstheme="minorHAnsi"/>
          <w:sz w:val="22"/>
          <w:szCs w:val="22"/>
        </w:rPr>
        <w:t>It has not been possible to obtain this text.</w:t>
      </w:r>
    </w:p>
  </w:footnote>
  <w:footnote w:id="9">
    <w:p w14:paraId="6572EEF0" w14:textId="7CAFE540" w:rsidR="00F94EAC" w:rsidRPr="00300208" w:rsidRDefault="00F94EAC"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Eliade, 1978, pp. 41-42 and passim. </w:t>
      </w:r>
    </w:p>
  </w:footnote>
  <w:footnote w:id="10">
    <w:p w14:paraId="229A8BA2" w14:textId="29894135" w:rsidR="00F94EAC" w:rsidRPr="00300208" w:rsidRDefault="00F94EAC"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Eliade, 1978, pp. 27-40 discusses the ‘magic’ of metallurgy in the Iron Age, and further extensively on the association of smiths and shamans.</w:t>
      </w:r>
    </w:p>
  </w:footnote>
  <w:footnote w:id="11">
    <w:p w14:paraId="2213023F" w14:textId="553C2135" w:rsidR="00B45802" w:rsidRPr="00300208" w:rsidRDefault="00B45802"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E00E66" w:rsidRPr="00300208">
        <w:rPr>
          <w:rFonts w:asciiTheme="minorHAnsi" w:hAnsiTheme="minorHAnsi" w:cstheme="minorHAnsi"/>
          <w:sz w:val="22"/>
          <w:szCs w:val="22"/>
        </w:rPr>
        <w:t xml:space="preserve">The name </w:t>
      </w:r>
      <w:r w:rsidR="00E00E66" w:rsidRPr="004B3A7F">
        <w:rPr>
          <w:rFonts w:asciiTheme="minorHAnsi" w:hAnsiTheme="minorHAnsi" w:cstheme="minorHAnsi"/>
          <w:i/>
          <w:iCs/>
          <w:sz w:val="22"/>
          <w:szCs w:val="22"/>
        </w:rPr>
        <w:t>Alashiya</w:t>
      </w:r>
      <w:r w:rsidR="00E00E66" w:rsidRPr="00300208">
        <w:rPr>
          <w:rFonts w:asciiTheme="minorHAnsi" w:hAnsiTheme="minorHAnsi" w:cstheme="minorHAnsi"/>
          <w:sz w:val="22"/>
          <w:szCs w:val="22"/>
        </w:rPr>
        <w:t xml:space="preserve"> appears in Late </w:t>
      </w:r>
      <w:r w:rsidR="00175BA6" w:rsidRPr="00300208">
        <w:rPr>
          <w:rFonts w:asciiTheme="minorHAnsi" w:hAnsiTheme="minorHAnsi" w:cstheme="minorHAnsi"/>
          <w:sz w:val="22"/>
          <w:szCs w:val="22"/>
        </w:rPr>
        <w:t>B</w:t>
      </w:r>
      <w:r w:rsidR="00E00E66" w:rsidRPr="00300208">
        <w:rPr>
          <w:rFonts w:asciiTheme="minorHAnsi" w:hAnsiTheme="minorHAnsi" w:cstheme="minorHAnsi"/>
          <w:sz w:val="22"/>
          <w:szCs w:val="22"/>
        </w:rPr>
        <w:t xml:space="preserve">ronze Age texts from Egypt and other states: Cyprus, </w:t>
      </w:r>
      <w:r w:rsidR="00175BA6" w:rsidRPr="00300208">
        <w:rPr>
          <w:rFonts w:asciiTheme="minorHAnsi" w:hAnsiTheme="minorHAnsi" w:cstheme="minorHAnsi"/>
          <w:sz w:val="22"/>
          <w:szCs w:val="22"/>
        </w:rPr>
        <w:t>al</w:t>
      </w:r>
      <w:r w:rsidR="00E00E66" w:rsidRPr="00300208">
        <w:rPr>
          <w:rFonts w:asciiTheme="minorHAnsi" w:hAnsiTheme="minorHAnsi" w:cstheme="minorHAnsi"/>
          <w:sz w:val="22"/>
          <w:szCs w:val="22"/>
        </w:rPr>
        <w:t xml:space="preserve">though thought not to be a unified polity at this point, seems the best candidate, but the question remains debateable (Steel, </w:t>
      </w:r>
      <w:r w:rsidR="00175BA6" w:rsidRPr="00300208">
        <w:rPr>
          <w:rFonts w:asciiTheme="minorHAnsi" w:hAnsiTheme="minorHAnsi" w:cstheme="minorHAnsi"/>
          <w:sz w:val="22"/>
          <w:szCs w:val="22"/>
        </w:rPr>
        <w:t xml:space="preserve">2002, </w:t>
      </w:r>
      <w:r w:rsidR="00E00E66" w:rsidRPr="00300208">
        <w:rPr>
          <w:rFonts w:asciiTheme="minorHAnsi" w:hAnsiTheme="minorHAnsi" w:cstheme="minorHAnsi"/>
          <w:sz w:val="22"/>
          <w:szCs w:val="22"/>
        </w:rPr>
        <w:t>pp. 183-186).</w:t>
      </w:r>
      <w:r w:rsidRPr="00300208">
        <w:rPr>
          <w:rFonts w:asciiTheme="minorHAnsi" w:hAnsiTheme="minorHAnsi" w:cstheme="minorHAnsi"/>
          <w:sz w:val="22"/>
          <w:szCs w:val="22"/>
        </w:rPr>
        <w:t>It has not been possible to obtain copies of the</w:t>
      </w:r>
      <w:r w:rsidR="00B94A7F" w:rsidRPr="00300208">
        <w:rPr>
          <w:rFonts w:asciiTheme="minorHAnsi" w:hAnsiTheme="minorHAnsi" w:cstheme="minorHAnsi"/>
          <w:sz w:val="22"/>
          <w:szCs w:val="22"/>
        </w:rPr>
        <w:t xml:space="preserve"> reports</w:t>
      </w:r>
      <w:r w:rsidRPr="00300208">
        <w:rPr>
          <w:rFonts w:asciiTheme="minorHAnsi" w:hAnsiTheme="minorHAnsi" w:cstheme="minorHAnsi"/>
          <w:sz w:val="22"/>
          <w:szCs w:val="22"/>
        </w:rPr>
        <w:t xml:space="preserve"> via the UWTSD library. </w:t>
      </w:r>
    </w:p>
  </w:footnote>
  <w:footnote w:id="12">
    <w:p w14:paraId="3C76A275" w14:textId="00A03BAA" w:rsidR="00655A77" w:rsidRPr="00300208" w:rsidRDefault="00655A77"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To be fair, the introductory paragraph at least does not use this word, referring instead to Aphrodite as Goddess of all types of love (and sexuality), including the “passionate”. Goddesses, as generally presented in ‘mythology’, actually seem rather less ‘fertile’ than mortal women of the period, frequently celibate, often with but a single ‘child’.</w:t>
      </w:r>
    </w:p>
  </w:footnote>
  <w:footnote w:id="13">
    <w:p w14:paraId="4E4A0254" w14:textId="59AE4C44" w:rsidR="00B45802" w:rsidRPr="00300208" w:rsidRDefault="00B45802"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655A77" w:rsidRPr="00300208">
        <w:rPr>
          <w:rFonts w:asciiTheme="minorHAnsi" w:hAnsiTheme="minorHAnsi" w:cstheme="minorHAnsi"/>
          <w:sz w:val="22"/>
          <w:szCs w:val="22"/>
        </w:rPr>
        <w:t>Budin</w:t>
      </w:r>
      <w:r w:rsidR="00771D5D" w:rsidRPr="00300208">
        <w:rPr>
          <w:rFonts w:asciiTheme="minorHAnsi" w:hAnsiTheme="minorHAnsi" w:cstheme="minorHAnsi"/>
          <w:sz w:val="22"/>
          <w:szCs w:val="22"/>
        </w:rPr>
        <w:t xml:space="preserve">, 2014, p. 195, deliberately </w:t>
      </w:r>
      <w:r w:rsidR="00655A77" w:rsidRPr="00300208">
        <w:rPr>
          <w:rFonts w:asciiTheme="minorHAnsi" w:hAnsiTheme="minorHAnsi" w:cstheme="minorHAnsi"/>
          <w:sz w:val="22"/>
          <w:szCs w:val="22"/>
        </w:rPr>
        <w:t>uses the name ‘Kypris’</w:t>
      </w:r>
      <w:r w:rsidR="00771D5D" w:rsidRPr="00300208">
        <w:rPr>
          <w:rFonts w:asciiTheme="minorHAnsi" w:hAnsiTheme="minorHAnsi" w:cstheme="minorHAnsi"/>
          <w:sz w:val="22"/>
          <w:szCs w:val="22"/>
        </w:rPr>
        <w:t xml:space="preserve"> to refer to the native Cypriot Goddess as opposed to the Hellenic Aphrodite.</w:t>
      </w:r>
      <w:r w:rsidR="00B61EF5" w:rsidRPr="00300208">
        <w:rPr>
          <w:rFonts w:asciiTheme="minorHAnsi" w:hAnsiTheme="minorHAnsi" w:cstheme="minorHAnsi"/>
          <w:sz w:val="22"/>
          <w:szCs w:val="22"/>
        </w:rPr>
        <w:t>(This follows Homer variously in the Iliad.)</w:t>
      </w:r>
    </w:p>
  </w:footnote>
  <w:footnote w:id="14">
    <w:p w14:paraId="064D3D06" w14:textId="6C6C0776" w:rsidR="00A31354" w:rsidRPr="00300208" w:rsidRDefault="00A3135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Budin, 2014, p. 201.</w:t>
      </w:r>
      <w:r w:rsidR="007E2604" w:rsidRPr="00300208">
        <w:rPr>
          <w:rFonts w:asciiTheme="minorHAnsi" w:hAnsiTheme="minorHAnsi" w:cstheme="minorHAnsi"/>
          <w:sz w:val="22"/>
          <w:szCs w:val="22"/>
        </w:rPr>
        <w:t xml:space="preserve"> A deeper analysis of this issue must remain beyond the scope of this review.</w:t>
      </w:r>
    </w:p>
  </w:footnote>
  <w:footnote w:id="15">
    <w:p w14:paraId="0E24A51D" w14:textId="1DB4BA58" w:rsidR="00B52904" w:rsidRPr="00300208" w:rsidRDefault="00B529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6E50E1" w:rsidRPr="00300208">
        <w:rPr>
          <w:rFonts w:asciiTheme="minorHAnsi" w:hAnsiTheme="minorHAnsi" w:cstheme="minorHAnsi"/>
          <w:sz w:val="22"/>
          <w:szCs w:val="22"/>
        </w:rPr>
        <w:t xml:space="preserve">Whether this </w:t>
      </w:r>
      <w:r w:rsidR="00336CF4" w:rsidRPr="00300208">
        <w:rPr>
          <w:rFonts w:asciiTheme="minorHAnsi" w:hAnsiTheme="minorHAnsi" w:cstheme="minorHAnsi"/>
          <w:sz w:val="22"/>
          <w:szCs w:val="22"/>
        </w:rPr>
        <w:t>‘</w:t>
      </w:r>
      <w:r w:rsidR="006E50E1" w:rsidRPr="00300208">
        <w:rPr>
          <w:rFonts w:asciiTheme="minorHAnsi" w:hAnsiTheme="minorHAnsi" w:cstheme="minorHAnsi"/>
          <w:sz w:val="22"/>
          <w:szCs w:val="22"/>
        </w:rPr>
        <w:t>immigration</w:t>
      </w:r>
      <w:r w:rsidR="00336CF4" w:rsidRPr="00300208">
        <w:rPr>
          <w:rFonts w:asciiTheme="minorHAnsi" w:hAnsiTheme="minorHAnsi" w:cstheme="minorHAnsi"/>
          <w:sz w:val="22"/>
          <w:szCs w:val="22"/>
        </w:rPr>
        <w:t>’</w:t>
      </w:r>
      <w:r w:rsidR="006E50E1" w:rsidRPr="00300208">
        <w:rPr>
          <w:rFonts w:asciiTheme="minorHAnsi" w:hAnsiTheme="minorHAnsi" w:cstheme="minorHAnsi"/>
          <w:sz w:val="22"/>
          <w:szCs w:val="22"/>
        </w:rPr>
        <w:t xml:space="preserve"> was reasonably peaceful</w:t>
      </w:r>
      <w:r w:rsidR="00336CF4" w:rsidRPr="00300208">
        <w:rPr>
          <w:rFonts w:asciiTheme="minorHAnsi" w:hAnsiTheme="minorHAnsi" w:cstheme="minorHAnsi"/>
          <w:sz w:val="22"/>
          <w:szCs w:val="22"/>
        </w:rPr>
        <w:t xml:space="preserve"> or</w:t>
      </w:r>
      <w:r w:rsidR="006E50E1" w:rsidRPr="00300208">
        <w:rPr>
          <w:rFonts w:asciiTheme="minorHAnsi" w:hAnsiTheme="minorHAnsi" w:cstheme="minorHAnsi"/>
          <w:sz w:val="22"/>
          <w:szCs w:val="22"/>
        </w:rPr>
        <w:t xml:space="preserve"> rather more violent remains in question. </w:t>
      </w:r>
      <w:r w:rsidRPr="00300208">
        <w:rPr>
          <w:rFonts w:asciiTheme="minorHAnsi" w:hAnsiTheme="minorHAnsi" w:cstheme="minorHAnsi"/>
          <w:sz w:val="22"/>
          <w:szCs w:val="22"/>
        </w:rPr>
        <w:t>Karag</w:t>
      </w:r>
      <w:r w:rsidR="000852A8" w:rsidRPr="00300208">
        <w:rPr>
          <w:rFonts w:asciiTheme="minorHAnsi" w:hAnsiTheme="minorHAnsi" w:cstheme="minorHAnsi"/>
          <w:sz w:val="22"/>
          <w:szCs w:val="22"/>
        </w:rPr>
        <w:t>eorghis, 2015, suggests that the Achaeans “appropriated holy places and made them more imposing”.</w:t>
      </w:r>
      <w:r w:rsidR="006E50E1" w:rsidRPr="00300208">
        <w:rPr>
          <w:rFonts w:asciiTheme="minorHAnsi" w:hAnsiTheme="minorHAnsi" w:cstheme="minorHAnsi"/>
          <w:sz w:val="22"/>
          <w:szCs w:val="22"/>
        </w:rPr>
        <w:t xml:space="preserve"> Webb, 2014, p. 624, argues “a series of destructions or abandonments…did not…involve a radical break”.</w:t>
      </w:r>
    </w:p>
  </w:footnote>
  <w:footnote w:id="16">
    <w:p w14:paraId="2EDEFE83" w14:textId="02A9BB48" w:rsidR="00B52904" w:rsidRPr="00300208" w:rsidRDefault="00B529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C96485" w:rsidRPr="00300208">
        <w:rPr>
          <w:rFonts w:asciiTheme="minorHAnsi" w:hAnsiTheme="minorHAnsi" w:cstheme="minorHAnsi"/>
          <w:sz w:val="22"/>
          <w:szCs w:val="22"/>
        </w:rPr>
        <w:t xml:space="preserve">This is a massive topic, far beyond the scope of this essay. </w:t>
      </w:r>
      <w:r w:rsidR="00EC2B6D" w:rsidRPr="00300208">
        <w:rPr>
          <w:rFonts w:asciiTheme="minorHAnsi" w:hAnsiTheme="minorHAnsi" w:cstheme="minorHAnsi"/>
          <w:sz w:val="22"/>
          <w:szCs w:val="22"/>
        </w:rPr>
        <w:t xml:space="preserve">Goodison and Morris, 1998, p. 6, note that neither side of the controversy speaks to the other. </w:t>
      </w:r>
      <w:r w:rsidR="00C96485" w:rsidRPr="00300208">
        <w:rPr>
          <w:rFonts w:asciiTheme="minorHAnsi" w:hAnsiTheme="minorHAnsi" w:cstheme="minorHAnsi"/>
          <w:sz w:val="22"/>
          <w:szCs w:val="22"/>
        </w:rPr>
        <w:t xml:space="preserve">In reviewing some of the material, Ulbrich, </w:t>
      </w:r>
      <w:r w:rsidR="00026200" w:rsidRPr="00300208">
        <w:rPr>
          <w:rFonts w:asciiTheme="minorHAnsi" w:hAnsiTheme="minorHAnsi" w:cstheme="minorHAnsi"/>
          <w:sz w:val="22"/>
          <w:szCs w:val="22"/>
        </w:rPr>
        <w:t xml:space="preserve">2016, </w:t>
      </w:r>
      <w:r w:rsidR="00C96485" w:rsidRPr="00300208">
        <w:rPr>
          <w:rFonts w:asciiTheme="minorHAnsi" w:hAnsiTheme="minorHAnsi" w:cstheme="minorHAnsi"/>
          <w:sz w:val="22"/>
          <w:szCs w:val="22"/>
        </w:rPr>
        <w:t xml:space="preserve">appears a fair presentation. Agata and Hermary, 2012, p. 279, have the </w:t>
      </w:r>
      <w:r w:rsidR="00EC2B6D" w:rsidRPr="00300208">
        <w:rPr>
          <w:rFonts w:asciiTheme="minorHAnsi" w:hAnsiTheme="minorHAnsi" w:cstheme="minorHAnsi"/>
          <w:sz w:val="22"/>
          <w:szCs w:val="22"/>
        </w:rPr>
        <w:t xml:space="preserve">more unusual </w:t>
      </w:r>
      <w:r w:rsidR="00C96485" w:rsidRPr="00300208">
        <w:rPr>
          <w:rFonts w:asciiTheme="minorHAnsi" w:hAnsiTheme="minorHAnsi" w:cstheme="minorHAnsi"/>
          <w:sz w:val="22"/>
          <w:szCs w:val="22"/>
        </w:rPr>
        <w:t>concept (unexplained) of a ‘Double Goddess’ at Enkomi.</w:t>
      </w:r>
    </w:p>
  </w:footnote>
  <w:footnote w:id="17">
    <w:p w14:paraId="3BD6AB2D" w14:textId="4C5F5342" w:rsidR="00B52904" w:rsidRPr="00300208" w:rsidRDefault="00B529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This writer’s University of Swansea BA essay, 2021, </w:t>
      </w:r>
      <w:r w:rsidR="005F570F" w:rsidRPr="00300208">
        <w:rPr>
          <w:rFonts w:asciiTheme="minorHAnsi" w:hAnsiTheme="minorHAnsi" w:cstheme="minorHAnsi"/>
          <w:sz w:val="22"/>
          <w:szCs w:val="22"/>
        </w:rPr>
        <w:t xml:space="preserve">‘Lady of Byblos’, </w:t>
      </w:r>
      <w:r w:rsidRPr="00300208">
        <w:rPr>
          <w:rFonts w:asciiTheme="minorHAnsi" w:hAnsiTheme="minorHAnsi" w:cstheme="minorHAnsi"/>
          <w:sz w:val="22"/>
          <w:szCs w:val="22"/>
        </w:rPr>
        <w:t>might be detected in a ‘self-plagiarism check</w:t>
      </w:r>
      <w:r w:rsidR="005F570F" w:rsidRPr="00300208">
        <w:rPr>
          <w:rFonts w:asciiTheme="minorHAnsi" w:hAnsiTheme="minorHAnsi" w:cstheme="minorHAnsi"/>
          <w:sz w:val="22"/>
          <w:szCs w:val="22"/>
        </w:rPr>
        <w:t xml:space="preserve">’. Representations of Baalat Gebal are close to those of Hathor, Herself often described as a ‘Love Goddess’ and equivalenced to Aphrodite in </w:t>
      </w:r>
      <w:r w:rsidR="005F570F" w:rsidRPr="00300208">
        <w:rPr>
          <w:rFonts w:asciiTheme="minorHAnsi" w:hAnsiTheme="minorHAnsi" w:cstheme="minorHAnsi"/>
          <w:i/>
          <w:iCs/>
          <w:sz w:val="22"/>
          <w:szCs w:val="22"/>
        </w:rPr>
        <w:t>Interpretatio Graeca.</w:t>
      </w:r>
    </w:p>
  </w:footnote>
  <w:footnote w:id="18">
    <w:p w14:paraId="3571B10B" w14:textId="757E00DB" w:rsidR="00B52904" w:rsidRPr="00300208" w:rsidRDefault="00B529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Knapp, 2013, p. 38.</w:t>
      </w:r>
      <w:r w:rsidR="00300208" w:rsidRPr="00300208">
        <w:rPr>
          <w:rFonts w:asciiTheme="minorHAnsi" w:hAnsiTheme="minorHAnsi" w:cstheme="minorHAnsi"/>
          <w:sz w:val="22"/>
          <w:szCs w:val="22"/>
        </w:rPr>
        <w:t xml:space="preserve"> Karageorghis, 2015, nonetheless argues that the wealth of Cypriot kings mid-2</w:t>
      </w:r>
      <w:r w:rsidR="00300208" w:rsidRPr="00300208">
        <w:rPr>
          <w:rFonts w:asciiTheme="minorHAnsi" w:hAnsiTheme="minorHAnsi" w:cstheme="minorHAnsi"/>
          <w:sz w:val="22"/>
          <w:szCs w:val="22"/>
          <w:vertAlign w:val="superscript"/>
        </w:rPr>
        <w:t>nd</w:t>
      </w:r>
      <w:r w:rsidR="00300208" w:rsidRPr="00300208">
        <w:rPr>
          <w:rFonts w:asciiTheme="minorHAnsi" w:hAnsiTheme="minorHAnsi" w:cstheme="minorHAnsi"/>
          <w:sz w:val="22"/>
          <w:szCs w:val="22"/>
        </w:rPr>
        <w:t xml:space="preserve"> millennium BCE was comparable to that of Egypt and the Levant.</w:t>
      </w:r>
      <w:r w:rsidR="00300208" w:rsidRPr="00300208">
        <w:rPr>
          <w:rStyle w:val="FootnoteReference"/>
          <w:rFonts w:asciiTheme="minorHAnsi" w:hAnsiTheme="minorHAnsi" w:cstheme="minorHAnsi"/>
          <w:sz w:val="22"/>
          <w:szCs w:val="22"/>
        </w:rPr>
        <w:footnoteRef/>
      </w:r>
    </w:p>
  </w:footnote>
  <w:footnote w:id="19">
    <w:p w14:paraId="622BAEAF" w14:textId="77777777" w:rsidR="00AC02BB" w:rsidRPr="00300208" w:rsidRDefault="00AC02BB" w:rsidP="00300208">
      <w:pPr>
        <w:pStyle w:val="FootnoteText"/>
        <w:spacing w:after="120"/>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Budin, 2000, p. 19. LC II is dated approximately as 1450-1200 BCE.</w:t>
      </w:r>
    </w:p>
  </w:footnote>
  <w:footnote w:id="20">
    <w:p w14:paraId="20CAFB3C" w14:textId="5E4BF9D7" w:rsidR="004609AA" w:rsidRPr="00300208" w:rsidRDefault="004609AA"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216.</w:t>
      </w:r>
    </w:p>
  </w:footnote>
  <w:footnote w:id="21">
    <w:p w14:paraId="06EBE95C" w14:textId="77777777" w:rsidR="001F1B4F" w:rsidRPr="00300208" w:rsidRDefault="001F1B4F"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217.</w:t>
      </w:r>
    </w:p>
  </w:footnote>
  <w:footnote w:id="22">
    <w:p w14:paraId="2364239F" w14:textId="77777777" w:rsidR="001F1B4F" w:rsidRPr="00300208" w:rsidRDefault="001F1B4F"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The Institute of Archaeomythology defines its work as “an interdisciplinary approach to cultural research with particular emphasis on the beliefs, rituals, social structure and symbolism of past and present societies”. (https://www.archaeomythology.org/)</w:t>
      </w:r>
    </w:p>
  </w:footnote>
  <w:footnote w:id="23">
    <w:p w14:paraId="22E945CA" w14:textId="44A53725" w:rsidR="006915B2" w:rsidRPr="00300208" w:rsidRDefault="006915B2"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The work of Budin, for example, is not mentioned.</w:t>
      </w:r>
    </w:p>
  </w:footnote>
  <w:footnote w:id="24">
    <w:p w14:paraId="392FFB13" w14:textId="4B4240BA" w:rsidR="00585409" w:rsidRPr="00300208" w:rsidRDefault="00585409"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Both these sites are on the eastern littoral of Cyprus, Kition encompassed by modern Larnaca, Enkomi some 50 km further north, near the ‘archaeological attraction’ of Salamis.</w:t>
      </w:r>
      <w:r w:rsidR="00336CF4" w:rsidRPr="00300208">
        <w:rPr>
          <w:rFonts w:asciiTheme="minorHAnsi" w:hAnsiTheme="minorHAnsi" w:cstheme="minorHAnsi"/>
          <w:sz w:val="22"/>
          <w:szCs w:val="22"/>
        </w:rPr>
        <w:t xml:space="preserve"> Webb, 2014, p. 624, argues that increased external demand for copper led to a move to the coastal area. Both sites were largely destroyed by earthquake / tsunami around 1075 BCE. </w:t>
      </w:r>
    </w:p>
  </w:footnote>
  <w:footnote w:id="25">
    <w:p w14:paraId="26B4963B" w14:textId="42911A9D" w:rsidR="006B71EC" w:rsidRPr="00300208" w:rsidRDefault="006B71EC"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pp. 211-212. Dating of Cypriot archaeology is mostly by archaeologically-defined relative periods rather than by calendar years.</w:t>
      </w:r>
      <w:r w:rsidR="001C677B" w:rsidRPr="00300208">
        <w:rPr>
          <w:rFonts w:asciiTheme="minorHAnsi" w:hAnsiTheme="minorHAnsi" w:cstheme="minorHAnsi"/>
          <w:sz w:val="22"/>
          <w:szCs w:val="22"/>
        </w:rPr>
        <w:t xml:space="preserve"> The appearance of ‘Achaeans’ is often linked to the Sea Peoples known from Egyptian texts (</w:t>
      </w:r>
      <w:r w:rsidR="00DB6689" w:rsidRPr="00300208">
        <w:rPr>
          <w:rFonts w:asciiTheme="minorHAnsi" w:hAnsiTheme="minorHAnsi" w:cstheme="minorHAnsi"/>
          <w:sz w:val="22"/>
          <w:szCs w:val="22"/>
        </w:rPr>
        <w:t xml:space="preserve">eg. </w:t>
      </w:r>
      <w:r w:rsidR="001C677B" w:rsidRPr="00300208">
        <w:rPr>
          <w:rFonts w:asciiTheme="minorHAnsi" w:hAnsiTheme="minorHAnsi" w:cstheme="minorHAnsi"/>
          <w:sz w:val="22"/>
          <w:szCs w:val="22"/>
        </w:rPr>
        <w:t xml:space="preserve">Schaeffer </w:t>
      </w:r>
      <w:r w:rsidR="00DB6689" w:rsidRPr="00300208">
        <w:rPr>
          <w:rFonts w:asciiTheme="minorHAnsi" w:hAnsiTheme="minorHAnsi" w:cstheme="minorHAnsi"/>
          <w:sz w:val="22"/>
          <w:szCs w:val="22"/>
        </w:rPr>
        <w:t>1965, p. 57</w:t>
      </w:r>
      <w:r w:rsidR="001C677B" w:rsidRPr="00300208">
        <w:rPr>
          <w:rFonts w:asciiTheme="minorHAnsi" w:hAnsiTheme="minorHAnsi" w:cstheme="minorHAnsi"/>
          <w:sz w:val="22"/>
          <w:szCs w:val="22"/>
        </w:rPr>
        <w:t xml:space="preserve">) </w:t>
      </w:r>
    </w:p>
  </w:footnote>
  <w:footnote w:id="26">
    <w:p w14:paraId="4998BBA6" w14:textId="2070DEAC" w:rsidR="00B03C4D" w:rsidRPr="00300208" w:rsidRDefault="00B03C4D"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655A77" w:rsidRPr="00300208">
        <w:rPr>
          <w:rFonts w:asciiTheme="minorHAnsi" w:hAnsiTheme="minorHAnsi" w:cstheme="minorHAnsi"/>
          <w:sz w:val="22"/>
          <w:szCs w:val="22"/>
        </w:rPr>
        <w:t>Karageorghis, 2013.</w:t>
      </w:r>
    </w:p>
  </w:footnote>
  <w:footnote w:id="27">
    <w:p w14:paraId="6C6E08F9" w14:textId="6CA0DE70" w:rsidR="006E7447" w:rsidRPr="00300208" w:rsidRDefault="006E7447"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211. </w:t>
      </w:r>
      <w:r w:rsidR="00585409" w:rsidRPr="00300208">
        <w:rPr>
          <w:rFonts w:asciiTheme="minorHAnsi" w:hAnsiTheme="minorHAnsi" w:cstheme="minorHAnsi"/>
          <w:sz w:val="22"/>
          <w:szCs w:val="22"/>
        </w:rPr>
        <w:t>Kieburg</w:t>
      </w:r>
      <w:r w:rsidRPr="00300208">
        <w:rPr>
          <w:rFonts w:asciiTheme="minorHAnsi" w:hAnsiTheme="minorHAnsi" w:cstheme="minorHAnsi"/>
          <w:sz w:val="22"/>
          <w:szCs w:val="22"/>
        </w:rPr>
        <w:t xml:space="preserve"> considers Him “comparable to Ishtar’s consort, Tammuz”: </w:t>
      </w:r>
      <w:r w:rsidR="00585409" w:rsidRPr="00300208">
        <w:rPr>
          <w:rFonts w:asciiTheme="minorHAnsi" w:hAnsiTheme="minorHAnsi" w:cstheme="minorHAnsi"/>
          <w:sz w:val="22"/>
          <w:szCs w:val="22"/>
        </w:rPr>
        <w:t xml:space="preserve">however, </w:t>
      </w:r>
      <w:r w:rsidR="00367401" w:rsidRPr="00300208">
        <w:rPr>
          <w:rFonts w:asciiTheme="minorHAnsi" w:hAnsiTheme="minorHAnsi" w:cstheme="minorHAnsi"/>
          <w:sz w:val="22"/>
          <w:szCs w:val="22"/>
        </w:rPr>
        <w:t>given the precise content of the Tammuz myths</w:t>
      </w:r>
      <w:r w:rsidR="00585409" w:rsidRPr="00300208">
        <w:rPr>
          <w:rFonts w:asciiTheme="minorHAnsi" w:hAnsiTheme="minorHAnsi" w:cstheme="minorHAnsi"/>
          <w:sz w:val="22"/>
          <w:szCs w:val="22"/>
        </w:rPr>
        <w:t>,</w:t>
      </w:r>
      <w:r w:rsidR="00367401" w:rsidRPr="00300208">
        <w:rPr>
          <w:rFonts w:asciiTheme="minorHAnsi" w:hAnsiTheme="minorHAnsi" w:cstheme="minorHAnsi"/>
          <w:sz w:val="22"/>
          <w:szCs w:val="22"/>
        </w:rPr>
        <w:t xml:space="preserve"> it is difficult to see a point of comparison other than </w:t>
      </w:r>
      <w:r w:rsidRPr="00300208">
        <w:rPr>
          <w:rFonts w:asciiTheme="minorHAnsi" w:hAnsiTheme="minorHAnsi" w:cstheme="minorHAnsi"/>
          <w:sz w:val="22"/>
          <w:szCs w:val="22"/>
        </w:rPr>
        <w:t>masculinity.</w:t>
      </w:r>
    </w:p>
  </w:footnote>
  <w:footnote w:id="28">
    <w:p w14:paraId="1B57E9C0" w14:textId="722E9778" w:rsidR="00AF55AE" w:rsidRPr="00300208" w:rsidRDefault="00AF55AE"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C5121B" w:rsidRPr="00300208">
        <w:rPr>
          <w:rFonts w:asciiTheme="minorHAnsi" w:hAnsiTheme="minorHAnsi" w:cstheme="minorHAnsi"/>
          <w:sz w:val="22"/>
          <w:szCs w:val="22"/>
        </w:rPr>
        <w:t xml:space="preserve">The figurine is about 35 cm, discovered 1963. </w:t>
      </w:r>
      <w:r w:rsidRPr="00300208">
        <w:rPr>
          <w:rFonts w:asciiTheme="minorHAnsi" w:hAnsiTheme="minorHAnsi" w:cstheme="minorHAnsi"/>
          <w:sz w:val="22"/>
          <w:szCs w:val="22"/>
        </w:rPr>
        <w:t>Now in National Museum of Cyprus, Lefkosia. Photograph</w:t>
      </w:r>
      <w:r w:rsidR="00330401">
        <w:rPr>
          <w:rFonts w:asciiTheme="minorHAnsi" w:hAnsiTheme="minorHAnsi" w:cstheme="minorHAnsi"/>
          <w:sz w:val="22"/>
          <w:szCs w:val="22"/>
        </w:rPr>
        <w:t xml:space="preserve"> also Kieburg, 2008</w:t>
      </w:r>
      <w:r w:rsidRPr="00300208">
        <w:rPr>
          <w:rFonts w:asciiTheme="minorHAnsi" w:hAnsiTheme="minorHAnsi" w:cstheme="minorHAnsi"/>
          <w:sz w:val="22"/>
          <w:szCs w:val="22"/>
        </w:rPr>
        <w:t>, p</w:t>
      </w:r>
      <w:r w:rsidR="001C677B" w:rsidRPr="00300208">
        <w:rPr>
          <w:rFonts w:asciiTheme="minorHAnsi" w:hAnsiTheme="minorHAnsi" w:cstheme="minorHAnsi"/>
          <w:sz w:val="22"/>
          <w:szCs w:val="22"/>
        </w:rPr>
        <w:t xml:space="preserve">. </w:t>
      </w:r>
      <w:r w:rsidRPr="00300208">
        <w:rPr>
          <w:rFonts w:asciiTheme="minorHAnsi" w:hAnsiTheme="minorHAnsi" w:cstheme="minorHAnsi"/>
          <w:sz w:val="22"/>
          <w:szCs w:val="22"/>
        </w:rPr>
        <w:t xml:space="preserve">228. </w:t>
      </w:r>
    </w:p>
  </w:footnote>
  <w:footnote w:id="29">
    <w:p w14:paraId="4A29D39B" w14:textId="3B55C16B" w:rsidR="00C5121B" w:rsidRPr="00300208" w:rsidRDefault="00C5121B"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Schaeffer, 1965, p. 56.</w:t>
      </w:r>
    </w:p>
  </w:footnote>
  <w:footnote w:id="30">
    <w:p w14:paraId="33520697" w14:textId="3F10CEB1" w:rsidR="00AF55AE" w:rsidRPr="00300208" w:rsidRDefault="00AF55AE"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This attribute of Hepha</w:t>
      </w:r>
      <w:r w:rsidR="006F57FF" w:rsidRPr="00300208">
        <w:rPr>
          <w:rFonts w:asciiTheme="minorHAnsi" w:hAnsiTheme="minorHAnsi" w:cstheme="minorHAnsi"/>
          <w:sz w:val="22"/>
          <w:szCs w:val="22"/>
        </w:rPr>
        <w:t>e</w:t>
      </w:r>
      <w:r w:rsidRPr="00300208">
        <w:rPr>
          <w:rFonts w:asciiTheme="minorHAnsi" w:hAnsiTheme="minorHAnsi" w:cstheme="minorHAnsi"/>
          <w:sz w:val="22"/>
          <w:szCs w:val="22"/>
        </w:rPr>
        <w:t xml:space="preserve">stus has been linked to an endemic lead and arsenic poisoning of Cypriot metal workers, sufficient to cause peripheral neuropathies. </w:t>
      </w:r>
      <w:r w:rsidR="00330401">
        <w:rPr>
          <w:rFonts w:asciiTheme="minorHAnsi" w:hAnsiTheme="minorHAnsi" w:cstheme="minorHAnsi"/>
          <w:sz w:val="22"/>
          <w:szCs w:val="22"/>
        </w:rPr>
        <w:t xml:space="preserve">Some </w:t>
      </w:r>
      <w:r w:rsidR="00946F0F" w:rsidRPr="00300208">
        <w:rPr>
          <w:rFonts w:asciiTheme="minorHAnsi" w:hAnsiTheme="minorHAnsi" w:cstheme="minorHAnsi"/>
          <w:sz w:val="22"/>
          <w:szCs w:val="22"/>
        </w:rPr>
        <w:t xml:space="preserve">medical opinion, however, </w:t>
      </w:r>
      <w:r w:rsidR="00ED1213" w:rsidRPr="00300208">
        <w:rPr>
          <w:rFonts w:asciiTheme="minorHAnsi" w:hAnsiTheme="minorHAnsi" w:cstheme="minorHAnsi"/>
          <w:sz w:val="22"/>
          <w:szCs w:val="22"/>
        </w:rPr>
        <w:t xml:space="preserve">e.g. </w:t>
      </w:r>
      <w:r w:rsidR="00946F0F" w:rsidRPr="00300208">
        <w:rPr>
          <w:rFonts w:asciiTheme="minorHAnsi" w:hAnsiTheme="minorHAnsi" w:cstheme="minorHAnsi"/>
          <w:sz w:val="22"/>
          <w:szCs w:val="22"/>
        </w:rPr>
        <w:t xml:space="preserve">Bazopoulou-Kyrkanidou, 1997, p153, argues that Hephaestus’ </w:t>
      </w:r>
      <w:r w:rsidR="00296810">
        <w:rPr>
          <w:rFonts w:asciiTheme="minorHAnsi" w:hAnsiTheme="minorHAnsi" w:cstheme="minorHAnsi"/>
          <w:sz w:val="22"/>
          <w:szCs w:val="22"/>
        </w:rPr>
        <w:t xml:space="preserve">supposed </w:t>
      </w:r>
      <w:r w:rsidR="00946F0F" w:rsidRPr="00300208">
        <w:rPr>
          <w:rFonts w:asciiTheme="minorHAnsi" w:hAnsiTheme="minorHAnsi" w:cstheme="minorHAnsi"/>
          <w:sz w:val="22"/>
          <w:szCs w:val="22"/>
        </w:rPr>
        <w:t>disability is</w:t>
      </w:r>
      <w:r w:rsidR="00296810">
        <w:rPr>
          <w:rFonts w:asciiTheme="minorHAnsi" w:hAnsiTheme="minorHAnsi" w:cstheme="minorHAnsi"/>
          <w:sz w:val="22"/>
          <w:szCs w:val="22"/>
        </w:rPr>
        <w:t xml:space="preserve"> of a</w:t>
      </w:r>
      <w:r w:rsidR="00946F0F" w:rsidRPr="00300208">
        <w:rPr>
          <w:rFonts w:asciiTheme="minorHAnsi" w:hAnsiTheme="minorHAnsi" w:cstheme="minorHAnsi"/>
          <w:sz w:val="22"/>
          <w:szCs w:val="22"/>
        </w:rPr>
        <w:t xml:space="preserve"> congenital </w:t>
      </w:r>
      <w:r w:rsidR="00296810" w:rsidRPr="00300208">
        <w:rPr>
          <w:rFonts w:asciiTheme="minorHAnsi" w:hAnsiTheme="minorHAnsi" w:cstheme="minorHAnsi"/>
          <w:sz w:val="22"/>
          <w:szCs w:val="22"/>
        </w:rPr>
        <w:t>rather than environmental</w:t>
      </w:r>
      <w:r w:rsidR="00296810">
        <w:rPr>
          <w:rFonts w:asciiTheme="minorHAnsi" w:hAnsiTheme="minorHAnsi" w:cstheme="minorHAnsi"/>
          <w:sz w:val="22"/>
          <w:szCs w:val="22"/>
        </w:rPr>
        <w:t xml:space="preserve"> nature</w:t>
      </w:r>
      <w:r w:rsidR="00946F0F" w:rsidRPr="00300208">
        <w:rPr>
          <w:rFonts w:asciiTheme="minorHAnsi" w:hAnsiTheme="minorHAnsi" w:cstheme="minorHAnsi"/>
          <w:sz w:val="22"/>
          <w:szCs w:val="22"/>
        </w:rPr>
        <w:t xml:space="preserve">. </w:t>
      </w:r>
      <w:r w:rsidR="0077531E" w:rsidRPr="00300208">
        <w:rPr>
          <w:rFonts w:asciiTheme="minorHAnsi" w:hAnsiTheme="minorHAnsi" w:cstheme="minorHAnsi"/>
          <w:sz w:val="22"/>
          <w:szCs w:val="22"/>
        </w:rPr>
        <w:t>There do not indeed appear to be any male figurines indicating disability (though of course many are damaged).</w:t>
      </w:r>
    </w:p>
  </w:footnote>
  <w:footnote w:id="31">
    <w:p w14:paraId="1B2D9316" w14:textId="35CB59A1" w:rsidR="00655A77" w:rsidRPr="00330401" w:rsidRDefault="00655A77" w:rsidP="00300208">
      <w:pPr>
        <w:pStyle w:val="FootnoteText"/>
        <w:spacing w:after="120"/>
        <w:mirrorIndents/>
        <w:rPr>
          <w:rFonts w:asciiTheme="minorHAnsi" w:hAnsiTheme="minorHAnsi" w:cstheme="minorHAnsi"/>
          <w:sz w:val="22"/>
          <w:szCs w:val="22"/>
          <w:lang w:val="fr-FR"/>
        </w:rPr>
      </w:pPr>
      <w:r w:rsidRPr="00300208">
        <w:rPr>
          <w:rStyle w:val="FootnoteReference"/>
          <w:rFonts w:asciiTheme="minorHAnsi" w:hAnsiTheme="minorHAnsi" w:cstheme="minorHAnsi"/>
          <w:sz w:val="22"/>
          <w:szCs w:val="22"/>
        </w:rPr>
        <w:footnoteRef/>
      </w:r>
      <w:r w:rsidRPr="00330401">
        <w:rPr>
          <w:rFonts w:asciiTheme="minorHAnsi" w:hAnsiTheme="minorHAnsi" w:cstheme="minorHAnsi"/>
          <w:sz w:val="22"/>
          <w:szCs w:val="22"/>
          <w:lang w:val="fr-FR"/>
        </w:rPr>
        <w:t xml:space="preserve"> </w:t>
      </w:r>
      <w:r w:rsidR="00953A35" w:rsidRPr="00330401">
        <w:rPr>
          <w:rFonts w:asciiTheme="minorHAnsi" w:hAnsiTheme="minorHAnsi" w:cstheme="minorHAnsi"/>
          <w:sz w:val="22"/>
          <w:szCs w:val="22"/>
          <w:lang w:val="fr-FR"/>
        </w:rPr>
        <w:t xml:space="preserve">p. 215, </w:t>
      </w:r>
      <w:r w:rsidRPr="00330401">
        <w:rPr>
          <w:rFonts w:asciiTheme="minorHAnsi" w:hAnsiTheme="minorHAnsi" w:cstheme="minorHAnsi"/>
          <w:sz w:val="22"/>
          <w:szCs w:val="22"/>
          <w:lang w:val="fr-FR"/>
        </w:rPr>
        <w:t>Illustration p. 229</w:t>
      </w:r>
      <w:r w:rsidR="00330401">
        <w:rPr>
          <w:rFonts w:asciiTheme="minorHAnsi" w:hAnsiTheme="minorHAnsi" w:cstheme="minorHAnsi"/>
          <w:sz w:val="22"/>
          <w:szCs w:val="22"/>
          <w:lang w:val="fr-FR"/>
        </w:rPr>
        <w:t>.</w:t>
      </w:r>
    </w:p>
  </w:footnote>
  <w:footnote w:id="32">
    <w:p w14:paraId="0FCC0E96" w14:textId="6D84807C" w:rsidR="004F380B" w:rsidRPr="00300208" w:rsidRDefault="004F380B" w:rsidP="00300208">
      <w:pPr>
        <w:pStyle w:val="FootnoteText"/>
        <w:spacing w:after="120"/>
        <w:rPr>
          <w:rFonts w:asciiTheme="minorHAnsi" w:hAnsiTheme="minorHAnsi" w:cstheme="minorHAnsi"/>
          <w:sz w:val="22"/>
          <w:szCs w:val="22"/>
          <w:lang w:val="fr-FR"/>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lang w:val="fr-FR"/>
        </w:rPr>
        <w:t xml:space="preserve"> Image source: https://www.nationalgeographic.com/history/history-magazine/article/enkomi-cyprus-ancient-city-copper-bronze </w:t>
      </w:r>
    </w:p>
  </w:footnote>
  <w:footnote w:id="33">
    <w:p w14:paraId="59D15EA2" w14:textId="77777777" w:rsidR="0077531E" w:rsidRPr="00330401" w:rsidRDefault="0077531E"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30401">
        <w:rPr>
          <w:rFonts w:asciiTheme="minorHAnsi" w:hAnsiTheme="minorHAnsi" w:cstheme="minorHAnsi"/>
          <w:sz w:val="22"/>
          <w:szCs w:val="22"/>
        </w:rPr>
        <w:t xml:space="preserve"> p. 212.</w:t>
      </w:r>
    </w:p>
  </w:footnote>
  <w:footnote w:id="34">
    <w:p w14:paraId="7E8E4202" w14:textId="2164849E" w:rsidR="00B173CC" w:rsidRPr="00300208" w:rsidRDefault="00B173CC"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B61EF5" w:rsidRPr="00300208">
        <w:rPr>
          <w:rFonts w:asciiTheme="minorHAnsi" w:hAnsiTheme="minorHAnsi" w:cstheme="minorHAnsi"/>
          <w:sz w:val="22"/>
          <w:szCs w:val="22"/>
        </w:rPr>
        <w:t>Karageorghis &amp; Kassianidou, 1999, p. 171.</w:t>
      </w:r>
      <w:r w:rsidR="0077531E" w:rsidRPr="00300208">
        <w:rPr>
          <w:rFonts w:asciiTheme="minorHAnsi" w:hAnsiTheme="minorHAnsi" w:cstheme="minorHAnsi"/>
          <w:sz w:val="22"/>
          <w:szCs w:val="22"/>
        </w:rPr>
        <w:t xml:space="preserve"> Steel, 2002, p. 178, notes an absence at the sanctuary of artefacts for primary smelting, suggesting the metallurgical waste the remnant of secondary refining. Karageorghis and Kassanidou similarly discuss ‘recycling’ of older metal.</w:t>
      </w:r>
      <w:r w:rsidR="00336CF4" w:rsidRPr="00300208">
        <w:rPr>
          <w:rFonts w:asciiTheme="minorHAnsi" w:hAnsiTheme="minorHAnsi" w:cstheme="minorHAnsi"/>
          <w:sz w:val="22"/>
          <w:szCs w:val="22"/>
        </w:rPr>
        <w:t xml:space="preserve"> Webb, 2014, p. 628, briefly reviews discussion as to the nature of the interaction between cult and industry.</w:t>
      </w:r>
      <w:r w:rsidR="006915B2" w:rsidRPr="00300208">
        <w:rPr>
          <w:rFonts w:asciiTheme="minorHAnsi" w:hAnsiTheme="minorHAnsi" w:cstheme="minorHAnsi"/>
          <w:sz w:val="22"/>
          <w:szCs w:val="22"/>
        </w:rPr>
        <w:t xml:space="preserve"> </w:t>
      </w:r>
    </w:p>
  </w:footnote>
  <w:footnote w:id="35">
    <w:p w14:paraId="37726AD8" w14:textId="5B5110B5" w:rsidR="00372115" w:rsidRPr="00300208" w:rsidRDefault="0037211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Kieburg cites Karageorghis, V. and Demas, M. 1985. </w:t>
      </w:r>
      <w:r w:rsidRPr="00300208">
        <w:rPr>
          <w:rFonts w:asciiTheme="minorHAnsi" w:hAnsiTheme="minorHAnsi" w:cstheme="minorHAnsi"/>
          <w:i/>
          <w:iCs/>
          <w:sz w:val="22"/>
          <w:szCs w:val="22"/>
        </w:rPr>
        <w:t>Excavations at Kition V. The Pre-Phoenician Levels Areas I and II. Part 1.</w:t>
      </w:r>
      <w:r w:rsidRPr="00300208">
        <w:rPr>
          <w:rFonts w:asciiTheme="minorHAnsi" w:hAnsiTheme="minorHAnsi" w:cstheme="minorHAnsi"/>
          <w:sz w:val="22"/>
          <w:szCs w:val="22"/>
        </w:rPr>
        <w:t xml:space="preserve"> </w:t>
      </w:r>
      <w:r w:rsidR="00B52904" w:rsidRPr="00300208">
        <w:rPr>
          <w:rFonts w:asciiTheme="minorHAnsi" w:hAnsiTheme="minorHAnsi" w:cstheme="minorHAnsi"/>
          <w:sz w:val="22"/>
          <w:szCs w:val="22"/>
        </w:rPr>
        <w:t>p</w:t>
      </w:r>
      <w:r w:rsidRPr="00300208">
        <w:rPr>
          <w:rFonts w:asciiTheme="minorHAnsi" w:hAnsiTheme="minorHAnsi" w:cstheme="minorHAnsi"/>
          <w:sz w:val="22"/>
          <w:szCs w:val="22"/>
        </w:rPr>
        <w:t>p. 253-254: This text has not been available.</w:t>
      </w:r>
    </w:p>
  </w:footnote>
  <w:footnote w:id="36">
    <w:p w14:paraId="71DD7BE9" w14:textId="0EAFFCC9" w:rsidR="004B46DB" w:rsidRPr="00300208" w:rsidRDefault="004B46DB" w:rsidP="00300208">
      <w:pPr>
        <w:pStyle w:val="FootnoteText"/>
        <w:spacing w:after="120"/>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Karageorghis, 2005, pp. 133-156</w:t>
      </w:r>
    </w:p>
  </w:footnote>
  <w:footnote w:id="37">
    <w:p w14:paraId="4612EF47" w14:textId="740B8E79" w:rsidR="007E2604" w:rsidRPr="00300208" w:rsidRDefault="007E26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Webb, 2014, p. 631.</w:t>
      </w:r>
      <w:r w:rsidR="00AE0A15" w:rsidRPr="00300208">
        <w:rPr>
          <w:rFonts w:asciiTheme="minorHAnsi" w:hAnsiTheme="minorHAnsi" w:cstheme="minorHAnsi"/>
          <w:sz w:val="22"/>
          <w:szCs w:val="22"/>
        </w:rPr>
        <w:t xml:space="preserve"> Spigelman, 2012, also discusses the relationship between industry and cult. Whilst recognising the Ingot God as “found in a clearly ritual setting”, h</w:t>
      </w:r>
      <w:r w:rsidR="004B46DB" w:rsidRPr="00300208">
        <w:rPr>
          <w:rFonts w:asciiTheme="minorHAnsi" w:hAnsiTheme="minorHAnsi" w:cstheme="minorHAnsi"/>
          <w:sz w:val="22"/>
          <w:szCs w:val="22"/>
        </w:rPr>
        <w:t xml:space="preserve">is approach is rather different, </w:t>
      </w:r>
      <w:r w:rsidR="00AE0A15" w:rsidRPr="00300208">
        <w:rPr>
          <w:rFonts w:asciiTheme="minorHAnsi" w:hAnsiTheme="minorHAnsi" w:cstheme="minorHAnsi"/>
          <w:sz w:val="22"/>
          <w:szCs w:val="22"/>
        </w:rPr>
        <w:t>describ</w:t>
      </w:r>
      <w:r w:rsidR="004B46DB" w:rsidRPr="00300208">
        <w:rPr>
          <w:rFonts w:asciiTheme="minorHAnsi" w:hAnsiTheme="minorHAnsi" w:cstheme="minorHAnsi"/>
          <w:sz w:val="22"/>
          <w:szCs w:val="22"/>
        </w:rPr>
        <w:t xml:space="preserve">ing </w:t>
      </w:r>
      <w:r w:rsidR="00AE0A15" w:rsidRPr="00300208">
        <w:rPr>
          <w:rFonts w:asciiTheme="minorHAnsi" w:hAnsiTheme="minorHAnsi" w:cstheme="minorHAnsi"/>
          <w:sz w:val="22"/>
          <w:szCs w:val="22"/>
        </w:rPr>
        <w:t>the Enkomi sanctuary as a short-lived failure “to transform a revitalisation movement into a formal institution” (p. 146).</w:t>
      </w:r>
    </w:p>
  </w:footnote>
  <w:footnote w:id="38">
    <w:p w14:paraId="6E0328F1" w14:textId="77777777" w:rsidR="00927AE7" w:rsidRPr="00300208" w:rsidRDefault="00927AE7"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Alberghini, 2023, p. 15.</w:t>
      </w:r>
    </w:p>
  </w:footnote>
  <w:footnote w:id="39">
    <w:p w14:paraId="41F5254A" w14:textId="4F1910D1" w:rsidR="003C4C13" w:rsidRPr="00300208" w:rsidRDefault="003C4C13"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For example, the Yialia / Pomos figurine is dated c. 3000 BCE, a very great distance prior to those of Enkomi.</w:t>
      </w:r>
    </w:p>
  </w:footnote>
  <w:footnote w:id="40">
    <w:p w14:paraId="3F841B14" w14:textId="5B1E37B7" w:rsidR="00AE0A15" w:rsidRPr="00300208" w:rsidRDefault="00AE0A1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By contrast, Steel, 2020 (postdating Kieburg’s article </w:t>
      </w:r>
      <w:r w:rsidR="00B83815" w:rsidRPr="00300208">
        <w:rPr>
          <w:rFonts w:asciiTheme="minorHAnsi" w:hAnsiTheme="minorHAnsi" w:cstheme="minorHAnsi"/>
          <w:sz w:val="22"/>
          <w:szCs w:val="22"/>
        </w:rPr>
        <w:t xml:space="preserve">by some years </w:t>
      </w:r>
      <w:r w:rsidRPr="00300208">
        <w:rPr>
          <w:rFonts w:asciiTheme="minorHAnsi" w:hAnsiTheme="minorHAnsi" w:cstheme="minorHAnsi"/>
          <w:sz w:val="22"/>
          <w:szCs w:val="22"/>
        </w:rPr>
        <w:t>of course).</w:t>
      </w:r>
    </w:p>
  </w:footnote>
  <w:footnote w:id="41">
    <w:p w14:paraId="62FFD4E3" w14:textId="77777777" w:rsidR="00300208" w:rsidRPr="00300208" w:rsidRDefault="00300208"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213.</w:t>
      </w:r>
    </w:p>
  </w:footnote>
  <w:footnote w:id="42">
    <w:p w14:paraId="0B970586" w14:textId="77777777" w:rsidR="00300208" w:rsidRPr="00300208" w:rsidRDefault="00300208" w:rsidP="00300208">
      <w:pPr>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Illustrations, pp. 225-226. Two almost identical figurines are indicated, one at the Ashmolean Museum, the other at the National Cyprus Museum, Lefkosia. Kieburg’s reference is from 1936: Dikaios, P. A bronze statuette from Nicosia. RDAC, 1936, 109-110. A search for this found a contents spreadsheet for RDAC, https://figshare.com/articles/dataset/</w:t>
      </w:r>
      <w:r w:rsidRPr="00300208">
        <w:rPr>
          <w:rFonts w:asciiTheme="minorHAnsi" w:hAnsiTheme="minorHAnsi" w:cstheme="minorHAnsi"/>
          <w:sz w:val="22"/>
          <w:szCs w:val="22"/>
        </w:rPr>
        <w:br/>
        <w:t>Report_of_the_Department_of_Antiquities_Cyprus_RDAC_</w:t>
      </w:r>
      <w:r w:rsidRPr="00300208">
        <w:rPr>
          <w:rFonts w:asciiTheme="minorHAnsi" w:hAnsiTheme="minorHAnsi" w:cstheme="minorHAnsi"/>
          <w:sz w:val="22"/>
          <w:szCs w:val="22"/>
        </w:rPr>
        <w:br/>
        <w:t>Collective_Contents_List_-_1934-1948_1963-2010/3796404. However, the presumed entry (Dikaios, 1936, pp. 108-110) is titled “</w:t>
      </w:r>
      <w:r w:rsidRPr="00300208">
        <w:rPr>
          <w:rFonts w:asciiTheme="minorHAnsi" w:eastAsia="Times New Roman" w:hAnsiTheme="minorHAnsi" w:cstheme="minorHAnsi"/>
          <w:color w:val="000000"/>
          <w:sz w:val="22"/>
          <w:szCs w:val="22"/>
          <w:lang w:eastAsia="en-GB"/>
        </w:rPr>
        <w:t>A Limestone Relief of a Warrior”</w:t>
      </w:r>
    </w:p>
  </w:footnote>
  <w:footnote w:id="43">
    <w:p w14:paraId="3BBB9F3A" w14:textId="77777777" w:rsidR="00300208" w:rsidRPr="00300208" w:rsidRDefault="00300208"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This writer considers that the postures depicted in these figurines are significant. It is intended to discuss these further in the forthcoming ‘Object Analysis’ essay.</w:t>
      </w:r>
    </w:p>
  </w:footnote>
  <w:footnote w:id="44">
    <w:p w14:paraId="27D83ABB" w14:textId="77777777" w:rsidR="00300208" w:rsidRPr="00300208" w:rsidRDefault="00300208" w:rsidP="00300208">
      <w:pPr>
        <w:pStyle w:val="FootnoteText"/>
        <w:spacing w:after="120"/>
        <w:mirrorIndents/>
        <w:rPr>
          <w:rFonts w:asciiTheme="minorHAnsi" w:hAnsiTheme="minorHAnsi" w:cstheme="minorHAnsi"/>
          <w:sz w:val="22"/>
          <w:szCs w:val="22"/>
          <w:lang w:val="fr-FR"/>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lang w:val="fr-FR"/>
        </w:rPr>
        <w:t xml:space="preserve"> Illustration p. 227.</w:t>
      </w:r>
    </w:p>
  </w:footnote>
  <w:footnote w:id="45">
    <w:p w14:paraId="2C5F2AE1" w14:textId="64D08E76" w:rsidR="006B413E" w:rsidRPr="00300208" w:rsidRDefault="006B413E" w:rsidP="006B413E">
      <w:pPr>
        <w:pStyle w:val="FootnoteText"/>
        <w:spacing w:after="120"/>
        <w:rPr>
          <w:rFonts w:asciiTheme="minorHAnsi" w:hAnsiTheme="minorHAnsi" w:cstheme="minorHAnsi"/>
          <w:sz w:val="22"/>
          <w:szCs w:val="22"/>
          <w:lang w:val="fr-FR"/>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lang w:val="fr-FR"/>
        </w:rPr>
        <w:t xml:space="preserve"> Image source: </w:t>
      </w:r>
      <w:r w:rsidRPr="006B413E">
        <w:rPr>
          <w:rFonts w:asciiTheme="minorHAnsi" w:hAnsiTheme="minorHAnsi" w:cstheme="minorHAnsi"/>
          <w:sz w:val="22"/>
          <w:szCs w:val="22"/>
          <w:lang w:val="fr-FR"/>
        </w:rPr>
        <w:t>https://www.instagram.com/p/DO0J3CakYWX/</w:t>
      </w:r>
      <w:r w:rsidRPr="00300208">
        <w:rPr>
          <w:rFonts w:asciiTheme="minorHAnsi" w:hAnsiTheme="minorHAnsi" w:cstheme="minorHAnsi"/>
          <w:sz w:val="22"/>
          <w:szCs w:val="22"/>
          <w:lang w:val="fr-FR"/>
        </w:rPr>
        <w:t xml:space="preserve"> </w:t>
      </w:r>
    </w:p>
  </w:footnote>
  <w:footnote w:id="46">
    <w:p w14:paraId="1E2D946E" w14:textId="155EAFBF" w:rsidR="005A3CA5" w:rsidRPr="00300208" w:rsidRDefault="005A3CA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Homer tells the story of Hera borrowing this in order to seduce Zeus (and thereby pre</w:t>
      </w:r>
      <w:r w:rsidR="0052574B" w:rsidRPr="00300208">
        <w:rPr>
          <w:rFonts w:asciiTheme="minorHAnsi" w:hAnsiTheme="minorHAnsi" w:cstheme="minorHAnsi"/>
          <w:sz w:val="22"/>
          <w:szCs w:val="22"/>
        </w:rPr>
        <w:t>v</w:t>
      </w:r>
      <w:r w:rsidRPr="00300208">
        <w:rPr>
          <w:rFonts w:asciiTheme="minorHAnsi" w:hAnsiTheme="minorHAnsi" w:cstheme="minorHAnsi"/>
          <w:sz w:val="22"/>
          <w:szCs w:val="22"/>
        </w:rPr>
        <w:t>ent his intervention in a battle of the Trojan War): Iliad, XIV: 214-22</w:t>
      </w:r>
      <w:r w:rsidR="00713FA3" w:rsidRPr="00300208">
        <w:rPr>
          <w:rFonts w:asciiTheme="minorHAnsi" w:hAnsiTheme="minorHAnsi" w:cstheme="minorHAnsi"/>
          <w:sz w:val="22"/>
          <w:szCs w:val="22"/>
        </w:rPr>
        <w:t>3</w:t>
      </w:r>
    </w:p>
  </w:footnote>
  <w:footnote w:id="47">
    <w:p w14:paraId="6EE8A757" w14:textId="43935993" w:rsidR="00984996" w:rsidRPr="00300208" w:rsidRDefault="00984996" w:rsidP="00300208">
      <w:pPr>
        <w:pStyle w:val="FootnoteText"/>
        <w:spacing w:after="120"/>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300208" w:rsidRPr="00300208">
        <w:rPr>
          <w:rFonts w:asciiTheme="minorHAnsi" w:hAnsiTheme="minorHAnsi" w:cstheme="minorHAnsi"/>
          <w:sz w:val="22"/>
          <w:szCs w:val="22"/>
        </w:rPr>
        <w:t xml:space="preserve">The combination of mythologies is a problematic concept: </w:t>
      </w:r>
      <w:r w:rsidRPr="00300208">
        <w:rPr>
          <w:rFonts w:asciiTheme="minorHAnsi" w:hAnsiTheme="minorHAnsi" w:cstheme="minorHAnsi"/>
          <w:sz w:val="22"/>
          <w:szCs w:val="22"/>
        </w:rPr>
        <w:t>Pirenne-Delforge, 2010, p. 9, describes “influence” and “assimilation” as “too-feeble concepts”.</w:t>
      </w:r>
    </w:p>
  </w:footnote>
  <w:footnote w:id="48">
    <w:p w14:paraId="58AF621C" w14:textId="5FEB8FB4" w:rsidR="008C0D51" w:rsidRPr="00300208" w:rsidRDefault="008C0D51"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Hesiod, Theogony, 188-206.</w:t>
      </w:r>
    </w:p>
  </w:footnote>
  <w:footnote w:id="49">
    <w:p w14:paraId="767592C1" w14:textId="7519D4EC" w:rsidR="008C0D51" w:rsidRPr="00300208" w:rsidRDefault="008C0D51"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In contrast to Hesiod, Homer (Iliad, V, 370-371) calls Aphrodite a daughter of Dione, sometime a ‘wife’ of Zeus, but otherwise hardly mentioned after these two lines.</w:t>
      </w:r>
    </w:p>
  </w:footnote>
  <w:footnote w:id="50">
    <w:p w14:paraId="1C542633" w14:textId="5128334E" w:rsidR="00372115" w:rsidRPr="00300208" w:rsidRDefault="0037211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w:t>
      </w:r>
      <w:r w:rsidR="005B326C" w:rsidRPr="00300208">
        <w:rPr>
          <w:rFonts w:asciiTheme="minorHAnsi" w:hAnsiTheme="minorHAnsi" w:cstheme="minorHAnsi"/>
          <w:sz w:val="22"/>
          <w:szCs w:val="22"/>
        </w:rPr>
        <w:t xml:space="preserve">Herodotus, II, 99, makes a firm equation. </w:t>
      </w:r>
      <w:r w:rsidR="00AD5EEC" w:rsidRPr="00300208">
        <w:rPr>
          <w:rFonts w:asciiTheme="minorHAnsi" w:hAnsiTheme="minorHAnsi" w:cstheme="minorHAnsi"/>
          <w:sz w:val="22"/>
          <w:szCs w:val="22"/>
        </w:rPr>
        <w:t>It is generally accepted that the name Hepha</w:t>
      </w:r>
      <w:r w:rsidR="00AD2852" w:rsidRPr="00300208">
        <w:rPr>
          <w:rFonts w:asciiTheme="minorHAnsi" w:hAnsiTheme="minorHAnsi" w:cstheme="minorHAnsi"/>
          <w:sz w:val="22"/>
          <w:szCs w:val="22"/>
        </w:rPr>
        <w:t>e</w:t>
      </w:r>
      <w:r w:rsidR="00AD5EEC" w:rsidRPr="00300208">
        <w:rPr>
          <w:rFonts w:asciiTheme="minorHAnsi" w:hAnsiTheme="minorHAnsi" w:cstheme="minorHAnsi"/>
          <w:sz w:val="22"/>
          <w:szCs w:val="22"/>
        </w:rPr>
        <w:t xml:space="preserve">stus is ‘pre-Greek’. Bernal, 2006, p. 477, notes the name Apaitijo in Linear B, and discusses the plausibility of its derivation </w:t>
      </w:r>
      <w:r w:rsidR="0052574B" w:rsidRPr="00300208">
        <w:rPr>
          <w:rFonts w:asciiTheme="minorHAnsi" w:hAnsiTheme="minorHAnsi" w:cstheme="minorHAnsi"/>
          <w:sz w:val="22"/>
          <w:szCs w:val="22"/>
        </w:rPr>
        <w:t>from</w:t>
      </w:r>
      <w:r w:rsidR="00AD5EEC" w:rsidRPr="00300208">
        <w:rPr>
          <w:rFonts w:asciiTheme="minorHAnsi" w:hAnsiTheme="minorHAnsi" w:cstheme="minorHAnsi"/>
          <w:sz w:val="22"/>
          <w:szCs w:val="22"/>
        </w:rPr>
        <w:t xml:space="preserve"> Ptah. </w:t>
      </w:r>
      <w:r w:rsidR="0052574B" w:rsidRPr="00300208">
        <w:rPr>
          <w:rFonts w:asciiTheme="minorHAnsi" w:hAnsiTheme="minorHAnsi" w:cstheme="minorHAnsi"/>
          <w:sz w:val="22"/>
          <w:szCs w:val="22"/>
        </w:rPr>
        <w:t>Be this as it may</w:t>
      </w:r>
      <w:r w:rsidRPr="00300208">
        <w:rPr>
          <w:rFonts w:asciiTheme="minorHAnsi" w:hAnsiTheme="minorHAnsi" w:cstheme="minorHAnsi"/>
          <w:sz w:val="22"/>
          <w:szCs w:val="22"/>
        </w:rPr>
        <w:t>, Ptah is never depicted with any physical impairment.</w:t>
      </w:r>
    </w:p>
  </w:footnote>
  <w:footnote w:id="51">
    <w:p w14:paraId="6C378C67" w14:textId="0D965BA8" w:rsidR="000309C6" w:rsidRPr="00300208" w:rsidRDefault="000309C6"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Kieburg gives the reference: Catling, H.W. 1971. A </w:t>
      </w:r>
      <w:r w:rsidR="00AD2852" w:rsidRPr="00300208">
        <w:rPr>
          <w:rFonts w:asciiTheme="minorHAnsi" w:hAnsiTheme="minorHAnsi" w:cstheme="minorHAnsi"/>
          <w:sz w:val="22"/>
          <w:szCs w:val="22"/>
        </w:rPr>
        <w:t>C</w:t>
      </w:r>
      <w:r w:rsidRPr="00300208">
        <w:rPr>
          <w:rFonts w:asciiTheme="minorHAnsi" w:hAnsiTheme="minorHAnsi" w:cstheme="minorHAnsi"/>
          <w:sz w:val="22"/>
          <w:szCs w:val="22"/>
        </w:rPr>
        <w:t>ypriot bronze statuette in the Bomford Collection, in Schaeffer, C. F.-A. (ed.) Alasia I – Mission archéologique d’Alasia, Paris, 15-32. It has not been possible to obtain this text.</w:t>
      </w:r>
    </w:p>
  </w:footnote>
  <w:footnote w:id="52">
    <w:p w14:paraId="092DE2DE" w14:textId="4DA5047B" w:rsidR="00296810" w:rsidRPr="00300208" w:rsidRDefault="001F1B4F"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Kieburg uses the </w:t>
      </w:r>
      <w:r w:rsidR="00300208" w:rsidRPr="00300208">
        <w:rPr>
          <w:rFonts w:asciiTheme="minorHAnsi" w:hAnsiTheme="minorHAnsi" w:cstheme="minorHAnsi"/>
          <w:sz w:val="22"/>
          <w:szCs w:val="22"/>
        </w:rPr>
        <w:t xml:space="preserve">questionable </w:t>
      </w:r>
      <w:r w:rsidRPr="00300208">
        <w:rPr>
          <w:rFonts w:asciiTheme="minorHAnsi" w:hAnsiTheme="minorHAnsi" w:cstheme="minorHAnsi"/>
          <w:sz w:val="22"/>
          <w:szCs w:val="22"/>
        </w:rPr>
        <w:t xml:space="preserve">term ‘aspect’ </w:t>
      </w:r>
      <w:r w:rsidR="00627E9C">
        <w:rPr>
          <w:rFonts w:asciiTheme="minorHAnsi" w:hAnsiTheme="minorHAnsi" w:cstheme="minorHAnsi"/>
          <w:sz w:val="22"/>
          <w:szCs w:val="22"/>
        </w:rPr>
        <w:t xml:space="preserve">on p. 213 and </w:t>
      </w:r>
      <w:r w:rsidRPr="00300208">
        <w:rPr>
          <w:rFonts w:asciiTheme="minorHAnsi" w:hAnsiTheme="minorHAnsi" w:cstheme="minorHAnsi"/>
          <w:sz w:val="22"/>
          <w:szCs w:val="22"/>
        </w:rPr>
        <w:t>re the male deity on p. 214.</w:t>
      </w:r>
      <w:r w:rsidR="00296810">
        <w:rPr>
          <w:rFonts w:asciiTheme="minorHAnsi" w:hAnsiTheme="minorHAnsi" w:cstheme="minorHAnsi"/>
          <w:sz w:val="22"/>
          <w:szCs w:val="22"/>
        </w:rPr>
        <w:t xml:space="preserve"> ‘Aspect’ as a word relates primarily to vision, </w:t>
      </w:r>
      <w:r w:rsidR="008145FF">
        <w:rPr>
          <w:rFonts w:asciiTheme="minorHAnsi" w:hAnsiTheme="minorHAnsi" w:cstheme="minorHAnsi"/>
          <w:sz w:val="22"/>
          <w:szCs w:val="22"/>
        </w:rPr>
        <w:t xml:space="preserve">in general use </w:t>
      </w:r>
      <w:r w:rsidR="00296810">
        <w:rPr>
          <w:rFonts w:asciiTheme="minorHAnsi" w:hAnsiTheme="minorHAnsi" w:cstheme="minorHAnsi"/>
          <w:sz w:val="22"/>
          <w:szCs w:val="22"/>
        </w:rPr>
        <w:t xml:space="preserve">a dimensional reduction of a three-dimensional object to two dimensions. </w:t>
      </w:r>
      <w:r w:rsidR="008145FF">
        <w:rPr>
          <w:rFonts w:asciiTheme="minorHAnsi" w:hAnsiTheme="minorHAnsi" w:cstheme="minorHAnsi"/>
          <w:sz w:val="22"/>
          <w:szCs w:val="22"/>
        </w:rPr>
        <w:t xml:space="preserve">Used with respect to ancient </w:t>
      </w:r>
      <w:r w:rsidR="00296810">
        <w:rPr>
          <w:rFonts w:asciiTheme="minorHAnsi" w:hAnsiTheme="minorHAnsi" w:cstheme="minorHAnsi"/>
          <w:sz w:val="22"/>
          <w:szCs w:val="22"/>
        </w:rPr>
        <w:t xml:space="preserve">religion it </w:t>
      </w:r>
      <w:r w:rsidR="008145FF">
        <w:rPr>
          <w:rFonts w:asciiTheme="minorHAnsi" w:hAnsiTheme="minorHAnsi" w:cstheme="minorHAnsi"/>
          <w:sz w:val="22"/>
          <w:szCs w:val="22"/>
        </w:rPr>
        <w:t>imposes an implicit perspective of monotheism.</w:t>
      </w:r>
    </w:p>
  </w:footnote>
  <w:footnote w:id="53">
    <w:p w14:paraId="4CF8BC95" w14:textId="28CD3AFB" w:rsidR="00B52904" w:rsidRPr="00300208" w:rsidRDefault="00B52904"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216</w:t>
      </w:r>
      <w:r w:rsidR="00296810">
        <w:rPr>
          <w:rFonts w:asciiTheme="minorHAnsi" w:hAnsiTheme="minorHAnsi" w:cstheme="minorHAnsi"/>
          <w:sz w:val="22"/>
          <w:szCs w:val="22"/>
        </w:rPr>
        <w:t>.</w:t>
      </w:r>
    </w:p>
  </w:footnote>
  <w:footnote w:id="54">
    <w:p w14:paraId="282DC1C7" w14:textId="732DEEDA" w:rsidR="00953A35" w:rsidRPr="00300208" w:rsidRDefault="00953A3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p. 216</w:t>
      </w:r>
      <w:r w:rsidR="00296810">
        <w:rPr>
          <w:rFonts w:asciiTheme="minorHAnsi" w:hAnsiTheme="minorHAnsi" w:cstheme="minorHAnsi"/>
          <w:sz w:val="22"/>
          <w:szCs w:val="22"/>
        </w:rPr>
        <w:t>,</w:t>
      </w:r>
      <w:r w:rsidR="00296810" w:rsidRPr="00296810">
        <w:rPr>
          <w:rFonts w:asciiTheme="minorHAnsi" w:hAnsiTheme="minorHAnsi" w:cstheme="minorHAnsi"/>
          <w:sz w:val="22"/>
          <w:szCs w:val="22"/>
        </w:rPr>
        <w:t xml:space="preserve"> </w:t>
      </w:r>
      <w:r w:rsidR="00296810">
        <w:rPr>
          <w:rFonts w:asciiTheme="minorHAnsi" w:hAnsiTheme="minorHAnsi" w:cstheme="minorHAnsi"/>
          <w:sz w:val="22"/>
          <w:szCs w:val="22"/>
        </w:rPr>
        <w:t>(my emphasis</w:t>
      </w:r>
      <w:r w:rsidR="00296810">
        <w:rPr>
          <w:rFonts w:asciiTheme="minorHAnsi" w:hAnsiTheme="minorHAnsi" w:cstheme="minorHAnsi"/>
          <w:sz w:val="22"/>
          <w:szCs w:val="22"/>
        </w:rPr>
        <w:t>).</w:t>
      </w:r>
    </w:p>
  </w:footnote>
  <w:footnote w:id="55">
    <w:p w14:paraId="39EEB899" w14:textId="2518B7F7" w:rsidR="00953A35" w:rsidRPr="00300208" w:rsidRDefault="00953A35"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The conflation is standard for atheist authors, for whom a deity is </w:t>
      </w:r>
      <w:r w:rsidRPr="00300208">
        <w:rPr>
          <w:rFonts w:asciiTheme="minorHAnsi" w:hAnsiTheme="minorHAnsi" w:cstheme="minorHAnsi"/>
          <w:i/>
          <w:iCs/>
          <w:sz w:val="22"/>
          <w:szCs w:val="22"/>
        </w:rPr>
        <w:t>nothing but</w:t>
      </w:r>
      <w:r w:rsidRPr="00300208">
        <w:rPr>
          <w:rFonts w:asciiTheme="minorHAnsi" w:hAnsiTheme="minorHAnsi" w:cstheme="minorHAnsi"/>
          <w:sz w:val="22"/>
          <w:szCs w:val="22"/>
        </w:rPr>
        <w:t xml:space="preserve"> a concept. This writer considers it fallacious rather than ‘just style’.</w:t>
      </w:r>
      <w:r w:rsidR="0052574B" w:rsidRPr="00300208">
        <w:rPr>
          <w:rFonts w:asciiTheme="minorHAnsi" w:hAnsiTheme="minorHAnsi" w:cstheme="minorHAnsi"/>
          <w:sz w:val="22"/>
          <w:szCs w:val="22"/>
        </w:rPr>
        <w:t xml:space="preserve"> The word ‘became’, </w:t>
      </w:r>
      <w:r w:rsidR="00296810">
        <w:rPr>
          <w:rFonts w:asciiTheme="minorHAnsi" w:hAnsiTheme="minorHAnsi" w:cstheme="minorHAnsi"/>
          <w:sz w:val="22"/>
          <w:szCs w:val="22"/>
        </w:rPr>
        <w:t xml:space="preserve">as used above, </w:t>
      </w:r>
      <w:r w:rsidR="0052574B" w:rsidRPr="00300208">
        <w:rPr>
          <w:rFonts w:asciiTheme="minorHAnsi" w:hAnsiTheme="minorHAnsi" w:cstheme="minorHAnsi"/>
          <w:sz w:val="22"/>
          <w:szCs w:val="22"/>
        </w:rPr>
        <w:t xml:space="preserve">for example, suggests an ontological change in the Goddess Herself, not in how She was </w:t>
      </w:r>
      <w:r w:rsidR="0052574B" w:rsidRPr="00A32D3F">
        <w:rPr>
          <w:rFonts w:asciiTheme="minorHAnsi" w:hAnsiTheme="minorHAnsi" w:cstheme="minorHAnsi"/>
          <w:sz w:val="22"/>
          <w:szCs w:val="22"/>
        </w:rPr>
        <w:t>understood</w:t>
      </w:r>
      <w:r w:rsidR="00A32D3F">
        <w:rPr>
          <w:rFonts w:asciiTheme="minorHAnsi" w:hAnsiTheme="minorHAnsi" w:cstheme="minorHAnsi"/>
          <w:sz w:val="22"/>
          <w:szCs w:val="22"/>
        </w:rPr>
        <w:t xml:space="preserve"> or experienced</w:t>
      </w:r>
      <w:r w:rsidR="0052574B" w:rsidRPr="00300208">
        <w:rPr>
          <w:rFonts w:asciiTheme="minorHAnsi" w:hAnsiTheme="minorHAnsi" w:cstheme="minorHAnsi"/>
          <w:sz w:val="22"/>
          <w:szCs w:val="22"/>
        </w:rPr>
        <w:t>.</w:t>
      </w:r>
    </w:p>
  </w:footnote>
  <w:footnote w:id="56">
    <w:p w14:paraId="444934D7" w14:textId="66597DF2" w:rsidR="00B45802" w:rsidRPr="00300208" w:rsidRDefault="00B45802"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A recent news report relates a Hellenic marriage ceremony performed September 2025 at the Temple of Zeus, at Lympia in Cyprus, completed 2020. This is the first matrimonial services in the Hellenic ethnic religion to be legally recognized in Greece. The ceremony was conducted by George Lizos, the first ordained priest of YSEE (The Supreme Council of Ethnic Hellenes) in Cyprus. </w:t>
      </w:r>
      <w:r w:rsidRPr="006B413E">
        <w:rPr>
          <w:rFonts w:asciiTheme="minorHAnsi" w:hAnsiTheme="minorHAnsi" w:cstheme="minorHAnsi"/>
          <w:sz w:val="22"/>
          <w:szCs w:val="22"/>
        </w:rPr>
        <w:t>https://wildhunt.org/2025/10/historic-first-legal-hellenic-polytheist-marriage-ceremony-held-in-cyprus-a-milestone-for-mediterranean-paganism.htm</w:t>
      </w:r>
      <w:r w:rsidRPr="00300208">
        <w:rPr>
          <w:rFonts w:asciiTheme="minorHAnsi" w:hAnsiTheme="minorHAnsi" w:cstheme="minorHAnsi"/>
          <w:sz w:val="22"/>
          <w:szCs w:val="22"/>
        </w:rPr>
        <w:t>. A Hellenic marriage ceremony (in English) quotes Homeric hymns to Dionysus, Aphrodite, Hera and Hestia (</w:t>
      </w:r>
      <w:r w:rsidRPr="006B413E">
        <w:rPr>
          <w:rFonts w:asciiTheme="minorHAnsi" w:hAnsiTheme="minorHAnsi" w:cstheme="minorHAnsi"/>
          <w:sz w:val="22"/>
          <w:szCs w:val="22"/>
        </w:rPr>
        <w:t>https://revallyson.weebly.com/hellenic-greek-ceremony.html</w:t>
      </w:r>
      <w:r w:rsidRPr="00300208">
        <w:rPr>
          <w:rFonts w:asciiTheme="minorHAnsi" w:hAnsiTheme="minorHAnsi" w:cstheme="minorHAnsi"/>
          <w:sz w:val="22"/>
          <w:szCs w:val="22"/>
        </w:rPr>
        <w:t xml:space="preserve"> ).</w:t>
      </w:r>
    </w:p>
  </w:footnote>
  <w:footnote w:id="57">
    <w:p w14:paraId="5D7ACB84" w14:textId="5909538F" w:rsidR="00AD2852" w:rsidRPr="00300208" w:rsidRDefault="00AD2852" w:rsidP="00300208">
      <w:pPr>
        <w:pStyle w:val="FootnoteText"/>
        <w:spacing w:after="120"/>
        <w:mirrorIndents/>
        <w:rPr>
          <w:rFonts w:asciiTheme="minorHAnsi" w:hAnsiTheme="minorHAnsi" w:cstheme="minorHAnsi"/>
          <w:sz w:val="22"/>
          <w:szCs w:val="22"/>
        </w:rPr>
      </w:pPr>
      <w:r w:rsidRPr="00300208">
        <w:rPr>
          <w:rStyle w:val="FootnoteReference"/>
          <w:rFonts w:asciiTheme="minorHAnsi" w:hAnsiTheme="minorHAnsi" w:cstheme="minorHAnsi"/>
          <w:sz w:val="22"/>
          <w:szCs w:val="22"/>
        </w:rPr>
        <w:footnoteRef/>
      </w:r>
      <w:r w:rsidRPr="00300208">
        <w:rPr>
          <w:rFonts w:asciiTheme="minorHAnsi" w:hAnsiTheme="minorHAnsi" w:cstheme="minorHAnsi"/>
          <w:sz w:val="22"/>
          <w:szCs w:val="22"/>
        </w:rPr>
        <w:t xml:space="preserve"> It is accepted that this judgement may be unfair, in that the circumstances of Kieburg’s presentation may simply not have permitted the depth of discussion that this writer would wish for.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90EFD"/>
    <w:multiLevelType w:val="multilevel"/>
    <w:tmpl w:val="6D10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5334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E8"/>
    <w:rsid w:val="00001106"/>
    <w:rsid w:val="00022038"/>
    <w:rsid w:val="00026200"/>
    <w:rsid w:val="000309C6"/>
    <w:rsid w:val="0005492C"/>
    <w:rsid w:val="000852A8"/>
    <w:rsid w:val="0008660B"/>
    <w:rsid w:val="00087E39"/>
    <w:rsid w:val="000C77FC"/>
    <w:rsid w:val="00105A3B"/>
    <w:rsid w:val="00162B11"/>
    <w:rsid w:val="00175BA6"/>
    <w:rsid w:val="001825B4"/>
    <w:rsid w:val="00194995"/>
    <w:rsid w:val="001A316E"/>
    <w:rsid w:val="001C677B"/>
    <w:rsid w:val="001D5F8B"/>
    <w:rsid w:val="001E02A5"/>
    <w:rsid w:val="001F1B4F"/>
    <w:rsid w:val="001F4BBF"/>
    <w:rsid w:val="00220FD3"/>
    <w:rsid w:val="0024495F"/>
    <w:rsid w:val="002676AB"/>
    <w:rsid w:val="002810F5"/>
    <w:rsid w:val="00296810"/>
    <w:rsid w:val="002A0B07"/>
    <w:rsid w:val="002A670C"/>
    <w:rsid w:val="002B4D6A"/>
    <w:rsid w:val="002B516B"/>
    <w:rsid w:val="002D1B43"/>
    <w:rsid w:val="00300208"/>
    <w:rsid w:val="00330401"/>
    <w:rsid w:val="003341C1"/>
    <w:rsid w:val="00336CF4"/>
    <w:rsid w:val="00350603"/>
    <w:rsid w:val="00350876"/>
    <w:rsid w:val="003518F1"/>
    <w:rsid w:val="00352CA3"/>
    <w:rsid w:val="00367401"/>
    <w:rsid w:val="00372115"/>
    <w:rsid w:val="00372B13"/>
    <w:rsid w:val="00374B0C"/>
    <w:rsid w:val="003B7D0E"/>
    <w:rsid w:val="003C4C13"/>
    <w:rsid w:val="003F444F"/>
    <w:rsid w:val="00410903"/>
    <w:rsid w:val="004110D8"/>
    <w:rsid w:val="00457359"/>
    <w:rsid w:val="004609AA"/>
    <w:rsid w:val="00472C30"/>
    <w:rsid w:val="00485E86"/>
    <w:rsid w:val="004A7AD3"/>
    <w:rsid w:val="004B3A7F"/>
    <w:rsid w:val="004B46DB"/>
    <w:rsid w:val="004D1E4E"/>
    <w:rsid w:val="004F2012"/>
    <w:rsid w:val="004F380B"/>
    <w:rsid w:val="004F6F3B"/>
    <w:rsid w:val="0052574B"/>
    <w:rsid w:val="00542BAE"/>
    <w:rsid w:val="0055615E"/>
    <w:rsid w:val="00570A02"/>
    <w:rsid w:val="00585409"/>
    <w:rsid w:val="005977F6"/>
    <w:rsid w:val="005A2BD3"/>
    <w:rsid w:val="005A3CA5"/>
    <w:rsid w:val="005B326C"/>
    <w:rsid w:val="005F570F"/>
    <w:rsid w:val="00616A01"/>
    <w:rsid w:val="00627E9C"/>
    <w:rsid w:val="006301AB"/>
    <w:rsid w:val="00655A77"/>
    <w:rsid w:val="006915B2"/>
    <w:rsid w:val="006A5B12"/>
    <w:rsid w:val="006B3B03"/>
    <w:rsid w:val="006B413E"/>
    <w:rsid w:val="006B71EC"/>
    <w:rsid w:val="006E50E1"/>
    <w:rsid w:val="006E7447"/>
    <w:rsid w:val="006F3F93"/>
    <w:rsid w:val="006F57FF"/>
    <w:rsid w:val="00713FA3"/>
    <w:rsid w:val="0074186E"/>
    <w:rsid w:val="007622F7"/>
    <w:rsid w:val="00771D5D"/>
    <w:rsid w:val="0077531E"/>
    <w:rsid w:val="007E2604"/>
    <w:rsid w:val="007F0CEC"/>
    <w:rsid w:val="008145FF"/>
    <w:rsid w:val="0082539E"/>
    <w:rsid w:val="008B2DB7"/>
    <w:rsid w:val="008C0D51"/>
    <w:rsid w:val="00902E94"/>
    <w:rsid w:val="00927AE7"/>
    <w:rsid w:val="009328B7"/>
    <w:rsid w:val="00934F49"/>
    <w:rsid w:val="00940B7F"/>
    <w:rsid w:val="00946F0F"/>
    <w:rsid w:val="00953A35"/>
    <w:rsid w:val="00957A7E"/>
    <w:rsid w:val="00984996"/>
    <w:rsid w:val="009C7143"/>
    <w:rsid w:val="009D128C"/>
    <w:rsid w:val="009D45A7"/>
    <w:rsid w:val="009E79D8"/>
    <w:rsid w:val="00A25DAC"/>
    <w:rsid w:val="00A26D2F"/>
    <w:rsid w:val="00A31354"/>
    <w:rsid w:val="00A32D3F"/>
    <w:rsid w:val="00A4473B"/>
    <w:rsid w:val="00A44BE4"/>
    <w:rsid w:val="00A94597"/>
    <w:rsid w:val="00AB6D10"/>
    <w:rsid w:val="00AC02BB"/>
    <w:rsid w:val="00AD2852"/>
    <w:rsid w:val="00AD2EC3"/>
    <w:rsid w:val="00AD5EEC"/>
    <w:rsid w:val="00AE0A15"/>
    <w:rsid w:val="00AF0D92"/>
    <w:rsid w:val="00AF4009"/>
    <w:rsid w:val="00AF55AE"/>
    <w:rsid w:val="00B03C4D"/>
    <w:rsid w:val="00B173CC"/>
    <w:rsid w:val="00B45802"/>
    <w:rsid w:val="00B52904"/>
    <w:rsid w:val="00B61EF5"/>
    <w:rsid w:val="00B63C40"/>
    <w:rsid w:val="00B65AB2"/>
    <w:rsid w:val="00B83815"/>
    <w:rsid w:val="00B94A7F"/>
    <w:rsid w:val="00BA7DDC"/>
    <w:rsid w:val="00BB0C78"/>
    <w:rsid w:val="00C02F82"/>
    <w:rsid w:val="00C37111"/>
    <w:rsid w:val="00C5121B"/>
    <w:rsid w:val="00C759FD"/>
    <w:rsid w:val="00C96485"/>
    <w:rsid w:val="00D563B9"/>
    <w:rsid w:val="00D85B69"/>
    <w:rsid w:val="00DB6689"/>
    <w:rsid w:val="00DD4CC4"/>
    <w:rsid w:val="00DE51C9"/>
    <w:rsid w:val="00E00E66"/>
    <w:rsid w:val="00E33DE8"/>
    <w:rsid w:val="00E749B5"/>
    <w:rsid w:val="00E8511E"/>
    <w:rsid w:val="00EC2B6D"/>
    <w:rsid w:val="00ED1213"/>
    <w:rsid w:val="00EE54DB"/>
    <w:rsid w:val="00EF7287"/>
    <w:rsid w:val="00F05540"/>
    <w:rsid w:val="00F4105A"/>
    <w:rsid w:val="00F94EAC"/>
    <w:rsid w:val="00F97B0F"/>
    <w:rsid w:val="00FB2A15"/>
    <w:rsid w:val="00FC2D21"/>
    <w:rsid w:val="00FD0C5E"/>
    <w:rsid w:val="00FD76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2A934"/>
  <w15:chartTrackingRefBased/>
  <w15:docId w15:val="{EE874E71-920F-4B02-8B1F-D0A3E75FD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FootnoteText"/>
    <w:qFormat/>
    <w:rsid w:val="0055615E"/>
    <w:pPr>
      <w:spacing w:after="120" w:line="240" w:lineRule="auto"/>
    </w:pPr>
    <w:rPr>
      <w:rFonts w:ascii="Calibri" w:hAnsi="Calibri"/>
    </w:rPr>
  </w:style>
  <w:style w:type="paragraph" w:styleId="Heading1">
    <w:name w:val="heading 1"/>
    <w:basedOn w:val="Normal"/>
    <w:next w:val="Normal"/>
    <w:link w:val="Heading1Char"/>
    <w:uiPriority w:val="9"/>
    <w:qFormat/>
    <w:rsid w:val="00E33D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33D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33DE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3DE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33DE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33DE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3DE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3DE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3DE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5615E"/>
    <w:pPr>
      <w:spacing w:after="0"/>
    </w:pPr>
    <w:rPr>
      <w:sz w:val="20"/>
      <w:szCs w:val="20"/>
    </w:rPr>
  </w:style>
  <w:style w:type="character" w:customStyle="1" w:styleId="FootnoteTextChar">
    <w:name w:val="Footnote Text Char"/>
    <w:basedOn w:val="DefaultParagraphFont"/>
    <w:link w:val="FootnoteText"/>
    <w:uiPriority w:val="99"/>
    <w:rsid w:val="0055615E"/>
    <w:rPr>
      <w:rFonts w:ascii="Calibri" w:hAnsi="Calibri"/>
      <w:sz w:val="20"/>
      <w:szCs w:val="20"/>
    </w:rPr>
  </w:style>
  <w:style w:type="character" w:customStyle="1" w:styleId="Heading1Char">
    <w:name w:val="Heading 1 Char"/>
    <w:basedOn w:val="DefaultParagraphFont"/>
    <w:link w:val="Heading1"/>
    <w:uiPriority w:val="9"/>
    <w:rsid w:val="00E33D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33D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33D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3D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3D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3D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D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D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DE8"/>
    <w:rPr>
      <w:rFonts w:eastAsiaTheme="majorEastAsia" w:cstheme="majorBidi"/>
      <w:color w:val="272727" w:themeColor="text1" w:themeTint="D8"/>
    </w:rPr>
  </w:style>
  <w:style w:type="paragraph" w:styleId="Title">
    <w:name w:val="Title"/>
    <w:basedOn w:val="Normal"/>
    <w:next w:val="Normal"/>
    <w:link w:val="TitleChar"/>
    <w:uiPriority w:val="10"/>
    <w:qFormat/>
    <w:rsid w:val="00E33D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D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DE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D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3DE8"/>
    <w:rPr>
      <w:rFonts w:ascii="Calibri" w:hAnsi="Calibri"/>
      <w:i/>
      <w:iCs/>
      <w:color w:val="404040" w:themeColor="text1" w:themeTint="BF"/>
    </w:rPr>
  </w:style>
  <w:style w:type="paragraph" w:styleId="ListParagraph">
    <w:name w:val="List Paragraph"/>
    <w:basedOn w:val="Normal"/>
    <w:uiPriority w:val="34"/>
    <w:qFormat/>
    <w:rsid w:val="00E33DE8"/>
    <w:pPr>
      <w:ind w:left="720"/>
      <w:contextualSpacing/>
    </w:pPr>
  </w:style>
  <w:style w:type="character" w:styleId="IntenseEmphasis">
    <w:name w:val="Intense Emphasis"/>
    <w:basedOn w:val="DefaultParagraphFont"/>
    <w:uiPriority w:val="21"/>
    <w:qFormat/>
    <w:rsid w:val="00E33DE8"/>
    <w:rPr>
      <w:i/>
      <w:iCs/>
      <w:color w:val="2F5496" w:themeColor="accent1" w:themeShade="BF"/>
    </w:rPr>
  </w:style>
  <w:style w:type="paragraph" w:styleId="IntenseQuote">
    <w:name w:val="Intense Quote"/>
    <w:basedOn w:val="Normal"/>
    <w:next w:val="Normal"/>
    <w:link w:val="IntenseQuoteChar"/>
    <w:uiPriority w:val="30"/>
    <w:qFormat/>
    <w:rsid w:val="00E33D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3DE8"/>
    <w:rPr>
      <w:rFonts w:ascii="Calibri" w:hAnsi="Calibri"/>
      <w:i/>
      <w:iCs/>
      <w:color w:val="2F5496" w:themeColor="accent1" w:themeShade="BF"/>
    </w:rPr>
  </w:style>
  <w:style w:type="character" w:styleId="IntenseReference">
    <w:name w:val="Intense Reference"/>
    <w:basedOn w:val="DefaultParagraphFont"/>
    <w:uiPriority w:val="32"/>
    <w:qFormat/>
    <w:rsid w:val="00E33DE8"/>
    <w:rPr>
      <w:b/>
      <w:bCs/>
      <w:smallCaps/>
      <w:color w:val="2F5496" w:themeColor="accent1" w:themeShade="BF"/>
      <w:spacing w:val="5"/>
    </w:rPr>
  </w:style>
  <w:style w:type="character" w:styleId="Hyperlink">
    <w:name w:val="Hyperlink"/>
    <w:basedOn w:val="DefaultParagraphFont"/>
    <w:uiPriority w:val="99"/>
    <w:unhideWhenUsed/>
    <w:rsid w:val="00022038"/>
    <w:rPr>
      <w:color w:val="0563C1" w:themeColor="hyperlink"/>
      <w:u w:val="single"/>
    </w:rPr>
  </w:style>
  <w:style w:type="character" w:styleId="UnresolvedMention">
    <w:name w:val="Unresolved Mention"/>
    <w:basedOn w:val="DefaultParagraphFont"/>
    <w:uiPriority w:val="99"/>
    <w:semiHidden/>
    <w:unhideWhenUsed/>
    <w:rsid w:val="00022038"/>
    <w:rPr>
      <w:color w:val="605E5C"/>
      <w:shd w:val="clear" w:color="auto" w:fill="E1DFDD"/>
    </w:rPr>
  </w:style>
  <w:style w:type="character" w:styleId="FootnoteReference">
    <w:name w:val="footnote reference"/>
    <w:basedOn w:val="DefaultParagraphFont"/>
    <w:uiPriority w:val="99"/>
    <w:semiHidden/>
    <w:unhideWhenUsed/>
    <w:rsid w:val="006F3F93"/>
    <w:rPr>
      <w:vertAlign w:val="superscript"/>
    </w:rPr>
  </w:style>
  <w:style w:type="paragraph" w:styleId="NormalWeb">
    <w:name w:val="Normal (Web)"/>
    <w:basedOn w:val="Normal"/>
    <w:uiPriority w:val="99"/>
    <w:semiHidden/>
    <w:unhideWhenUsed/>
    <w:rsid w:val="00EF7287"/>
    <w:rPr>
      <w:rFonts w:ascii="Times New Roman" w:hAnsi="Times New Roman" w:cs="Times New Roman"/>
    </w:rPr>
  </w:style>
  <w:style w:type="paragraph" w:styleId="Header">
    <w:name w:val="header"/>
    <w:basedOn w:val="Normal"/>
    <w:link w:val="HeaderChar"/>
    <w:uiPriority w:val="99"/>
    <w:unhideWhenUsed/>
    <w:rsid w:val="00E00E66"/>
    <w:pPr>
      <w:tabs>
        <w:tab w:val="center" w:pos="4513"/>
        <w:tab w:val="right" w:pos="9026"/>
      </w:tabs>
      <w:spacing w:after="0"/>
    </w:pPr>
  </w:style>
  <w:style w:type="character" w:customStyle="1" w:styleId="HeaderChar">
    <w:name w:val="Header Char"/>
    <w:basedOn w:val="DefaultParagraphFont"/>
    <w:link w:val="Header"/>
    <w:uiPriority w:val="99"/>
    <w:rsid w:val="00E00E66"/>
    <w:rPr>
      <w:rFonts w:ascii="Calibri" w:hAnsi="Calibri"/>
    </w:rPr>
  </w:style>
  <w:style w:type="paragraph" w:styleId="Footer">
    <w:name w:val="footer"/>
    <w:basedOn w:val="Normal"/>
    <w:link w:val="FooterChar"/>
    <w:uiPriority w:val="99"/>
    <w:unhideWhenUsed/>
    <w:rsid w:val="00E00E66"/>
    <w:pPr>
      <w:tabs>
        <w:tab w:val="center" w:pos="4513"/>
        <w:tab w:val="right" w:pos="9026"/>
      </w:tabs>
      <w:spacing w:after="0"/>
    </w:pPr>
  </w:style>
  <w:style w:type="character" w:customStyle="1" w:styleId="FooterChar">
    <w:name w:val="Footer Char"/>
    <w:basedOn w:val="DefaultParagraphFont"/>
    <w:link w:val="Footer"/>
    <w:uiPriority w:val="99"/>
    <w:rsid w:val="00E00E66"/>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8FE87-D2FF-4B08-8C4E-6F537544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3021</TotalTime>
  <Pages>11</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Maychild (2310535)</dc:creator>
  <cp:keywords/>
  <dc:description/>
  <cp:lastModifiedBy>Rufus Maychild (2310535)</cp:lastModifiedBy>
  <cp:revision>19</cp:revision>
  <cp:lastPrinted>2025-11-06T09:38:00Z</cp:lastPrinted>
  <dcterms:created xsi:type="dcterms:W3CDTF">2025-11-05T10:08:00Z</dcterms:created>
  <dcterms:modified xsi:type="dcterms:W3CDTF">2025-11-19T09:08:00Z</dcterms:modified>
</cp:coreProperties>
</file>