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A0B61" w14:textId="56C3B1D2" w:rsidR="002041B0" w:rsidRPr="002041B0" w:rsidRDefault="002041B0" w:rsidP="002041B0">
      <w:pPr>
        <w:spacing w:before="480" w:after="0" w:line="240" w:lineRule="auto"/>
        <w:outlineLvl w:val="0"/>
        <w:rPr>
          <w:rFonts w:asciiTheme="minorBidi" w:eastAsia="Times New Roman" w:hAnsiTheme="minorBidi"/>
          <w:b/>
          <w:bCs/>
          <w:kern w:val="36"/>
          <w14:ligatures w14:val="none"/>
        </w:rPr>
      </w:pPr>
    </w:p>
    <w:tbl>
      <w:tblPr>
        <w:tblW w:w="5000"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726"/>
        <w:gridCol w:w="2574"/>
        <w:gridCol w:w="2453"/>
        <w:gridCol w:w="3141"/>
        <w:gridCol w:w="2717"/>
        <w:gridCol w:w="2475"/>
        <w:gridCol w:w="2936"/>
        <w:gridCol w:w="2319"/>
      </w:tblGrid>
      <w:tr w:rsidR="002041B0" w:rsidRPr="00124566" w14:paraId="5977AA65" w14:textId="77777777" w:rsidTr="00411467">
        <w:tc>
          <w:tcPr>
            <w:tcW w:w="5000" w:type="pct"/>
            <w:gridSpan w:val="8"/>
            <w:tcMar>
              <w:top w:w="0" w:type="dxa"/>
              <w:left w:w="108" w:type="dxa"/>
              <w:bottom w:w="0" w:type="dxa"/>
              <w:right w:w="108" w:type="dxa"/>
            </w:tcMar>
          </w:tcPr>
          <w:p w14:paraId="46FD5441" w14:textId="77777777" w:rsidR="002041B0" w:rsidRPr="00124566" w:rsidRDefault="002041B0" w:rsidP="002041B0">
            <w:pPr>
              <w:spacing w:after="0" w:line="240" w:lineRule="auto"/>
              <w:rPr>
                <w:rFonts w:asciiTheme="minorBidi" w:eastAsia="Times New Roman" w:hAnsiTheme="minorBidi"/>
                <w:color w:val="000000"/>
                <w:kern w:val="0"/>
                <w14:ligatures w14:val="none"/>
              </w:rPr>
            </w:pPr>
          </w:p>
          <w:p w14:paraId="594A9869" w14:textId="77777777" w:rsidR="002041B0" w:rsidRPr="002041B0" w:rsidRDefault="002041B0" w:rsidP="00543D43">
            <w:pPr>
              <w:shd w:val="clear" w:color="auto" w:fill="E7E200"/>
              <w:spacing w:before="480" w:after="0" w:line="240" w:lineRule="auto"/>
              <w:jc w:val="center"/>
              <w:outlineLvl w:val="0"/>
              <w:rPr>
                <w:rFonts w:ascii="Biome" w:eastAsia="Times New Roman" w:hAnsi="Biome" w:cs="Biome"/>
                <w:b/>
                <w:bCs/>
                <w:kern w:val="36"/>
                <w:sz w:val="48"/>
                <w:szCs w:val="48"/>
                <w14:ligatures w14:val="none"/>
              </w:rPr>
            </w:pPr>
            <w:r w:rsidRPr="002041B0">
              <w:rPr>
                <w:rFonts w:ascii="Biome" w:eastAsia="Times New Roman" w:hAnsi="Biome" w:cs="Biome"/>
                <w:b/>
                <w:bCs/>
                <w:kern w:val="36"/>
                <w:sz w:val="48"/>
                <w:szCs w:val="48"/>
                <w14:ligatures w14:val="none"/>
              </w:rPr>
              <w:t>THE DR CAROLINE JAWAD TABLE 2025</w:t>
            </w:r>
            <w:r w:rsidRPr="002041B0">
              <w:rPr>
                <w:rFonts w:ascii="Biome" w:eastAsia="Times New Roman" w:hAnsi="Biome" w:cs="Biome"/>
                <w:b/>
                <w:bCs/>
                <w:kern w:val="36"/>
                <w:sz w:val="48"/>
                <w:szCs w:val="48"/>
                <w14:ligatures w14:val="none"/>
              </w:rPr>
              <w:br/>
              <w:t>SUPER FANTASTIC EVERYTHING-IN-ONE-PLACE</w:t>
            </w:r>
            <w:r w:rsidRPr="002041B0">
              <w:rPr>
                <w:rFonts w:ascii="Biome" w:eastAsia="Times New Roman" w:hAnsi="Biome" w:cs="Biome"/>
                <w:b/>
                <w:bCs/>
                <w:kern w:val="36"/>
                <w:sz w:val="48"/>
                <w:szCs w:val="48"/>
                <w14:ligatures w14:val="none"/>
              </w:rPr>
              <w:br/>
              <w:t>RESEARCH PHILOSOPHY</w:t>
            </w:r>
          </w:p>
          <w:p w14:paraId="3BB68DAD" w14:textId="77777777" w:rsidR="002041B0" w:rsidRPr="00124566" w:rsidRDefault="002041B0" w:rsidP="00543D43">
            <w:pPr>
              <w:shd w:val="clear" w:color="auto" w:fill="E7E200"/>
              <w:spacing w:after="0" w:line="240" w:lineRule="auto"/>
              <w:rPr>
                <w:rFonts w:asciiTheme="minorBidi" w:eastAsia="Times New Roman" w:hAnsiTheme="minorBidi"/>
                <w:color w:val="000000"/>
                <w:kern w:val="0"/>
                <w14:ligatures w14:val="none"/>
              </w:rPr>
            </w:pPr>
          </w:p>
          <w:p w14:paraId="74757789" w14:textId="77777777" w:rsidR="002041B0" w:rsidRPr="00124566" w:rsidRDefault="002041B0" w:rsidP="002041B0">
            <w:pPr>
              <w:spacing w:after="0" w:line="240" w:lineRule="auto"/>
              <w:rPr>
                <w:rFonts w:asciiTheme="minorBidi" w:eastAsia="Times New Roman" w:hAnsiTheme="minorBidi"/>
                <w:color w:val="000000"/>
                <w:kern w:val="0"/>
                <w14:ligatures w14:val="none"/>
              </w:rPr>
            </w:pPr>
          </w:p>
        </w:tc>
      </w:tr>
      <w:tr w:rsidR="00124566" w:rsidRPr="00124566" w14:paraId="459B8DD4" w14:textId="77777777" w:rsidTr="00D93057">
        <w:tc>
          <w:tcPr>
            <w:tcW w:w="834" w:type="pct"/>
            <w:tcMar>
              <w:top w:w="0" w:type="dxa"/>
              <w:left w:w="108" w:type="dxa"/>
              <w:bottom w:w="0" w:type="dxa"/>
              <w:right w:w="108" w:type="dxa"/>
            </w:tcMar>
            <w:hideMark/>
          </w:tcPr>
          <w:p w14:paraId="77882158"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4E971282" w14:textId="77777777" w:rsidR="002041B0" w:rsidRPr="00124566" w:rsidRDefault="002041B0" w:rsidP="002041B0">
            <w:pPr>
              <w:spacing w:after="0" w:line="240" w:lineRule="auto"/>
              <w:rPr>
                <w:rFonts w:asciiTheme="minorBidi" w:eastAsia="Times New Roman" w:hAnsiTheme="minorBidi"/>
                <w:b/>
                <w:bCs/>
                <w:color w:val="000000"/>
                <w:kern w:val="0"/>
                <w14:ligatures w14:val="none"/>
              </w:rPr>
            </w:pPr>
            <w:r w:rsidRPr="002041B0">
              <w:rPr>
                <w:rFonts w:asciiTheme="minorBidi" w:eastAsia="Times New Roman" w:hAnsiTheme="minorBidi"/>
                <w:b/>
                <w:bCs/>
                <w:color w:val="000000"/>
                <w:kern w:val="0"/>
                <w14:ligatures w14:val="none"/>
              </w:rPr>
              <w:t>Dimension</w:t>
            </w:r>
          </w:p>
          <w:p w14:paraId="04036AB3" w14:textId="24D76D48" w:rsidR="00FE17E2" w:rsidRPr="002041B0" w:rsidRDefault="00FE17E2" w:rsidP="002041B0">
            <w:pPr>
              <w:spacing w:after="0" w:line="240" w:lineRule="auto"/>
              <w:rPr>
                <w:rFonts w:asciiTheme="minorBidi" w:eastAsia="Times New Roman" w:hAnsiTheme="minorBidi"/>
                <w:b/>
                <w:bCs/>
                <w:kern w:val="0"/>
                <w14:ligatures w14:val="none"/>
              </w:rPr>
            </w:pPr>
          </w:p>
        </w:tc>
        <w:tc>
          <w:tcPr>
            <w:tcW w:w="576" w:type="pct"/>
            <w:shd w:val="clear" w:color="auto" w:fill="99CCFF"/>
            <w:tcMar>
              <w:top w:w="0" w:type="dxa"/>
              <w:left w:w="108" w:type="dxa"/>
              <w:bottom w:w="0" w:type="dxa"/>
              <w:right w:w="108" w:type="dxa"/>
            </w:tcMar>
            <w:hideMark/>
          </w:tcPr>
          <w:p w14:paraId="6EE8AE9C"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1220FC11" w14:textId="14ADE9A2"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Positivism</w:t>
            </w:r>
          </w:p>
        </w:tc>
        <w:tc>
          <w:tcPr>
            <w:tcW w:w="549" w:type="pct"/>
            <w:shd w:val="clear" w:color="auto" w:fill="66FFFF"/>
            <w:tcMar>
              <w:top w:w="0" w:type="dxa"/>
              <w:left w:w="108" w:type="dxa"/>
              <w:bottom w:w="0" w:type="dxa"/>
              <w:right w:w="108" w:type="dxa"/>
            </w:tcMar>
            <w:hideMark/>
          </w:tcPr>
          <w:p w14:paraId="0BE30BAD"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1672E402" w14:textId="6F7F90CD" w:rsidR="002041B0" w:rsidRPr="002041B0" w:rsidRDefault="002041B0" w:rsidP="002041B0">
            <w:pPr>
              <w:spacing w:after="0" w:line="240" w:lineRule="auto"/>
              <w:rPr>
                <w:rFonts w:asciiTheme="minorBidi" w:eastAsia="Times New Roman" w:hAnsiTheme="minorBidi"/>
                <w:b/>
                <w:bCs/>
                <w:kern w:val="0"/>
                <w14:ligatures w14:val="none"/>
              </w:rPr>
            </w:pPr>
            <w:proofErr w:type="spellStart"/>
            <w:r w:rsidRPr="002041B0">
              <w:rPr>
                <w:rFonts w:asciiTheme="minorBidi" w:eastAsia="Times New Roman" w:hAnsiTheme="minorBidi"/>
                <w:b/>
                <w:bCs/>
                <w:color w:val="000000"/>
                <w:kern w:val="0"/>
                <w14:ligatures w14:val="none"/>
              </w:rPr>
              <w:t>Postpositivism</w:t>
            </w:r>
            <w:proofErr w:type="spellEnd"/>
          </w:p>
        </w:tc>
        <w:tc>
          <w:tcPr>
            <w:tcW w:w="703" w:type="pct"/>
            <w:shd w:val="clear" w:color="auto" w:fill="CCFF99"/>
            <w:tcMar>
              <w:top w:w="0" w:type="dxa"/>
              <w:left w:w="108" w:type="dxa"/>
              <w:bottom w:w="0" w:type="dxa"/>
              <w:right w:w="108" w:type="dxa"/>
            </w:tcMar>
            <w:hideMark/>
          </w:tcPr>
          <w:p w14:paraId="5D948134"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50A1CD4F" w14:textId="2043A16C"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Interpretivism</w:t>
            </w:r>
          </w:p>
        </w:tc>
        <w:tc>
          <w:tcPr>
            <w:tcW w:w="608" w:type="pct"/>
            <w:tcMar>
              <w:top w:w="0" w:type="dxa"/>
              <w:left w:w="108" w:type="dxa"/>
              <w:bottom w:w="0" w:type="dxa"/>
              <w:right w:w="108" w:type="dxa"/>
            </w:tcMar>
            <w:hideMark/>
          </w:tcPr>
          <w:p w14:paraId="5DB9F5E6"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6A4E2C75" w14:textId="252D80FB"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Constructivism</w:t>
            </w:r>
          </w:p>
        </w:tc>
        <w:tc>
          <w:tcPr>
            <w:tcW w:w="554" w:type="pct"/>
            <w:shd w:val="clear" w:color="auto" w:fill="FFCC00"/>
            <w:tcMar>
              <w:top w:w="0" w:type="dxa"/>
              <w:left w:w="108" w:type="dxa"/>
              <w:bottom w:w="0" w:type="dxa"/>
              <w:right w:w="108" w:type="dxa"/>
            </w:tcMar>
            <w:hideMark/>
          </w:tcPr>
          <w:p w14:paraId="2D90BA3A"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07DDC611" w14:textId="77777777" w:rsidR="002041B0" w:rsidRPr="00124566" w:rsidRDefault="002041B0" w:rsidP="002041B0">
            <w:pPr>
              <w:spacing w:after="0" w:line="240" w:lineRule="auto"/>
              <w:rPr>
                <w:rFonts w:asciiTheme="minorBidi" w:eastAsia="Times New Roman" w:hAnsiTheme="minorBidi"/>
                <w:b/>
                <w:bCs/>
                <w:color w:val="000000"/>
                <w:kern w:val="0"/>
                <w14:ligatures w14:val="none"/>
              </w:rPr>
            </w:pPr>
            <w:r w:rsidRPr="002041B0">
              <w:rPr>
                <w:rFonts w:asciiTheme="minorBidi" w:eastAsia="Times New Roman" w:hAnsiTheme="minorBidi"/>
                <w:b/>
                <w:bCs/>
                <w:color w:val="000000"/>
                <w:kern w:val="0"/>
                <w14:ligatures w14:val="none"/>
              </w:rPr>
              <w:t>Social Constructionism</w:t>
            </w:r>
          </w:p>
          <w:p w14:paraId="0ABC5986" w14:textId="77777777" w:rsidR="004251CD" w:rsidRPr="00124566" w:rsidRDefault="004251CD" w:rsidP="002041B0">
            <w:pPr>
              <w:spacing w:after="0" w:line="240" w:lineRule="auto"/>
              <w:rPr>
                <w:rFonts w:asciiTheme="minorBidi" w:eastAsia="Times New Roman" w:hAnsiTheme="minorBidi"/>
                <w:b/>
                <w:bCs/>
                <w:color w:val="000000"/>
                <w:kern w:val="0"/>
                <w14:ligatures w14:val="none"/>
              </w:rPr>
            </w:pPr>
          </w:p>
          <w:p w14:paraId="540C7FC3" w14:textId="421B54CB" w:rsidR="00FE17E2" w:rsidRPr="002041B0" w:rsidRDefault="00FE17E2" w:rsidP="002041B0">
            <w:pPr>
              <w:spacing w:after="0" w:line="240" w:lineRule="auto"/>
              <w:rPr>
                <w:rFonts w:asciiTheme="minorBidi" w:eastAsia="Times New Roman" w:hAnsiTheme="minorBidi"/>
                <w:b/>
                <w:bCs/>
                <w:kern w:val="0"/>
                <w14:ligatures w14:val="none"/>
              </w:rPr>
            </w:pPr>
          </w:p>
        </w:tc>
        <w:tc>
          <w:tcPr>
            <w:tcW w:w="657" w:type="pct"/>
            <w:shd w:val="clear" w:color="auto" w:fill="FFCCFF"/>
            <w:tcMar>
              <w:top w:w="0" w:type="dxa"/>
              <w:left w:w="108" w:type="dxa"/>
              <w:bottom w:w="0" w:type="dxa"/>
              <w:right w:w="108" w:type="dxa"/>
            </w:tcMar>
            <w:hideMark/>
          </w:tcPr>
          <w:p w14:paraId="7610B83A"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7E8E2DF5" w14:textId="0081290E"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Critical Theory</w:t>
            </w:r>
          </w:p>
        </w:tc>
        <w:tc>
          <w:tcPr>
            <w:tcW w:w="519" w:type="pct"/>
            <w:shd w:val="clear" w:color="auto" w:fill="FFFF99"/>
            <w:tcMar>
              <w:top w:w="0" w:type="dxa"/>
              <w:left w:w="108" w:type="dxa"/>
              <w:bottom w:w="0" w:type="dxa"/>
              <w:right w:w="108" w:type="dxa"/>
            </w:tcMar>
            <w:hideMark/>
          </w:tcPr>
          <w:p w14:paraId="5397C584" w14:textId="77777777" w:rsidR="00FE17E2" w:rsidRPr="00124566" w:rsidRDefault="00FE17E2" w:rsidP="002041B0">
            <w:pPr>
              <w:spacing w:after="0" w:line="240" w:lineRule="auto"/>
              <w:rPr>
                <w:rFonts w:asciiTheme="minorBidi" w:eastAsia="Times New Roman" w:hAnsiTheme="minorBidi"/>
                <w:b/>
                <w:bCs/>
                <w:color w:val="000000"/>
                <w:kern w:val="0"/>
                <w14:ligatures w14:val="none"/>
              </w:rPr>
            </w:pPr>
          </w:p>
          <w:p w14:paraId="2F861334" w14:textId="620421F6"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Pragmatism</w:t>
            </w:r>
          </w:p>
        </w:tc>
      </w:tr>
      <w:tr w:rsidR="00124566" w:rsidRPr="00124566" w14:paraId="51F4E2B3" w14:textId="77777777" w:rsidTr="00D93057">
        <w:tc>
          <w:tcPr>
            <w:tcW w:w="834" w:type="pct"/>
            <w:tcMar>
              <w:top w:w="0" w:type="dxa"/>
              <w:left w:w="108" w:type="dxa"/>
              <w:bottom w:w="0" w:type="dxa"/>
              <w:right w:w="108" w:type="dxa"/>
            </w:tcMar>
            <w:hideMark/>
          </w:tcPr>
          <w:p w14:paraId="7B9CD2FB"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When to use</w:t>
            </w:r>
          </w:p>
        </w:tc>
        <w:tc>
          <w:tcPr>
            <w:tcW w:w="576" w:type="pct"/>
            <w:shd w:val="clear" w:color="auto" w:fill="99CCFF"/>
            <w:tcMar>
              <w:top w:w="0" w:type="dxa"/>
              <w:left w:w="108" w:type="dxa"/>
              <w:bottom w:w="0" w:type="dxa"/>
              <w:right w:w="108" w:type="dxa"/>
            </w:tcMar>
            <w:hideMark/>
          </w:tcPr>
          <w:p w14:paraId="4A56E6A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Test hypotheses, establish cause-and-effect relationships, generate generalisable findings in controlled setting</w:t>
            </w:r>
          </w:p>
        </w:tc>
        <w:tc>
          <w:tcPr>
            <w:tcW w:w="549" w:type="pct"/>
            <w:shd w:val="clear" w:color="auto" w:fill="66FFFF"/>
            <w:tcMar>
              <w:top w:w="0" w:type="dxa"/>
              <w:left w:w="108" w:type="dxa"/>
              <w:bottom w:w="0" w:type="dxa"/>
              <w:right w:w="108" w:type="dxa"/>
            </w:tcMar>
            <w:hideMark/>
          </w:tcPr>
          <w:p w14:paraId="02DAD40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Approximate objective reality while acknowledging limitations of human understanding and potential for researcher bias</w:t>
            </w:r>
          </w:p>
        </w:tc>
        <w:tc>
          <w:tcPr>
            <w:tcW w:w="703" w:type="pct"/>
            <w:shd w:val="clear" w:color="auto" w:fill="CCFF99"/>
            <w:tcMar>
              <w:top w:w="0" w:type="dxa"/>
              <w:left w:w="108" w:type="dxa"/>
              <w:bottom w:w="0" w:type="dxa"/>
              <w:right w:w="108" w:type="dxa"/>
            </w:tcMar>
            <w:hideMark/>
          </w:tcPr>
          <w:p w14:paraId="20040D9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Gain deep understanding of individual experiences, perspectives and meanings people assign to social phenomena</w:t>
            </w:r>
          </w:p>
        </w:tc>
        <w:tc>
          <w:tcPr>
            <w:tcW w:w="608" w:type="pct"/>
            <w:tcMar>
              <w:top w:w="0" w:type="dxa"/>
              <w:left w:w="108" w:type="dxa"/>
              <w:bottom w:w="0" w:type="dxa"/>
              <w:right w:w="108" w:type="dxa"/>
            </w:tcMar>
            <w:hideMark/>
          </w:tcPr>
          <w:p w14:paraId="5689606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Understand how individuals and groups construct their realities through social interaction and individual sense-making. Understand how individuals and groups actively construct their realities through interaction (Note: Rooted in Vygotsky's work - primarily used in psychology and education, not commonly used in business/management research)</w:t>
            </w:r>
          </w:p>
        </w:tc>
        <w:tc>
          <w:tcPr>
            <w:tcW w:w="554" w:type="pct"/>
            <w:shd w:val="clear" w:color="auto" w:fill="FFCC00"/>
            <w:tcMar>
              <w:top w:w="0" w:type="dxa"/>
              <w:left w:w="108" w:type="dxa"/>
              <w:bottom w:w="0" w:type="dxa"/>
              <w:right w:w="108" w:type="dxa"/>
            </w:tcMar>
            <w:hideMark/>
          </w:tcPr>
          <w:p w14:paraId="6F44090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Compare how different groups (departments, professions, cultures, teams) construct the same phenomenon differently in organisations. Understand multiple stakeholder perspectives and why groups see things differently</w:t>
            </w:r>
          </w:p>
        </w:tc>
        <w:tc>
          <w:tcPr>
            <w:tcW w:w="657" w:type="pct"/>
            <w:shd w:val="clear" w:color="auto" w:fill="FFCCFF"/>
            <w:tcMar>
              <w:top w:w="0" w:type="dxa"/>
              <w:left w:w="108" w:type="dxa"/>
              <w:bottom w:w="0" w:type="dxa"/>
              <w:right w:w="108" w:type="dxa"/>
            </w:tcMar>
            <w:hideMark/>
          </w:tcPr>
          <w:p w14:paraId="201B924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Uncover and challenge oppressive structures, promote social justice, facilitate emancipatory change</w:t>
            </w:r>
          </w:p>
        </w:tc>
        <w:tc>
          <w:tcPr>
            <w:tcW w:w="519" w:type="pct"/>
            <w:shd w:val="clear" w:color="auto" w:fill="FFFF99"/>
            <w:tcMar>
              <w:top w:w="0" w:type="dxa"/>
              <w:left w:w="108" w:type="dxa"/>
              <w:bottom w:w="0" w:type="dxa"/>
              <w:right w:w="108" w:type="dxa"/>
            </w:tcMar>
            <w:hideMark/>
          </w:tcPr>
          <w:p w14:paraId="5CC6CEB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 practical solutions to real-world problems with focus on actionable findings and real-world impact</w:t>
            </w:r>
          </w:p>
        </w:tc>
      </w:tr>
      <w:tr w:rsidR="00476654" w:rsidRPr="00476654" w14:paraId="04174743" w14:textId="77777777" w:rsidTr="00476654">
        <w:tc>
          <w:tcPr>
            <w:tcW w:w="834"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7C4B8F66" w14:textId="77777777" w:rsidR="00476654" w:rsidRPr="00476654" w:rsidRDefault="00476654" w:rsidP="00476654">
            <w:pPr>
              <w:spacing w:after="0" w:line="240" w:lineRule="auto"/>
              <w:rPr>
                <w:rFonts w:asciiTheme="minorBidi" w:eastAsia="Times New Roman" w:hAnsiTheme="minorBidi"/>
                <w:b/>
                <w:bCs/>
                <w:color w:val="000000"/>
                <w:kern w:val="0"/>
                <w14:ligatures w14:val="none"/>
              </w:rPr>
            </w:pPr>
            <w:r w:rsidRPr="00476654">
              <w:rPr>
                <w:rFonts w:asciiTheme="minorBidi" w:eastAsia="Times New Roman" w:hAnsiTheme="minorBidi"/>
                <w:b/>
                <w:bCs/>
                <w:color w:val="000000"/>
                <w:kern w:val="0"/>
                <w14:ligatures w14:val="none"/>
              </w:rPr>
              <w:t>Key Assumptions Summary</w:t>
            </w:r>
          </w:p>
        </w:tc>
        <w:tc>
          <w:tcPr>
            <w:tcW w:w="576" w:type="pct"/>
            <w:tcBorders>
              <w:top w:val="single" w:sz="12" w:space="0" w:color="auto"/>
              <w:left w:val="single" w:sz="12" w:space="0" w:color="auto"/>
              <w:bottom w:val="single" w:sz="12" w:space="0" w:color="auto"/>
              <w:right w:val="single" w:sz="12" w:space="0" w:color="auto"/>
            </w:tcBorders>
            <w:shd w:val="clear" w:color="auto" w:fill="99CCFF"/>
            <w:tcMar>
              <w:top w:w="0" w:type="dxa"/>
              <w:left w:w="108" w:type="dxa"/>
              <w:bottom w:w="0" w:type="dxa"/>
              <w:right w:w="108" w:type="dxa"/>
            </w:tcMar>
            <w:hideMark/>
          </w:tcPr>
          <w:p w14:paraId="79C9295F"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exists independently of human perception</w:t>
            </w:r>
            <w:r w:rsidRPr="00476654">
              <w:rPr>
                <w:rFonts w:asciiTheme="minorBidi" w:eastAsia="Times New Roman" w:hAnsiTheme="minorBidi"/>
                <w:color w:val="000000"/>
                <w:kern w:val="0"/>
                <w14:ligatures w14:val="none"/>
              </w:rPr>
              <w:br/>
              <w:t>2. Knowledge comes from objective observation</w:t>
            </w:r>
            <w:r w:rsidRPr="00476654">
              <w:rPr>
                <w:rFonts w:asciiTheme="minorBidi" w:eastAsia="Times New Roman" w:hAnsiTheme="minorBidi"/>
                <w:color w:val="000000"/>
                <w:kern w:val="0"/>
                <w14:ligatures w14:val="none"/>
              </w:rPr>
              <w:br/>
              <w:t>3. Research can and should be value-free</w:t>
            </w:r>
            <w:r w:rsidRPr="00476654">
              <w:rPr>
                <w:rFonts w:asciiTheme="minorBidi" w:eastAsia="Times New Roman" w:hAnsiTheme="minorBidi"/>
                <w:color w:val="000000"/>
                <w:kern w:val="0"/>
                <w14:ligatures w14:val="none"/>
              </w:rPr>
              <w:br/>
              <w:t>4. Universal laws can be discovered through scientific method</w:t>
            </w:r>
          </w:p>
        </w:tc>
        <w:tc>
          <w:tcPr>
            <w:tcW w:w="549" w:type="pct"/>
            <w:tcBorders>
              <w:top w:val="single" w:sz="12" w:space="0" w:color="auto"/>
              <w:left w:val="single" w:sz="12" w:space="0" w:color="auto"/>
              <w:bottom w:val="single" w:sz="12" w:space="0" w:color="auto"/>
              <w:right w:val="single" w:sz="12" w:space="0" w:color="auto"/>
            </w:tcBorders>
            <w:shd w:val="clear" w:color="auto" w:fill="66FFFF"/>
            <w:tcMar>
              <w:top w:w="0" w:type="dxa"/>
              <w:left w:w="108" w:type="dxa"/>
              <w:bottom w:w="0" w:type="dxa"/>
              <w:right w:w="108" w:type="dxa"/>
            </w:tcMar>
            <w:hideMark/>
          </w:tcPr>
          <w:p w14:paraId="35452250"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exists but can never be fully known</w:t>
            </w:r>
            <w:r w:rsidRPr="00476654">
              <w:rPr>
                <w:rFonts w:asciiTheme="minorBidi" w:eastAsia="Times New Roman" w:hAnsiTheme="minorBidi"/>
                <w:color w:val="000000"/>
                <w:kern w:val="0"/>
                <w14:ligatures w14:val="none"/>
              </w:rPr>
              <w:br/>
              <w:t>2. Knowledge is probabilistic and fallible</w:t>
            </w:r>
            <w:r w:rsidRPr="00476654">
              <w:rPr>
                <w:rFonts w:asciiTheme="minorBidi" w:eastAsia="Times New Roman" w:hAnsiTheme="minorBidi"/>
                <w:color w:val="000000"/>
                <w:kern w:val="0"/>
                <w14:ligatures w14:val="none"/>
              </w:rPr>
              <w:br/>
              <w:t>3. Complete objectivity is impossible but striving for it is important</w:t>
            </w:r>
            <w:r w:rsidRPr="00476654">
              <w:rPr>
                <w:rFonts w:asciiTheme="minorBidi" w:eastAsia="Times New Roman" w:hAnsiTheme="minorBidi"/>
                <w:color w:val="000000"/>
                <w:kern w:val="0"/>
                <w14:ligatures w14:val="none"/>
              </w:rPr>
              <w:br/>
              <w:t>4. Multiple methods improve understanding</w:t>
            </w:r>
          </w:p>
        </w:tc>
        <w:tc>
          <w:tcPr>
            <w:tcW w:w="703" w:type="pct"/>
            <w:tcBorders>
              <w:top w:val="single" w:sz="12" w:space="0" w:color="auto"/>
              <w:left w:val="single" w:sz="12" w:space="0" w:color="auto"/>
              <w:bottom w:val="single" w:sz="12" w:space="0" w:color="auto"/>
              <w:right w:val="single" w:sz="12" w:space="0" w:color="auto"/>
            </w:tcBorders>
            <w:shd w:val="clear" w:color="auto" w:fill="CCFF99"/>
            <w:tcMar>
              <w:top w:w="0" w:type="dxa"/>
              <w:left w:w="108" w:type="dxa"/>
              <w:bottom w:w="0" w:type="dxa"/>
              <w:right w:w="108" w:type="dxa"/>
            </w:tcMar>
            <w:hideMark/>
          </w:tcPr>
          <w:p w14:paraId="38423A32"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is subjective and multiple</w:t>
            </w:r>
            <w:r w:rsidRPr="00476654">
              <w:rPr>
                <w:rFonts w:asciiTheme="minorBidi" w:eastAsia="Times New Roman" w:hAnsiTheme="minorBidi"/>
                <w:color w:val="000000"/>
                <w:kern w:val="0"/>
                <w14:ligatures w14:val="none"/>
              </w:rPr>
              <w:br/>
              <w:t>2. Knowledge comes from understanding meanings</w:t>
            </w:r>
            <w:r w:rsidRPr="00476654">
              <w:rPr>
                <w:rFonts w:asciiTheme="minorBidi" w:eastAsia="Times New Roman" w:hAnsiTheme="minorBidi"/>
                <w:color w:val="000000"/>
                <w:kern w:val="0"/>
                <w14:ligatures w14:val="none"/>
              </w:rPr>
              <w:br/>
              <w:t>3. Researcher values and interpretations are integral</w:t>
            </w:r>
            <w:r w:rsidRPr="00476654">
              <w:rPr>
                <w:rFonts w:asciiTheme="minorBidi" w:eastAsia="Times New Roman" w:hAnsiTheme="minorBidi"/>
                <w:color w:val="000000"/>
                <w:kern w:val="0"/>
                <w14:ligatures w14:val="none"/>
              </w:rPr>
              <w:br/>
              <w:t>4. Context is essential to understanding</w:t>
            </w:r>
          </w:p>
        </w:tc>
        <w:tc>
          <w:tcPr>
            <w:tcW w:w="608"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5FBF4F8D"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is co-constructed through interaction</w:t>
            </w:r>
            <w:r w:rsidRPr="00476654">
              <w:rPr>
                <w:rFonts w:asciiTheme="minorBidi" w:eastAsia="Times New Roman" w:hAnsiTheme="minorBidi"/>
                <w:color w:val="000000"/>
                <w:kern w:val="0"/>
                <w14:ligatures w14:val="none"/>
              </w:rPr>
              <w:br/>
              <w:t>2. Knowledge emerges through dialogue</w:t>
            </w:r>
            <w:r w:rsidRPr="00476654">
              <w:rPr>
                <w:rFonts w:asciiTheme="minorBidi" w:eastAsia="Times New Roman" w:hAnsiTheme="minorBidi"/>
                <w:color w:val="000000"/>
                <w:kern w:val="0"/>
                <w14:ligatures w14:val="none"/>
              </w:rPr>
              <w:br/>
              <w:t>3. Researcher and participants mutually shape inquiry</w:t>
            </w:r>
            <w:r w:rsidRPr="00476654">
              <w:rPr>
                <w:rFonts w:asciiTheme="minorBidi" w:eastAsia="Times New Roman" w:hAnsiTheme="minorBidi"/>
                <w:color w:val="000000"/>
                <w:kern w:val="0"/>
                <w14:ligatures w14:val="none"/>
              </w:rPr>
              <w:br/>
              <w:t>4. Multiple constructed realities exist simultaneously</w:t>
            </w:r>
          </w:p>
        </w:tc>
        <w:tc>
          <w:tcPr>
            <w:tcW w:w="554" w:type="pct"/>
            <w:tcBorders>
              <w:top w:val="single" w:sz="12" w:space="0" w:color="auto"/>
              <w:left w:val="single" w:sz="12" w:space="0" w:color="auto"/>
              <w:bottom w:val="single" w:sz="12" w:space="0" w:color="auto"/>
              <w:right w:val="single" w:sz="12" w:space="0" w:color="auto"/>
            </w:tcBorders>
            <w:shd w:val="clear" w:color="auto" w:fill="FFCC00"/>
            <w:tcMar>
              <w:top w:w="0" w:type="dxa"/>
              <w:left w:w="108" w:type="dxa"/>
              <w:bottom w:w="0" w:type="dxa"/>
              <w:right w:w="108" w:type="dxa"/>
            </w:tcMar>
            <w:hideMark/>
          </w:tcPr>
          <w:p w14:paraId="495BC7B0"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Social groups construct shared realities through collective processes</w:t>
            </w:r>
            <w:r w:rsidRPr="00476654">
              <w:rPr>
                <w:rFonts w:asciiTheme="minorBidi" w:eastAsia="Times New Roman" w:hAnsiTheme="minorBidi"/>
                <w:color w:val="000000"/>
                <w:kern w:val="0"/>
                <w14:ligatures w14:val="none"/>
              </w:rPr>
              <w:br/>
              <w:t>2. Different groups construct phenomena differently</w:t>
            </w:r>
            <w:r w:rsidRPr="00476654">
              <w:rPr>
                <w:rFonts w:asciiTheme="minorBidi" w:eastAsia="Times New Roman" w:hAnsiTheme="minorBidi"/>
                <w:color w:val="000000"/>
                <w:kern w:val="0"/>
                <w14:ligatures w14:val="none"/>
              </w:rPr>
              <w:br/>
              <w:t>3. Reality is maintained through social agreements</w:t>
            </w:r>
            <w:r w:rsidRPr="00476654">
              <w:rPr>
                <w:rFonts w:asciiTheme="minorBidi" w:eastAsia="Times New Roman" w:hAnsiTheme="minorBidi"/>
                <w:color w:val="000000"/>
                <w:kern w:val="0"/>
                <w14:ligatures w14:val="none"/>
              </w:rPr>
              <w:br/>
              <w:t>4. Understanding multiple constructions reveals organisational dynamics</w:t>
            </w:r>
          </w:p>
        </w:tc>
        <w:tc>
          <w:tcPr>
            <w:tcW w:w="657" w:type="pct"/>
            <w:tcBorders>
              <w:top w:val="single" w:sz="12" w:space="0" w:color="auto"/>
              <w:left w:val="single" w:sz="12" w:space="0" w:color="auto"/>
              <w:bottom w:val="single" w:sz="12" w:space="0" w:color="auto"/>
              <w:right w:val="single" w:sz="12" w:space="0" w:color="auto"/>
            </w:tcBorders>
            <w:shd w:val="clear" w:color="auto" w:fill="FFCCFF"/>
            <w:tcMar>
              <w:top w:w="0" w:type="dxa"/>
              <w:left w:w="108" w:type="dxa"/>
              <w:bottom w:w="0" w:type="dxa"/>
              <w:right w:w="108" w:type="dxa"/>
            </w:tcMar>
            <w:hideMark/>
          </w:tcPr>
          <w:p w14:paraId="61088141"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is shaped by power structures and historical oppression</w:t>
            </w:r>
            <w:r w:rsidRPr="00476654">
              <w:rPr>
                <w:rFonts w:asciiTheme="minorBidi" w:eastAsia="Times New Roman" w:hAnsiTheme="minorBidi"/>
                <w:color w:val="000000"/>
                <w:kern w:val="0"/>
                <w14:ligatures w14:val="none"/>
              </w:rPr>
              <w:br/>
              <w:t>2. Knowledge is ideologically mediated</w:t>
            </w:r>
            <w:r w:rsidRPr="00476654">
              <w:rPr>
                <w:rFonts w:asciiTheme="minorBidi" w:eastAsia="Times New Roman" w:hAnsiTheme="minorBidi"/>
                <w:color w:val="000000"/>
                <w:kern w:val="0"/>
                <w14:ligatures w14:val="none"/>
              </w:rPr>
              <w:br/>
              <w:t>3. Research should challenge injustice and promote change</w:t>
            </w:r>
            <w:r w:rsidRPr="00476654">
              <w:rPr>
                <w:rFonts w:asciiTheme="minorBidi" w:eastAsia="Times New Roman" w:hAnsiTheme="minorBidi"/>
                <w:color w:val="000000"/>
                <w:kern w:val="0"/>
                <w14:ligatures w14:val="none"/>
              </w:rPr>
              <w:br/>
              <w:t>4. All research is political; critical research is explicitly so</w:t>
            </w:r>
          </w:p>
        </w:tc>
        <w:tc>
          <w:tcPr>
            <w:tcW w:w="519" w:type="pct"/>
            <w:tcBorders>
              <w:top w:val="single" w:sz="12" w:space="0" w:color="auto"/>
              <w:left w:val="single" w:sz="12" w:space="0" w:color="auto"/>
              <w:bottom w:val="single" w:sz="12" w:space="0" w:color="auto"/>
              <w:right w:val="single" w:sz="12" w:space="0" w:color="auto"/>
            </w:tcBorders>
            <w:shd w:val="clear" w:color="auto" w:fill="FFFF99"/>
            <w:tcMar>
              <w:top w:w="0" w:type="dxa"/>
              <w:left w:w="108" w:type="dxa"/>
              <w:bottom w:w="0" w:type="dxa"/>
              <w:right w:w="108" w:type="dxa"/>
            </w:tcMar>
            <w:hideMark/>
          </w:tcPr>
          <w:p w14:paraId="1E537E0C" w14:textId="77777777" w:rsidR="00476654" w:rsidRPr="00476654" w:rsidRDefault="00476654" w:rsidP="00476654">
            <w:pPr>
              <w:spacing w:after="0" w:line="240" w:lineRule="auto"/>
              <w:rPr>
                <w:rFonts w:asciiTheme="minorBidi" w:eastAsia="Times New Roman" w:hAnsiTheme="minorBidi"/>
                <w:color w:val="000000"/>
                <w:kern w:val="0"/>
                <w14:ligatures w14:val="none"/>
              </w:rPr>
            </w:pPr>
            <w:r w:rsidRPr="00476654">
              <w:rPr>
                <w:rFonts w:asciiTheme="minorBidi" w:eastAsia="Times New Roman" w:hAnsiTheme="minorBidi"/>
                <w:color w:val="000000"/>
                <w:kern w:val="0"/>
                <w14:ligatures w14:val="none"/>
              </w:rPr>
              <w:t>1. Reality is what works in practice</w:t>
            </w:r>
            <w:r w:rsidRPr="00476654">
              <w:rPr>
                <w:rFonts w:asciiTheme="minorBidi" w:eastAsia="Times New Roman" w:hAnsiTheme="minorBidi"/>
                <w:color w:val="000000"/>
                <w:kern w:val="0"/>
                <w14:ligatures w14:val="none"/>
              </w:rPr>
              <w:br/>
              <w:t>2. Knowledge is valued by its consequences</w:t>
            </w:r>
            <w:r w:rsidRPr="00476654">
              <w:rPr>
                <w:rFonts w:asciiTheme="minorBidi" w:eastAsia="Times New Roman" w:hAnsiTheme="minorBidi"/>
                <w:color w:val="000000"/>
                <w:kern w:val="0"/>
                <w14:ligatures w14:val="none"/>
              </w:rPr>
              <w:br/>
              <w:t>3. Practical problem-solving takes priority over paradigmatic purity</w:t>
            </w:r>
            <w:r w:rsidRPr="00476654">
              <w:rPr>
                <w:rFonts w:asciiTheme="minorBidi" w:eastAsia="Times New Roman" w:hAnsiTheme="minorBidi"/>
                <w:color w:val="000000"/>
                <w:kern w:val="0"/>
                <w14:ligatures w14:val="none"/>
              </w:rPr>
              <w:br/>
              <w:t>4. Methods should fit the research question, not vice versa</w:t>
            </w:r>
          </w:p>
        </w:tc>
      </w:tr>
      <w:tr w:rsidR="0056296D" w:rsidRPr="00124566" w14:paraId="56A59255" w14:textId="77777777" w:rsidTr="00D93057">
        <w:tc>
          <w:tcPr>
            <w:tcW w:w="834" w:type="pct"/>
            <w:tcMar>
              <w:top w:w="0" w:type="dxa"/>
              <w:left w:w="108" w:type="dxa"/>
              <w:bottom w:w="0" w:type="dxa"/>
              <w:right w:w="108" w:type="dxa"/>
            </w:tcMar>
          </w:tcPr>
          <w:p w14:paraId="52AC9A5C" w14:textId="77777777" w:rsidR="0056296D" w:rsidRPr="002041B0" w:rsidRDefault="0056296D" w:rsidP="002041B0">
            <w:pPr>
              <w:spacing w:after="0" w:line="240" w:lineRule="auto"/>
              <w:rPr>
                <w:rFonts w:asciiTheme="minorBidi" w:eastAsia="Times New Roman" w:hAnsiTheme="minorBidi"/>
                <w:b/>
                <w:bCs/>
                <w:color w:val="000000"/>
                <w:kern w:val="0"/>
                <w14:ligatures w14:val="none"/>
              </w:rPr>
            </w:pPr>
          </w:p>
        </w:tc>
        <w:tc>
          <w:tcPr>
            <w:tcW w:w="576" w:type="pct"/>
            <w:shd w:val="clear" w:color="auto" w:fill="99CCFF"/>
            <w:tcMar>
              <w:top w:w="0" w:type="dxa"/>
              <w:left w:w="108" w:type="dxa"/>
              <w:bottom w:w="0" w:type="dxa"/>
              <w:right w:w="108" w:type="dxa"/>
            </w:tcMar>
          </w:tcPr>
          <w:p w14:paraId="42AA8B4C"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549" w:type="pct"/>
            <w:shd w:val="clear" w:color="auto" w:fill="66FFFF"/>
            <w:tcMar>
              <w:top w:w="0" w:type="dxa"/>
              <w:left w:w="108" w:type="dxa"/>
              <w:bottom w:w="0" w:type="dxa"/>
              <w:right w:w="108" w:type="dxa"/>
            </w:tcMar>
          </w:tcPr>
          <w:p w14:paraId="23AEAE37"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703" w:type="pct"/>
            <w:shd w:val="clear" w:color="auto" w:fill="CCFF99"/>
            <w:tcMar>
              <w:top w:w="0" w:type="dxa"/>
              <w:left w:w="108" w:type="dxa"/>
              <w:bottom w:w="0" w:type="dxa"/>
              <w:right w:w="108" w:type="dxa"/>
            </w:tcMar>
          </w:tcPr>
          <w:p w14:paraId="7F5E3204"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608" w:type="pct"/>
            <w:tcMar>
              <w:top w:w="0" w:type="dxa"/>
              <w:left w:w="108" w:type="dxa"/>
              <w:bottom w:w="0" w:type="dxa"/>
              <w:right w:w="108" w:type="dxa"/>
            </w:tcMar>
          </w:tcPr>
          <w:p w14:paraId="5BB1D2F0"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554" w:type="pct"/>
            <w:shd w:val="clear" w:color="auto" w:fill="FFCC00"/>
            <w:tcMar>
              <w:top w:w="0" w:type="dxa"/>
              <w:left w:w="108" w:type="dxa"/>
              <w:bottom w:w="0" w:type="dxa"/>
              <w:right w:w="108" w:type="dxa"/>
            </w:tcMar>
          </w:tcPr>
          <w:p w14:paraId="4FF63B65"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657" w:type="pct"/>
            <w:shd w:val="clear" w:color="auto" w:fill="FFCCFF"/>
            <w:tcMar>
              <w:top w:w="0" w:type="dxa"/>
              <w:left w:w="108" w:type="dxa"/>
              <w:bottom w:w="0" w:type="dxa"/>
              <w:right w:w="108" w:type="dxa"/>
            </w:tcMar>
          </w:tcPr>
          <w:p w14:paraId="34517559"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c>
          <w:tcPr>
            <w:tcW w:w="519" w:type="pct"/>
            <w:shd w:val="clear" w:color="auto" w:fill="FFFF99"/>
            <w:tcMar>
              <w:top w:w="0" w:type="dxa"/>
              <w:left w:w="108" w:type="dxa"/>
              <w:bottom w:w="0" w:type="dxa"/>
              <w:right w:w="108" w:type="dxa"/>
            </w:tcMar>
          </w:tcPr>
          <w:p w14:paraId="340FA123" w14:textId="77777777" w:rsidR="0056296D" w:rsidRPr="002041B0" w:rsidRDefault="0056296D" w:rsidP="002041B0">
            <w:pPr>
              <w:spacing w:after="0" w:line="240" w:lineRule="auto"/>
              <w:rPr>
                <w:rFonts w:asciiTheme="minorBidi" w:eastAsia="Times New Roman" w:hAnsiTheme="minorBidi"/>
                <w:color w:val="000000"/>
                <w:kern w:val="0"/>
                <w14:ligatures w14:val="none"/>
              </w:rPr>
            </w:pPr>
          </w:p>
        </w:tc>
      </w:tr>
      <w:tr w:rsidR="002459EE" w:rsidRPr="00124566" w14:paraId="76AFE4A1" w14:textId="77777777" w:rsidTr="00D93057">
        <w:tc>
          <w:tcPr>
            <w:tcW w:w="834" w:type="pct"/>
            <w:tcMar>
              <w:top w:w="0" w:type="dxa"/>
              <w:left w:w="108" w:type="dxa"/>
              <w:bottom w:w="0" w:type="dxa"/>
              <w:right w:w="108" w:type="dxa"/>
            </w:tcMar>
          </w:tcPr>
          <w:p w14:paraId="1C047C4C" w14:textId="77777777" w:rsidR="002459EE" w:rsidRPr="0036319E" w:rsidRDefault="002459EE" w:rsidP="002459EE">
            <w:pPr>
              <w:spacing w:after="0" w:line="240" w:lineRule="auto"/>
              <w:rPr>
                <w:rFonts w:asciiTheme="minorBidi" w:hAnsiTheme="minorBidi"/>
                <w:b/>
                <w:bCs/>
                <w:color w:val="000000"/>
              </w:rPr>
            </w:pPr>
            <w:r w:rsidRPr="0036319E">
              <w:rPr>
                <w:rFonts w:asciiTheme="minorBidi" w:hAnsiTheme="minorBidi"/>
                <w:b/>
                <w:bCs/>
                <w:color w:val="000000"/>
              </w:rPr>
              <w:t>Limitations</w:t>
            </w:r>
          </w:p>
          <w:p w14:paraId="0CB379D8" w14:textId="102D03FA" w:rsidR="002459EE" w:rsidRPr="0036319E" w:rsidRDefault="002459EE" w:rsidP="002459EE">
            <w:pPr>
              <w:spacing w:after="0" w:line="240" w:lineRule="auto"/>
              <w:rPr>
                <w:rFonts w:asciiTheme="minorBidi" w:eastAsia="Times New Roman" w:hAnsiTheme="minorBidi"/>
                <w:b/>
                <w:bCs/>
                <w:color w:val="000000"/>
                <w:kern w:val="0"/>
                <w14:ligatures w14:val="none"/>
              </w:rPr>
            </w:pPr>
          </w:p>
        </w:tc>
        <w:tc>
          <w:tcPr>
            <w:tcW w:w="576" w:type="pct"/>
            <w:shd w:val="clear" w:color="auto" w:fill="99CCFF"/>
            <w:tcMar>
              <w:top w:w="0" w:type="dxa"/>
              <w:left w:w="108" w:type="dxa"/>
              <w:bottom w:w="0" w:type="dxa"/>
              <w:right w:w="108" w:type="dxa"/>
            </w:tcMar>
          </w:tcPr>
          <w:p w14:paraId="5C561A6D" w14:textId="73213EF5"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Oversimplifies complex human phenomena, strips context, cannot capture subjective meaning, reductionist. Inappropriate when: exploring meanings, studying unique cases, researching contexts that cannot be controlled, examining lived experiences, investigating socially constructed phenomena, studying topics requiring researcher-participant relationships.</w:t>
            </w:r>
          </w:p>
        </w:tc>
        <w:tc>
          <w:tcPr>
            <w:tcW w:w="549" w:type="pct"/>
            <w:shd w:val="clear" w:color="auto" w:fill="66FFFF"/>
            <w:tcMar>
              <w:top w:w="0" w:type="dxa"/>
              <w:left w:w="108" w:type="dxa"/>
              <w:bottom w:w="0" w:type="dxa"/>
              <w:right w:w="108" w:type="dxa"/>
            </w:tcMar>
          </w:tcPr>
          <w:p w14:paraId="6E40A1F5" w14:textId="5D79248E"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Still privileges researcher's interpretive frame, assumes measurable reality exists, may not capture radical difference. Inappropriate when: participants need equal voice in knowledge creation, studying phenomena that are entirely socially constructed, research requires political advocacy, complete objectivity would distance researcher from meaningful engagement.</w:t>
            </w:r>
          </w:p>
        </w:tc>
        <w:tc>
          <w:tcPr>
            <w:tcW w:w="703" w:type="pct"/>
            <w:shd w:val="clear" w:color="auto" w:fill="CCFF99"/>
            <w:tcMar>
              <w:top w:w="0" w:type="dxa"/>
              <w:left w:w="108" w:type="dxa"/>
              <w:bottom w:w="0" w:type="dxa"/>
              <w:right w:w="108" w:type="dxa"/>
            </w:tcMar>
          </w:tcPr>
          <w:p w14:paraId="40923674" w14:textId="0B7C36A1"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Findings highly context-specific, limited generalisability, intensive time/resources, dependent on researcher's interpretive skill. Inappropriate when: need to generalise to populations, testing causal hypotheses, large-scale measurement needed, time/resources very limited, studying phenomena requiring objective measurement, funders require quantitative outcomes.</w:t>
            </w:r>
          </w:p>
        </w:tc>
        <w:tc>
          <w:tcPr>
            <w:tcW w:w="608" w:type="pct"/>
            <w:tcMar>
              <w:top w:w="0" w:type="dxa"/>
              <w:left w:w="108" w:type="dxa"/>
              <w:bottom w:w="0" w:type="dxa"/>
              <w:right w:w="108" w:type="dxa"/>
            </w:tcMar>
          </w:tcPr>
          <w:p w14:paraId="443FE31F" w14:textId="37486633"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Blurred researcher-participant roles may complicate ethics, very time-intensive, difficult to achieve genuine collaboration, findings extremely context-bound. Inappropriate when: power imbalances cannot be addressed, participants cannot commit time, funders require predetermined outcomes, rapid results needed, studying topics where expertise differential is necessary.</w:t>
            </w:r>
          </w:p>
        </w:tc>
        <w:tc>
          <w:tcPr>
            <w:tcW w:w="554" w:type="pct"/>
            <w:shd w:val="clear" w:color="auto" w:fill="FFCC00"/>
            <w:tcMar>
              <w:top w:w="0" w:type="dxa"/>
              <w:left w:w="108" w:type="dxa"/>
              <w:bottom w:w="0" w:type="dxa"/>
              <w:right w:w="108" w:type="dxa"/>
            </w:tcMar>
          </w:tcPr>
          <w:p w14:paraId="61F8F413" w14:textId="5F3A2CBF"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 xml:space="preserve">May appear relativistic without addressing </w:t>
            </w:r>
            <w:r w:rsidR="00576D49">
              <w:rPr>
                <w:rFonts w:asciiTheme="minorBidi" w:hAnsiTheme="minorBidi"/>
                <w:color w:val="000000"/>
              </w:rPr>
              <w:t>‘</w:t>
            </w:r>
            <w:r w:rsidRPr="0036319E">
              <w:rPr>
                <w:rFonts w:asciiTheme="minorBidi" w:hAnsiTheme="minorBidi"/>
                <w:color w:val="000000"/>
              </w:rPr>
              <w:t>which construction is more valid?</w:t>
            </w:r>
            <w:r w:rsidR="00576D49">
              <w:rPr>
                <w:rFonts w:asciiTheme="minorBidi" w:hAnsiTheme="minorBidi"/>
                <w:color w:val="000000"/>
              </w:rPr>
              <w:t>’</w:t>
            </w:r>
            <w:r w:rsidRPr="0036319E">
              <w:rPr>
                <w:rFonts w:asciiTheme="minorBidi" w:hAnsiTheme="minorBidi"/>
                <w:color w:val="000000"/>
              </w:rPr>
              <w:t>, doesn't prescribe solutions, requires access to multiple groups. Inappropriate when: only one stakeholder group accessible, need definitive answers rather than multiple perspectives, immediate action needed without comparative analysis, single case study design, limited time for comparative work.</w:t>
            </w:r>
          </w:p>
        </w:tc>
        <w:tc>
          <w:tcPr>
            <w:tcW w:w="657" w:type="pct"/>
            <w:shd w:val="clear" w:color="auto" w:fill="FFCCFF"/>
            <w:tcMar>
              <w:top w:w="0" w:type="dxa"/>
              <w:left w:w="108" w:type="dxa"/>
              <w:bottom w:w="0" w:type="dxa"/>
              <w:right w:w="108" w:type="dxa"/>
            </w:tcMar>
          </w:tcPr>
          <w:p w14:paraId="26B8789C" w14:textId="00683D98"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Explicitly political stance may compromise perceived objectivity, focused on specific injustices may limit broader applicability, activist role may strain relationships. Inappropriate when: researcher cannot maintain activist commitment, participants don't share critical goals, organisation/funder requires neutrality, researcher lacks lived experience of oppression being studied.</w:t>
            </w:r>
          </w:p>
        </w:tc>
        <w:tc>
          <w:tcPr>
            <w:tcW w:w="519" w:type="pct"/>
            <w:shd w:val="clear" w:color="auto" w:fill="FFFF99"/>
            <w:tcMar>
              <w:top w:w="0" w:type="dxa"/>
              <w:left w:w="108" w:type="dxa"/>
              <w:bottom w:w="0" w:type="dxa"/>
              <w:right w:w="108" w:type="dxa"/>
            </w:tcMar>
          </w:tcPr>
          <w:p w14:paraId="0DF7CE3E" w14:textId="2AC06FA7" w:rsidR="002459EE" w:rsidRPr="0036319E" w:rsidRDefault="002459EE" w:rsidP="002459EE">
            <w:pPr>
              <w:spacing w:after="0" w:line="240" w:lineRule="auto"/>
              <w:rPr>
                <w:rFonts w:asciiTheme="minorBidi" w:eastAsia="Times New Roman" w:hAnsiTheme="minorBidi"/>
                <w:color w:val="000000"/>
                <w:kern w:val="0"/>
                <w14:ligatures w14:val="none"/>
              </w:rPr>
            </w:pPr>
            <w:r w:rsidRPr="0036319E">
              <w:rPr>
                <w:rFonts w:asciiTheme="minorBidi" w:hAnsiTheme="minorBidi"/>
                <w:color w:val="000000"/>
              </w:rPr>
              <w:t xml:space="preserve">Theoretical depth may be sacrificed for practicality, </w:t>
            </w:r>
            <w:r w:rsidR="00576D49">
              <w:rPr>
                <w:rFonts w:asciiTheme="minorBidi" w:hAnsiTheme="minorBidi"/>
                <w:color w:val="000000"/>
              </w:rPr>
              <w:t>‘</w:t>
            </w:r>
            <w:r w:rsidRPr="0036319E">
              <w:rPr>
                <w:rFonts w:asciiTheme="minorBidi" w:hAnsiTheme="minorBidi"/>
                <w:color w:val="000000"/>
              </w:rPr>
              <w:t>what works</w:t>
            </w:r>
            <w:r w:rsidR="00576D49">
              <w:rPr>
                <w:rFonts w:asciiTheme="minorBidi" w:hAnsiTheme="minorBidi"/>
                <w:color w:val="000000"/>
              </w:rPr>
              <w:t>’</w:t>
            </w:r>
            <w:r w:rsidRPr="0036319E">
              <w:rPr>
                <w:rFonts w:asciiTheme="minorBidi" w:hAnsiTheme="minorBidi"/>
                <w:color w:val="000000"/>
              </w:rPr>
              <w:t xml:space="preserve"> may reinforce status quo, flexibility makes quality evaluation difficult. Inappropriate when: theoretical development is primary goal, need paradigmatic coherence for philosophical examination, research requires explicit ontological stance, studying phenomena requiring deep interpretive work beyond problem-solving.</w:t>
            </w:r>
          </w:p>
        </w:tc>
      </w:tr>
      <w:tr w:rsidR="002459EE" w:rsidRPr="00124566" w14:paraId="633F9377" w14:textId="77777777" w:rsidTr="00D93057">
        <w:tc>
          <w:tcPr>
            <w:tcW w:w="834" w:type="pct"/>
            <w:tcMar>
              <w:top w:w="0" w:type="dxa"/>
              <w:left w:w="108" w:type="dxa"/>
              <w:bottom w:w="0" w:type="dxa"/>
              <w:right w:w="108" w:type="dxa"/>
            </w:tcMar>
          </w:tcPr>
          <w:p w14:paraId="3C79EA09" w14:textId="15912A02" w:rsidR="002459EE" w:rsidRPr="0036319E" w:rsidRDefault="002459EE" w:rsidP="002459EE">
            <w:pPr>
              <w:spacing w:after="0" w:line="240" w:lineRule="auto"/>
              <w:rPr>
                <w:rFonts w:asciiTheme="minorBidi" w:eastAsia="Times New Roman" w:hAnsiTheme="minorBidi"/>
                <w:b/>
                <w:bCs/>
                <w:color w:val="000000"/>
                <w:kern w:val="0"/>
                <w14:ligatures w14:val="none"/>
              </w:rPr>
            </w:pPr>
            <w:r w:rsidRPr="0036319E">
              <w:rPr>
                <w:rFonts w:asciiTheme="minorBidi" w:hAnsiTheme="minorBidi"/>
                <w:b/>
                <w:bCs/>
                <w:color w:val="000000"/>
              </w:rPr>
              <w:t>Common Misconceptions</w:t>
            </w:r>
          </w:p>
        </w:tc>
        <w:tc>
          <w:tcPr>
            <w:tcW w:w="576" w:type="pct"/>
            <w:shd w:val="clear" w:color="auto" w:fill="99CCFF"/>
            <w:tcMar>
              <w:top w:w="0" w:type="dxa"/>
              <w:left w:w="108" w:type="dxa"/>
              <w:bottom w:w="0" w:type="dxa"/>
              <w:right w:w="108" w:type="dxa"/>
            </w:tcMar>
          </w:tcPr>
          <w:p w14:paraId="2C1421DB" w14:textId="21FDBCA6"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This is the only truly scientific approach</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Complete objectivity is achievable</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Social sciences should copy natural sciences exactly</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Numbers are always more rigorous than words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Positivism means positive/optimistic</w:t>
            </w:r>
            <w:r>
              <w:rPr>
                <w:rFonts w:asciiTheme="minorBidi" w:hAnsiTheme="minorBidi"/>
                <w:color w:val="000000"/>
              </w:rPr>
              <w:t>’</w:t>
            </w:r>
            <w:r w:rsidR="002459EE" w:rsidRPr="0036319E">
              <w:rPr>
                <w:rFonts w:asciiTheme="minorBidi" w:hAnsiTheme="minorBidi"/>
                <w:color w:val="000000"/>
              </w:rPr>
              <w:t>. REALITY: One of multiple legitimate paradigms; complete objectivity is impossible; social phenomena differ from natural phenomena; rigour exists in all paradigms; positivism refers to positive (observable) facts.</w:t>
            </w:r>
          </w:p>
        </w:tc>
        <w:tc>
          <w:tcPr>
            <w:tcW w:w="549" w:type="pct"/>
            <w:shd w:val="clear" w:color="auto" w:fill="66FFFF"/>
            <w:tcMar>
              <w:top w:w="0" w:type="dxa"/>
              <w:left w:w="108" w:type="dxa"/>
              <w:bottom w:w="0" w:type="dxa"/>
              <w:right w:w="108" w:type="dxa"/>
            </w:tcMar>
          </w:tcPr>
          <w:p w14:paraId="1B638615" w14:textId="02B355F0"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This is just positivism with a disclaimer</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It's for when you can't do real science</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Mixed methods is always postpositivist</w:t>
            </w:r>
            <w:r>
              <w:rPr>
                <w:rFonts w:asciiTheme="minorBidi" w:hAnsiTheme="minorBidi"/>
                <w:color w:val="000000"/>
              </w:rPr>
              <w:t>’</w:t>
            </w:r>
            <w:r w:rsidR="002459EE" w:rsidRPr="0036319E">
              <w:rPr>
                <w:rFonts w:asciiTheme="minorBidi" w:hAnsiTheme="minorBidi"/>
                <w:color w:val="000000"/>
              </w:rPr>
              <w:t>. REALITY: Genuine paradigmatic position acknowledging fallibility of knowledge; equally rigorous with different assumptions; mixed methods can align with multiple paradigms depending on integration approach and underlying assumptions.</w:t>
            </w:r>
          </w:p>
        </w:tc>
        <w:tc>
          <w:tcPr>
            <w:tcW w:w="703" w:type="pct"/>
            <w:shd w:val="clear" w:color="auto" w:fill="CCFF99"/>
            <w:tcMar>
              <w:top w:w="0" w:type="dxa"/>
              <w:left w:w="108" w:type="dxa"/>
              <w:bottom w:w="0" w:type="dxa"/>
              <w:right w:w="108" w:type="dxa"/>
            </w:tcMar>
          </w:tcPr>
          <w:p w14:paraId="541B9DF5" w14:textId="6976CD5C"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Anything goes/no standards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It's just opinion</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It's easier than quantitative research</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Can't be generalised so isn't useful</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The researcher just makes it up</w:t>
            </w:r>
            <w:r>
              <w:rPr>
                <w:rFonts w:asciiTheme="minorBidi" w:hAnsiTheme="minorBidi"/>
                <w:color w:val="000000"/>
              </w:rPr>
              <w:t>’</w:t>
            </w:r>
            <w:r w:rsidR="002459EE" w:rsidRPr="0036319E">
              <w:rPr>
                <w:rFonts w:asciiTheme="minorBidi" w:hAnsiTheme="minorBidi"/>
                <w:color w:val="000000"/>
              </w:rPr>
              <w:t>. REALITY: Has rigorous quality criteria; seeks systematic understanding of subjective meanings; extremely time-intensive and demanding; transferability to similar contexts; interpretation must be grounded in data with clear audit trail.</w:t>
            </w:r>
          </w:p>
        </w:tc>
        <w:tc>
          <w:tcPr>
            <w:tcW w:w="608" w:type="pct"/>
            <w:tcMar>
              <w:top w:w="0" w:type="dxa"/>
              <w:left w:w="108" w:type="dxa"/>
              <w:bottom w:w="0" w:type="dxa"/>
              <w:right w:w="108" w:type="dxa"/>
            </w:tcMar>
          </w:tcPr>
          <w:p w14:paraId="4287A109" w14:textId="53961420"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Same as interpretivism</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Means everything is relative</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No reality exists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Participants are co-authors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There are no wrong interpretations</w:t>
            </w:r>
            <w:r>
              <w:rPr>
                <w:rFonts w:asciiTheme="minorBidi" w:hAnsiTheme="minorBidi"/>
                <w:color w:val="000000"/>
              </w:rPr>
              <w:t>’</w:t>
            </w:r>
            <w:r w:rsidR="002459EE" w:rsidRPr="0036319E">
              <w:rPr>
                <w:rFonts w:asciiTheme="minorBidi" w:hAnsiTheme="minorBidi"/>
                <w:color w:val="000000"/>
              </w:rPr>
              <w:t>. REALITY: Emphasises social interaction in knowledge creation beyond individual interpretation; realities are constructed but consequential; material world exists but meaning is socially created; participants shape process but researcher typically authors; interpretations must be warranted by evidence.</w:t>
            </w:r>
          </w:p>
        </w:tc>
        <w:tc>
          <w:tcPr>
            <w:tcW w:w="554" w:type="pct"/>
            <w:shd w:val="clear" w:color="auto" w:fill="FFCC00"/>
            <w:tcMar>
              <w:top w:w="0" w:type="dxa"/>
              <w:left w:w="108" w:type="dxa"/>
              <w:bottom w:w="0" w:type="dxa"/>
              <w:right w:w="108" w:type="dxa"/>
            </w:tcMar>
          </w:tcPr>
          <w:p w14:paraId="6839B8B9" w14:textId="7C4C17B4"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Same as constructivism</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All constructions are equally valid</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Can't make recommendations because everything is constructed</w:t>
            </w:r>
            <w:r>
              <w:rPr>
                <w:rFonts w:asciiTheme="minorBidi" w:hAnsiTheme="minorBidi"/>
                <w:color w:val="000000"/>
              </w:rPr>
              <w:t>’</w:t>
            </w:r>
            <w:r w:rsidR="002459EE" w:rsidRPr="0036319E">
              <w:rPr>
                <w:rFonts w:asciiTheme="minorBidi" w:hAnsiTheme="minorBidi"/>
                <w:color w:val="000000"/>
              </w:rPr>
              <w:t>. REALITY: Focus is on group-level rather than individual constructions; different constructions can be compared and evaluated for consequences; understanding multiple constructions enables better organisational practice and cross-group collaboration.</w:t>
            </w:r>
          </w:p>
        </w:tc>
        <w:tc>
          <w:tcPr>
            <w:tcW w:w="657" w:type="pct"/>
            <w:shd w:val="clear" w:color="auto" w:fill="FFCCFF"/>
            <w:tcMar>
              <w:top w:w="0" w:type="dxa"/>
              <w:left w:w="108" w:type="dxa"/>
              <w:bottom w:w="0" w:type="dxa"/>
              <w:right w:w="108" w:type="dxa"/>
            </w:tcMar>
          </w:tcPr>
          <w:p w14:paraId="097084FA" w14:textId="50BBDE51"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Too political for academic research</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Researchers impose their views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Can't be objective so isn't rigorous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Only for researchers from marginalised groups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Activism is incompatible with research</w:t>
            </w:r>
            <w:r>
              <w:rPr>
                <w:rFonts w:asciiTheme="minorBidi" w:hAnsiTheme="minorBidi"/>
                <w:color w:val="000000"/>
              </w:rPr>
              <w:t>’</w:t>
            </w:r>
            <w:r w:rsidR="002459EE" w:rsidRPr="0036319E">
              <w:rPr>
                <w:rFonts w:asciiTheme="minorBidi" w:hAnsiTheme="minorBidi"/>
                <w:color w:val="000000"/>
              </w:rPr>
              <w:t>. REALITY: Explicitly acknowledges all research is value-laden; aims to give voice to marginalised rather than impose; has rigorous critical standards; researchers with privilege can do critical work with reflexivity; research can catalyse change while maintaining rigour.</w:t>
            </w:r>
          </w:p>
        </w:tc>
        <w:tc>
          <w:tcPr>
            <w:tcW w:w="519" w:type="pct"/>
            <w:shd w:val="clear" w:color="auto" w:fill="FFFF99"/>
            <w:tcMar>
              <w:top w:w="0" w:type="dxa"/>
              <w:left w:w="108" w:type="dxa"/>
              <w:bottom w:w="0" w:type="dxa"/>
              <w:right w:w="108" w:type="dxa"/>
            </w:tcMar>
          </w:tcPr>
          <w:p w14:paraId="3CAA1049" w14:textId="0021C09E" w:rsidR="002459EE" w:rsidRPr="0036319E" w:rsidRDefault="00576D49" w:rsidP="002459EE">
            <w:pPr>
              <w:spacing w:after="0" w:line="240" w:lineRule="auto"/>
              <w:rPr>
                <w:rFonts w:asciiTheme="minorBidi" w:eastAsia="Times New Roman" w:hAnsiTheme="minorBidi"/>
                <w:color w:val="000000"/>
                <w:kern w:val="0"/>
                <w14:ligatures w14:val="none"/>
              </w:rPr>
            </w:pPr>
            <w:r>
              <w:rPr>
                <w:rFonts w:asciiTheme="minorBidi" w:hAnsiTheme="minorBidi"/>
                <w:color w:val="000000"/>
              </w:rPr>
              <w:t>‘</w:t>
            </w:r>
            <w:r w:rsidR="002459EE" w:rsidRPr="0036319E">
              <w:rPr>
                <w:rFonts w:asciiTheme="minorBidi" w:hAnsiTheme="minorBidi"/>
                <w:color w:val="000000"/>
              </w:rPr>
              <w:t>Pragmatism has no philosophical foundations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Anything goes</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Just mixing methods randomly</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Theoretically unsophisticated</w:t>
            </w:r>
            <w:r>
              <w:rPr>
                <w:rFonts w:asciiTheme="minorBidi" w:hAnsiTheme="minorBidi"/>
                <w:color w:val="000000"/>
              </w:rPr>
              <w:t>’</w:t>
            </w:r>
            <w:r w:rsidR="002459EE" w:rsidRPr="0036319E">
              <w:rPr>
                <w:rFonts w:asciiTheme="minorBidi" w:hAnsiTheme="minorBidi"/>
                <w:color w:val="000000"/>
              </w:rPr>
              <w:t xml:space="preserve">, </w:t>
            </w:r>
            <w:r>
              <w:rPr>
                <w:rFonts w:asciiTheme="minorBidi" w:hAnsiTheme="minorBidi"/>
                <w:color w:val="000000"/>
              </w:rPr>
              <w:t>‘</w:t>
            </w:r>
            <w:r w:rsidR="002459EE" w:rsidRPr="0036319E">
              <w:rPr>
                <w:rFonts w:asciiTheme="minorBidi" w:hAnsiTheme="minorBidi"/>
                <w:color w:val="000000"/>
              </w:rPr>
              <w:t>Can't be criticised for paradigmatic incoherence</w:t>
            </w:r>
            <w:r>
              <w:rPr>
                <w:rFonts w:asciiTheme="minorBidi" w:hAnsiTheme="minorBidi"/>
                <w:color w:val="000000"/>
              </w:rPr>
              <w:t>’</w:t>
            </w:r>
            <w:r w:rsidR="002459EE" w:rsidRPr="0036319E">
              <w:rPr>
                <w:rFonts w:asciiTheme="minorBidi" w:hAnsiTheme="minorBidi"/>
                <w:color w:val="000000"/>
              </w:rPr>
              <w:t>. REALITY: Has clear philosophical foundations (Dewey, James, Peirce); requires justification for choices; mixed methods needs integration rationale; focuses on consequences and workability; must explain how mixing serves problem-solving goals.</w:t>
            </w:r>
          </w:p>
        </w:tc>
      </w:tr>
      <w:tr w:rsidR="00124566" w:rsidRPr="00124566" w14:paraId="3B629F20" w14:textId="77777777" w:rsidTr="00D93057">
        <w:tc>
          <w:tcPr>
            <w:tcW w:w="834" w:type="pct"/>
            <w:tcMar>
              <w:top w:w="0" w:type="dxa"/>
              <w:left w:w="108" w:type="dxa"/>
              <w:bottom w:w="0" w:type="dxa"/>
              <w:right w:w="108" w:type="dxa"/>
            </w:tcMar>
            <w:hideMark/>
          </w:tcPr>
          <w:p w14:paraId="3AA9CAEA"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Ontology (Reality)</w:t>
            </w:r>
          </w:p>
        </w:tc>
        <w:tc>
          <w:tcPr>
            <w:tcW w:w="576" w:type="pct"/>
            <w:shd w:val="clear" w:color="auto" w:fill="99CCFF"/>
            <w:tcMar>
              <w:top w:w="0" w:type="dxa"/>
              <w:left w:w="108" w:type="dxa"/>
              <w:bottom w:w="0" w:type="dxa"/>
              <w:right w:w="108" w:type="dxa"/>
            </w:tcMar>
            <w:hideMark/>
          </w:tcPr>
          <w:p w14:paraId="1EDA3D5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objective, singular and exists independently of human perception or beliefs. There is one true reality 'out there' that can be discovered through systematic observation and measurement. Universal laws govern phenomena and these laws are waiting to be uncovered through rigorous scientific inquiry</w:t>
            </w:r>
          </w:p>
        </w:tc>
        <w:tc>
          <w:tcPr>
            <w:tcW w:w="549" w:type="pct"/>
            <w:shd w:val="clear" w:color="auto" w:fill="66FFFF"/>
            <w:tcMar>
              <w:top w:w="0" w:type="dxa"/>
              <w:left w:w="108" w:type="dxa"/>
              <w:bottom w:w="0" w:type="dxa"/>
              <w:right w:w="108" w:type="dxa"/>
            </w:tcMar>
            <w:hideMark/>
          </w:tcPr>
          <w:p w14:paraId="356FED4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objective but can never be fully known with absolute certainty. One true reality exists independently, but our knowledge of it is fallible and shaped by limitations of measurement and human perception. Multiple approximations of reality are possible, each getting closer to truth through increasingly rigorous inquiry</w:t>
            </w:r>
          </w:p>
        </w:tc>
        <w:tc>
          <w:tcPr>
            <w:tcW w:w="703" w:type="pct"/>
            <w:shd w:val="clear" w:color="auto" w:fill="CCFF99"/>
            <w:tcMar>
              <w:top w:w="0" w:type="dxa"/>
              <w:left w:w="108" w:type="dxa"/>
              <w:bottom w:w="0" w:type="dxa"/>
              <w:right w:w="108" w:type="dxa"/>
            </w:tcMar>
            <w:hideMark/>
          </w:tcPr>
          <w:p w14:paraId="21EE78E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subjective and multiple; each individual experiences and interprets reality differently based on their unique perspectives, experiences and contexts. There is no single objective reality, instead, there are multiple realities constructed through individual meaning-making. What is 'real' for one person may differ from another's reality</w:t>
            </w:r>
          </w:p>
        </w:tc>
        <w:tc>
          <w:tcPr>
            <w:tcW w:w="608" w:type="pct"/>
            <w:tcMar>
              <w:top w:w="0" w:type="dxa"/>
              <w:left w:w="108" w:type="dxa"/>
              <w:bottom w:w="0" w:type="dxa"/>
              <w:right w:w="108" w:type="dxa"/>
            </w:tcMar>
            <w:hideMark/>
          </w:tcPr>
          <w:p w14:paraId="54A069D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intersubjective and co-constructed through social interaction and relationships. Reality emerges through dialogue and shared meaning-making between people. There is no reality independent of human interaction, it is continuously constructed and reconstructed through ongoing social processes. Different relationships create different realities</w:t>
            </w:r>
          </w:p>
        </w:tc>
        <w:tc>
          <w:tcPr>
            <w:tcW w:w="554" w:type="pct"/>
            <w:shd w:val="clear" w:color="auto" w:fill="FFCC00"/>
            <w:tcMar>
              <w:top w:w="0" w:type="dxa"/>
              <w:left w:w="108" w:type="dxa"/>
              <w:bottom w:w="0" w:type="dxa"/>
              <w:right w:w="108" w:type="dxa"/>
            </w:tcMar>
            <w:hideMark/>
          </w:tcPr>
          <w:p w14:paraId="290A357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constructed by groups through ongoing social processes and shared agreements about what counts as 'real'. Different social groups (cultures, professions, communities) construct different collective realities through their shared practices, language and institutions. Multiple group-level realities coexist, each valid within its own social context</w:t>
            </w:r>
          </w:p>
        </w:tc>
        <w:tc>
          <w:tcPr>
            <w:tcW w:w="657" w:type="pct"/>
            <w:shd w:val="clear" w:color="auto" w:fill="FFCCFF"/>
            <w:tcMar>
              <w:top w:w="0" w:type="dxa"/>
              <w:left w:w="108" w:type="dxa"/>
              <w:bottom w:w="0" w:type="dxa"/>
              <w:right w:w="108" w:type="dxa"/>
            </w:tcMar>
            <w:hideMark/>
          </w:tcPr>
          <w:p w14:paraId="07B25C4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shaped by power structures, historical oppression and material conditions. Whilst some aspects of reality are materially real (poverty, violence, discrimination exist), how we understand and respond to these realities is shaped by dominant ideologies that serve certain interests. Reality is both material and socially constructed through power relations</w:t>
            </w:r>
          </w:p>
        </w:tc>
        <w:tc>
          <w:tcPr>
            <w:tcW w:w="519" w:type="pct"/>
            <w:shd w:val="clear" w:color="auto" w:fill="FFFF99"/>
            <w:tcMar>
              <w:top w:w="0" w:type="dxa"/>
              <w:left w:w="108" w:type="dxa"/>
              <w:bottom w:w="0" w:type="dxa"/>
              <w:right w:w="108" w:type="dxa"/>
            </w:tcMar>
            <w:hideMark/>
          </w:tcPr>
          <w:p w14:paraId="608A797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pragmatic and contextual, what is 'real' is what has practical consequences and works in specific situations. Reality is neither purely objective nor purely constructed; it is what we can act upon and what acts upon us. Focus is on practical utility and workability rather than abstract debates about the nature of reality</w:t>
            </w:r>
          </w:p>
        </w:tc>
      </w:tr>
      <w:tr w:rsidR="00124566" w:rsidRPr="00124566" w14:paraId="1C5429D5" w14:textId="77777777" w:rsidTr="00D93057">
        <w:tc>
          <w:tcPr>
            <w:tcW w:w="834" w:type="pct"/>
            <w:tcMar>
              <w:top w:w="0" w:type="dxa"/>
              <w:left w:w="108" w:type="dxa"/>
              <w:bottom w:w="0" w:type="dxa"/>
              <w:right w:w="108" w:type="dxa"/>
            </w:tcMar>
            <w:hideMark/>
          </w:tcPr>
          <w:p w14:paraId="517F60BF"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Epistemology</w:t>
            </w:r>
            <w:r w:rsidRPr="002041B0">
              <w:rPr>
                <w:rFonts w:asciiTheme="minorBidi" w:eastAsia="Times New Roman" w:hAnsiTheme="minorBidi"/>
                <w:b/>
                <w:bCs/>
                <w:color w:val="000000"/>
                <w:kern w:val="0"/>
                <w14:ligatures w14:val="none"/>
              </w:rPr>
              <w:br/>
              <w:t>(Knowledge)</w:t>
            </w:r>
          </w:p>
        </w:tc>
        <w:tc>
          <w:tcPr>
            <w:tcW w:w="576" w:type="pct"/>
            <w:shd w:val="clear" w:color="auto" w:fill="99CCFF"/>
            <w:tcMar>
              <w:top w:w="0" w:type="dxa"/>
              <w:left w:w="108" w:type="dxa"/>
              <w:bottom w:w="0" w:type="dxa"/>
              <w:right w:w="108" w:type="dxa"/>
            </w:tcMar>
            <w:hideMark/>
          </w:tcPr>
          <w:p w14:paraId="1EAF5C3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objective, verifiable and discovered through systematic observation and measurement. True knowledge is obtained when hypotheses are confirmed through empirical testing. Researcher and researched are independent, the knower can observe without influencing what is known. Knowledge accumulates through replication and builds towards universal laws</w:t>
            </w:r>
          </w:p>
        </w:tc>
        <w:tc>
          <w:tcPr>
            <w:tcW w:w="549" w:type="pct"/>
            <w:shd w:val="clear" w:color="auto" w:fill="66FFFF"/>
            <w:tcMar>
              <w:top w:w="0" w:type="dxa"/>
              <w:left w:w="108" w:type="dxa"/>
              <w:bottom w:w="0" w:type="dxa"/>
              <w:right w:w="108" w:type="dxa"/>
            </w:tcMar>
            <w:hideMark/>
          </w:tcPr>
          <w:p w14:paraId="4871D29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probabilistic and based on empirical evidence, but never absolutely certain. Researchers strive for objectivity whilst acknowledging that complete objectivity is impossible. Multiple methods and triangulation increase confidence in findings. Knowledge is refined through critical scrutiny, with theories held tentatively until evidence suggests revision</w:t>
            </w:r>
          </w:p>
        </w:tc>
        <w:tc>
          <w:tcPr>
            <w:tcW w:w="703" w:type="pct"/>
            <w:shd w:val="clear" w:color="auto" w:fill="CCFF99"/>
            <w:tcMar>
              <w:top w:w="0" w:type="dxa"/>
              <w:left w:w="108" w:type="dxa"/>
              <w:bottom w:w="0" w:type="dxa"/>
              <w:right w:w="108" w:type="dxa"/>
            </w:tcMar>
            <w:hideMark/>
          </w:tcPr>
          <w:p w14:paraId="51A7F90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gained through understanding individual experiences, meanings and interpretations. Researcher and participant interact; knowledge emerges through interpretation of participants' subjective realities. The researcher's understanding is shaped by their own experiences and perspectives. Knowledge is contextual, idiographic and emphasises depth over breadth</w:t>
            </w:r>
          </w:p>
        </w:tc>
        <w:tc>
          <w:tcPr>
            <w:tcW w:w="608" w:type="pct"/>
            <w:tcMar>
              <w:top w:w="0" w:type="dxa"/>
              <w:left w:w="108" w:type="dxa"/>
              <w:bottom w:w="0" w:type="dxa"/>
              <w:right w:w="108" w:type="dxa"/>
            </w:tcMar>
            <w:hideMark/>
          </w:tcPr>
          <w:p w14:paraId="3409D1D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co-created through interaction between researcher and participants; neither exists independently. Understanding emerges through dialogue and mutual engagement. The knower and the known are inseparable and mutually shaping. Knowledge is relational, negotiated and constructed together. Multiple valid interpretations can coexist from different relational perspectives</w:t>
            </w:r>
          </w:p>
        </w:tc>
        <w:tc>
          <w:tcPr>
            <w:tcW w:w="554" w:type="pct"/>
            <w:shd w:val="clear" w:color="auto" w:fill="FFCC00"/>
            <w:tcMar>
              <w:top w:w="0" w:type="dxa"/>
              <w:left w:w="108" w:type="dxa"/>
              <w:bottom w:w="0" w:type="dxa"/>
              <w:right w:w="108" w:type="dxa"/>
            </w:tcMar>
            <w:hideMark/>
          </w:tcPr>
          <w:p w14:paraId="77C423C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socially constructed by groups through collective sense-making and maintained through shared agreements within those groups. What counts as knowledge varies across different social groups, cultures and contexts. Researcher examines how different groups construct and validate knowledge differently. Understanding requires engaging with multiple group perspectives</w:t>
            </w:r>
          </w:p>
        </w:tc>
        <w:tc>
          <w:tcPr>
            <w:tcW w:w="657" w:type="pct"/>
            <w:shd w:val="clear" w:color="auto" w:fill="FFCCFF"/>
            <w:tcMar>
              <w:top w:w="0" w:type="dxa"/>
              <w:left w:w="108" w:type="dxa"/>
              <w:bottom w:w="0" w:type="dxa"/>
              <w:right w:w="108" w:type="dxa"/>
            </w:tcMar>
            <w:hideMark/>
          </w:tcPr>
          <w:p w14:paraId="3A9E9BF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ideologically mediated and shaped by power relations. What counts as 'legitimate knowledge' reflects dominant interests. Researcher uses critical theories to uncover hidden assumptions and power structures. Knowledge aims to reveal inequities and support transformative action. Emancipatory knowledge challenges taken-for-granted beliefs that perpetuate oppression</w:t>
            </w:r>
          </w:p>
        </w:tc>
        <w:tc>
          <w:tcPr>
            <w:tcW w:w="519" w:type="pct"/>
            <w:shd w:val="clear" w:color="auto" w:fill="FFFF99"/>
            <w:tcMar>
              <w:top w:w="0" w:type="dxa"/>
              <w:left w:w="108" w:type="dxa"/>
              <w:bottom w:w="0" w:type="dxa"/>
              <w:right w:w="108" w:type="dxa"/>
            </w:tcMar>
            <w:hideMark/>
          </w:tcPr>
          <w:p w14:paraId="71D1E53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what works in practice and leads to desired outcomes. Knowledge is judged by practical consequences and problem-solving utility rather than correspondence to truth. Both subjective and objective approaches are valid if they solve real-world problems. Knowledge is action-oriented, adaptive and valued for its usefulness in specific contexts</w:t>
            </w:r>
          </w:p>
        </w:tc>
      </w:tr>
      <w:tr w:rsidR="00124566" w:rsidRPr="00124566" w14:paraId="4A9CF678" w14:textId="77777777" w:rsidTr="00D93057">
        <w:tc>
          <w:tcPr>
            <w:tcW w:w="834" w:type="pct"/>
            <w:tcMar>
              <w:top w:w="0" w:type="dxa"/>
              <w:left w:w="108" w:type="dxa"/>
              <w:bottom w:w="0" w:type="dxa"/>
              <w:right w:w="108" w:type="dxa"/>
            </w:tcMar>
            <w:hideMark/>
          </w:tcPr>
          <w:p w14:paraId="63D58DBE"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Axiology</w:t>
            </w:r>
          </w:p>
        </w:tc>
        <w:tc>
          <w:tcPr>
            <w:tcW w:w="576" w:type="pct"/>
            <w:shd w:val="clear" w:color="auto" w:fill="99CCFF"/>
            <w:tcMar>
              <w:top w:w="0" w:type="dxa"/>
              <w:left w:w="108" w:type="dxa"/>
              <w:bottom w:w="0" w:type="dxa"/>
              <w:right w:w="108" w:type="dxa"/>
            </w:tcMar>
            <w:hideMark/>
          </w:tcPr>
          <w:p w14:paraId="12ABA92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Research must be value-free and objective. Researcher's personal values, beliefs and biases must be eliminated to avoid contaminating </w:t>
            </w:r>
            <w:r w:rsidRPr="002041B0">
              <w:rPr>
                <w:rFonts w:asciiTheme="minorBidi" w:eastAsia="Times New Roman" w:hAnsiTheme="minorBidi"/>
                <w:color w:val="000000"/>
                <w:kern w:val="0"/>
                <w14:ligatures w14:val="none"/>
              </w:rPr>
              <w:lastRenderedPageBreak/>
              <w:t>findings. The goal is neutrality, to observe and report reality without allowing values to influence what is seen or interpreted. Value intrusion threatens validity</w:t>
            </w:r>
          </w:p>
        </w:tc>
        <w:tc>
          <w:tcPr>
            <w:tcW w:w="549" w:type="pct"/>
            <w:shd w:val="clear" w:color="auto" w:fill="66FFFF"/>
            <w:tcMar>
              <w:top w:w="0" w:type="dxa"/>
              <w:left w:w="108" w:type="dxa"/>
              <w:bottom w:w="0" w:type="dxa"/>
              <w:right w:w="108" w:type="dxa"/>
            </w:tcMar>
            <w:hideMark/>
          </w:tcPr>
          <w:p w14:paraId="5E855C6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Whilst complete value-freedom is impossible, researchers must acknowledge and control value influences. Researcher explicitly </w:t>
            </w:r>
            <w:r w:rsidRPr="002041B0">
              <w:rPr>
                <w:rFonts w:asciiTheme="minorBidi" w:eastAsia="Times New Roman" w:hAnsiTheme="minorBidi"/>
                <w:color w:val="000000"/>
                <w:kern w:val="0"/>
                <w14:ligatures w14:val="none"/>
              </w:rPr>
              <w:lastRenderedPageBreak/>
              <w:t>states their values and potential biases, then uses rigorous methods to minimise their impact. Values are recognised but bracketed. Transparency about researcher values helps readers assess potential influence on findings</w:t>
            </w:r>
          </w:p>
        </w:tc>
        <w:tc>
          <w:tcPr>
            <w:tcW w:w="703" w:type="pct"/>
            <w:shd w:val="clear" w:color="auto" w:fill="CCFF99"/>
            <w:tcMar>
              <w:top w:w="0" w:type="dxa"/>
              <w:left w:w="108" w:type="dxa"/>
              <w:bottom w:w="0" w:type="dxa"/>
              <w:right w:w="108" w:type="dxa"/>
            </w:tcMar>
            <w:hideMark/>
          </w:tcPr>
          <w:p w14:paraId="3D3641A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Researcher's values and biases are integral to the research process and inevitable in interpretation. Rather than eliminating values, researcher reflexively examines how their values, beliefs and </w:t>
            </w:r>
            <w:r w:rsidRPr="002041B0">
              <w:rPr>
                <w:rFonts w:asciiTheme="minorBidi" w:eastAsia="Times New Roman" w:hAnsiTheme="minorBidi"/>
                <w:color w:val="000000"/>
                <w:kern w:val="0"/>
                <w14:ligatures w14:val="none"/>
              </w:rPr>
              <w:lastRenderedPageBreak/>
              <w:t>experiences shape their understanding. Values are acknowledged as part of meaning-making. Researcher brings their 'whole self' to interpretation whilst remaining aware of value influences</w:t>
            </w:r>
          </w:p>
        </w:tc>
        <w:tc>
          <w:tcPr>
            <w:tcW w:w="608" w:type="pct"/>
            <w:tcMar>
              <w:top w:w="0" w:type="dxa"/>
              <w:left w:w="108" w:type="dxa"/>
              <w:bottom w:w="0" w:type="dxa"/>
              <w:right w:w="108" w:type="dxa"/>
            </w:tcMar>
            <w:hideMark/>
          </w:tcPr>
          <w:p w14:paraId="65811E3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Values are co-created through the research relationship. Both researcher and participant values shape the emerging understanding. Research is explicitly </w:t>
            </w:r>
            <w:r w:rsidRPr="002041B0">
              <w:rPr>
                <w:rFonts w:asciiTheme="minorBidi" w:eastAsia="Times New Roman" w:hAnsiTheme="minorBidi"/>
                <w:color w:val="000000"/>
                <w:kern w:val="0"/>
                <w14:ligatures w14:val="none"/>
              </w:rPr>
              <w:lastRenderedPageBreak/>
              <w:t>value-laden and these values are openly negotiated. The relationship itself creates a value context for knowledge construction. Researcher embraces value engagement as essential to collaborative meaning-making</w:t>
            </w:r>
          </w:p>
        </w:tc>
        <w:tc>
          <w:tcPr>
            <w:tcW w:w="554" w:type="pct"/>
            <w:shd w:val="clear" w:color="auto" w:fill="FFCC00"/>
            <w:tcMar>
              <w:top w:w="0" w:type="dxa"/>
              <w:left w:w="108" w:type="dxa"/>
              <w:bottom w:w="0" w:type="dxa"/>
              <w:right w:w="108" w:type="dxa"/>
            </w:tcMar>
            <w:hideMark/>
          </w:tcPr>
          <w:p w14:paraId="25705A6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Research examines how values are constructed within groups; researcher reflects on how group membership shapes values. Different groups hold </w:t>
            </w:r>
            <w:r w:rsidRPr="002041B0">
              <w:rPr>
                <w:rFonts w:asciiTheme="minorBidi" w:eastAsia="Times New Roman" w:hAnsiTheme="minorBidi"/>
                <w:color w:val="000000"/>
                <w:kern w:val="0"/>
                <w14:ligatures w14:val="none"/>
              </w:rPr>
              <w:lastRenderedPageBreak/>
              <w:t>different values based on their social contexts. Researcher recognises their own values as socially constructed whilst studying how other groups construct values differently. Multiple value systems are acknowledged as valid within their contexts</w:t>
            </w:r>
          </w:p>
        </w:tc>
        <w:tc>
          <w:tcPr>
            <w:tcW w:w="657" w:type="pct"/>
            <w:shd w:val="clear" w:color="auto" w:fill="FFCCFF"/>
            <w:tcMar>
              <w:top w:w="0" w:type="dxa"/>
              <w:left w:w="108" w:type="dxa"/>
              <w:bottom w:w="0" w:type="dxa"/>
              <w:right w:w="108" w:type="dxa"/>
            </w:tcMar>
            <w:hideMark/>
          </w:tcPr>
          <w:p w14:paraId="6248ED0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Research is explicitly value-committed to social justice, equity and challenging oppression. Researcher openly advocates for marginalised groups and works to transform unjust </w:t>
            </w:r>
            <w:r w:rsidRPr="002041B0">
              <w:rPr>
                <w:rFonts w:asciiTheme="minorBidi" w:eastAsia="Times New Roman" w:hAnsiTheme="minorBidi"/>
                <w:color w:val="000000"/>
                <w:kern w:val="0"/>
                <w14:ligatures w14:val="none"/>
              </w:rPr>
              <w:lastRenderedPageBreak/>
              <w:t>systems. Values are political and ethical commitments, not biases to control. Research should benefit those studied and contribute to emancipation. Neutrality is neither possible nor desirable</w:t>
            </w:r>
          </w:p>
        </w:tc>
        <w:tc>
          <w:tcPr>
            <w:tcW w:w="519" w:type="pct"/>
            <w:shd w:val="clear" w:color="auto" w:fill="FFFF99"/>
            <w:tcMar>
              <w:top w:w="0" w:type="dxa"/>
              <w:left w:w="108" w:type="dxa"/>
              <w:bottom w:w="0" w:type="dxa"/>
              <w:right w:w="108" w:type="dxa"/>
            </w:tcMar>
            <w:hideMark/>
          </w:tcPr>
          <w:p w14:paraId="22B9BD3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Values are acknowledged based on their practical relevance to problem-solving. Researcher is transparent about values when they </w:t>
            </w:r>
            <w:r w:rsidRPr="002041B0">
              <w:rPr>
                <w:rFonts w:asciiTheme="minorBidi" w:eastAsia="Times New Roman" w:hAnsiTheme="minorBidi"/>
                <w:color w:val="000000"/>
                <w:kern w:val="0"/>
                <w14:ligatures w14:val="none"/>
              </w:rPr>
              <w:lastRenderedPageBreak/>
              <w:t>affect stakeholder trust or solution acceptability. Focus on shared values that support collaboration and action. Values matter when they enhance or impede practical outcomes, not as abstract philosophical concerns</w:t>
            </w:r>
          </w:p>
        </w:tc>
      </w:tr>
      <w:tr w:rsidR="00124566" w:rsidRPr="00124566" w14:paraId="298432C3" w14:textId="77777777" w:rsidTr="00D93057">
        <w:tc>
          <w:tcPr>
            <w:tcW w:w="834" w:type="pct"/>
            <w:tcMar>
              <w:top w:w="0" w:type="dxa"/>
              <w:left w:w="108" w:type="dxa"/>
              <w:bottom w:w="0" w:type="dxa"/>
              <w:right w:w="108" w:type="dxa"/>
            </w:tcMar>
            <w:hideMark/>
          </w:tcPr>
          <w:p w14:paraId="02A82D5E"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Time Orientation</w:t>
            </w:r>
          </w:p>
        </w:tc>
        <w:tc>
          <w:tcPr>
            <w:tcW w:w="576" w:type="pct"/>
            <w:shd w:val="clear" w:color="auto" w:fill="99CCFF"/>
            <w:tcMar>
              <w:top w:w="0" w:type="dxa"/>
              <w:left w:w="108" w:type="dxa"/>
              <w:bottom w:w="0" w:type="dxa"/>
              <w:right w:w="108" w:type="dxa"/>
            </w:tcMar>
            <w:hideMark/>
          </w:tcPr>
          <w:p w14:paraId="08E1257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Atemporal/predictive: Seeks timeless laws and universal principles that predict future outcomes. Time is linear and objective; past, present and future follow orderly patterns</w:t>
            </w:r>
          </w:p>
        </w:tc>
        <w:tc>
          <w:tcPr>
            <w:tcW w:w="549" w:type="pct"/>
            <w:shd w:val="clear" w:color="auto" w:fill="66FFFF"/>
            <w:tcMar>
              <w:top w:w="0" w:type="dxa"/>
              <w:left w:w="108" w:type="dxa"/>
              <w:bottom w:w="0" w:type="dxa"/>
              <w:right w:w="108" w:type="dxa"/>
            </w:tcMar>
            <w:hideMark/>
          </w:tcPr>
          <w:p w14:paraId="406760E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Primarily present, acknowledging context: Focuses on current state whilst acknowledging historical and contextual factors. Recognises that relationships may change over time but seeks current understanding</w:t>
            </w:r>
          </w:p>
        </w:tc>
        <w:tc>
          <w:tcPr>
            <w:tcW w:w="703" w:type="pct"/>
            <w:shd w:val="clear" w:color="auto" w:fill="CCFF99"/>
            <w:tcMar>
              <w:top w:w="0" w:type="dxa"/>
              <w:left w:w="108" w:type="dxa"/>
              <w:bottom w:w="0" w:type="dxa"/>
              <w:right w:w="108" w:type="dxa"/>
            </w:tcMar>
            <w:hideMark/>
          </w:tcPr>
          <w:p w14:paraId="58FCAB5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Present experience: Emphasises participants' current lived experiences and present meanings. Past experiences matter only as they shape current interpretations and sense-making</w:t>
            </w:r>
          </w:p>
        </w:tc>
        <w:tc>
          <w:tcPr>
            <w:tcW w:w="608" w:type="pct"/>
            <w:tcMar>
              <w:top w:w="0" w:type="dxa"/>
              <w:left w:w="108" w:type="dxa"/>
              <w:bottom w:w="0" w:type="dxa"/>
              <w:right w:w="108" w:type="dxa"/>
            </w:tcMar>
            <w:hideMark/>
          </w:tcPr>
          <w:p w14:paraId="7045ECB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Emergent present: Reality is continuously constructed in the present moment through ongoing interactions. Past and future exist only through present co-construction</w:t>
            </w:r>
          </w:p>
        </w:tc>
        <w:tc>
          <w:tcPr>
            <w:tcW w:w="554" w:type="pct"/>
            <w:shd w:val="clear" w:color="auto" w:fill="FFCC00"/>
            <w:tcMar>
              <w:top w:w="0" w:type="dxa"/>
              <w:left w:w="108" w:type="dxa"/>
              <w:bottom w:w="0" w:type="dxa"/>
              <w:right w:w="108" w:type="dxa"/>
            </w:tcMar>
            <w:hideMark/>
          </w:tcPr>
          <w:p w14:paraId="4597069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Present and comparative: Examines how different groups currently construct meanings and how these constructions differ across groups. Interested in variation across groups in the present</w:t>
            </w:r>
          </w:p>
        </w:tc>
        <w:tc>
          <w:tcPr>
            <w:tcW w:w="657" w:type="pct"/>
            <w:shd w:val="clear" w:color="auto" w:fill="FFCCFF"/>
            <w:tcMar>
              <w:top w:w="0" w:type="dxa"/>
              <w:left w:w="108" w:type="dxa"/>
              <w:bottom w:w="0" w:type="dxa"/>
              <w:right w:w="108" w:type="dxa"/>
            </w:tcMar>
            <w:hideMark/>
          </w:tcPr>
          <w:p w14:paraId="4DE4AE1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Historical-political: Examines how current oppression is rooted in historical power structures. Past injustices shape present inequities. Focus on historical consciousness to imagine transformed futures</w:t>
            </w:r>
          </w:p>
        </w:tc>
        <w:tc>
          <w:tcPr>
            <w:tcW w:w="519" w:type="pct"/>
            <w:shd w:val="clear" w:color="auto" w:fill="FFFF99"/>
            <w:tcMar>
              <w:top w:w="0" w:type="dxa"/>
              <w:left w:w="108" w:type="dxa"/>
              <w:bottom w:w="0" w:type="dxa"/>
              <w:right w:w="108" w:type="dxa"/>
            </w:tcMar>
            <w:hideMark/>
          </w:tcPr>
          <w:p w14:paraId="58F77D0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Future-oriented: Emphasises forward-looking problem-solving and consequences. Past informs, present is the site of action, future outcomes guide decisions. Focuses on 'what could be' rather than 'what was'</w:t>
            </w:r>
          </w:p>
        </w:tc>
      </w:tr>
      <w:tr w:rsidR="00124566" w:rsidRPr="00124566" w14:paraId="459629FF" w14:textId="77777777" w:rsidTr="00D93057">
        <w:tc>
          <w:tcPr>
            <w:tcW w:w="834" w:type="pct"/>
            <w:tcMar>
              <w:top w:w="0" w:type="dxa"/>
              <w:left w:w="108" w:type="dxa"/>
              <w:bottom w:w="0" w:type="dxa"/>
              <w:right w:w="108" w:type="dxa"/>
            </w:tcMar>
            <w:hideMark/>
          </w:tcPr>
          <w:p w14:paraId="4F9C25AD"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What it seeks to do</w:t>
            </w:r>
          </w:p>
        </w:tc>
        <w:tc>
          <w:tcPr>
            <w:tcW w:w="576" w:type="pct"/>
            <w:shd w:val="clear" w:color="auto" w:fill="99CCFF"/>
            <w:tcMar>
              <w:top w:w="0" w:type="dxa"/>
              <w:left w:w="108" w:type="dxa"/>
              <w:bottom w:w="0" w:type="dxa"/>
              <w:right w:w="108" w:type="dxa"/>
            </w:tcMar>
            <w:hideMark/>
          </w:tcPr>
          <w:p w14:paraId="345E389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Explains and predicts phenomena through objective, empirical observation and testing</w:t>
            </w:r>
          </w:p>
        </w:tc>
        <w:tc>
          <w:tcPr>
            <w:tcW w:w="549" w:type="pct"/>
            <w:shd w:val="clear" w:color="auto" w:fill="66FFFF"/>
            <w:tcMar>
              <w:top w:w="0" w:type="dxa"/>
              <w:left w:w="108" w:type="dxa"/>
              <w:bottom w:w="0" w:type="dxa"/>
              <w:right w:w="108" w:type="dxa"/>
            </w:tcMar>
            <w:hideMark/>
          </w:tcPr>
          <w:p w14:paraId="1DADAB0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Aims to approximate reality while acknowledging human limitations</w:t>
            </w:r>
          </w:p>
        </w:tc>
        <w:tc>
          <w:tcPr>
            <w:tcW w:w="703" w:type="pct"/>
            <w:shd w:val="clear" w:color="auto" w:fill="CCFF99"/>
            <w:tcMar>
              <w:top w:w="0" w:type="dxa"/>
              <w:left w:w="108" w:type="dxa"/>
              <w:bottom w:w="0" w:type="dxa"/>
              <w:right w:w="108" w:type="dxa"/>
            </w:tcMar>
            <w:hideMark/>
          </w:tcPr>
          <w:p w14:paraId="2A882CC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Seeks to understand social phenomena through the meanings individuals assign to them</w:t>
            </w:r>
          </w:p>
        </w:tc>
        <w:tc>
          <w:tcPr>
            <w:tcW w:w="608" w:type="pct"/>
            <w:tcMar>
              <w:top w:w="0" w:type="dxa"/>
              <w:left w:w="108" w:type="dxa"/>
              <w:bottom w:w="0" w:type="dxa"/>
              <w:right w:w="108" w:type="dxa"/>
            </w:tcMar>
            <w:hideMark/>
          </w:tcPr>
          <w:p w14:paraId="4529947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Aims to understand how individuals and groups construct their realities through interaction</w:t>
            </w:r>
          </w:p>
        </w:tc>
        <w:tc>
          <w:tcPr>
            <w:tcW w:w="554" w:type="pct"/>
            <w:shd w:val="clear" w:color="auto" w:fill="FFCC00"/>
            <w:tcMar>
              <w:top w:w="0" w:type="dxa"/>
              <w:left w:w="108" w:type="dxa"/>
              <w:bottom w:w="0" w:type="dxa"/>
              <w:right w:w="108" w:type="dxa"/>
            </w:tcMar>
            <w:hideMark/>
          </w:tcPr>
          <w:p w14:paraId="6731ADD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Understand how different groups (professions, departments, cultures) currently construct the same phenomena in different ways and what this means for organisational practice</w:t>
            </w:r>
          </w:p>
        </w:tc>
        <w:tc>
          <w:tcPr>
            <w:tcW w:w="657" w:type="pct"/>
            <w:shd w:val="clear" w:color="auto" w:fill="FFCCFF"/>
            <w:tcMar>
              <w:top w:w="0" w:type="dxa"/>
              <w:left w:w="108" w:type="dxa"/>
              <w:bottom w:w="0" w:type="dxa"/>
              <w:right w:w="108" w:type="dxa"/>
            </w:tcMar>
            <w:hideMark/>
          </w:tcPr>
          <w:p w14:paraId="77E5E5D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Seeks to critique and transform oppressive social structures and power relations</w:t>
            </w:r>
          </w:p>
        </w:tc>
        <w:tc>
          <w:tcPr>
            <w:tcW w:w="519" w:type="pct"/>
            <w:shd w:val="clear" w:color="auto" w:fill="FFFF99"/>
            <w:tcMar>
              <w:top w:w="0" w:type="dxa"/>
              <w:left w:w="108" w:type="dxa"/>
              <w:bottom w:w="0" w:type="dxa"/>
              <w:right w:w="108" w:type="dxa"/>
            </w:tcMar>
            <w:hideMark/>
          </w:tcPr>
          <w:p w14:paraId="49AE7A4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Focuses on finding practical solutions to real-world problems</w:t>
            </w:r>
          </w:p>
        </w:tc>
      </w:tr>
      <w:tr w:rsidR="00124566" w:rsidRPr="00124566" w14:paraId="39BA12CC" w14:textId="77777777" w:rsidTr="00D93057">
        <w:tc>
          <w:tcPr>
            <w:tcW w:w="834" w:type="pct"/>
            <w:tcMar>
              <w:top w:w="0" w:type="dxa"/>
              <w:left w:w="108" w:type="dxa"/>
              <w:bottom w:w="0" w:type="dxa"/>
              <w:right w:w="108" w:type="dxa"/>
            </w:tcMar>
            <w:hideMark/>
          </w:tcPr>
          <w:p w14:paraId="2CD5EF8F"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Rationale</w:t>
            </w:r>
          </w:p>
        </w:tc>
        <w:tc>
          <w:tcPr>
            <w:tcW w:w="576" w:type="pct"/>
            <w:shd w:val="clear" w:color="auto" w:fill="99CCFF"/>
            <w:tcMar>
              <w:top w:w="0" w:type="dxa"/>
              <w:left w:w="108" w:type="dxa"/>
              <w:bottom w:w="0" w:type="dxa"/>
              <w:right w:w="108" w:type="dxa"/>
            </w:tcMar>
            <w:hideMark/>
          </w:tcPr>
          <w:p w14:paraId="2654053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The world operates according to fixed, discoverable laws that can be measured and verified</w:t>
            </w:r>
          </w:p>
        </w:tc>
        <w:tc>
          <w:tcPr>
            <w:tcW w:w="549" w:type="pct"/>
            <w:shd w:val="clear" w:color="auto" w:fill="66FFFF"/>
            <w:tcMar>
              <w:top w:w="0" w:type="dxa"/>
              <w:left w:w="108" w:type="dxa"/>
              <w:bottom w:w="0" w:type="dxa"/>
              <w:right w:w="108" w:type="dxa"/>
            </w:tcMar>
            <w:hideMark/>
          </w:tcPr>
          <w:p w14:paraId="0058AE4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Objectivity is an ideal, but researchers must be critical of biases</w:t>
            </w:r>
          </w:p>
        </w:tc>
        <w:tc>
          <w:tcPr>
            <w:tcW w:w="703" w:type="pct"/>
            <w:shd w:val="clear" w:color="auto" w:fill="CCFF99"/>
            <w:tcMar>
              <w:top w:w="0" w:type="dxa"/>
              <w:left w:w="108" w:type="dxa"/>
              <w:bottom w:w="0" w:type="dxa"/>
              <w:right w:w="108" w:type="dxa"/>
            </w:tcMar>
            <w:hideMark/>
          </w:tcPr>
          <w:p w14:paraId="652396F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subjective and can only be understood through participants' eyes</w:t>
            </w:r>
          </w:p>
        </w:tc>
        <w:tc>
          <w:tcPr>
            <w:tcW w:w="608" w:type="pct"/>
            <w:tcMar>
              <w:top w:w="0" w:type="dxa"/>
              <w:left w:w="108" w:type="dxa"/>
              <w:bottom w:w="0" w:type="dxa"/>
              <w:right w:w="108" w:type="dxa"/>
            </w:tcMar>
            <w:hideMark/>
          </w:tcPr>
          <w:p w14:paraId="2163572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Knowledge is constructed through social interaction and individual sense-making</w:t>
            </w:r>
          </w:p>
        </w:tc>
        <w:tc>
          <w:tcPr>
            <w:tcW w:w="554" w:type="pct"/>
            <w:shd w:val="clear" w:color="auto" w:fill="FFCC00"/>
            <w:tcMar>
              <w:top w:w="0" w:type="dxa"/>
              <w:left w:w="108" w:type="dxa"/>
              <w:bottom w:w="0" w:type="dxa"/>
              <w:right w:w="108" w:type="dxa"/>
            </w:tcMar>
            <w:hideMark/>
          </w:tcPr>
          <w:p w14:paraId="7B1337B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Different groups in organisations construct different realities; understanding these multiple constructions is essential for effective management, communication and collaboration across groups</w:t>
            </w:r>
          </w:p>
        </w:tc>
        <w:tc>
          <w:tcPr>
            <w:tcW w:w="657" w:type="pct"/>
            <w:shd w:val="clear" w:color="auto" w:fill="FFCCFF"/>
            <w:tcMar>
              <w:top w:w="0" w:type="dxa"/>
              <w:left w:w="108" w:type="dxa"/>
              <w:bottom w:w="0" w:type="dxa"/>
              <w:right w:w="108" w:type="dxa"/>
            </w:tcMar>
            <w:hideMark/>
          </w:tcPr>
          <w:p w14:paraId="2B4DBC2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Reality is shaped by historical, social, political, economic, ethnic and gender structures</w:t>
            </w:r>
          </w:p>
        </w:tc>
        <w:tc>
          <w:tcPr>
            <w:tcW w:w="519" w:type="pct"/>
            <w:shd w:val="clear" w:color="auto" w:fill="FFFF99"/>
            <w:tcMar>
              <w:top w:w="0" w:type="dxa"/>
              <w:left w:w="108" w:type="dxa"/>
              <w:bottom w:w="0" w:type="dxa"/>
              <w:right w:w="108" w:type="dxa"/>
            </w:tcMar>
            <w:hideMark/>
          </w:tcPr>
          <w:p w14:paraId="603704A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Truth is what works in practice and knowledge is valued for its practical consequences</w:t>
            </w:r>
          </w:p>
        </w:tc>
      </w:tr>
      <w:tr w:rsidR="00903474" w14:paraId="25377986" w14:textId="77777777" w:rsidTr="00903474">
        <w:tc>
          <w:tcPr>
            <w:tcW w:w="834"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0506985A" w14:textId="77777777" w:rsidR="00903474" w:rsidRPr="00903474" w:rsidRDefault="00903474" w:rsidP="00903474">
            <w:pPr>
              <w:spacing w:after="0" w:line="240" w:lineRule="auto"/>
              <w:rPr>
                <w:rFonts w:asciiTheme="minorBidi" w:eastAsia="Times New Roman" w:hAnsiTheme="minorBidi"/>
                <w:b/>
                <w:bCs/>
                <w:color w:val="000000"/>
                <w:kern w:val="0"/>
                <w14:ligatures w14:val="none"/>
              </w:rPr>
            </w:pPr>
            <w:r w:rsidRPr="00903474">
              <w:rPr>
                <w:rFonts w:asciiTheme="minorBidi" w:eastAsia="Times New Roman" w:hAnsiTheme="minorBidi"/>
                <w:b/>
                <w:bCs/>
                <w:color w:val="000000"/>
                <w:kern w:val="0"/>
                <w14:ligatures w14:val="none"/>
              </w:rPr>
              <w:t>Philosophical Traditions Within Paradigms</w:t>
            </w:r>
          </w:p>
        </w:tc>
        <w:tc>
          <w:tcPr>
            <w:tcW w:w="576" w:type="pct"/>
            <w:tcBorders>
              <w:top w:val="single" w:sz="12" w:space="0" w:color="auto"/>
              <w:left w:val="single" w:sz="12" w:space="0" w:color="auto"/>
              <w:bottom w:val="single" w:sz="12" w:space="0" w:color="auto"/>
              <w:right w:val="single" w:sz="12" w:space="0" w:color="auto"/>
            </w:tcBorders>
            <w:shd w:val="clear" w:color="auto" w:fill="99CCFF"/>
            <w:tcMar>
              <w:top w:w="0" w:type="dxa"/>
              <w:left w:w="108" w:type="dxa"/>
              <w:bottom w:w="0" w:type="dxa"/>
              <w:right w:w="108" w:type="dxa"/>
            </w:tcMar>
            <w:hideMark/>
          </w:tcPr>
          <w:p w14:paraId="690F7176"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t xml:space="preserve">Not typically divided into traditions. Uses </w:t>
            </w:r>
            <w:r w:rsidRPr="00903474">
              <w:rPr>
                <w:rFonts w:asciiTheme="minorBidi" w:eastAsia="Times New Roman" w:hAnsiTheme="minorBidi"/>
                <w:color w:val="000000"/>
                <w:kern w:val="0"/>
                <w14:ligatures w14:val="none"/>
              </w:rPr>
              <w:lastRenderedPageBreak/>
              <w:t>established quantitative research designs and methods from natural sciences.</w:t>
            </w:r>
          </w:p>
        </w:tc>
        <w:tc>
          <w:tcPr>
            <w:tcW w:w="549" w:type="pct"/>
            <w:tcBorders>
              <w:top w:val="single" w:sz="12" w:space="0" w:color="auto"/>
              <w:left w:val="single" w:sz="12" w:space="0" w:color="auto"/>
              <w:bottom w:val="single" w:sz="12" w:space="0" w:color="auto"/>
              <w:right w:val="single" w:sz="12" w:space="0" w:color="auto"/>
            </w:tcBorders>
            <w:shd w:val="clear" w:color="auto" w:fill="66FFFF"/>
            <w:tcMar>
              <w:top w:w="0" w:type="dxa"/>
              <w:left w:w="108" w:type="dxa"/>
              <w:bottom w:w="0" w:type="dxa"/>
              <w:right w:w="108" w:type="dxa"/>
            </w:tcMar>
            <w:hideMark/>
          </w:tcPr>
          <w:p w14:paraId="1080A19F"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Not typically divided into traditions. Uses </w:t>
            </w:r>
            <w:r w:rsidRPr="00903474">
              <w:rPr>
                <w:rFonts w:asciiTheme="minorBidi" w:eastAsia="Times New Roman" w:hAnsiTheme="minorBidi"/>
                <w:color w:val="000000"/>
                <w:kern w:val="0"/>
                <w14:ligatures w14:val="none"/>
              </w:rPr>
              <w:lastRenderedPageBreak/>
              <w:t>mixed methods research designs combining quantitative and qualitative approaches.</w:t>
            </w:r>
          </w:p>
        </w:tc>
        <w:tc>
          <w:tcPr>
            <w:tcW w:w="703" w:type="pct"/>
            <w:tcBorders>
              <w:top w:val="single" w:sz="12" w:space="0" w:color="auto"/>
              <w:left w:val="single" w:sz="12" w:space="0" w:color="auto"/>
              <w:bottom w:val="single" w:sz="12" w:space="0" w:color="auto"/>
              <w:right w:val="single" w:sz="12" w:space="0" w:color="auto"/>
            </w:tcBorders>
            <w:shd w:val="clear" w:color="auto" w:fill="CCFF99"/>
            <w:tcMar>
              <w:top w:w="0" w:type="dxa"/>
              <w:left w:w="108" w:type="dxa"/>
              <w:bottom w:w="0" w:type="dxa"/>
              <w:right w:w="108" w:type="dxa"/>
            </w:tcMar>
            <w:hideMark/>
          </w:tcPr>
          <w:p w14:paraId="31C51DDD"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THREE PHILOSOPHICAL TRADITIONS within </w:t>
            </w:r>
            <w:r w:rsidRPr="00903474">
              <w:rPr>
                <w:rFonts w:asciiTheme="minorBidi" w:eastAsia="Times New Roman" w:hAnsiTheme="minorBidi"/>
                <w:color w:val="000000"/>
                <w:kern w:val="0"/>
                <w14:ligatures w14:val="none"/>
              </w:rPr>
              <w:lastRenderedPageBreak/>
              <w:t>interpretivism (developed independently but all share interpretivist assumptions):</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1. PHENOMENOLOGY (German, 1900s)</w:t>
            </w:r>
            <w:r w:rsidRPr="00903474">
              <w:rPr>
                <w:rFonts w:asciiTheme="minorBidi" w:eastAsia="Times New Roman" w:hAnsiTheme="minorBidi"/>
                <w:color w:val="000000"/>
                <w:kern w:val="0"/>
                <w14:ligatures w14:val="none"/>
              </w:rPr>
              <w:br/>
              <w:t>• Founders: Edmund Husserl (1859-1938), Martin Heidegger (1889-1976)</w:t>
            </w:r>
            <w:r w:rsidRPr="00903474">
              <w:rPr>
                <w:rFonts w:asciiTheme="minorBidi" w:eastAsia="Times New Roman" w:hAnsiTheme="minorBidi"/>
                <w:color w:val="000000"/>
                <w:kern w:val="0"/>
                <w14:ligatures w14:val="none"/>
              </w:rPr>
              <w:br/>
              <w:t>• Question: What is it like to experience this phenomenon?</w:t>
            </w:r>
            <w:r w:rsidRPr="00903474">
              <w:rPr>
                <w:rFonts w:asciiTheme="minorBidi" w:eastAsia="Times New Roman" w:hAnsiTheme="minorBidi"/>
                <w:color w:val="000000"/>
                <w:kern w:val="0"/>
                <w14:ligatures w14:val="none"/>
              </w:rPr>
              <w:br/>
              <w:t>• Focus: Consciousness, lived experience, essence of phenomena</w:t>
            </w:r>
            <w:r w:rsidRPr="00903474">
              <w:rPr>
                <w:rFonts w:asciiTheme="minorBidi" w:eastAsia="Times New Roman" w:hAnsiTheme="minorBidi"/>
                <w:color w:val="000000"/>
                <w:kern w:val="0"/>
                <w14:ligatures w14:val="none"/>
              </w:rPr>
              <w:br/>
              <w:t>• Types: Descriptive (Husserl - bracketing preconceptions) or Interpretive/Hermeneutic (Heidegger - interpretation fundamental)</w:t>
            </w:r>
            <w:r w:rsidRPr="00903474">
              <w:rPr>
                <w:rFonts w:asciiTheme="minorBidi" w:eastAsia="Times New Roman" w:hAnsiTheme="minorBidi"/>
                <w:color w:val="000000"/>
                <w:kern w:val="0"/>
                <w14:ligatures w14:val="none"/>
              </w:rPr>
              <w:br/>
              <w:t>• Methods: Small samples (5-15), in-depth interviews, phenomenological analysis</w:t>
            </w:r>
            <w:r w:rsidRPr="00903474">
              <w:rPr>
                <w:rFonts w:asciiTheme="minorBidi" w:eastAsia="Times New Roman" w:hAnsiTheme="minorBidi"/>
                <w:color w:val="000000"/>
                <w:kern w:val="0"/>
                <w14:ligatures w14:val="none"/>
              </w:rPr>
              <w:br/>
              <w:t>• Example: What is the lived experience of whistleblowing? How do entrepreneurs experience business failure?</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2. HERMENEUTICS (German, 1800s-1900s)</w:t>
            </w:r>
            <w:r w:rsidRPr="00903474">
              <w:rPr>
                <w:rFonts w:asciiTheme="minorBidi" w:eastAsia="Times New Roman" w:hAnsiTheme="minorBidi"/>
                <w:color w:val="000000"/>
                <w:kern w:val="0"/>
                <w14:ligatures w14:val="none"/>
              </w:rPr>
              <w:br/>
              <w:t>• Founders: Wilhelm Dilthey, Hans-Georg Gadamer (1900-2002)</w:t>
            </w:r>
            <w:r w:rsidRPr="00903474">
              <w:rPr>
                <w:rFonts w:asciiTheme="minorBidi" w:eastAsia="Times New Roman" w:hAnsiTheme="minorBidi"/>
                <w:color w:val="000000"/>
                <w:kern w:val="0"/>
                <w14:ligatures w14:val="none"/>
              </w:rPr>
              <w:br/>
              <w:t>• Question: How do we interpret and understand meanings?</w:t>
            </w:r>
            <w:r w:rsidRPr="00903474">
              <w:rPr>
                <w:rFonts w:asciiTheme="minorBidi" w:eastAsia="Times New Roman" w:hAnsiTheme="minorBidi"/>
                <w:color w:val="000000"/>
                <w:kern w:val="0"/>
                <w14:ligatures w14:val="none"/>
              </w:rPr>
              <w:br/>
              <w:t>• Focus: Interpretation, understanding texts and meanings, dialogue</w:t>
            </w:r>
            <w:r w:rsidRPr="00903474">
              <w:rPr>
                <w:rFonts w:asciiTheme="minorBidi" w:eastAsia="Times New Roman" w:hAnsiTheme="minorBidi"/>
                <w:color w:val="000000"/>
                <w:kern w:val="0"/>
                <w14:ligatures w14:val="none"/>
              </w:rPr>
              <w:br/>
              <w:t>• Key concepts: Hermeneutic circle (parts-whole iteration), prejudice as productive, fusion of horizons</w:t>
            </w:r>
            <w:r w:rsidRPr="00903474">
              <w:rPr>
                <w:rFonts w:asciiTheme="minorBidi" w:eastAsia="Times New Roman" w:hAnsiTheme="minorBidi"/>
                <w:color w:val="000000"/>
                <w:kern w:val="0"/>
                <w14:ligatures w14:val="none"/>
              </w:rPr>
              <w:br/>
              <w:t>• Methods: Texts, narratives, documents, iterative interpretation</w:t>
            </w:r>
            <w:r w:rsidRPr="00903474">
              <w:rPr>
                <w:rFonts w:asciiTheme="minorBidi" w:eastAsia="Times New Roman" w:hAnsiTheme="minorBidi"/>
                <w:color w:val="000000"/>
                <w:kern w:val="0"/>
                <w14:ligatures w14:val="none"/>
              </w:rPr>
              <w:br/>
              <w:t xml:space="preserve">• Example: How do executives make sense of strategic ambiguity? How is </w:t>
            </w:r>
            <w:r w:rsidRPr="00903474">
              <w:rPr>
                <w:rFonts w:asciiTheme="minorBidi" w:eastAsia="Times New Roman" w:hAnsiTheme="minorBidi"/>
                <w:color w:val="000000"/>
                <w:kern w:val="0"/>
                <w14:ligatures w14:val="none"/>
              </w:rPr>
              <w:lastRenderedPageBreak/>
              <w:t>CSR interpreted differently across stakeholder groups?</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3. SYMBOLIC INTERACTIONISM (American, 1930s-1960s)</w:t>
            </w:r>
            <w:r w:rsidRPr="00903474">
              <w:rPr>
                <w:rFonts w:asciiTheme="minorBidi" w:eastAsia="Times New Roman" w:hAnsiTheme="minorBidi"/>
                <w:color w:val="000000"/>
                <w:kern w:val="0"/>
                <w14:ligatures w14:val="none"/>
              </w:rPr>
              <w:br/>
              <w:t>• Founders: George Herbert Mead (1863-1931), Herbert Blumer (1900-1987)</w:t>
            </w:r>
            <w:r w:rsidRPr="00903474">
              <w:rPr>
                <w:rFonts w:asciiTheme="minorBidi" w:eastAsia="Times New Roman" w:hAnsiTheme="minorBidi"/>
                <w:color w:val="000000"/>
                <w:kern w:val="0"/>
                <w14:ligatures w14:val="none"/>
              </w:rPr>
              <w:br/>
              <w:t>• Question: How do people create meanings through social interaction?</w:t>
            </w:r>
            <w:r w:rsidRPr="00903474">
              <w:rPr>
                <w:rFonts w:asciiTheme="minorBidi" w:eastAsia="Times New Roman" w:hAnsiTheme="minorBidi"/>
                <w:color w:val="000000"/>
                <w:kern w:val="0"/>
                <w14:ligatures w14:val="none"/>
              </w:rPr>
              <w:br/>
              <w:t>• Focus: Social processes, symbols, negotiated meanings, identity construction</w:t>
            </w:r>
            <w:r w:rsidRPr="00903474">
              <w:rPr>
                <w:rFonts w:asciiTheme="minorBidi" w:eastAsia="Times New Roman" w:hAnsiTheme="minorBidi"/>
                <w:color w:val="000000"/>
                <w:kern w:val="0"/>
                <w14:ligatures w14:val="none"/>
              </w:rPr>
              <w:br/>
              <w:t>• Key concepts: Definition of situation, self as social object, joint action</w:t>
            </w:r>
            <w:r w:rsidRPr="00903474">
              <w:rPr>
                <w:rFonts w:asciiTheme="minorBidi" w:eastAsia="Times New Roman" w:hAnsiTheme="minorBidi"/>
                <w:color w:val="000000"/>
                <w:kern w:val="0"/>
                <w14:ligatures w14:val="none"/>
              </w:rPr>
              <w:br/>
              <w:t>• Methods: Participant observation, focus on interaction and process</w:t>
            </w:r>
            <w:r w:rsidRPr="00903474">
              <w:rPr>
                <w:rFonts w:asciiTheme="minorBidi" w:eastAsia="Times New Roman" w:hAnsiTheme="minorBidi"/>
                <w:color w:val="000000"/>
                <w:kern w:val="0"/>
                <w14:ligatures w14:val="none"/>
              </w:rPr>
              <w:br/>
              <w:t>• Example: How do entrepreneurs construct identity? How do professionals learn 'what counts' in organisations?</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All three share: reality is subjective and multiple, meanings matter, understanding requires interpretation, context is essential.</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These are NOT divisions OF interpretivism - they're different philosophical traditions that all HAPPEN TO BE interpretivist because they developed independently asking different questions but arrived at similar ontological and epistemological positions.</w:t>
            </w:r>
          </w:p>
        </w:tc>
        <w:tc>
          <w:tcPr>
            <w:tcW w:w="608"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72177D9A"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Similar philosophical traditions as </w:t>
            </w:r>
            <w:r w:rsidRPr="00903474">
              <w:rPr>
                <w:rFonts w:asciiTheme="minorBidi" w:eastAsia="Times New Roman" w:hAnsiTheme="minorBidi"/>
                <w:color w:val="000000"/>
                <w:kern w:val="0"/>
                <w14:ligatures w14:val="none"/>
              </w:rPr>
              <w:lastRenderedPageBreak/>
              <w:t>interpretivism (phenomenology, hermeneutics, symbolic interactionism) can be used. Constructivism emphasises the co-construction aspect more strongly than traditional interpretivism, focusing on how researcher and participants jointly create knowledge through interaction.</w:t>
            </w:r>
          </w:p>
        </w:tc>
        <w:tc>
          <w:tcPr>
            <w:tcW w:w="554" w:type="pct"/>
            <w:tcBorders>
              <w:top w:val="single" w:sz="12" w:space="0" w:color="auto"/>
              <w:left w:val="single" w:sz="12" w:space="0" w:color="auto"/>
              <w:bottom w:val="single" w:sz="12" w:space="0" w:color="auto"/>
              <w:right w:val="single" w:sz="12" w:space="0" w:color="auto"/>
            </w:tcBorders>
            <w:shd w:val="clear" w:color="auto" w:fill="FFCC00"/>
            <w:tcMar>
              <w:top w:w="0" w:type="dxa"/>
              <w:left w:w="108" w:type="dxa"/>
              <w:bottom w:w="0" w:type="dxa"/>
              <w:right w:w="108" w:type="dxa"/>
            </w:tcMar>
            <w:hideMark/>
          </w:tcPr>
          <w:p w14:paraId="0A3A6061"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Focuses on group-level constructions </w:t>
            </w:r>
            <w:r w:rsidRPr="00903474">
              <w:rPr>
                <w:rFonts w:asciiTheme="minorBidi" w:eastAsia="Times New Roman" w:hAnsiTheme="minorBidi"/>
                <w:color w:val="000000"/>
                <w:kern w:val="0"/>
                <w14:ligatures w14:val="none"/>
              </w:rPr>
              <w:lastRenderedPageBreak/>
              <w:t>rather than individual philosophical traditions. May use similar qualitative approaches but analyses how different social groups (professions, departments, cultures) collectively construct meanings differently. Examines shared realities maintained through social processes.</w:t>
            </w:r>
          </w:p>
        </w:tc>
        <w:tc>
          <w:tcPr>
            <w:tcW w:w="657" w:type="pct"/>
            <w:tcBorders>
              <w:top w:val="single" w:sz="12" w:space="0" w:color="auto"/>
              <w:left w:val="single" w:sz="12" w:space="0" w:color="auto"/>
              <w:bottom w:val="single" w:sz="12" w:space="0" w:color="auto"/>
              <w:right w:val="single" w:sz="12" w:space="0" w:color="auto"/>
            </w:tcBorders>
            <w:shd w:val="clear" w:color="auto" w:fill="FFCCFF"/>
            <w:tcMar>
              <w:top w:w="0" w:type="dxa"/>
              <w:left w:w="108" w:type="dxa"/>
              <w:bottom w:w="0" w:type="dxa"/>
              <w:right w:w="108" w:type="dxa"/>
            </w:tcMar>
            <w:hideMark/>
          </w:tcPr>
          <w:p w14:paraId="7C901E36"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Uses CRITICAL TRADITIONS to guide </w:t>
            </w:r>
            <w:r w:rsidRPr="00903474">
              <w:rPr>
                <w:rFonts w:asciiTheme="minorBidi" w:eastAsia="Times New Roman" w:hAnsiTheme="minorBidi"/>
                <w:color w:val="000000"/>
                <w:kern w:val="0"/>
                <w14:ligatures w14:val="none"/>
              </w:rPr>
              <w:lastRenderedPageBreak/>
              <w:t>analysis:</w:t>
            </w:r>
            <w:r w:rsidRPr="00903474">
              <w:rPr>
                <w:rFonts w:asciiTheme="minorBidi" w:eastAsia="Times New Roman" w:hAnsiTheme="minorBidi"/>
                <w:color w:val="000000"/>
                <w:kern w:val="0"/>
                <w14:ligatures w14:val="none"/>
              </w:rPr>
              <w:br/>
              <w:t>• Feminist theory - examining gender and patriarchy</w:t>
            </w:r>
            <w:r w:rsidRPr="00903474">
              <w:rPr>
                <w:rFonts w:asciiTheme="minorBidi" w:eastAsia="Times New Roman" w:hAnsiTheme="minorBidi"/>
                <w:color w:val="000000"/>
                <w:kern w:val="0"/>
                <w14:ligatures w14:val="none"/>
              </w:rPr>
              <w:br/>
              <w:t>• Postcolonial theory - examining colonial legacies and power</w:t>
            </w:r>
            <w:r w:rsidRPr="00903474">
              <w:rPr>
                <w:rFonts w:asciiTheme="minorBidi" w:eastAsia="Times New Roman" w:hAnsiTheme="minorBidi"/>
                <w:color w:val="000000"/>
                <w:kern w:val="0"/>
                <w14:ligatures w14:val="none"/>
              </w:rPr>
              <w:br/>
              <w:t>• Marxist theory - examining class and economic structures</w:t>
            </w:r>
            <w:r w:rsidRPr="00903474">
              <w:rPr>
                <w:rFonts w:asciiTheme="minorBidi" w:eastAsia="Times New Roman" w:hAnsiTheme="minorBidi"/>
                <w:color w:val="000000"/>
                <w:kern w:val="0"/>
                <w14:ligatures w14:val="none"/>
              </w:rPr>
              <w:br/>
              <w:t xml:space="preserve">• Critical race theory - examining race and systemic racism  </w:t>
            </w:r>
            <w:r w:rsidRPr="00903474">
              <w:rPr>
                <w:rFonts w:asciiTheme="minorBidi" w:eastAsia="Times New Roman" w:hAnsiTheme="minorBidi"/>
                <w:color w:val="000000"/>
                <w:kern w:val="0"/>
                <w14:ligatures w14:val="none"/>
              </w:rPr>
              <w:br/>
              <w:t>• Queer theory - examining heteronormativity and sexuality</w:t>
            </w:r>
            <w:r w:rsidRPr="00903474">
              <w:rPr>
                <w:rFonts w:asciiTheme="minorBidi" w:eastAsia="Times New Roman" w:hAnsiTheme="minorBidi"/>
                <w:color w:val="000000"/>
                <w:kern w:val="0"/>
                <w14:ligatures w14:val="none"/>
              </w:rPr>
              <w:br/>
            </w:r>
            <w:r w:rsidRPr="00903474">
              <w:rPr>
                <w:rFonts w:asciiTheme="minorBidi" w:eastAsia="Times New Roman" w:hAnsiTheme="minorBidi"/>
                <w:color w:val="000000"/>
                <w:kern w:val="0"/>
                <w14:ligatures w14:val="none"/>
              </w:rPr>
              <w:br/>
              <w:t>These provide theoretical lenses for examining power structures, oppression and marginalisation.</w:t>
            </w:r>
          </w:p>
        </w:tc>
        <w:tc>
          <w:tcPr>
            <w:tcW w:w="519" w:type="pct"/>
            <w:tcBorders>
              <w:top w:val="single" w:sz="12" w:space="0" w:color="auto"/>
              <w:left w:val="single" w:sz="12" w:space="0" w:color="auto"/>
              <w:bottom w:val="single" w:sz="12" w:space="0" w:color="auto"/>
              <w:right w:val="single" w:sz="12" w:space="0" w:color="auto"/>
            </w:tcBorders>
            <w:shd w:val="clear" w:color="auto" w:fill="FFFF99"/>
            <w:tcMar>
              <w:top w:w="0" w:type="dxa"/>
              <w:left w:w="108" w:type="dxa"/>
              <w:bottom w:w="0" w:type="dxa"/>
              <w:right w:w="108" w:type="dxa"/>
            </w:tcMar>
            <w:hideMark/>
          </w:tcPr>
          <w:p w14:paraId="3FE3E791" w14:textId="77777777" w:rsidR="00903474" w:rsidRPr="00903474" w:rsidRDefault="00903474" w:rsidP="00903474">
            <w:pPr>
              <w:spacing w:after="0" w:line="240" w:lineRule="auto"/>
              <w:rPr>
                <w:rFonts w:asciiTheme="minorBidi" w:eastAsia="Times New Roman" w:hAnsiTheme="minorBidi"/>
                <w:color w:val="000000"/>
                <w:kern w:val="0"/>
                <w14:ligatures w14:val="none"/>
              </w:rPr>
            </w:pPr>
            <w:r w:rsidRPr="00903474">
              <w:rPr>
                <w:rFonts w:asciiTheme="minorBidi" w:eastAsia="Times New Roman" w:hAnsiTheme="minorBidi"/>
                <w:color w:val="000000"/>
                <w:kern w:val="0"/>
                <w14:ligatures w14:val="none"/>
              </w:rPr>
              <w:lastRenderedPageBreak/>
              <w:t xml:space="preserve">Not tied to specific traditions. </w:t>
            </w:r>
            <w:r w:rsidRPr="00903474">
              <w:rPr>
                <w:rFonts w:asciiTheme="minorBidi" w:eastAsia="Times New Roman" w:hAnsiTheme="minorBidi"/>
                <w:color w:val="000000"/>
                <w:kern w:val="0"/>
                <w14:ligatures w14:val="none"/>
              </w:rPr>
              <w:lastRenderedPageBreak/>
              <w:t>Pragmatically selects from any philosophical tradition, theory, or research approach that helps solve the practical problem at hand. Judges approaches by utility and consequences rather than paradigmatic consistency.</w:t>
            </w:r>
          </w:p>
        </w:tc>
      </w:tr>
      <w:tr w:rsidR="00124566" w:rsidRPr="00124566" w14:paraId="2AA2F9F5" w14:textId="77777777" w:rsidTr="00D93057">
        <w:tc>
          <w:tcPr>
            <w:tcW w:w="834" w:type="pct"/>
            <w:tcMar>
              <w:top w:w="0" w:type="dxa"/>
              <w:left w:w="108" w:type="dxa"/>
              <w:bottom w:w="0" w:type="dxa"/>
              <w:right w:w="108" w:type="dxa"/>
            </w:tcMar>
            <w:hideMark/>
          </w:tcPr>
          <w:p w14:paraId="326FE251" w14:textId="6A3B9D3B" w:rsidR="002041B0" w:rsidRPr="00272F9E" w:rsidRDefault="002041B0" w:rsidP="002041B0">
            <w:pPr>
              <w:spacing w:after="0" w:line="240" w:lineRule="auto"/>
              <w:rPr>
                <w:rFonts w:asciiTheme="minorBidi" w:eastAsia="Times New Roman" w:hAnsiTheme="minorBidi"/>
                <w:b/>
                <w:bCs/>
                <w:color w:val="000000"/>
                <w:kern w:val="0"/>
                <w14:ligatures w14:val="none"/>
              </w:rPr>
            </w:pPr>
            <w:r w:rsidRPr="002041B0">
              <w:rPr>
                <w:rFonts w:asciiTheme="minorBidi" w:eastAsia="Times New Roman" w:hAnsiTheme="minorBidi"/>
                <w:b/>
                <w:bCs/>
                <w:color w:val="000000"/>
                <w:kern w:val="0"/>
                <w14:ligatures w14:val="none"/>
              </w:rPr>
              <w:lastRenderedPageBreak/>
              <w:t>Purpose of Literature Review</w:t>
            </w:r>
          </w:p>
        </w:tc>
        <w:tc>
          <w:tcPr>
            <w:tcW w:w="576" w:type="pct"/>
            <w:shd w:val="clear" w:color="auto" w:fill="99CCFF"/>
            <w:tcMar>
              <w:top w:w="0" w:type="dxa"/>
              <w:left w:w="108" w:type="dxa"/>
              <w:bottom w:w="0" w:type="dxa"/>
              <w:right w:w="108" w:type="dxa"/>
            </w:tcMar>
            <w:hideMark/>
          </w:tcPr>
          <w:p w14:paraId="094A1ED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To identify gaps in existing knowledge, establish theoretical framework, identify and define key </w:t>
            </w:r>
            <w:r w:rsidRPr="002041B0">
              <w:rPr>
                <w:rFonts w:asciiTheme="minorBidi" w:eastAsia="Times New Roman" w:hAnsiTheme="minorBidi"/>
                <w:color w:val="000000"/>
                <w:kern w:val="0"/>
                <w14:ligatures w14:val="none"/>
              </w:rPr>
              <w:lastRenderedPageBreak/>
              <w:t>constructs/variables and justify hypotheses through systematic review of empirical studies. Literature maps relationships between variables, provides foundation for deductive testing and informs development of measurement instruments.</w:t>
            </w:r>
          </w:p>
        </w:tc>
        <w:tc>
          <w:tcPr>
            <w:tcW w:w="549" w:type="pct"/>
            <w:shd w:val="clear" w:color="auto" w:fill="66FFFF"/>
            <w:tcMar>
              <w:top w:w="0" w:type="dxa"/>
              <w:left w:w="108" w:type="dxa"/>
              <w:bottom w:w="0" w:type="dxa"/>
              <w:right w:w="108" w:type="dxa"/>
            </w:tcMar>
            <w:hideMark/>
          </w:tcPr>
          <w:p w14:paraId="7B8DB04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critically review existing research, identify gaps whilst acknowledging limitations and </w:t>
            </w:r>
            <w:r w:rsidRPr="002041B0">
              <w:rPr>
                <w:rFonts w:asciiTheme="minorBidi" w:eastAsia="Times New Roman" w:hAnsiTheme="minorBidi"/>
                <w:color w:val="000000"/>
                <w:kern w:val="0"/>
                <w14:ligatures w14:val="none"/>
              </w:rPr>
              <w:lastRenderedPageBreak/>
              <w:t>alternative interpretations. Literature identifies key constructs/variables and their relationships, establishes what is known (and unknown), recognises potential biases and informs development of research instruments and questions.</w:t>
            </w:r>
          </w:p>
        </w:tc>
        <w:tc>
          <w:tcPr>
            <w:tcW w:w="703" w:type="pct"/>
            <w:shd w:val="clear" w:color="auto" w:fill="CCFF99"/>
            <w:tcMar>
              <w:top w:w="0" w:type="dxa"/>
              <w:left w:w="108" w:type="dxa"/>
              <w:bottom w:w="0" w:type="dxa"/>
              <w:right w:w="108" w:type="dxa"/>
            </w:tcMar>
            <w:hideMark/>
          </w:tcPr>
          <w:p w14:paraId="05B1CC3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identify gaps in understanding of how phenomena are experienced and interpreted. Literature </w:t>
            </w:r>
            <w:r w:rsidRPr="002041B0">
              <w:rPr>
                <w:rFonts w:asciiTheme="minorBidi" w:eastAsia="Times New Roman" w:hAnsiTheme="minorBidi"/>
                <w:color w:val="000000"/>
                <w:kern w:val="0"/>
                <w14:ligatures w14:val="none"/>
              </w:rPr>
              <w:lastRenderedPageBreak/>
              <w:t>provides sensitising concepts to help refine research questions and develop initial interview questions/topic guides. Reveals what meanings have been explored and identifies whose experiences/interpretations are missing, helping focus the inquiry whilst remaining open to emergent themes.</w:t>
            </w:r>
          </w:p>
        </w:tc>
        <w:tc>
          <w:tcPr>
            <w:tcW w:w="608" w:type="pct"/>
            <w:tcMar>
              <w:top w:w="0" w:type="dxa"/>
              <w:left w:w="108" w:type="dxa"/>
              <w:bottom w:w="0" w:type="dxa"/>
              <w:right w:w="108" w:type="dxa"/>
            </w:tcMar>
            <w:hideMark/>
          </w:tcPr>
          <w:p w14:paraId="10F4749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identify gaps in understanding of how knowledge has been co-constructed and explore collaborative </w:t>
            </w:r>
            <w:r w:rsidRPr="002041B0">
              <w:rPr>
                <w:rFonts w:asciiTheme="minorBidi" w:eastAsia="Times New Roman" w:hAnsiTheme="minorBidi"/>
                <w:color w:val="000000"/>
                <w:kern w:val="0"/>
                <w14:ligatures w14:val="none"/>
              </w:rPr>
              <w:lastRenderedPageBreak/>
              <w:t>methodologies used. Literature serves as dialogue partner to help refine research questions and develop initial questions for participatory inquiry. Reveals whose voices have been included in co-construction and identifies gaps in participatory approaches, informing the collaborative research design.</w:t>
            </w:r>
          </w:p>
        </w:tc>
        <w:tc>
          <w:tcPr>
            <w:tcW w:w="554" w:type="pct"/>
            <w:shd w:val="clear" w:color="auto" w:fill="FFCC00"/>
            <w:tcMar>
              <w:top w:w="0" w:type="dxa"/>
              <w:left w:w="108" w:type="dxa"/>
              <w:bottom w:w="0" w:type="dxa"/>
              <w:right w:w="108" w:type="dxa"/>
            </w:tcMar>
            <w:hideMark/>
          </w:tcPr>
          <w:p w14:paraId="0D28613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identify gaps in understanding how different groups construct phenomena. </w:t>
            </w:r>
            <w:r w:rsidRPr="002041B0">
              <w:rPr>
                <w:rFonts w:asciiTheme="minorBidi" w:eastAsia="Times New Roman" w:hAnsiTheme="minorBidi"/>
                <w:color w:val="000000"/>
                <w:kern w:val="0"/>
                <w14:ligatures w14:val="none"/>
              </w:rPr>
              <w:lastRenderedPageBreak/>
              <w:t>Literature reveals what constructions have been studied and which group perspectives are missing. Helps refine research questions about group-level differences in meaning-making and informs development of comparative interview/focus group protocols</w:t>
            </w:r>
          </w:p>
        </w:tc>
        <w:tc>
          <w:tcPr>
            <w:tcW w:w="657" w:type="pct"/>
            <w:shd w:val="clear" w:color="auto" w:fill="FFCCFF"/>
            <w:tcMar>
              <w:top w:w="0" w:type="dxa"/>
              <w:left w:w="108" w:type="dxa"/>
              <w:bottom w:w="0" w:type="dxa"/>
              <w:right w:w="108" w:type="dxa"/>
            </w:tcMar>
            <w:hideMark/>
          </w:tcPr>
          <w:p w14:paraId="6126A84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identify gaps in critical examination of power structures and whose voices have been marginalised or silenced. </w:t>
            </w:r>
            <w:r w:rsidRPr="002041B0">
              <w:rPr>
                <w:rFonts w:asciiTheme="minorBidi" w:eastAsia="Times New Roman" w:hAnsiTheme="minorBidi"/>
                <w:color w:val="000000"/>
                <w:kern w:val="0"/>
                <w14:ligatures w14:val="none"/>
              </w:rPr>
              <w:lastRenderedPageBreak/>
              <w:t>Literature reveals ideological assumptions and power relations, helping refine critical research questions. Highlights gaps in emancipatory approaches and informs development of questions that centre marginalised voices and challenge oppressive structures</w:t>
            </w:r>
          </w:p>
        </w:tc>
        <w:tc>
          <w:tcPr>
            <w:tcW w:w="519" w:type="pct"/>
            <w:shd w:val="clear" w:color="auto" w:fill="FFFF99"/>
            <w:tcMar>
              <w:top w:w="0" w:type="dxa"/>
              <w:left w:w="108" w:type="dxa"/>
              <w:bottom w:w="0" w:type="dxa"/>
              <w:right w:w="108" w:type="dxa"/>
            </w:tcMar>
            <w:hideMark/>
          </w:tcPr>
          <w:p w14:paraId="2312FDE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To identify gaps in practical solutions across different contexts. Literature provides evidence </w:t>
            </w:r>
            <w:r w:rsidRPr="002041B0">
              <w:rPr>
                <w:rFonts w:asciiTheme="minorBidi" w:eastAsia="Times New Roman" w:hAnsiTheme="minorBidi"/>
                <w:color w:val="000000"/>
                <w:kern w:val="0"/>
                <w14:ligatures w14:val="none"/>
              </w:rPr>
              <w:lastRenderedPageBreak/>
              <w:t>of what has worked (and what hasn't), helping refine research questions focused on practical problems. Reveals gaps in actionable insights for specific contexts and informs development of questions that elicit practical, solution-oriented responses from participants.</w:t>
            </w:r>
          </w:p>
        </w:tc>
      </w:tr>
      <w:tr w:rsidR="0027306D" w:rsidRPr="00124566" w14:paraId="45D2BE82" w14:textId="77777777" w:rsidTr="00D93057">
        <w:tc>
          <w:tcPr>
            <w:tcW w:w="834" w:type="pct"/>
            <w:tcMar>
              <w:top w:w="0" w:type="dxa"/>
              <w:left w:w="108" w:type="dxa"/>
              <w:bottom w:w="0" w:type="dxa"/>
              <w:right w:w="108" w:type="dxa"/>
            </w:tcMar>
            <w:hideMark/>
          </w:tcPr>
          <w:p w14:paraId="495BF595" w14:textId="04CFC000" w:rsidR="0027306D" w:rsidRPr="007A5F08" w:rsidRDefault="0027306D" w:rsidP="0027306D">
            <w:pPr>
              <w:spacing w:after="0" w:line="240" w:lineRule="auto"/>
              <w:rPr>
                <w:rFonts w:ascii="Arial" w:eastAsia="Times New Roman" w:hAnsi="Arial" w:cs="Arial"/>
                <w:b/>
                <w:bCs/>
                <w:kern w:val="0"/>
                <w14:ligatures w14:val="none"/>
              </w:rPr>
            </w:pPr>
            <w:r w:rsidRPr="007A5F08">
              <w:rPr>
                <w:rFonts w:ascii="Arial" w:hAnsi="Arial" w:cs="Arial"/>
                <w:b/>
                <w:bCs/>
                <w:color w:val="000000"/>
              </w:rPr>
              <w:lastRenderedPageBreak/>
              <w:t>Theoretical Framework</w:t>
            </w:r>
          </w:p>
        </w:tc>
        <w:tc>
          <w:tcPr>
            <w:tcW w:w="576" w:type="pct"/>
            <w:shd w:val="clear" w:color="auto" w:fill="99CCFF"/>
            <w:tcMar>
              <w:top w:w="0" w:type="dxa"/>
              <w:left w:w="108" w:type="dxa"/>
              <w:bottom w:w="0" w:type="dxa"/>
              <w:right w:w="108" w:type="dxa"/>
            </w:tcMar>
            <w:hideMark/>
          </w:tcPr>
          <w:p w14:paraId="67E93D34" w14:textId="4D116062"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549" w:type="pct"/>
            <w:shd w:val="clear" w:color="auto" w:fill="66FFFF"/>
            <w:tcMar>
              <w:top w:w="0" w:type="dxa"/>
              <w:left w:w="108" w:type="dxa"/>
              <w:bottom w:w="0" w:type="dxa"/>
              <w:right w:w="108" w:type="dxa"/>
            </w:tcMar>
            <w:hideMark/>
          </w:tcPr>
          <w:p w14:paraId="79DDD931" w14:textId="220BB741"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703" w:type="pct"/>
            <w:shd w:val="clear" w:color="auto" w:fill="CCFF99"/>
            <w:tcMar>
              <w:top w:w="0" w:type="dxa"/>
              <w:left w:w="108" w:type="dxa"/>
              <w:bottom w:w="0" w:type="dxa"/>
              <w:right w:w="108" w:type="dxa"/>
            </w:tcMar>
            <w:hideMark/>
          </w:tcPr>
          <w:p w14:paraId="4EE21CD1" w14:textId="27C858FE"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608" w:type="pct"/>
            <w:tcMar>
              <w:top w:w="0" w:type="dxa"/>
              <w:left w:w="108" w:type="dxa"/>
              <w:bottom w:w="0" w:type="dxa"/>
              <w:right w:w="108" w:type="dxa"/>
            </w:tcMar>
            <w:hideMark/>
          </w:tcPr>
          <w:p w14:paraId="53786D0B" w14:textId="589C4840"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554" w:type="pct"/>
            <w:shd w:val="clear" w:color="auto" w:fill="FFCC00"/>
            <w:tcMar>
              <w:top w:w="0" w:type="dxa"/>
              <w:left w:w="108" w:type="dxa"/>
              <w:bottom w:w="0" w:type="dxa"/>
              <w:right w:w="108" w:type="dxa"/>
            </w:tcMar>
            <w:hideMark/>
          </w:tcPr>
          <w:p w14:paraId="4DFC2725" w14:textId="67B2A06C"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657" w:type="pct"/>
            <w:shd w:val="clear" w:color="auto" w:fill="FFCCFF"/>
            <w:tcMar>
              <w:top w:w="0" w:type="dxa"/>
              <w:left w:w="108" w:type="dxa"/>
              <w:bottom w:w="0" w:type="dxa"/>
              <w:right w:w="108" w:type="dxa"/>
            </w:tcMar>
            <w:hideMark/>
          </w:tcPr>
          <w:p w14:paraId="5D76A2B6" w14:textId="1E07F2EE"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c>
          <w:tcPr>
            <w:tcW w:w="519" w:type="pct"/>
            <w:shd w:val="clear" w:color="auto" w:fill="FFFF99"/>
            <w:tcMar>
              <w:top w:w="0" w:type="dxa"/>
              <w:left w:w="108" w:type="dxa"/>
              <w:bottom w:w="0" w:type="dxa"/>
              <w:right w:w="108" w:type="dxa"/>
            </w:tcMar>
            <w:hideMark/>
          </w:tcPr>
          <w:p w14:paraId="2B4D0C04" w14:textId="53A66B6A"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A logically developed and connected set of concepts and premises</w:t>
            </w:r>
            <w:r w:rsidR="007A5F08" w:rsidRPr="007A5F08">
              <w:rPr>
                <w:rFonts w:ascii="Arial" w:hAnsi="Arial" w:cs="Arial"/>
                <w:color w:val="000000"/>
              </w:rPr>
              <w:t xml:space="preserve">, </w:t>
            </w:r>
            <w:r w:rsidRPr="007A5F08">
              <w:rPr>
                <w:rFonts w:ascii="Arial" w:hAnsi="Arial" w:cs="Arial"/>
                <w:color w:val="000000"/>
              </w:rPr>
              <w:t>developed from one or more theories</w:t>
            </w:r>
            <w:r w:rsidR="007A5F08" w:rsidRPr="007A5F08">
              <w:rPr>
                <w:rFonts w:ascii="Arial" w:hAnsi="Arial" w:cs="Arial"/>
                <w:color w:val="000000"/>
              </w:rPr>
              <w:t xml:space="preserve">, </w:t>
            </w:r>
            <w:r w:rsidRPr="007A5F08">
              <w:rPr>
                <w:rFonts w:ascii="Arial" w:hAnsi="Arial" w:cs="Arial"/>
                <w:color w:val="000000"/>
              </w:rPr>
              <w:t>that a researcher creates to scaffold a study. Requires the researcher to define concepts and theories that provide the grounding of the research, unite them through logical connections, and relate these concepts to the study. Reflects the work the researcher engages in to use a theory in a given study. Explains how a theory (or theories) shaped the study</w:t>
            </w:r>
          </w:p>
        </w:tc>
      </w:tr>
      <w:tr w:rsidR="00D93057" w:rsidRPr="00124566" w14:paraId="6E7B6EDB" w14:textId="77777777" w:rsidTr="00D93057">
        <w:tc>
          <w:tcPr>
            <w:tcW w:w="834" w:type="pct"/>
            <w:tcMar>
              <w:top w:w="0" w:type="dxa"/>
              <w:left w:w="108" w:type="dxa"/>
              <w:bottom w:w="0" w:type="dxa"/>
              <w:right w:w="108" w:type="dxa"/>
            </w:tcMar>
          </w:tcPr>
          <w:p w14:paraId="4BECA5DB" w14:textId="6147CF64" w:rsidR="00D93057" w:rsidRPr="00D93057" w:rsidRDefault="00D93057" w:rsidP="00D93057">
            <w:pPr>
              <w:spacing w:after="0" w:line="240" w:lineRule="auto"/>
              <w:rPr>
                <w:rFonts w:asciiTheme="minorBidi" w:hAnsiTheme="minorBidi"/>
                <w:b/>
                <w:bCs/>
                <w:color w:val="000000"/>
              </w:rPr>
            </w:pPr>
            <w:r w:rsidRPr="00D93057">
              <w:rPr>
                <w:rFonts w:asciiTheme="minorBidi" w:hAnsiTheme="minorBidi"/>
                <w:b/>
                <w:bCs/>
                <w:color w:val="000000"/>
              </w:rPr>
              <w:t>Theory-Data Relationship</w:t>
            </w:r>
          </w:p>
        </w:tc>
        <w:tc>
          <w:tcPr>
            <w:tcW w:w="576" w:type="pct"/>
            <w:shd w:val="clear" w:color="auto" w:fill="99CCFF"/>
            <w:tcMar>
              <w:top w:w="0" w:type="dxa"/>
              <w:left w:w="108" w:type="dxa"/>
              <w:bottom w:w="0" w:type="dxa"/>
              <w:right w:w="108" w:type="dxa"/>
            </w:tcMar>
          </w:tcPr>
          <w:p w14:paraId="50A3AFCE" w14:textId="1AEC2258"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t xml:space="preserve">Theory-driven: Theory provides hypotheses tested through data collection. Existing theoretical frameworks guide what variables to </w:t>
            </w:r>
            <w:r w:rsidRPr="00D93057">
              <w:rPr>
                <w:rFonts w:asciiTheme="minorBidi" w:hAnsiTheme="minorBidi"/>
                <w:color w:val="000000"/>
              </w:rPr>
              <w:lastRenderedPageBreak/>
              <w:t>measure and what relationships to test. Data confirms or refutes theory. Theory precedes and directs data collection. Grand theories generate specific testable propositions.</w:t>
            </w:r>
          </w:p>
        </w:tc>
        <w:tc>
          <w:tcPr>
            <w:tcW w:w="549" w:type="pct"/>
            <w:shd w:val="clear" w:color="auto" w:fill="66FFFF"/>
            <w:tcMar>
              <w:top w:w="0" w:type="dxa"/>
              <w:left w:w="108" w:type="dxa"/>
              <w:bottom w:w="0" w:type="dxa"/>
              <w:right w:w="108" w:type="dxa"/>
            </w:tcMar>
          </w:tcPr>
          <w:p w14:paraId="329C453B" w14:textId="6FEE5CD6"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Theory-guided with empirical refinement: Theory provides initial framework but remains open to revision based on empirical evidence. </w:t>
            </w:r>
            <w:r w:rsidRPr="00D93057">
              <w:rPr>
                <w:rFonts w:asciiTheme="minorBidi" w:hAnsiTheme="minorBidi"/>
                <w:color w:val="000000"/>
              </w:rPr>
              <w:lastRenderedPageBreak/>
              <w:t>Existing theories guide inquiry but are critically examined and modified when data suggests limitations. Iterative movement between theory and data with theory having primacy.</w:t>
            </w:r>
          </w:p>
        </w:tc>
        <w:tc>
          <w:tcPr>
            <w:tcW w:w="703" w:type="pct"/>
            <w:shd w:val="clear" w:color="auto" w:fill="CCFF99"/>
            <w:tcMar>
              <w:top w:w="0" w:type="dxa"/>
              <w:left w:w="108" w:type="dxa"/>
              <w:bottom w:w="0" w:type="dxa"/>
              <w:right w:w="108" w:type="dxa"/>
            </w:tcMar>
          </w:tcPr>
          <w:p w14:paraId="3018C8A5" w14:textId="266C79E6"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Theory-emergent from data: Theory emerges from immersion in data rather than directing it. Minimal predetermined theoretical framework; instead sensitising concepts </w:t>
            </w:r>
            <w:r w:rsidRPr="00D93057">
              <w:rPr>
                <w:rFonts w:asciiTheme="minorBidi" w:hAnsiTheme="minorBidi"/>
                <w:color w:val="000000"/>
              </w:rPr>
              <w:lastRenderedPageBreak/>
              <w:t>loosely guide inquiry. Data collection precedes theorising. Theories develop inductively from patterns, themes and meanings found in participants' accounts.</w:t>
            </w:r>
          </w:p>
        </w:tc>
        <w:tc>
          <w:tcPr>
            <w:tcW w:w="608" w:type="pct"/>
            <w:tcMar>
              <w:top w:w="0" w:type="dxa"/>
              <w:left w:w="108" w:type="dxa"/>
              <w:bottom w:w="0" w:type="dxa"/>
              <w:right w:w="108" w:type="dxa"/>
            </w:tcMar>
          </w:tcPr>
          <w:p w14:paraId="41D61E1C" w14:textId="2A8D45A5"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Theory co-constructed through dialogue: Theory emerges collaboratively through researcher-participant interaction. Neither pre-exists the research </w:t>
            </w:r>
            <w:r w:rsidRPr="00D93057">
              <w:rPr>
                <w:rFonts w:asciiTheme="minorBidi" w:hAnsiTheme="minorBidi"/>
                <w:color w:val="000000"/>
              </w:rPr>
              <w:lastRenderedPageBreak/>
              <w:t>relationship. Knowledge is created in the space between researcher and researched. Theory represents shared, negotiated understanding rather than researcher's interpretation alone.</w:t>
            </w:r>
          </w:p>
        </w:tc>
        <w:tc>
          <w:tcPr>
            <w:tcW w:w="554" w:type="pct"/>
            <w:shd w:val="clear" w:color="auto" w:fill="FFCC00"/>
            <w:tcMar>
              <w:top w:w="0" w:type="dxa"/>
              <w:left w:w="108" w:type="dxa"/>
              <w:bottom w:w="0" w:type="dxa"/>
              <w:right w:w="108" w:type="dxa"/>
            </w:tcMar>
          </w:tcPr>
          <w:p w14:paraId="4E4DEC8A" w14:textId="08B5A3A9"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Theory explains group-level constructions: Theory emerges from comparing how different groups construct </w:t>
            </w:r>
            <w:r w:rsidRPr="00D93057">
              <w:rPr>
                <w:rFonts w:asciiTheme="minorBidi" w:hAnsiTheme="minorBidi"/>
                <w:color w:val="000000"/>
              </w:rPr>
              <w:lastRenderedPageBreak/>
              <w:t>phenomena differently. Existing theories about social construction processes (identity, discourse, practice) sensitise analysis. Theory explains why and how groups develop different shared understandings.</w:t>
            </w:r>
          </w:p>
        </w:tc>
        <w:tc>
          <w:tcPr>
            <w:tcW w:w="657" w:type="pct"/>
            <w:shd w:val="clear" w:color="auto" w:fill="FFCCFF"/>
            <w:tcMar>
              <w:top w:w="0" w:type="dxa"/>
              <w:left w:w="108" w:type="dxa"/>
              <w:bottom w:w="0" w:type="dxa"/>
              <w:right w:w="108" w:type="dxa"/>
            </w:tcMar>
          </w:tcPr>
          <w:p w14:paraId="1E785834" w14:textId="3B544045"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Critical theories guide emancipatory analysis: Critical theories (feminist, postcolonial, Marxist, queer, critical race theory) provide lens for examining power. Data </w:t>
            </w:r>
            <w:r w:rsidRPr="00D93057">
              <w:rPr>
                <w:rFonts w:asciiTheme="minorBidi" w:hAnsiTheme="minorBidi"/>
                <w:color w:val="000000"/>
              </w:rPr>
              <w:lastRenderedPageBreak/>
              <w:t>reveals how power operates while theory explains structural patterns. Dialectical relationship: theory illuminates data, data refines and develops critical theory.</w:t>
            </w:r>
          </w:p>
        </w:tc>
        <w:tc>
          <w:tcPr>
            <w:tcW w:w="519" w:type="pct"/>
            <w:shd w:val="clear" w:color="auto" w:fill="FFFF99"/>
            <w:tcMar>
              <w:top w:w="0" w:type="dxa"/>
              <w:left w:w="108" w:type="dxa"/>
              <w:bottom w:w="0" w:type="dxa"/>
              <w:right w:w="108" w:type="dxa"/>
            </w:tcMar>
          </w:tcPr>
          <w:p w14:paraId="09DC9637" w14:textId="2A32618C" w:rsidR="00D93057" w:rsidRPr="00D93057" w:rsidRDefault="00D93057" w:rsidP="00D93057">
            <w:pPr>
              <w:spacing w:after="0" w:line="240" w:lineRule="auto"/>
              <w:rPr>
                <w:rFonts w:asciiTheme="minorBidi" w:hAnsiTheme="minorBidi"/>
                <w:color w:val="000000"/>
              </w:rPr>
            </w:pPr>
            <w:r w:rsidRPr="00D93057">
              <w:rPr>
                <w:rFonts w:asciiTheme="minorBidi" w:hAnsiTheme="minorBidi"/>
                <w:color w:val="000000"/>
              </w:rPr>
              <w:lastRenderedPageBreak/>
              <w:t xml:space="preserve">Theory serves pragmatic needs: Whatever theoretical framework helps solve the problem is appropriate. May </w:t>
            </w:r>
            <w:r w:rsidRPr="00D93057">
              <w:rPr>
                <w:rFonts w:asciiTheme="minorBidi" w:hAnsiTheme="minorBidi"/>
                <w:color w:val="000000"/>
              </w:rPr>
              <w:lastRenderedPageBreak/>
              <w:t>draw eclectically from multiple theories. Theory judged by practical utility not paradigmatic purity. Theory provides actionable insights. Pragmatic mix of inductive and deductive as needed for problem-solving.</w:t>
            </w:r>
          </w:p>
        </w:tc>
      </w:tr>
      <w:tr w:rsidR="0027306D" w:rsidRPr="00124566" w14:paraId="244829CF" w14:textId="77777777" w:rsidTr="00D93057">
        <w:tc>
          <w:tcPr>
            <w:tcW w:w="834" w:type="pct"/>
            <w:tcMar>
              <w:top w:w="0" w:type="dxa"/>
              <w:left w:w="108" w:type="dxa"/>
              <w:bottom w:w="0" w:type="dxa"/>
              <w:right w:w="108" w:type="dxa"/>
            </w:tcMar>
            <w:hideMark/>
          </w:tcPr>
          <w:p w14:paraId="40E35EE3" w14:textId="09A904A7" w:rsidR="0027306D" w:rsidRPr="008335C9" w:rsidRDefault="0027306D" w:rsidP="0027306D">
            <w:pPr>
              <w:spacing w:after="0" w:line="240" w:lineRule="auto"/>
              <w:rPr>
                <w:rFonts w:ascii="Arial" w:eastAsia="Times New Roman" w:hAnsi="Arial" w:cs="Arial"/>
                <w:b/>
                <w:bCs/>
                <w:kern w:val="0"/>
                <w14:ligatures w14:val="none"/>
              </w:rPr>
            </w:pPr>
            <w:r w:rsidRPr="008335C9">
              <w:rPr>
                <w:rFonts w:ascii="Arial" w:hAnsi="Arial" w:cs="Arial"/>
                <w:b/>
                <w:bCs/>
                <w:color w:val="000000"/>
              </w:rPr>
              <w:lastRenderedPageBreak/>
              <w:t>Conceptual Framework/Conceptual Model</w:t>
            </w:r>
          </w:p>
        </w:tc>
        <w:tc>
          <w:tcPr>
            <w:tcW w:w="576" w:type="pct"/>
            <w:shd w:val="clear" w:color="auto" w:fill="99CCFF"/>
            <w:tcMar>
              <w:top w:w="0" w:type="dxa"/>
              <w:left w:w="108" w:type="dxa"/>
              <w:bottom w:w="0" w:type="dxa"/>
              <w:right w:w="108" w:type="dxa"/>
            </w:tcMar>
            <w:hideMark/>
          </w:tcPr>
          <w:p w14:paraId="6DBC0640" w14:textId="6C418525"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549" w:type="pct"/>
            <w:shd w:val="clear" w:color="auto" w:fill="66FFFF"/>
            <w:tcMar>
              <w:top w:w="0" w:type="dxa"/>
              <w:left w:w="108" w:type="dxa"/>
              <w:bottom w:w="0" w:type="dxa"/>
              <w:right w:w="108" w:type="dxa"/>
            </w:tcMar>
            <w:hideMark/>
          </w:tcPr>
          <w:p w14:paraId="6148B2A5" w14:textId="479FE04C"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703" w:type="pct"/>
            <w:shd w:val="clear" w:color="auto" w:fill="CCFF99"/>
            <w:tcMar>
              <w:top w:w="0" w:type="dxa"/>
              <w:left w:w="108" w:type="dxa"/>
              <w:bottom w:w="0" w:type="dxa"/>
              <w:right w:w="108" w:type="dxa"/>
            </w:tcMar>
            <w:hideMark/>
          </w:tcPr>
          <w:p w14:paraId="3CFA4546" w14:textId="704E7D0B"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608" w:type="pct"/>
            <w:tcMar>
              <w:top w:w="0" w:type="dxa"/>
              <w:left w:w="108" w:type="dxa"/>
              <w:bottom w:w="0" w:type="dxa"/>
              <w:right w:w="108" w:type="dxa"/>
            </w:tcMar>
            <w:hideMark/>
          </w:tcPr>
          <w:p w14:paraId="68406665" w14:textId="7BE32CA7"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554" w:type="pct"/>
            <w:shd w:val="clear" w:color="auto" w:fill="FFCC00"/>
            <w:tcMar>
              <w:top w:w="0" w:type="dxa"/>
              <w:left w:w="108" w:type="dxa"/>
              <w:bottom w:w="0" w:type="dxa"/>
              <w:right w:w="108" w:type="dxa"/>
            </w:tcMar>
            <w:hideMark/>
          </w:tcPr>
          <w:p w14:paraId="09A513FA" w14:textId="6BE1AC2B"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657" w:type="pct"/>
            <w:shd w:val="clear" w:color="auto" w:fill="FFCCFF"/>
            <w:tcMar>
              <w:top w:w="0" w:type="dxa"/>
              <w:left w:w="108" w:type="dxa"/>
              <w:bottom w:w="0" w:type="dxa"/>
              <w:right w:w="108" w:type="dxa"/>
            </w:tcMar>
            <w:hideMark/>
          </w:tcPr>
          <w:p w14:paraId="1CFC04C9" w14:textId="789EA46D"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c>
          <w:tcPr>
            <w:tcW w:w="519" w:type="pct"/>
            <w:shd w:val="clear" w:color="auto" w:fill="FFFF99"/>
            <w:tcMar>
              <w:top w:w="0" w:type="dxa"/>
              <w:left w:w="108" w:type="dxa"/>
              <w:bottom w:w="0" w:type="dxa"/>
              <w:right w:w="108" w:type="dxa"/>
            </w:tcMar>
            <w:hideMark/>
          </w:tcPr>
          <w:p w14:paraId="0B5057E2" w14:textId="0002C491" w:rsidR="0027306D" w:rsidRPr="007A5F08" w:rsidRDefault="0027306D" w:rsidP="0027306D">
            <w:pPr>
              <w:spacing w:after="0" w:line="240" w:lineRule="auto"/>
              <w:rPr>
                <w:rFonts w:ascii="Arial" w:eastAsia="Times New Roman" w:hAnsi="Arial" w:cs="Arial"/>
                <w:kern w:val="0"/>
                <w14:ligatures w14:val="none"/>
              </w:rPr>
            </w:pPr>
            <w:r w:rsidRPr="007A5F08">
              <w:rPr>
                <w:rFonts w:ascii="Arial" w:hAnsi="Arial" w:cs="Arial"/>
                <w:color w:val="000000"/>
              </w:rPr>
              <w:t>BEFORE: A coherent argument about why the topic you wish to study matters and why your research methodology is appropriate. Justifies all aspects of the research: why it is important and why methodology is appropriate. Encompasses both REASON (why the topic matters) and RIGOR (why the methodology is appropriate). Can be initially constructed prior to a study. AFTER: May evolve during the research process as new information and ideas emerge that strengthen the previous framework</w:t>
            </w:r>
          </w:p>
        </w:tc>
      </w:tr>
      <w:tr w:rsidR="0039282A" w:rsidRPr="00124566" w14:paraId="1B55DFC6" w14:textId="77777777" w:rsidTr="00D93057">
        <w:tc>
          <w:tcPr>
            <w:tcW w:w="834" w:type="pct"/>
            <w:tcMar>
              <w:top w:w="0" w:type="dxa"/>
              <w:left w:w="108" w:type="dxa"/>
              <w:bottom w:w="0" w:type="dxa"/>
              <w:right w:w="108" w:type="dxa"/>
            </w:tcMar>
          </w:tcPr>
          <w:p w14:paraId="54E09814" w14:textId="6D5D9877" w:rsidR="0039282A" w:rsidRPr="0039282A" w:rsidRDefault="0039282A" w:rsidP="0039282A">
            <w:pPr>
              <w:spacing w:after="0" w:line="240" w:lineRule="auto"/>
              <w:rPr>
                <w:rFonts w:asciiTheme="minorBidi" w:hAnsiTheme="minorBidi"/>
                <w:b/>
                <w:bCs/>
                <w:color w:val="000000"/>
              </w:rPr>
            </w:pPr>
            <w:r w:rsidRPr="0039282A">
              <w:rPr>
                <w:rFonts w:asciiTheme="minorBidi" w:hAnsiTheme="minorBidi"/>
                <w:b/>
                <w:bCs/>
                <w:color w:val="000000"/>
              </w:rPr>
              <w:t xml:space="preserve">Research Design </w:t>
            </w:r>
          </w:p>
        </w:tc>
        <w:tc>
          <w:tcPr>
            <w:tcW w:w="576" w:type="pct"/>
            <w:shd w:val="clear" w:color="auto" w:fill="99CCFF"/>
            <w:tcMar>
              <w:top w:w="0" w:type="dxa"/>
              <w:left w:w="108" w:type="dxa"/>
              <w:bottom w:w="0" w:type="dxa"/>
              <w:right w:w="108" w:type="dxa"/>
            </w:tcMar>
          </w:tcPr>
          <w:p w14:paraId="47370B1C" w14:textId="7AE19401"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t xml:space="preserve">Experimental or quasi-experimental designs with clear independent and dependent variables. </w:t>
            </w:r>
            <w:proofErr w:type="spellStart"/>
            <w:r w:rsidRPr="0039282A">
              <w:rPr>
                <w:rFonts w:asciiTheme="minorBidi" w:hAnsiTheme="minorBidi"/>
                <w:color w:val="000000"/>
              </w:rPr>
              <w:t>Pretest</w:t>
            </w:r>
            <w:r w:rsidR="0062048C">
              <w:rPr>
                <w:rFonts w:asciiTheme="minorBidi" w:hAnsiTheme="minorBidi"/>
                <w:color w:val="000000"/>
              </w:rPr>
              <w:t>+</w:t>
            </w:r>
            <w:r w:rsidRPr="0039282A">
              <w:rPr>
                <w:rFonts w:asciiTheme="minorBidi" w:hAnsiTheme="minorBidi"/>
                <w:color w:val="000000"/>
              </w:rPr>
              <w:t>post</w:t>
            </w:r>
            <w:r w:rsidR="0062048C">
              <w:rPr>
                <w:rFonts w:asciiTheme="minorBidi" w:hAnsiTheme="minorBidi"/>
                <w:color w:val="000000"/>
              </w:rPr>
              <w:t>-</w:t>
            </w:r>
            <w:r w:rsidRPr="0039282A">
              <w:rPr>
                <w:rFonts w:asciiTheme="minorBidi" w:hAnsiTheme="minorBidi"/>
                <w:color w:val="000000"/>
              </w:rPr>
              <w:t>test</w:t>
            </w:r>
            <w:proofErr w:type="spellEnd"/>
            <w:r w:rsidRPr="0039282A">
              <w:rPr>
                <w:rFonts w:asciiTheme="minorBidi" w:hAnsiTheme="minorBidi"/>
                <w:color w:val="000000"/>
              </w:rPr>
              <w:t xml:space="preserve"> control group designs, randomised controlled trials, longitudinal panel </w:t>
            </w:r>
            <w:r w:rsidRPr="0039282A">
              <w:rPr>
                <w:rFonts w:asciiTheme="minorBidi" w:hAnsiTheme="minorBidi"/>
                <w:color w:val="000000"/>
              </w:rPr>
              <w:lastRenderedPageBreak/>
              <w:t>studies. Emphasis on control, manipulation and measurement. Design established before data collection and remains fixed.</w:t>
            </w:r>
          </w:p>
        </w:tc>
        <w:tc>
          <w:tcPr>
            <w:tcW w:w="549" w:type="pct"/>
            <w:shd w:val="clear" w:color="auto" w:fill="66FFFF"/>
            <w:tcMar>
              <w:top w:w="0" w:type="dxa"/>
              <w:left w:w="108" w:type="dxa"/>
              <w:bottom w:w="0" w:type="dxa"/>
              <w:right w:w="108" w:type="dxa"/>
            </w:tcMar>
          </w:tcPr>
          <w:p w14:paraId="25B214D4" w14:textId="57416E15"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Primarily experimental or correlational designs but with acknowledgment of confounding variables and contextual factors. May use quasi-experimental </w:t>
            </w:r>
            <w:r w:rsidRPr="0039282A">
              <w:rPr>
                <w:rFonts w:asciiTheme="minorBidi" w:hAnsiTheme="minorBidi"/>
                <w:color w:val="000000"/>
              </w:rPr>
              <w:lastRenderedPageBreak/>
              <w:t>designs when randomisation is not feasible. Design allows for some modification based on preliminary findings. Mixed methods designs combining quantitative and qualitative phases.</w:t>
            </w:r>
          </w:p>
        </w:tc>
        <w:tc>
          <w:tcPr>
            <w:tcW w:w="703" w:type="pct"/>
            <w:shd w:val="clear" w:color="auto" w:fill="CCFF99"/>
            <w:tcMar>
              <w:top w:w="0" w:type="dxa"/>
              <w:left w:w="108" w:type="dxa"/>
              <w:bottom w:w="0" w:type="dxa"/>
              <w:right w:w="108" w:type="dxa"/>
            </w:tcMar>
          </w:tcPr>
          <w:p w14:paraId="3BD5D2D2" w14:textId="0428F2ED"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Flexible, emergent designs that evolve during research. Case study designs, phenomenological designs, narrative inquiry designs. Design allows themes and questions to emerge from data. Purposive selection of information-rich cases. </w:t>
            </w:r>
            <w:r w:rsidRPr="0039282A">
              <w:rPr>
                <w:rFonts w:asciiTheme="minorBidi" w:hAnsiTheme="minorBidi"/>
                <w:color w:val="000000"/>
              </w:rPr>
              <w:lastRenderedPageBreak/>
              <w:t>Design decisions documented and justified throughout the study.</w:t>
            </w:r>
          </w:p>
        </w:tc>
        <w:tc>
          <w:tcPr>
            <w:tcW w:w="608" w:type="pct"/>
            <w:tcMar>
              <w:top w:w="0" w:type="dxa"/>
              <w:left w:w="108" w:type="dxa"/>
              <w:bottom w:w="0" w:type="dxa"/>
              <w:right w:w="108" w:type="dxa"/>
            </w:tcMar>
          </w:tcPr>
          <w:p w14:paraId="150598E9" w14:textId="31FC12AA"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Collaborative, co-designed research architecture developed in partnership with participants. Design emerges through dialogue and evolves based on shared insights. Participatory action research </w:t>
            </w:r>
            <w:r w:rsidRPr="0039282A">
              <w:rPr>
                <w:rFonts w:asciiTheme="minorBidi" w:hAnsiTheme="minorBidi"/>
                <w:color w:val="000000"/>
              </w:rPr>
              <w:lastRenderedPageBreak/>
              <w:t>designs, co-operative inquiry designs. Research questions and methods negotiated and renegotiated throughout.</w:t>
            </w:r>
          </w:p>
        </w:tc>
        <w:tc>
          <w:tcPr>
            <w:tcW w:w="554" w:type="pct"/>
            <w:shd w:val="clear" w:color="auto" w:fill="FFCC00"/>
            <w:tcMar>
              <w:top w:w="0" w:type="dxa"/>
              <w:left w:w="108" w:type="dxa"/>
              <w:bottom w:w="0" w:type="dxa"/>
              <w:right w:w="108" w:type="dxa"/>
            </w:tcMar>
          </w:tcPr>
          <w:p w14:paraId="12C7D539" w14:textId="2E64CFD0"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Comparative design enabling analysis across different stakeholder groups. Multiple group case studies, comparative ethnographies. Design ensures systematic data collection from </w:t>
            </w:r>
            <w:r w:rsidRPr="0039282A">
              <w:rPr>
                <w:rFonts w:asciiTheme="minorBidi" w:hAnsiTheme="minorBidi"/>
                <w:color w:val="000000"/>
              </w:rPr>
              <w:lastRenderedPageBreak/>
              <w:t>different groups using consistent protocols. Sampling strategy ensures adequate representation from each group for meaningful comparison.</w:t>
            </w:r>
          </w:p>
        </w:tc>
        <w:tc>
          <w:tcPr>
            <w:tcW w:w="657" w:type="pct"/>
            <w:shd w:val="clear" w:color="auto" w:fill="FFCCFF"/>
            <w:tcMar>
              <w:top w:w="0" w:type="dxa"/>
              <w:left w:w="108" w:type="dxa"/>
              <w:bottom w:w="0" w:type="dxa"/>
              <w:right w:w="108" w:type="dxa"/>
            </w:tcMar>
          </w:tcPr>
          <w:p w14:paraId="174BB67D" w14:textId="6C85200C"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Transformative designs explicitly addressing power imbalances and promoting social change. Participatory action research with emancipatory intent, critical ethnography, feminist research designs. Design includes </w:t>
            </w:r>
            <w:r w:rsidRPr="0039282A">
              <w:rPr>
                <w:rFonts w:asciiTheme="minorBidi" w:hAnsiTheme="minorBidi"/>
                <w:color w:val="000000"/>
              </w:rPr>
              <w:lastRenderedPageBreak/>
              <w:t>action/intervention components. Research architecture challenges rather than accepts existing structures.</w:t>
            </w:r>
          </w:p>
        </w:tc>
        <w:tc>
          <w:tcPr>
            <w:tcW w:w="519" w:type="pct"/>
            <w:shd w:val="clear" w:color="auto" w:fill="FFFF99"/>
            <w:tcMar>
              <w:top w:w="0" w:type="dxa"/>
              <w:left w:w="108" w:type="dxa"/>
              <w:bottom w:w="0" w:type="dxa"/>
              <w:right w:w="108" w:type="dxa"/>
            </w:tcMar>
          </w:tcPr>
          <w:p w14:paraId="4EA49786" w14:textId="4AE30E72" w:rsidR="0039282A" w:rsidRPr="0039282A" w:rsidRDefault="0039282A" w:rsidP="0039282A">
            <w:pPr>
              <w:spacing w:after="0" w:line="240" w:lineRule="auto"/>
              <w:rPr>
                <w:rFonts w:asciiTheme="minorBidi" w:hAnsiTheme="minorBidi"/>
                <w:color w:val="000000"/>
              </w:rPr>
            </w:pPr>
            <w:r w:rsidRPr="0039282A">
              <w:rPr>
                <w:rFonts w:asciiTheme="minorBidi" w:hAnsiTheme="minorBidi"/>
                <w:color w:val="000000"/>
              </w:rPr>
              <w:lastRenderedPageBreak/>
              <w:t xml:space="preserve">Flexible, adaptive designs driven by practical problems. Design follows the </w:t>
            </w:r>
            <w:r w:rsidR="00576D49">
              <w:rPr>
                <w:rFonts w:asciiTheme="minorBidi" w:hAnsiTheme="minorBidi"/>
                <w:color w:val="000000"/>
              </w:rPr>
              <w:t>‘</w:t>
            </w:r>
            <w:r w:rsidRPr="0039282A">
              <w:rPr>
                <w:rFonts w:asciiTheme="minorBidi" w:hAnsiTheme="minorBidi"/>
                <w:color w:val="000000"/>
              </w:rPr>
              <w:t>what works</w:t>
            </w:r>
            <w:r w:rsidR="00576D49">
              <w:rPr>
                <w:rFonts w:asciiTheme="minorBidi" w:hAnsiTheme="minorBidi"/>
                <w:color w:val="000000"/>
              </w:rPr>
              <w:t>’</w:t>
            </w:r>
            <w:r w:rsidRPr="0039282A">
              <w:rPr>
                <w:rFonts w:asciiTheme="minorBidi" w:hAnsiTheme="minorBidi"/>
                <w:color w:val="000000"/>
              </w:rPr>
              <w:t xml:space="preserve"> principle. May use experimental, case study, survey or mixed methods depending on the </w:t>
            </w:r>
            <w:r w:rsidRPr="0039282A">
              <w:rPr>
                <w:rFonts w:asciiTheme="minorBidi" w:hAnsiTheme="minorBidi"/>
                <w:color w:val="000000"/>
              </w:rPr>
              <w:lastRenderedPageBreak/>
              <w:t>problem. Iterative cycles of action and reflection. Design pragmatically adjusts based on what is learned and what proves effective.</w:t>
            </w:r>
          </w:p>
        </w:tc>
      </w:tr>
      <w:tr w:rsidR="00124566" w:rsidRPr="00124566" w14:paraId="5E6B6B5A" w14:textId="77777777" w:rsidTr="00D93057">
        <w:tc>
          <w:tcPr>
            <w:tcW w:w="834" w:type="pct"/>
            <w:tcMar>
              <w:top w:w="0" w:type="dxa"/>
              <w:left w:w="108" w:type="dxa"/>
              <w:bottom w:w="0" w:type="dxa"/>
              <w:right w:w="108" w:type="dxa"/>
            </w:tcMar>
            <w:hideMark/>
          </w:tcPr>
          <w:p w14:paraId="7F78A038"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Research Questions/Hypothesis Format</w:t>
            </w:r>
          </w:p>
        </w:tc>
        <w:tc>
          <w:tcPr>
            <w:tcW w:w="576" w:type="pct"/>
            <w:shd w:val="clear" w:color="auto" w:fill="99CCFF"/>
            <w:tcMar>
              <w:top w:w="0" w:type="dxa"/>
              <w:left w:w="108" w:type="dxa"/>
              <w:bottom w:w="0" w:type="dxa"/>
              <w:right w:w="108" w:type="dxa"/>
            </w:tcMar>
            <w:hideMark/>
          </w:tcPr>
          <w:p w14:paraId="51A7831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Hypotheses: Precise, testable predictions derived from theory, typically stating expected relationships between variables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'H1: Variable X positively correlates with Variable Y')</w:t>
            </w:r>
          </w:p>
        </w:tc>
        <w:tc>
          <w:tcPr>
            <w:tcW w:w="549" w:type="pct"/>
            <w:shd w:val="clear" w:color="auto" w:fill="66FFFF"/>
            <w:tcMar>
              <w:top w:w="0" w:type="dxa"/>
              <w:left w:w="108" w:type="dxa"/>
              <w:bottom w:w="0" w:type="dxa"/>
              <w:right w:w="108" w:type="dxa"/>
            </w:tcMar>
            <w:hideMark/>
          </w:tcPr>
          <w:p w14:paraId="225E22F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Hypotheses and questions: Primarily uses hypotheses, but may also pose research questions when relationships are less certain. Hypotheses are refined based on evidence</w:t>
            </w:r>
          </w:p>
        </w:tc>
        <w:tc>
          <w:tcPr>
            <w:tcW w:w="703" w:type="pct"/>
            <w:shd w:val="clear" w:color="auto" w:fill="CCFF99"/>
            <w:tcMar>
              <w:top w:w="0" w:type="dxa"/>
              <w:left w:w="108" w:type="dxa"/>
              <w:bottom w:w="0" w:type="dxa"/>
              <w:right w:w="108" w:type="dxa"/>
            </w:tcMar>
            <w:hideMark/>
          </w:tcPr>
          <w:p w14:paraId="10711EE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Open research questions: Broad, exploratory questions focusing on understanding meaning and experience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'How do individuals experience...?', 'What meanings do participants ascribe to...?')</w:t>
            </w:r>
          </w:p>
        </w:tc>
        <w:tc>
          <w:tcPr>
            <w:tcW w:w="608" w:type="pct"/>
            <w:tcMar>
              <w:top w:w="0" w:type="dxa"/>
              <w:left w:w="108" w:type="dxa"/>
              <w:bottom w:w="0" w:type="dxa"/>
              <w:right w:w="108" w:type="dxa"/>
            </w:tcMar>
            <w:hideMark/>
          </w:tcPr>
          <w:p w14:paraId="5EBA3E7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Emergent, collaborative questions: Initial questions are broad and evolve through dialogue with participants. Questions focus on co-creating understanding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'How might we together understand...?')</w:t>
            </w:r>
          </w:p>
        </w:tc>
        <w:tc>
          <w:tcPr>
            <w:tcW w:w="554" w:type="pct"/>
            <w:shd w:val="clear" w:color="auto" w:fill="FFCC00"/>
            <w:tcMar>
              <w:top w:w="0" w:type="dxa"/>
              <w:left w:w="108" w:type="dxa"/>
              <w:bottom w:w="0" w:type="dxa"/>
              <w:right w:w="108" w:type="dxa"/>
            </w:tcMar>
            <w:hideMark/>
          </w:tcPr>
          <w:p w14:paraId="29FBDCF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Questions about current group constructions: Focus on how different groups currently construct social realities (e.g., How do engineers versus marketers construct innovation?, What differences exist in how frontline staff versus managers construct quality?)</w:t>
            </w:r>
          </w:p>
        </w:tc>
        <w:tc>
          <w:tcPr>
            <w:tcW w:w="657" w:type="pct"/>
            <w:shd w:val="clear" w:color="auto" w:fill="FFCCFF"/>
            <w:tcMar>
              <w:top w:w="0" w:type="dxa"/>
              <w:left w:w="108" w:type="dxa"/>
              <w:bottom w:w="0" w:type="dxa"/>
              <w:right w:w="108" w:type="dxa"/>
            </w:tcMar>
            <w:hideMark/>
          </w:tcPr>
          <w:p w14:paraId="3E59836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Critical questions: Questions explicitly examine power, oppression and social justice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'How do power structures shape...?', 'Whose interests are served by...?', 'How can we transform...?')</w:t>
            </w:r>
          </w:p>
        </w:tc>
        <w:tc>
          <w:tcPr>
            <w:tcW w:w="519" w:type="pct"/>
            <w:shd w:val="clear" w:color="auto" w:fill="FFFF99"/>
            <w:tcMar>
              <w:top w:w="0" w:type="dxa"/>
              <w:left w:w="108" w:type="dxa"/>
              <w:bottom w:w="0" w:type="dxa"/>
              <w:right w:w="108" w:type="dxa"/>
            </w:tcMar>
            <w:hideMark/>
          </w:tcPr>
          <w:p w14:paraId="0B1276F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Problem-oriented questions: Questions focus on practical problems and solutions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'What works?', 'How can we improve...?', 'What are the consequences of...?')</w:t>
            </w:r>
          </w:p>
        </w:tc>
      </w:tr>
      <w:tr w:rsidR="00124566" w:rsidRPr="00124566" w14:paraId="02A06E48" w14:textId="77777777" w:rsidTr="00D93057">
        <w:tc>
          <w:tcPr>
            <w:tcW w:w="834" w:type="pct"/>
            <w:tcMar>
              <w:top w:w="0" w:type="dxa"/>
              <w:left w:w="108" w:type="dxa"/>
              <w:bottom w:w="0" w:type="dxa"/>
              <w:right w:w="108" w:type="dxa"/>
            </w:tcMar>
            <w:hideMark/>
          </w:tcPr>
          <w:p w14:paraId="5A023250"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Positionality</w:t>
            </w:r>
          </w:p>
        </w:tc>
        <w:tc>
          <w:tcPr>
            <w:tcW w:w="576" w:type="pct"/>
            <w:shd w:val="clear" w:color="auto" w:fill="99CCFF"/>
            <w:tcMar>
              <w:top w:w="0" w:type="dxa"/>
              <w:left w:w="108" w:type="dxa"/>
              <w:bottom w:w="0" w:type="dxa"/>
              <w:right w:w="108" w:type="dxa"/>
            </w:tcMar>
            <w:hideMark/>
          </w:tcPr>
          <w:p w14:paraId="2151000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Irrelevant to objective knowledge: Researcher's gender, race, class, age, cultural background, personal experiences and beliefs should have no bearing on findings. Standardised methods and instruments ensure that any researcher following the same protocol would obtain identical results. The goal is interchangeable researchers producing observer-independent truth</w:t>
            </w:r>
          </w:p>
        </w:tc>
        <w:tc>
          <w:tcPr>
            <w:tcW w:w="549" w:type="pct"/>
            <w:shd w:val="clear" w:color="auto" w:fill="66FFFF"/>
            <w:tcMar>
              <w:top w:w="0" w:type="dxa"/>
              <w:left w:w="108" w:type="dxa"/>
              <w:bottom w:w="0" w:type="dxa"/>
              <w:right w:w="108" w:type="dxa"/>
            </w:tcMar>
            <w:hideMark/>
          </w:tcPr>
          <w:p w14:paraId="3B79F12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Acknowledged but bracketed through rigorous method: Researcher explicitly states their background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'I am a white, middle-class woman with 10 years' industry experience') and recognises potential biases this creates. However, careful research design, validated instruments and triangulation methods are used to control and minimise the influence of researcher positionality. Acknowledges influence exists but works systematically to contain it</w:t>
            </w:r>
          </w:p>
        </w:tc>
        <w:tc>
          <w:tcPr>
            <w:tcW w:w="703" w:type="pct"/>
            <w:shd w:val="clear" w:color="auto" w:fill="CCFF99"/>
            <w:tcMar>
              <w:top w:w="0" w:type="dxa"/>
              <w:left w:w="108" w:type="dxa"/>
              <w:bottom w:w="0" w:type="dxa"/>
              <w:right w:w="108" w:type="dxa"/>
            </w:tcMar>
            <w:hideMark/>
          </w:tcPr>
          <w:p w14:paraId="5024D68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Central to interpretation, researcher as instrument: Researcher's life experiences, cultural background, professional training and personal values fundamentally shape what they notice, how they interpret meanings and which themes they emphasise. A researcher who has experienced illness will understand patient narratives differently than one who hasn't. Position is not a limitation but the lens through which interpretation occurs. Detailed positionality statement explains how researcher's standpoint influences understanding</w:t>
            </w:r>
          </w:p>
        </w:tc>
        <w:tc>
          <w:tcPr>
            <w:tcW w:w="608" w:type="pct"/>
            <w:tcMar>
              <w:top w:w="0" w:type="dxa"/>
              <w:left w:w="108" w:type="dxa"/>
              <w:bottom w:w="0" w:type="dxa"/>
              <w:right w:w="108" w:type="dxa"/>
            </w:tcMar>
            <w:hideMark/>
          </w:tcPr>
          <w:p w14:paraId="3047F5A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Co-constitutive of knowledge, mutual transformation: Researcher's identity and social position aren't fixed but evolve through relationships with participants. A privileged academic working with marginalised communities may find their worldview fundamentally challenged and changed. The knowledge created depends on who the researcher is, who participants are and the specific relationship formed between them. Different researcher-participant combinations would co-create different knowledge</w:t>
            </w:r>
          </w:p>
        </w:tc>
        <w:tc>
          <w:tcPr>
            <w:tcW w:w="554" w:type="pct"/>
            <w:shd w:val="clear" w:color="auto" w:fill="FFCC00"/>
            <w:tcMar>
              <w:top w:w="0" w:type="dxa"/>
              <w:left w:w="108" w:type="dxa"/>
              <w:bottom w:w="0" w:type="dxa"/>
              <w:right w:w="108" w:type="dxa"/>
            </w:tcMar>
            <w:hideMark/>
          </w:tcPr>
          <w:p w14:paraId="53A8E3D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Multiple group memberships shape interpretation of others' realities: Researcher reflects on their membership in various social groups (professional, cultural, generational, organisational) and how these shape their understanding of how other groups construct meaning. For example, as an academic, I interpret how corporate managers construct 'innovation' differently than how grassroots activists construct it. My own construction is one among many. Understanding requires recognising how my group </w:t>
            </w:r>
            <w:r w:rsidRPr="002041B0">
              <w:rPr>
                <w:rFonts w:asciiTheme="minorBidi" w:eastAsia="Times New Roman" w:hAnsiTheme="minorBidi"/>
                <w:color w:val="000000"/>
                <w:kern w:val="0"/>
                <w14:ligatures w14:val="none"/>
              </w:rPr>
              <w:lastRenderedPageBreak/>
              <w:t>standpoints enable and limit what I can see</w:t>
            </w:r>
          </w:p>
        </w:tc>
        <w:tc>
          <w:tcPr>
            <w:tcW w:w="657" w:type="pct"/>
            <w:shd w:val="clear" w:color="auto" w:fill="FFCCFF"/>
            <w:tcMar>
              <w:top w:w="0" w:type="dxa"/>
              <w:left w:w="108" w:type="dxa"/>
              <w:bottom w:w="0" w:type="dxa"/>
              <w:right w:w="108" w:type="dxa"/>
            </w:tcMar>
            <w:hideMark/>
          </w:tcPr>
          <w:p w14:paraId="113A4BF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Political standpoint explicitly acknowledged and leveraged: Researcher clearly states their social location within power structures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'As a Black woman researching workplace discrimination' or 'As a queer person studying heteronormative policies') and how this positions them relative to participants. Rather than pretending neutrality, researcher's shared experiences of marginalisation or proximity to oppression are recognised as providing critical insight and building solidarity with participants</w:t>
            </w:r>
          </w:p>
        </w:tc>
        <w:tc>
          <w:tcPr>
            <w:tcW w:w="519" w:type="pct"/>
            <w:shd w:val="clear" w:color="auto" w:fill="FFFF99"/>
            <w:tcMar>
              <w:top w:w="0" w:type="dxa"/>
              <w:left w:w="108" w:type="dxa"/>
              <w:bottom w:w="0" w:type="dxa"/>
              <w:right w:w="108" w:type="dxa"/>
            </w:tcMar>
            <w:hideMark/>
          </w:tcPr>
          <w:p w14:paraId="0481CCF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Pragmatically relevant when it affects problem-solving: Researcher's professional background, industry experience and practical knowledge matter when they influence ability to understand the problem, gain stakeholder trust, or develop workable solutions. Insider/outsider status is acknowledged when relevant. For example, an engineer researching engineering practices brings domain expertise that shapes </w:t>
            </w:r>
            <w:r w:rsidRPr="002041B0">
              <w:rPr>
                <w:rFonts w:asciiTheme="minorBidi" w:eastAsia="Times New Roman" w:hAnsiTheme="minorBidi"/>
                <w:color w:val="000000"/>
                <w:kern w:val="0"/>
                <w14:ligatures w14:val="none"/>
              </w:rPr>
              <w:lastRenderedPageBreak/>
              <w:t>problem definition and solution design. Transparency about relevant expertise and blind spots</w:t>
            </w:r>
          </w:p>
        </w:tc>
      </w:tr>
      <w:tr w:rsidR="00124566" w:rsidRPr="00124566" w14:paraId="1B53BEE1" w14:textId="77777777" w:rsidTr="00D93057">
        <w:tc>
          <w:tcPr>
            <w:tcW w:w="834" w:type="pct"/>
            <w:tcMar>
              <w:top w:w="0" w:type="dxa"/>
              <w:left w:w="108" w:type="dxa"/>
              <w:bottom w:w="0" w:type="dxa"/>
              <w:right w:w="108" w:type="dxa"/>
            </w:tcMar>
            <w:hideMark/>
          </w:tcPr>
          <w:p w14:paraId="5FB37820"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Reflection</w:t>
            </w:r>
          </w:p>
        </w:tc>
        <w:tc>
          <w:tcPr>
            <w:tcW w:w="576" w:type="pct"/>
            <w:shd w:val="clear" w:color="auto" w:fill="99CCFF"/>
            <w:tcMar>
              <w:top w:w="0" w:type="dxa"/>
              <w:left w:w="108" w:type="dxa"/>
              <w:bottom w:w="0" w:type="dxa"/>
              <w:right w:w="108" w:type="dxa"/>
            </w:tcMar>
            <w:hideMark/>
          </w:tcPr>
          <w:p w14:paraId="031457C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Limited to methodological rigour: Reflection focuses on whether procedures were followed correctly, instruments calibrated properly and protocols adhered to. Documents technical decisions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'Why did we use this statistical test?') rather than personal insights or subjective experience</w:t>
            </w:r>
          </w:p>
        </w:tc>
        <w:tc>
          <w:tcPr>
            <w:tcW w:w="549" w:type="pct"/>
            <w:shd w:val="clear" w:color="auto" w:fill="66FFFF"/>
            <w:tcMar>
              <w:top w:w="0" w:type="dxa"/>
              <w:left w:w="108" w:type="dxa"/>
              <w:bottom w:w="0" w:type="dxa"/>
              <w:right w:w="108" w:type="dxa"/>
            </w:tcMar>
            <w:hideMark/>
          </w:tcPr>
          <w:p w14:paraId="3E77D98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Methodological and analytical reflection: Researcher maintains detailed research diary documenting key decisions and their rationale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'Why did we modify the interview protocol?', 'What alternative explanations exist for this pattern?'). Reflects on potential sources of bias and steps taken to minimise influence. Supports audit trail and transparency</w:t>
            </w:r>
          </w:p>
        </w:tc>
        <w:tc>
          <w:tcPr>
            <w:tcW w:w="703" w:type="pct"/>
            <w:shd w:val="clear" w:color="auto" w:fill="CCFF99"/>
            <w:tcMar>
              <w:top w:w="0" w:type="dxa"/>
              <w:left w:w="108" w:type="dxa"/>
              <w:bottom w:w="0" w:type="dxa"/>
              <w:right w:w="108" w:type="dxa"/>
            </w:tcMar>
            <w:hideMark/>
          </w:tcPr>
          <w:p w14:paraId="16E0523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Ongoing and iterative reflection throughout research journey: After each interview or observation, researcher writes reflective memos asking 'What surprised me?', 'What assumptions did I bring?', 'What new questions emerged?', 'How did this interaction affect my understanding?'. These reflections directly inform subsequent data collection, reveal evolving insights and deepen interpretation. For example, reflecting 'This participant described the experience completely differently than others, why?' leads to exploring new themes</w:t>
            </w:r>
          </w:p>
        </w:tc>
        <w:tc>
          <w:tcPr>
            <w:tcW w:w="608" w:type="pct"/>
            <w:tcMar>
              <w:top w:w="0" w:type="dxa"/>
              <w:left w:w="108" w:type="dxa"/>
              <w:bottom w:w="0" w:type="dxa"/>
              <w:right w:w="108" w:type="dxa"/>
            </w:tcMar>
            <w:hideMark/>
          </w:tcPr>
          <w:p w14:paraId="36BF718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Collaborative and dialogic reflection as knowledge creation: Reflection happens in conversation with participants through member checking and reflexive dialogue. Researcher and participants together reflect on emerging interpretations: 'Does this resonate?', 'What did we learn through this process?', 'How has the research changed us?'. May hold reflection sessions where participants discuss the research experience and co-create insights about what the process revealed</w:t>
            </w:r>
          </w:p>
        </w:tc>
        <w:tc>
          <w:tcPr>
            <w:tcW w:w="554" w:type="pct"/>
            <w:shd w:val="clear" w:color="auto" w:fill="FFCC00"/>
            <w:tcMar>
              <w:top w:w="0" w:type="dxa"/>
              <w:left w:w="108" w:type="dxa"/>
              <w:bottom w:w="0" w:type="dxa"/>
              <w:right w:w="108" w:type="dxa"/>
            </w:tcMar>
            <w:hideMark/>
          </w:tcPr>
          <w:p w14:paraId="69734EE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Comparative reflection across different groups' perspectives: Researcher systematically reflects on how different stakeholder groups responded to similar questions, noting patterns and contradictions. For example: 'Group A constructs this issue as X whilst Group B sees it as Y, what social processes create these different realities?', 'My assumptions from my professional group were challenged when I encountered how this community group thinks about it', 'How did my interpretation shift as I moved between these different social worlds?'</w:t>
            </w:r>
          </w:p>
        </w:tc>
        <w:tc>
          <w:tcPr>
            <w:tcW w:w="657" w:type="pct"/>
            <w:shd w:val="clear" w:color="auto" w:fill="FFCCFF"/>
            <w:tcMar>
              <w:top w:w="0" w:type="dxa"/>
              <w:left w:w="108" w:type="dxa"/>
              <w:bottom w:w="0" w:type="dxa"/>
              <w:right w:w="108" w:type="dxa"/>
            </w:tcMar>
            <w:hideMark/>
          </w:tcPr>
          <w:p w14:paraId="07A73F0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Critical and transformative reflection on power and emotion: Researcher reflects on uncomfortable moments revealing power imbalances ('Why did I feel defensive when they challenged my privilege?'), ethical tensions ('How do I navigate my dual role as researcher and advocate?') and emotional responses to injustice ('My anger at this story revealed my values, how does this shape my analysis?'). Reflection documents personal transformation and growing critical consciousness throughout research</w:t>
            </w:r>
          </w:p>
        </w:tc>
        <w:tc>
          <w:tcPr>
            <w:tcW w:w="519" w:type="pct"/>
            <w:shd w:val="clear" w:color="auto" w:fill="FFFF99"/>
            <w:tcMar>
              <w:top w:w="0" w:type="dxa"/>
              <w:left w:w="108" w:type="dxa"/>
              <w:bottom w:w="0" w:type="dxa"/>
              <w:right w:w="108" w:type="dxa"/>
            </w:tcMar>
            <w:hideMark/>
          </w:tcPr>
          <w:p w14:paraId="362A999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Action-oriented reflection for continuous improvement: After each research activity or intervention, researcher reflects: 'What worked?', 'What didn't work?', 'Why?', 'What should we try differently?'. Focuses on practical learning rather than theory. For example: 'Stakeholder meeting format didn't engage frontline staff, next time try smaller breakout groups first'. Reflection directly informs iterative refinement of approach to solve the problem more effectively</w:t>
            </w:r>
          </w:p>
        </w:tc>
      </w:tr>
      <w:tr w:rsidR="00124566" w:rsidRPr="00124566" w14:paraId="2C012129" w14:textId="77777777" w:rsidTr="00D93057">
        <w:tc>
          <w:tcPr>
            <w:tcW w:w="834" w:type="pct"/>
            <w:tcMar>
              <w:top w:w="0" w:type="dxa"/>
              <w:left w:w="108" w:type="dxa"/>
              <w:bottom w:w="0" w:type="dxa"/>
              <w:right w:w="108" w:type="dxa"/>
            </w:tcMar>
            <w:hideMark/>
          </w:tcPr>
          <w:p w14:paraId="76CE82F8"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Reflexivity</w:t>
            </w:r>
          </w:p>
        </w:tc>
        <w:tc>
          <w:tcPr>
            <w:tcW w:w="576" w:type="pct"/>
            <w:shd w:val="clear" w:color="auto" w:fill="99CCFF"/>
            <w:tcMar>
              <w:top w:w="0" w:type="dxa"/>
              <w:left w:w="108" w:type="dxa"/>
              <w:bottom w:w="0" w:type="dxa"/>
              <w:right w:w="108" w:type="dxa"/>
            </w:tcMar>
            <w:hideMark/>
          </w:tcPr>
          <w:p w14:paraId="6B835E0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Not emphasised, method eliminates researcher: Focus is entirely on methodological rigour and standardised procedures. Assumes that if correct protocols are followed (randomisation, validated instruments, statistical controls), the researcher's characteristics, assumptions, or </w:t>
            </w:r>
            <w:r w:rsidRPr="002041B0">
              <w:rPr>
                <w:rFonts w:asciiTheme="minorBidi" w:eastAsia="Times New Roman" w:hAnsiTheme="minorBidi"/>
                <w:color w:val="000000"/>
                <w:kern w:val="0"/>
                <w14:ligatures w14:val="none"/>
              </w:rPr>
              <w:lastRenderedPageBreak/>
              <w:t>worldview have no impact on findings. Reflexivity would be seen as unnecessary subjectivity that compromises objectivity</w:t>
            </w:r>
          </w:p>
        </w:tc>
        <w:tc>
          <w:tcPr>
            <w:tcW w:w="549" w:type="pct"/>
            <w:shd w:val="clear" w:color="auto" w:fill="66FFFF"/>
            <w:tcMar>
              <w:top w:w="0" w:type="dxa"/>
              <w:left w:w="108" w:type="dxa"/>
              <w:bottom w:w="0" w:type="dxa"/>
              <w:right w:w="108" w:type="dxa"/>
            </w:tcMar>
            <w:hideMark/>
          </w:tcPr>
          <w:p w14:paraId="29BA143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Limited reflexivity, brief acknowledgement of potential bias: Researcher includes a short reflexivity statement acknowledging potential biases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'As someone trained in economics, I may overemphasise financial factors'). However, primary reliance is on </w:t>
            </w:r>
            <w:r w:rsidRPr="002041B0">
              <w:rPr>
                <w:rFonts w:asciiTheme="minorBidi" w:eastAsia="Times New Roman" w:hAnsiTheme="minorBidi"/>
                <w:color w:val="000000"/>
                <w:kern w:val="0"/>
                <w14:ligatures w14:val="none"/>
              </w:rPr>
              <w:lastRenderedPageBreak/>
              <w:t>triangulation, inter-rater reliability and methodological safeguards to control influence. Reflexivity is a box to tick rather than ongoing critical practice. May include brief discussion of limitations in final chapter</w:t>
            </w:r>
          </w:p>
        </w:tc>
        <w:tc>
          <w:tcPr>
            <w:tcW w:w="703" w:type="pct"/>
            <w:shd w:val="clear" w:color="auto" w:fill="CCFF99"/>
            <w:tcMar>
              <w:top w:w="0" w:type="dxa"/>
              <w:left w:w="108" w:type="dxa"/>
              <w:bottom w:w="0" w:type="dxa"/>
              <w:right w:w="108" w:type="dxa"/>
            </w:tcMar>
            <w:hideMark/>
          </w:tcPr>
          <w:p w14:paraId="62A689A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Essential, ongoing and deeply integrated throughout: Researcher continuously and critically examines how their assumptions, theoretical preferences, emotional responses and power dynamics with participants shape every decision, from question formulation ('Why am I asking this and not that?'), to data collection ('How did my gender affect what this participant </w:t>
            </w:r>
            <w:r w:rsidRPr="002041B0">
              <w:rPr>
                <w:rFonts w:asciiTheme="minorBidi" w:eastAsia="Times New Roman" w:hAnsiTheme="minorBidi"/>
                <w:color w:val="000000"/>
                <w:kern w:val="0"/>
                <w14:ligatures w14:val="none"/>
              </w:rPr>
              <w:lastRenderedPageBreak/>
              <w:t>shared?'), to analysis ('Am I imposing my categories or truly hearing theirs?'). Keeps detailed reflexive journal examining moments of surprise, discomfort, or resonance. For example: 'When this participant cried, I stopped recording, but was that ethical care or my discomfort with emotion? How did my decision shape the data?' Reflexivity ensures methodological integrity</w:t>
            </w:r>
          </w:p>
        </w:tc>
        <w:tc>
          <w:tcPr>
            <w:tcW w:w="608" w:type="pct"/>
            <w:tcMar>
              <w:top w:w="0" w:type="dxa"/>
              <w:left w:w="108" w:type="dxa"/>
              <w:bottom w:w="0" w:type="dxa"/>
              <w:right w:w="108" w:type="dxa"/>
            </w:tcMar>
            <w:hideMark/>
          </w:tcPr>
          <w:p w14:paraId="29FC89D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Deeply embedded, mutual and transformative for all: Researcher critically examines not only how they shape participants' responses but how participants are changing them. Reflexivity is practised openly and sometimes collaboratively: 'How is my middle-class background shaping this conversation?', </w:t>
            </w:r>
            <w:r w:rsidRPr="002041B0">
              <w:rPr>
                <w:rFonts w:asciiTheme="minorBidi" w:eastAsia="Times New Roman" w:hAnsiTheme="minorBidi"/>
                <w:color w:val="000000"/>
                <w:kern w:val="0"/>
                <w14:ligatures w14:val="none"/>
              </w:rPr>
              <w:lastRenderedPageBreak/>
              <w:t>'How are you experiencing me as researcher?', 'How am I different because of our work together?'. Acknowledges that researcher cannot step outside the co-creation to objectively analyse it, they are fundamentally part of what is being studied. This mutual transformation is documented as part of the research</w:t>
            </w:r>
          </w:p>
        </w:tc>
        <w:tc>
          <w:tcPr>
            <w:tcW w:w="554" w:type="pct"/>
            <w:shd w:val="clear" w:color="auto" w:fill="FFCC00"/>
            <w:tcMar>
              <w:top w:w="0" w:type="dxa"/>
              <w:left w:w="108" w:type="dxa"/>
              <w:bottom w:w="0" w:type="dxa"/>
              <w:right w:w="108" w:type="dxa"/>
            </w:tcMar>
            <w:hideMark/>
          </w:tcPr>
          <w:p w14:paraId="583FD3D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Multi-layered analysis across multiple constructed realities: Researcher critically examines their own socially constructed assumptions about what is normal or real whilst studying how different groups construct divergent realities. For example: initially interpreting Group </w:t>
            </w:r>
            <w:r w:rsidRPr="002041B0">
              <w:rPr>
                <w:rFonts w:asciiTheme="minorBidi" w:eastAsia="Times New Roman" w:hAnsiTheme="minorBidi"/>
                <w:color w:val="000000"/>
                <w:kern w:val="0"/>
                <w14:ligatures w14:val="none"/>
              </w:rPr>
              <w:lastRenderedPageBreak/>
              <w:t>A's response as resistance because of management training, then recognising that framing itself as a construction, they construct it as protecting professional autonomy. Questions like 'How do my own professional group's taken-for-granted assumptions blind me to other valid constructions?' ensure awareness that researcher's interpretations are themselves socially constructed and one perspective among many</w:t>
            </w:r>
          </w:p>
        </w:tc>
        <w:tc>
          <w:tcPr>
            <w:tcW w:w="657" w:type="pct"/>
            <w:shd w:val="clear" w:color="auto" w:fill="FFCCFF"/>
            <w:tcMar>
              <w:top w:w="0" w:type="dxa"/>
              <w:left w:w="108" w:type="dxa"/>
              <w:bottom w:w="0" w:type="dxa"/>
              <w:right w:w="108" w:type="dxa"/>
            </w:tcMar>
            <w:hideMark/>
          </w:tcPr>
          <w:p w14:paraId="23AED2C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Political, ethical and continuously interrogated: Researcher constantly examines their privilege, complicity in oppressive systems and power dynamics in research relationships. Asks: 'How does my whiteness affect participants of colour?', 'Am I extracting knowledge or building solidarity?', 'Whose interests does my </w:t>
            </w:r>
            <w:r w:rsidRPr="002041B0">
              <w:rPr>
                <w:rFonts w:asciiTheme="minorBidi" w:eastAsia="Times New Roman" w:hAnsiTheme="minorBidi"/>
                <w:color w:val="000000"/>
                <w:kern w:val="0"/>
                <w14:ligatures w14:val="none"/>
              </w:rPr>
              <w:lastRenderedPageBreak/>
              <w:t>analysis serve?', 'How am I reproducing or challenging power structures through my research choices?'. Reflexivity as ongoing ethical commitment to recognise how systems of oppression operate through researcher's own practice. Includes examining emotional responses: 'Why did I feel defensive when challenged about my privilege?'</w:t>
            </w:r>
          </w:p>
        </w:tc>
        <w:tc>
          <w:tcPr>
            <w:tcW w:w="519" w:type="pct"/>
            <w:shd w:val="clear" w:color="auto" w:fill="FFFF99"/>
            <w:tcMar>
              <w:top w:w="0" w:type="dxa"/>
              <w:left w:w="108" w:type="dxa"/>
              <w:bottom w:w="0" w:type="dxa"/>
              <w:right w:w="108" w:type="dxa"/>
            </w:tcMar>
            <w:hideMark/>
          </w:tcPr>
          <w:p w14:paraId="04D9A0F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Pragmatic and strategic, when it matters for outcomes: Critical analysis of researcher assumptions and biases when they risk undermining practical problem-solving or stakeholder trust. For example: 'My academic jargon alienated </w:t>
            </w:r>
            <w:r w:rsidRPr="002041B0">
              <w:rPr>
                <w:rFonts w:asciiTheme="minorBidi" w:eastAsia="Times New Roman" w:hAnsiTheme="minorBidi"/>
                <w:color w:val="000000"/>
                <w:kern w:val="0"/>
                <w14:ligatures w14:val="none"/>
              </w:rPr>
              <w:lastRenderedPageBreak/>
              <w:t>practitioners, how do my communication assumptions need to change?', 'My preference for comprehensive analysis is delaying action, is perfect the enemy of good here?'. Reflexivity ensures unexamined assumptions don't sabotage practical utility. Balance between self-awareness and getting things done</w:t>
            </w:r>
          </w:p>
        </w:tc>
      </w:tr>
      <w:tr w:rsidR="00453456" w:rsidRPr="00453456" w14:paraId="7C001D8F" w14:textId="77777777" w:rsidTr="00453456">
        <w:tc>
          <w:tcPr>
            <w:tcW w:w="834"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26C8A736" w14:textId="77777777" w:rsidR="00453456" w:rsidRPr="00453456" w:rsidRDefault="00453456" w:rsidP="00453456">
            <w:pPr>
              <w:spacing w:after="0" w:line="240" w:lineRule="auto"/>
              <w:rPr>
                <w:rFonts w:asciiTheme="minorBidi" w:eastAsia="Times New Roman" w:hAnsiTheme="minorBidi"/>
                <w:b/>
                <w:bCs/>
                <w:color w:val="000000"/>
                <w:kern w:val="0"/>
                <w14:ligatures w14:val="none"/>
              </w:rPr>
            </w:pPr>
            <w:r w:rsidRPr="00453456">
              <w:rPr>
                <w:rFonts w:asciiTheme="minorBidi" w:eastAsia="Times New Roman" w:hAnsiTheme="minorBidi"/>
                <w:b/>
                <w:bCs/>
                <w:color w:val="000000"/>
                <w:kern w:val="0"/>
                <w14:ligatures w14:val="none"/>
              </w:rPr>
              <w:lastRenderedPageBreak/>
              <w:t>Emic/Etic Perspectives</w:t>
            </w:r>
          </w:p>
        </w:tc>
        <w:tc>
          <w:tcPr>
            <w:tcW w:w="576" w:type="pct"/>
            <w:tcBorders>
              <w:top w:val="single" w:sz="12" w:space="0" w:color="auto"/>
              <w:left w:val="single" w:sz="12" w:space="0" w:color="auto"/>
              <w:bottom w:val="single" w:sz="12" w:space="0" w:color="auto"/>
              <w:right w:val="single" w:sz="12" w:space="0" w:color="auto"/>
            </w:tcBorders>
            <w:shd w:val="clear" w:color="auto" w:fill="99CCFF"/>
            <w:tcMar>
              <w:top w:w="0" w:type="dxa"/>
              <w:left w:w="108" w:type="dxa"/>
              <w:bottom w:w="0" w:type="dxa"/>
              <w:right w:w="108" w:type="dxa"/>
            </w:tcMar>
            <w:hideMark/>
          </w:tcPr>
          <w:p w14:paraId="7AC37783"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Etic (outsider) perspective dominates: Researcher maintains objective distance from the phenomenon, applying standardised external frameworks and measures. Reality exists independently of cultural or subjective interpretations. Universal categories and measurement instruments are applied across contexts. The researcher's external, "scientific" perspective is privileged over participants' insider understandings. Seeks culture-free, universal explanations.</w:t>
            </w:r>
          </w:p>
        </w:tc>
        <w:tc>
          <w:tcPr>
            <w:tcW w:w="549" w:type="pct"/>
            <w:tcBorders>
              <w:top w:val="single" w:sz="12" w:space="0" w:color="auto"/>
              <w:left w:val="single" w:sz="12" w:space="0" w:color="auto"/>
              <w:bottom w:val="single" w:sz="12" w:space="0" w:color="auto"/>
              <w:right w:val="single" w:sz="12" w:space="0" w:color="auto"/>
            </w:tcBorders>
            <w:shd w:val="clear" w:color="auto" w:fill="66FFFF"/>
            <w:tcMar>
              <w:top w:w="0" w:type="dxa"/>
              <w:left w:w="108" w:type="dxa"/>
              <w:bottom w:w="0" w:type="dxa"/>
              <w:right w:w="108" w:type="dxa"/>
            </w:tcMar>
            <w:hideMark/>
          </w:tcPr>
          <w:p w14:paraId="37CCE5EF"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Primarily etic with emic awareness: Researcher maintains external analytical framework whilst acknowledging insider perspectives may differ. Uses standardised measures but recognises cultural and contextual variations in how constructs manifest. Triangulates etic measures with emic insights to refine understanding. External frameworks guide inquiry but are sensitive to how participants experience them differently.</w:t>
            </w:r>
          </w:p>
        </w:tc>
        <w:tc>
          <w:tcPr>
            <w:tcW w:w="703" w:type="pct"/>
            <w:tcBorders>
              <w:top w:val="single" w:sz="12" w:space="0" w:color="auto"/>
              <w:left w:val="single" w:sz="12" w:space="0" w:color="auto"/>
              <w:bottom w:val="single" w:sz="12" w:space="0" w:color="auto"/>
              <w:right w:val="single" w:sz="12" w:space="0" w:color="auto"/>
            </w:tcBorders>
            <w:shd w:val="clear" w:color="auto" w:fill="CCFF99"/>
            <w:tcMar>
              <w:top w:w="0" w:type="dxa"/>
              <w:left w:w="108" w:type="dxa"/>
              <w:bottom w:w="0" w:type="dxa"/>
              <w:right w:w="108" w:type="dxa"/>
            </w:tcMar>
            <w:hideMark/>
          </w:tcPr>
          <w:p w14:paraId="4A9DD9B7"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Emic (insider) perspective prioritised: Researcher seeks to understand phenomena from participants' own frames of reference and cultural contexts. Meaning is derived from how participants themselves interpret their worlds. Researcher brackets external theoretical frameworks to access authentic insider perspectives. Rich, thick description captures emic understandings. Researcher learns participants' categories rather than imposing external ones.</w:t>
            </w:r>
          </w:p>
        </w:tc>
        <w:tc>
          <w:tcPr>
            <w:tcW w:w="608"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24B61DCB"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Co-constructed emic perspective: Both researcher and participants bring insider understandings that merge through dialogue. Neither pure etic nor pure emic exists; instead, meanings emerge in the intersubjective space between researcher and researched. Researcher's and participants' emic perspectives dialogue to create new shared understanding. Boundaries between insider and outsider dissolve through relationship.</w:t>
            </w:r>
          </w:p>
        </w:tc>
        <w:tc>
          <w:tcPr>
            <w:tcW w:w="554" w:type="pct"/>
            <w:tcBorders>
              <w:top w:val="single" w:sz="12" w:space="0" w:color="auto"/>
              <w:left w:val="single" w:sz="12" w:space="0" w:color="auto"/>
              <w:bottom w:val="single" w:sz="12" w:space="0" w:color="auto"/>
              <w:right w:val="single" w:sz="12" w:space="0" w:color="auto"/>
            </w:tcBorders>
            <w:shd w:val="clear" w:color="auto" w:fill="FFCC00"/>
            <w:tcMar>
              <w:top w:w="0" w:type="dxa"/>
              <w:left w:w="108" w:type="dxa"/>
              <w:bottom w:w="0" w:type="dxa"/>
              <w:right w:w="108" w:type="dxa"/>
            </w:tcMar>
            <w:hideMark/>
          </w:tcPr>
          <w:p w14:paraId="79A1C631"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Multiple emic perspectives compared: Focuses on how different groups (professions, cultures, departments) have distinct insider understandings of the same phenomenon. Researcher examines multiple emic perspectives to understand how groups construct different social realities. Maps variation in insider understandings across groups. Shows how "insiders" in one group are "outsiders" to another group's construction.</w:t>
            </w:r>
          </w:p>
        </w:tc>
        <w:tc>
          <w:tcPr>
            <w:tcW w:w="657" w:type="pct"/>
            <w:tcBorders>
              <w:top w:val="single" w:sz="12" w:space="0" w:color="auto"/>
              <w:left w:val="single" w:sz="12" w:space="0" w:color="auto"/>
              <w:bottom w:val="single" w:sz="12" w:space="0" w:color="auto"/>
              <w:right w:val="single" w:sz="12" w:space="0" w:color="auto"/>
            </w:tcBorders>
            <w:shd w:val="clear" w:color="auto" w:fill="FFCCFF"/>
            <w:tcMar>
              <w:top w:w="0" w:type="dxa"/>
              <w:left w:w="108" w:type="dxa"/>
              <w:bottom w:w="0" w:type="dxa"/>
              <w:right w:w="108" w:type="dxa"/>
            </w:tcMar>
            <w:hideMark/>
          </w:tcPr>
          <w:p w14:paraId="4E3D30A6"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Critical emic perspective revealing power: Prioritises emic perspectives of marginalised groups whose insider knowledge has been dismissed or delegitimised. Researcher examines how dominant groups' etic frameworks have been imposed on marginalised communities, erasing their emic understandings. Reveals whose emic perspective gets elevated to "objective" etic truth. Challenges "universal" etic frameworks as reflecting privileged groups' emic views.</w:t>
            </w:r>
          </w:p>
        </w:tc>
        <w:tc>
          <w:tcPr>
            <w:tcW w:w="519" w:type="pct"/>
            <w:tcBorders>
              <w:top w:val="single" w:sz="12" w:space="0" w:color="auto"/>
              <w:left w:val="single" w:sz="12" w:space="0" w:color="auto"/>
              <w:bottom w:val="single" w:sz="12" w:space="0" w:color="auto"/>
              <w:right w:val="single" w:sz="12" w:space="0" w:color="auto"/>
            </w:tcBorders>
            <w:shd w:val="clear" w:color="auto" w:fill="FFFF99"/>
            <w:tcMar>
              <w:top w:w="0" w:type="dxa"/>
              <w:left w:w="108" w:type="dxa"/>
              <w:bottom w:w="0" w:type="dxa"/>
              <w:right w:w="108" w:type="dxa"/>
            </w:tcMar>
            <w:hideMark/>
          </w:tcPr>
          <w:p w14:paraId="1C802B0C" w14:textId="77777777" w:rsidR="00453456" w:rsidRPr="00453456" w:rsidRDefault="00453456" w:rsidP="00453456">
            <w:pPr>
              <w:spacing w:after="0" w:line="240" w:lineRule="auto"/>
              <w:rPr>
                <w:rFonts w:asciiTheme="minorBidi" w:eastAsia="Times New Roman" w:hAnsiTheme="minorBidi"/>
                <w:color w:val="000000"/>
                <w:kern w:val="0"/>
                <w14:ligatures w14:val="none"/>
              </w:rPr>
            </w:pPr>
            <w:r w:rsidRPr="00453456">
              <w:rPr>
                <w:rFonts w:asciiTheme="minorBidi" w:eastAsia="Times New Roman" w:hAnsiTheme="minorBidi"/>
                <w:color w:val="000000"/>
                <w:kern w:val="0"/>
                <w14:ligatures w14:val="none"/>
              </w:rPr>
              <w:t>Pragmatic integration of emic and etic: Uses whichever perspective (or combination) best solves the problem. May use etic frameworks for comparative measurement whilst employing emic approaches to understand context-specific meanings. Combines insider and outsider perspectives strategically. Etic approaches for generalisation, emic for contextual understanding, or both simultaneously when useful for stakeholders.</w:t>
            </w:r>
          </w:p>
        </w:tc>
      </w:tr>
      <w:tr w:rsidR="00453456" w:rsidRPr="00124566" w14:paraId="5FB321B0" w14:textId="77777777" w:rsidTr="00D93057">
        <w:tc>
          <w:tcPr>
            <w:tcW w:w="834" w:type="pct"/>
            <w:tcMar>
              <w:top w:w="0" w:type="dxa"/>
              <w:left w:w="108" w:type="dxa"/>
              <w:bottom w:w="0" w:type="dxa"/>
              <w:right w:w="108" w:type="dxa"/>
            </w:tcMar>
          </w:tcPr>
          <w:p w14:paraId="4F5B0512" w14:textId="77777777" w:rsidR="00453456" w:rsidRPr="002041B0" w:rsidRDefault="00453456" w:rsidP="002041B0">
            <w:pPr>
              <w:spacing w:after="0" w:line="240" w:lineRule="auto"/>
              <w:rPr>
                <w:rFonts w:asciiTheme="minorBidi" w:eastAsia="Times New Roman" w:hAnsiTheme="minorBidi"/>
                <w:b/>
                <w:bCs/>
                <w:color w:val="000000"/>
                <w:kern w:val="0"/>
                <w14:ligatures w14:val="none"/>
              </w:rPr>
            </w:pPr>
          </w:p>
        </w:tc>
        <w:tc>
          <w:tcPr>
            <w:tcW w:w="576" w:type="pct"/>
            <w:shd w:val="clear" w:color="auto" w:fill="99CCFF"/>
            <w:tcMar>
              <w:top w:w="0" w:type="dxa"/>
              <w:left w:w="108" w:type="dxa"/>
              <w:bottom w:w="0" w:type="dxa"/>
              <w:right w:w="108" w:type="dxa"/>
            </w:tcMar>
          </w:tcPr>
          <w:p w14:paraId="71DE683D"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549" w:type="pct"/>
            <w:shd w:val="clear" w:color="auto" w:fill="66FFFF"/>
            <w:tcMar>
              <w:top w:w="0" w:type="dxa"/>
              <w:left w:w="108" w:type="dxa"/>
              <w:bottom w:w="0" w:type="dxa"/>
              <w:right w:w="108" w:type="dxa"/>
            </w:tcMar>
          </w:tcPr>
          <w:p w14:paraId="7C51F128"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703" w:type="pct"/>
            <w:shd w:val="clear" w:color="auto" w:fill="CCFF99"/>
            <w:tcMar>
              <w:top w:w="0" w:type="dxa"/>
              <w:left w:w="108" w:type="dxa"/>
              <w:bottom w:w="0" w:type="dxa"/>
              <w:right w:w="108" w:type="dxa"/>
            </w:tcMar>
          </w:tcPr>
          <w:p w14:paraId="6E9D7541"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608" w:type="pct"/>
            <w:tcMar>
              <w:top w:w="0" w:type="dxa"/>
              <w:left w:w="108" w:type="dxa"/>
              <w:bottom w:w="0" w:type="dxa"/>
              <w:right w:w="108" w:type="dxa"/>
            </w:tcMar>
          </w:tcPr>
          <w:p w14:paraId="29A823D8"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554" w:type="pct"/>
            <w:shd w:val="clear" w:color="auto" w:fill="FFCC00"/>
            <w:tcMar>
              <w:top w:w="0" w:type="dxa"/>
              <w:left w:w="108" w:type="dxa"/>
              <w:bottom w:w="0" w:type="dxa"/>
              <w:right w:w="108" w:type="dxa"/>
            </w:tcMar>
          </w:tcPr>
          <w:p w14:paraId="3273D83B"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657" w:type="pct"/>
            <w:shd w:val="clear" w:color="auto" w:fill="FFCCFF"/>
            <w:tcMar>
              <w:top w:w="0" w:type="dxa"/>
              <w:left w:w="108" w:type="dxa"/>
              <w:bottom w:w="0" w:type="dxa"/>
              <w:right w:w="108" w:type="dxa"/>
            </w:tcMar>
          </w:tcPr>
          <w:p w14:paraId="213B2335"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c>
          <w:tcPr>
            <w:tcW w:w="519" w:type="pct"/>
            <w:shd w:val="clear" w:color="auto" w:fill="FFFF99"/>
            <w:tcMar>
              <w:top w:w="0" w:type="dxa"/>
              <w:left w:w="108" w:type="dxa"/>
              <w:bottom w:w="0" w:type="dxa"/>
              <w:right w:w="108" w:type="dxa"/>
            </w:tcMar>
          </w:tcPr>
          <w:p w14:paraId="74C25E93" w14:textId="77777777" w:rsidR="00453456" w:rsidRPr="002041B0" w:rsidRDefault="00453456" w:rsidP="002041B0">
            <w:pPr>
              <w:spacing w:after="0" w:line="240" w:lineRule="auto"/>
              <w:rPr>
                <w:rFonts w:asciiTheme="minorBidi" w:eastAsia="Times New Roman" w:hAnsiTheme="minorBidi"/>
                <w:color w:val="000000"/>
                <w:kern w:val="0"/>
                <w14:ligatures w14:val="none"/>
              </w:rPr>
            </w:pPr>
          </w:p>
        </w:tc>
      </w:tr>
      <w:tr w:rsidR="00124566" w:rsidRPr="00124566" w14:paraId="6F5139B9" w14:textId="77777777" w:rsidTr="00D93057">
        <w:tc>
          <w:tcPr>
            <w:tcW w:w="834" w:type="pct"/>
            <w:tcMar>
              <w:top w:w="0" w:type="dxa"/>
              <w:left w:w="108" w:type="dxa"/>
              <w:bottom w:w="0" w:type="dxa"/>
              <w:right w:w="108" w:type="dxa"/>
            </w:tcMar>
            <w:hideMark/>
          </w:tcPr>
          <w:p w14:paraId="4261FE48"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Primary Methods</w:t>
            </w:r>
          </w:p>
        </w:tc>
        <w:tc>
          <w:tcPr>
            <w:tcW w:w="576" w:type="pct"/>
            <w:shd w:val="clear" w:color="auto" w:fill="99CCFF"/>
            <w:tcMar>
              <w:top w:w="0" w:type="dxa"/>
              <w:left w:w="108" w:type="dxa"/>
              <w:bottom w:w="0" w:type="dxa"/>
              <w:right w:w="108" w:type="dxa"/>
            </w:tcMar>
            <w:hideMark/>
          </w:tcPr>
          <w:p w14:paraId="4464E89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Experiments (randomised controlled trials, laboratory experiments), surveys with standardised questionnaires, structured observations using predetermined coding schemes, statistical analysis of large datasets. Methods emphasise control, measurement precision, standardisation and generalisability. Quantitative data collection with validated instruments</w:t>
            </w:r>
          </w:p>
        </w:tc>
        <w:tc>
          <w:tcPr>
            <w:tcW w:w="549" w:type="pct"/>
            <w:shd w:val="clear" w:color="auto" w:fill="66FFFF"/>
            <w:tcMar>
              <w:top w:w="0" w:type="dxa"/>
              <w:left w:w="108" w:type="dxa"/>
              <w:bottom w:w="0" w:type="dxa"/>
              <w:right w:w="108" w:type="dxa"/>
            </w:tcMar>
            <w:hideMark/>
          </w:tcPr>
          <w:p w14:paraId="6E3B0FC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Mixed methods combining quantitative and qualitative approaches. Surveys with both closed and open-ended questions, quasi-experiments, multiple regression analysis, structured interviews, systematic observations. Triangulation across methods strengthens findings. May sequence methods (quantitative first, then qualitative to explain) or integrate throughout</w:t>
            </w:r>
          </w:p>
        </w:tc>
        <w:tc>
          <w:tcPr>
            <w:tcW w:w="703" w:type="pct"/>
            <w:shd w:val="clear" w:color="auto" w:fill="CCFF99"/>
            <w:tcMar>
              <w:top w:w="0" w:type="dxa"/>
              <w:left w:w="108" w:type="dxa"/>
              <w:bottom w:w="0" w:type="dxa"/>
              <w:right w:w="108" w:type="dxa"/>
            </w:tcMar>
            <w:hideMark/>
          </w:tcPr>
          <w:p w14:paraId="6AD8AD2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In-depth semi-structured interviews exploring individual experiences, participant observation in natural settings, individual case studies, phenomenological interviews, interpretative analysis of documents or artefacts. Methods prioritise depth, flexibility and accessing participants' subjective meanings. Small samples allow rich exploration</w:t>
            </w:r>
          </w:p>
        </w:tc>
        <w:tc>
          <w:tcPr>
            <w:tcW w:w="608" w:type="pct"/>
            <w:tcMar>
              <w:top w:w="0" w:type="dxa"/>
              <w:left w:w="108" w:type="dxa"/>
              <w:bottom w:w="0" w:type="dxa"/>
              <w:right w:w="108" w:type="dxa"/>
            </w:tcMar>
            <w:hideMark/>
          </w:tcPr>
          <w:p w14:paraId="157811E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Collaborative interviews as dialogue, participatory observation where boundaries blur, co-operative inquiry involving participants as co-researchers, interactive focus groups, shared reflection sessions. Methods emphasise relationship-building, mutual engagement and co-creation. Research process itself is data about how understanding emerges together</w:t>
            </w:r>
          </w:p>
        </w:tc>
        <w:tc>
          <w:tcPr>
            <w:tcW w:w="554" w:type="pct"/>
            <w:shd w:val="clear" w:color="auto" w:fill="FFCC00"/>
            <w:tcMar>
              <w:top w:w="0" w:type="dxa"/>
              <w:left w:w="108" w:type="dxa"/>
              <w:bottom w:w="0" w:type="dxa"/>
              <w:right w:w="108" w:type="dxa"/>
            </w:tcMar>
            <w:hideMark/>
          </w:tcPr>
          <w:p w14:paraId="3A52B4B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Focus groups with different stakeholder groups, comparative interviews across groups, analysis of how different groups talk about phenomena, observation of group interactions and practices. Methods enable comparison of how different social groups construct meanings. May include examining group-level artefacts, practices or communication patterns</w:t>
            </w:r>
          </w:p>
        </w:tc>
        <w:tc>
          <w:tcPr>
            <w:tcW w:w="657" w:type="pct"/>
            <w:shd w:val="clear" w:color="auto" w:fill="FFCCFF"/>
            <w:tcMar>
              <w:top w:w="0" w:type="dxa"/>
              <w:left w:w="108" w:type="dxa"/>
              <w:bottom w:w="0" w:type="dxa"/>
              <w:right w:w="108" w:type="dxa"/>
            </w:tcMar>
            <w:hideMark/>
          </w:tcPr>
          <w:p w14:paraId="11EA968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Critical interviews exploring experiences of oppression, participatory action research involving marginalised communities in all stages, analysis of power-laden texts and policies, activist ethnography embedded in communities. Methods aim to reveal hidden power structures, centre marginalised voices and support transformative action. Research as intervention</w:t>
            </w:r>
          </w:p>
        </w:tc>
        <w:tc>
          <w:tcPr>
            <w:tcW w:w="519" w:type="pct"/>
            <w:shd w:val="clear" w:color="auto" w:fill="FFFF99"/>
            <w:tcMar>
              <w:top w:w="0" w:type="dxa"/>
              <w:left w:w="108" w:type="dxa"/>
              <w:bottom w:w="0" w:type="dxa"/>
              <w:right w:w="108" w:type="dxa"/>
            </w:tcMar>
            <w:hideMark/>
          </w:tcPr>
          <w:p w14:paraId="6F9CD98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Whatever methods best address the problem: surveys for scope, interviews for depth, observations for context, experiments for causation. Mixed methods common. Iterative cycles testing solutions, action research, case studies of what works, stakeholder consultations. Methods selected based on practical utility and feasibility, not philosophical consistency</w:t>
            </w:r>
          </w:p>
        </w:tc>
      </w:tr>
      <w:tr w:rsidR="00124566" w:rsidRPr="00124566" w14:paraId="6FB69342" w14:textId="77777777" w:rsidTr="00D93057">
        <w:tc>
          <w:tcPr>
            <w:tcW w:w="834" w:type="pct"/>
            <w:tcMar>
              <w:top w:w="0" w:type="dxa"/>
              <w:left w:w="108" w:type="dxa"/>
              <w:bottom w:w="0" w:type="dxa"/>
              <w:right w:w="108" w:type="dxa"/>
            </w:tcMar>
            <w:hideMark/>
          </w:tcPr>
          <w:p w14:paraId="1A2064D2"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Sampling</w:t>
            </w:r>
          </w:p>
        </w:tc>
        <w:tc>
          <w:tcPr>
            <w:tcW w:w="576" w:type="pct"/>
            <w:shd w:val="clear" w:color="auto" w:fill="99CCFF"/>
            <w:tcMar>
              <w:top w:w="0" w:type="dxa"/>
              <w:left w:w="108" w:type="dxa"/>
              <w:bottom w:w="0" w:type="dxa"/>
              <w:right w:w="108" w:type="dxa"/>
            </w:tcMar>
            <w:hideMark/>
          </w:tcPr>
          <w:p w14:paraId="67C8947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Probability sampling to ensure representativeness and generalisability. Random sampling, stratified sampling, or systematic sampling to minimise bias. Large sample sizes calculated through power analysis to detect statistically significant effects. Aims for samples representative of target population.</w:t>
            </w:r>
          </w:p>
        </w:tc>
        <w:tc>
          <w:tcPr>
            <w:tcW w:w="549" w:type="pct"/>
            <w:shd w:val="clear" w:color="auto" w:fill="66FFFF"/>
            <w:tcMar>
              <w:top w:w="0" w:type="dxa"/>
              <w:left w:w="108" w:type="dxa"/>
              <w:bottom w:w="0" w:type="dxa"/>
              <w:right w:w="108" w:type="dxa"/>
            </w:tcMar>
            <w:hideMark/>
          </w:tcPr>
          <w:p w14:paraId="14F3B02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Combination of probability and purposive sampling depending on research phase. May use random sampling for quantitative component and purposive sampling for qualitative component. Sample size justified through statistical and theoretical considerations. Acknowledges practical constraints whilst maintaining rigour.</w:t>
            </w:r>
          </w:p>
        </w:tc>
        <w:tc>
          <w:tcPr>
            <w:tcW w:w="703" w:type="pct"/>
            <w:shd w:val="clear" w:color="auto" w:fill="CCFF99"/>
            <w:tcMar>
              <w:top w:w="0" w:type="dxa"/>
              <w:left w:w="108" w:type="dxa"/>
              <w:bottom w:w="0" w:type="dxa"/>
              <w:right w:w="108" w:type="dxa"/>
            </w:tcMar>
            <w:hideMark/>
          </w:tcPr>
          <w:p w14:paraId="63BABB9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Purposive sampling to select information-rich cases that illuminate the phenomenon. Criterion sampling, maximum variation sampling, or snowball sampling. Small sample sizes (often 10-30 participants) prioritising depth over breadth. Sampling continues until data saturation, when no new themes emerge. Focus on transferability rather than generalisability.</w:t>
            </w:r>
          </w:p>
        </w:tc>
        <w:tc>
          <w:tcPr>
            <w:tcW w:w="608" w:type="pct"/>
            <w:tcMar>
              <w:top w:w="0" w:type="dxa"/>
              <w:left w:w="108" w:type="dxa"/>
              <w:bottom w:w="0" w:type="dxa"/>
              <w:right w:w="108" w:type="dxa"/>
            </w:tcMar>
            <w:hideMark/>
          </w:tcPr>
          <w:p w14:paraId="0DBB526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Purposive and participatory sampling, participants selected for their ability to contribute to co-construction of knowledge. May involve participant nomination (participants suggest others). Sampling is collaborative, with participants involved in deciding who else should participate. Sample size determined by needs of collaborative inquiry and emergence of shared understanding.</w:t>
            </w:r>
          </w:p>
        </w:tc>
        <w:tc>
          <w:tcPr>
            <w:tcW w:w="554" w:type="pct"/>
            <w:shd w:val="clear" w:color="auto" w:fill="FFCC00"/>
            <w:tcMar>
              <w:top w:w="0" w:type="dxa"/>
              <w:left w:w="108" w:type="dxa"/>
              <w:bottom w:w="0" w:type="dxa"/>
              <w:right w:w="108" w:type="dxa"/>
            </w:tcMar>
            <w:hideMark/>
          </w:tcPr>
          <w:p w14:paraId="6654AB8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Purposive sampling across different stakeholder groups to enable comparison. Samples multiple groups (e.g., different departments, professional groups, hierarchical levels, cultural groups) to compare how they construct phenomena. Sample size per group typically 5-15 participants. Focus on comparing group perspectives</w:t>
            </w:r>
          </w:p>
        </w:tc>
        <w:tc>
          <w:tcPr>
            <w:tcW w:w="657" w:type="pct"/>
            <w:shd w:val="clear" w:color="auto" w:fill="FFCCFF"/>
            <w:tcMar>
              <w:top w:w="0" w:type="dxa"/>
              <w:left w:w="108" w:type="dxa"/>
              <w:bottom w:w="0" w:type="dxa"/>
              <w:right w:w="108" w:type="dxa"/>
            </w:tcMar>
            <w:hideMark/>
          </w:tcPr>
          <w:p w14:paraId="59464FA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Purposive sampling prioritising marginalised or oppressed voices often excluded from research. Critical case sampling to illuminate power relations and structural inequalities. Sample includes both those experiencing oppression and those in positions of power (to reveal power dynamics). Size determined by depth of critical analysis needed and representation of diverse experiences of marginalisation.</w:t>
            </w:r>
          </w:p>
        </w:tc>
        <w:tc>
          <w:tcPr>
            <w:tcW w:w="519" w:type="pct"/>
            <w:shd w:val="clear" w:color="auto" w:fill="FFFF99"/>
            <w:tcMar>
              <w:top w:w="0" w:type="dxa"/>
              <w:left w:w="108" w:type="dxa"/>
              <w:bottom w:w="0" w:type="dxa"/>
              <w:right w:w="108" w:type="dxa"/>
            </w:tcMar>
            <w:hideMark/>
          </w:tcPr>
          <w:p w14:paraId="7969ED0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Flexible sampling driven by practical research questions, whatever sampling approach best addresses the problem. May combine probability and purposive sampling. Sample size determined by practical considerations: available resources, timeframe and what's needed to answer the question adequately. Pragmatic balance between ideal and feasible.</w:t>
            </w:r>
          </w:p>
        </w:tc>
      </w:tr>
      <w:tr w:rsidR="00124566" w:rsidRPr="00124566" w14:paraId="689029F3" w14:textId="77777777" w:rsidTr="00D93057">
        <w:tc>
          <w:tcPr>
            <w:tcW w:w="834" w:type="pct"/>
            <w:tcMar>
              <w:top w:w="0" w:type="dxa"/>
              <w:left w:w="108" w:type="dxa"/>
              <w:bottom w:w="0" w:type="dxa"/>
              <w:right w:w="108" w:type="dxa"/>
            </w:tcMar>
            <w:hideMark/>
          </w:tcPr>
          <w:p w14:paraId="4A3C3EE4"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Recruitment</w:t>
            </w:r>
          </w:p>
        </w:tc>
        <w:tc>
          <w:tcPr>
            <w:tcW w:w="576" w:type="pct"/>
            <w:shd w:val="clear" w:color="auto" w:fill="99CCFF"/>
            <w:tcMar>
              <w:top w:w="0" w:type="dxa"/>
              <w:left w:w="108" w:type="dxa"/>
              <w:bottom w:w="0" w:type="dxa"/>
              <w:right w:w="108" w:type="dxa"/>
            </w:tcMar>
            <w:hideMark/>
          </w:tcPr>
          <w:p w14:paraId="04458AA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Formal, systematic recruitment through institutional channels, databases, or registries to ensure random selection. </w:t>
            </w:r>
            <w:r w:rsidRPr="002041B0">
              <w:rPr>
                <w:rFonts w:asciiTheme="minorBidi" w:eastAsia="Times New Roman" w:hAnsiTheme="minorBidi"/>
                <w:color w:val="000000"/>
                <w:kern w:val="0"/>
                <w14:ligatures w14:val="none"/>
              </w:rPr>
              <w:lastRenderedPageBreak/>
              <w:t>Clear inclusion/exclusion criteria applied consistently. Recruitment materials standardised to avoid bias. Large-scale recruitment often through multiple sites. Emphasises objective, replicable recruitment procedures that don't influence participant characteristics.</w:t>
            </w:r>
          </w:p>
        </w:tc>
        <w:tc>
          <w:tcPr>
            <w:tcW w:w="549" w:type="pct"/>
            <w:shd w:val="clear" w:color="auto" w:fill="66FFFF"/>
            <w:tcMar>
              <w:top w:w="0" w:type="dxa"/>
              <w:left w:w="108" w:type="dxa"/>
              <w:bottom w:w="0" w:type="dxa"/>
              <w:right w:w="108" w:type="dxa"/>
            </w:tcMar>
            <w:hideMark/>
          </w:tcPr>
          <w:p w14:paraId="7AE593C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Systematic recruitment with multiple strategies combining formal and informal approaches. Clear </w:t>
            </w:r>
            <w:r w:rsidRPr="002041B0">
              <w:rPr>
                <w:rFonts w:asciiTheme="minorBidi" w:eastAsia="Times New Roman" w:hAnsiTheme="minorBidi"/>
                <w:color w:val="000000"/>
                <w:kern w:val="0"/>
                <w14:ligatures w14:val="none"/>
              </w:rPr>
              <w:lastRenderedPageBreak/>
              <w:t>criteria whilst acknowledging recruitment challenges. May use institutional channels for quantitative component and snowball/referral for qualitative. Documents recruitment challenges and potential biases. Transparent about who declined participation and why.</w:t>
            </w:r>
          </w:p>
        </w:tc>
        <w:tc>
          <w:tcPr>
            <w:tcW w:w="703" w:type="pct"/>
            <w:shd w:val="clear" w:color="auto" w:fill="CCFF99"/>
            <w:tcMar>
              <w:top w:w="0" w:type="dxa"/>
              <w:left w:w="108" w:type="dxa"/>
              <w:bottom w:w="0" w:type="dxa"/>
              <w:right w:w="108" w:type="dxa"/>
            </w:tcMar>
            <w:hideMark/>
          </w:tcPr>
          <w:p w14:paraId="5463AC2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Recruitment builds relationships and trust, often through gatekeepers, community networks, or snowball referrals. Researcher explains study </w:t>
            </w:r>
            <w:r w:rsidRPr="002041B0">
              <w:rPr>
                <w:rFonts w:asciiTheme="minorBidi" w:eastAsia="Times New Roman" w:hAnsiTheme="minorBidi"/>
                <w:color w:val="000000"/>
                <w:kern w:val="0"/>
                <w14:ligatures w14:val="none"/>
              </w:rPr>
              <w:lastRenderedPageBreak/>
              <w:t>purpose and builds rapport before formal recruitment. Recruitment materials emphasise participant voice and sharing experiences. Allows time for participants to consider involvement. Recruitment is iterative, may recruit additional participants as understanding develops.</w:t>
            </w:r>
          </w:p>
        </w:tc>
        <w:tc>
          <w:tcPr>
            <w:tcW w:w="608" w:type="pct"/>
            <w:tcMar>
              <w:top w:w="0" w:type="dxa"/>
              <w:left w:w="108" w:type="dxa"/>
              <w:bottom w:w="0" w:type="dxa"/>
              <w:right w:w="108" w:type="dxa"/>
            </w:tcMar>
            <w:hideMark/>
          </w:tcPr>
          <w:p w14:paraId="0ECF890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Collaborative recruitment, initial participants may become co-recruiters, suggesting others who should be involved. </w:t>
            </w:r>
            <w:r w:rsidRPr="002041B0">
              <w:rPr>
                <w:rFonts w:asciiTheme="minorBidi" w:eastAsia="Times New Roman" w:hAnsiTheme="minorBidi"/>
                <w:color w:val="000000"/>
                <w:kern w:val="0"/>
                <w14:ligatures w14:val="none"/>
              </w:rPr>
              <w:lastRenderedPageBreak/>
              <w:t>Recruitment emphasises partnership and shared inquiry. Potential participants understand they'll be active co-researchers, not just data sources. Recruitment materials emphasise collaborative nature and participant agency. Ongoing recruitment as inquiry evolves and new voices needed.</w:t>
            </w:r>
          </w:p>
        </w:tc>
        <w:tc>
          <w:tcPr>
            <w:tcW w:w="554" w:type="pct"/>
            <w:shd w:val="clear" w:color="auto" w:fill="FFCC00"/>
            <w:tcMar>
              <w:top w:w="0" w:type="dxa"/>
              <w:left w:w="108" w:type="dxa"/>
              <w:bottom w:w="0" w:type="dxa"/>
              <w:right w:w="108" w:type="dxa"/>
            </w:tcMar>
            <w:hideMark/>
          </w:tcPr>
          <w:p w14:paraId="4AC8312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Recruitment focuses on accessing different stakeholder groups within organisations or contexts. Recruits </w:t>
            </w:r>
            <w:r w:rsidRPr="002041B0">
              <w:rPr>
                <w:rFonts w:asciiTheme="minorBidi" w:eastAsia="Times New Roman" w:hAnsiTheme="minorBidi"/>
                <w:color w:val="000000"/>
                <w:kern w:val="0"/>
                <w14:ligatures w14:val="none"/>
              </w:rPr>
              <w:lastRenderedPageBreak/>
              <w:t>from multiple groups to enable comparison (e.g., through departmental contacts, professional networks, organisational gatekeepers). Clear communication about research exploring different group perspectives. Emphasis on recruiting comparable numbers from each group</w:t>
            </w:r>
          </w:p>
        </w:tc>
        <w:tc>
          <w:tcPr>
            <w:tcW w:w="657" w:type="pct"/>
            <w:shd w:val="clear" w:color="auto" w:fill="FFCCFF"/>
            <w:tcMar>
              <w:top w:w="0" w:type="dxa"/>
              <w:left w:w="108" w:type="dxa"/>
              <w:bottom w:w="0" w:type="dxa"/>
              <w:right w:w="108" w:type="dxa"/>
            </w:tcMar>
            <w:hideMark/>
          </w:tcPr>
          <w:p w14:paraId="7D13533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Recruitment centres marginalised voices, using community-based approaches, advocacy organisations and trusted gatekeepers. Addresses </w:t>
            </w:r>
            <w:r w:rsidRPr="002041B0">
              <w:rPr>
                <w:rFonts w:asciiTheme="minorBidi" w:eastAsia="Times New Roman" w:hAnsiTheme="minorBidi"/>
                <w:color w:val="000000"/>
                <w:kern w:val="0"/>
                <w14:ligatures w14:val="none"/>
              </w:rPr>
              <w:lastRenderedPageBreak/>
              <w:t>power imbalances in recruitment, recognising researcher privilege and participant vulnerability. May involve community advisory boards to guide ethical recruitment. Transparent about research's emancipatory aims. Recruitment materials in accessible formats and languages, addressing barriers to participation.</w:t>
            </w:r>
          </w:p>
        </w:tc>
        <w:tc>
          <w:tcPr>
            <w:tcW w:w="519" w:type="pct"/>
            <w:shd w:val="clear" w:color="auto" w:fill="FFFF99"/>
            <w:tcMar>
              <w:top w:w="0" w:type="dxa"/>
              <w:left w:w="108" w:type="dxa"/>
              <w:bottom w:w="0" w:type="dxa"/>
              <w:right w:w="108" w:type="dxa"/>
            </w:tcMar>
            <w:hideMark/>
          </w:tcPr>
          <w:p w14:paraId="696BD32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Recruitment driven by practical access and feasibility, uses whatever channels effectively reach relevant </w:t>
            </w:r>
            <w:r w:rsidRPr="002041B0">
              <w:rPr>
                <w:rFonts w:asciiTheme="minorBidi" w:eastAsia="Times New Roman" w:hAnsiTheme="minorBidi"/>
                <w:color w:val="000000"/>
                <w:kern w:val="0"/>
                <w14:ligatures w14:val="none"/>
              </w:rPr>
              <w:lastRenderedPageBreak/>
              <w:t>participants. Flexible, adapting recruitment strategies based on what works. May combine multiple recruitment methods. Pragmatic about challenges, documents recruitment adjustments made. Balances ideal recruitment with practical constraints. Focus on recruiting those who can provide actionable insights.</w:t>
            </w:r>
          </w:p>
        </w:tc>
      </w:tr>
      <w:tr w:rsidR="00124566" w:rsidRPr="00124566" w14:paraId="460B884D" w14:textId="77777777" w:rsidTr="00D93057">
        <w:tc>
          <w:tcPr>
            <w:tcW w:w="834" w:type="pct"/>
            <w:tcMar>
              <w:top w:w="0" w:type="dxa"/>
              <w:left w:w="108" w:type="dxa"/>
              <w:bottom w:w="0" w:type="dxa"/>
              <w:right w:w="108" w:type="dxa"/>
            </w:tcMar>
            <w:hideMark/>
          </w:tcPr>
          <w:p w14:paraId="7DA6449D"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Pilot Study</w:t>
            </w:r>
          </w:p>
        </w:tc>
        <w:tc>
          <w:tcPr>
            <w:tcW w:w="576" w:type="pct"/>
            <w:shd w:val="clear" w:color="auto" w:fill="99CCFF"/>
            <w:tcMar>
              <w:top w:w="0" w:type="dxa"/>
              <w:left w:w="108" w:type="dxa"/>
              <w:bottom w:w="0" w:type="dxa"/>
              <w:right w:w="108" w:type="dxa"/>
            </w:tcMar>
            <w:hideMark/>
          </w:tcPr>
          <w:p w14:paraId="6EA3261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Essential to test instruments, procedures and protocols before main study. Pilots test validity and reliability of measurement instruments, timing of procedures and clarity of instructions. Statistical analysis of pilot data to assess instrument properties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Cronbach's alpha for internal consistency). Formal pilot with subset of target population (typically 10% of planned sample or minimum 30 participants). Results inform refinement of instruments and protocols. Pilot participants typically excluded from main study to avoid contamination. Documents any modifications made based on pilot findings.</w:t>
            </w:r>
          </w:p>
        </w:tc>
        <w:tc>
          <w:tcPr>
            <w:tcW w:w="549" w:type="pct"/>
            <w:shd w:val="clear" w:color="auto" w:fill="66FFFF"/>
            <w:tcMar>
              <w:top w:w="0" w:type="dxa"/>
              <w:left w:w="108" w:type="dxa"/>
              <w:bottom w:w="0" w:type="dxa"/>
              <w:right w:w="108" w:type="dxa"/>
            </w:tcMar>
            <w:hideMark/>
          </w:tcPr>
          <w:p w14:paraId="03F9C96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Pilot study tests feasibility of mixed methods design and instruments whilst remaining open to refinement. Tests both quantitative measures and qualitative protocols to examine whether methods can capture complexity intended. Pilot findings may lead to substantial design modifications, recognised as learning opportunity rather than fixed protocol. Uses pilot to identify potential biases and practical challenges (recruitment difficulties, participant burden, timing issues). Transparent documentation of what changed after pilot and why. Pilot participants may or may not be included </w:t>
            </w:r>
            <w:r w:rsidRPr="002041B0">
              <w:rPr>
                <w:rFonts w:asciiTheme="minorBidi" w:eastAsia="Times New Roman" w:hAnsiTheme="minorBidi"/>
                <w:color w:val="000000"/>
                <w:kern w:val="0"/>
                <w14:ligatures w14:val="none"/>
              </w:rPr>
              <w:lastRenderedPageBreak/>
              <w:t>in main study depending on modifications made.</w:t>
            </w:r>
          </w:p>
        </w:tc>
        <w:tc>
          <w:tcPr>
            <w:tcW w:w="703" w:type="pct"/>
            <w:shd w:val="clear" w:color="auto" w:fill="CCFF99"/>
            <w:tcMar>
              <w:top w:w="0" w:type="dxa"/>
              <w:left w:w="108" w:type="dxa"/>
              <w:bottom w:w="0" w:type="dxa"/>
              <w:right w:w="108" w:type="dxa"/>
            </w:tcMar>
            <w:hideMark/>
          </w:tcPr>
          <w:p w14:paraId="20AF538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Pilot interviews or observations test interview guide and researcher's interviewing skills. Focus on whether questions elicit rich, meaningful responses and whether researcher can build rapport effectively. Pilot helps researcher reflexively examine own assumptions, biases and interviewing approach, critical for researcher-as-instrument. Interview guide refined based on pilot, questions may be reordered, added, removed, or reworded to improve depth of responses. Timing and pacing adjusted. Pilot participants may be included in main study if ethically appropriate, as interpretive research is iterative and emergent rather than fixed.</w:t>
            </w:r>
          </w:p>
        </w:tc>
        <w:tc>
          <w:tcPr>
            <w:tcW w:w="608" w:type="pct"/>
            <w:tcMar>
              <w:top w:w="0" w:type="dxa"/>
              <w:left w:w="108" w:type="dxa"/>
              <w:bottom w:w="0" w:type="dxa"/>
              <w:right w:w="108" w:type="dxa"/>
            </w:tcMar>
            <w:hideMark/>
          </w:tcPr>
          <w:p w14:paraId="0124FC6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Pilot as collaborative learning, testing whether participatory methods genuinely facilitate co-construction. Pilots whether participants feel empowered as co-researchers and whether collaborative processes work as intended (</w:t>
            </w:r>
            <w:proofErr w:type="spellStart"/>
            <w:r w:rsidRPr="002041B0">
              <w:rPr>
                <w:rFonts w:asciiTheme="minorBidi" w:eastAsia="Times New Roman" w:hAnsiTheme="minorBidi"/>
                <w:color w:val="000000"/>
                <w:kern w:val="0"/>
                <w14:ligatures w14:val="none"/>
              </w:rPr>
              <w:t>eg</w:t>
            </w:r>
            <w:proofErr w:type="spellEnd"/>
            <w:r w:rsidRPr="002041B0">
              <w:rPr>
                <w:rFonts w:asciiTheme="minorBidi" w:eastAsia="Times New Roman" w:hAnsiTheme="minorBidi"/>
                <w:color w:val="000000"/>
                <w:kern w:val="0"/>
                <w14:ligatures w14:val="none"/>
              </w:rPr>
              <w:t xml:space="preserve"> do workshops enable genuine dialogue?). May pilot with small group of participants who then help refine approach for larger study, co-design of research process. Pilot findings shape collaborative inquiry design based on participant feedback. Pilot participants often continue as co-researchers in main study, as boundaries between pilot and main study are fluid in collaborative research. Emphasis on learning together about best </w:t>
            </w:r>
            <w:r w:rsidRPr="002041B0">
              <w:rPr>
                <w:rFonts w:asciiTheme="minorBidi" w:eastAsia="Times New Roman" w:hAnsiTheme="minorBidi"/>
                <w:color w:val="000000"/>
                <w:kern w:val="0"/>
                <w14:ligatures w14:val="none"/>
              </w:rPr>
              <w:lastRenderedPageBreak/>
              <w:t>collaborative approaches.</w:t>
            </w:r>
          </w:p>
        </w:tc>
        <w:tc>
          <w:tcPr>
            <w:tcW w:w="554" w:type="pct"/>
            <w:shd w:val="clear" w:color="auto" w:fill="FFCC00"/>
            <w:tcMar>
              <w:top w:w="0" w:type="dxa"/>
              <w:left w:w="108" w:type="dxa"/>
              <w:bottom w:w="0" w:type="dxa"/>
              <w:right w:w="108" w:type="dxa"/>
            </w:tcMar>
            <w:hideMark/>
          </w:tcPr>
          <w:p w14:paraId="02F2B28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Pilot tests whether protocols work consistently across different groups and whether questions elicit comparable group constructions. Tests whether sampling achieves sufficient representation from each group. May pilot with subset of groups to refine comparative approach. Ensures interview/focus group protocols enable meaningful comparison whilst allowing each group to express their construction. Refines questions that don't work equally well across groups</w:t>
            </w:r>
          </w:p>
        </w:tc>
        <w:tc>
          <w:tcPr>
            <w:tcW w:w="657" w:type="pct"/>
            <w:shd w:val="clear" w:color="auto" w:fill="FFCCFF"/>
            <w:tcMar>
              <w:top w:w="0" w:type="dxa"/>
              <w:left w:w="108" w:type="dxa"/>
              <w:bottom w:w="0" w:type="dxa"/>
              <w:right w:w="108" w:type="dxa"/>
            </w:tcMar>
            <w:hideMark/>
          </w:tcPr>
          <w:p w14:paraId="33B80C6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Pilot tests whether methods genuinely centre marginalised voices and address power imbalances in research process itself. Examines whether recruitment reaches intended populations and whether participants feel psychologically and physically safe sharing experiences of oppression. May involve community consultation to refine approach, community advisory board reviews and suggests modifications. Pilot reveals power dynamics in research process that need addressing. Ensures methods are emancipatory and empowering, not exploitative, participant feedback shapes substantial changes. Community feedback takes precedence over researcher preferences. Pilot validates that </w:t>
            </w:r>
            <w:r w:rsidRPr="002041B0">
              <w:rPr>
                <w:rFonts w:asciiTheme="minorBidi" w:eastAsia="Times New Roman" w:hAnsiTheme="minorBidi"/>
                <w:color w:val="000000"/>
                <w:kern w:val="0"/>
                <w14:ligatures w14:val="none"/>
              </w:rPr>
              <w:lastRenderedPageBreak/>
              <w:t>research will benefit participants, not just extract their experiences.</w:t>
            </w:r>
          </w:p>
        </w:tc>
        <w:tc>
          <w:tcPr>
            <w:tcW w:w="519" w:type="pct"/>
            <w:shd w:val="clear" w:color="auto" w:fill="FFFF99"/>
            <w:tcMar>
              <w:top w:w="0" w:type="dxa"/>
              <w:left w:w="108" w:type="dxa"/>
              <w:bottom w:w="0" w:type="dxa"/>
              <w:right w:w="108" w:type="dxa"/>
            </w:tcMar>
            <w:hideMark/>
          </w:tcPr>
          <w:p w14:paraId="36C1DB6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Pilot focused on practical feasibility, testing whether methods actually work in real-world context with real constraints. Pragmatic assessment of what works and what doesn't, without ideological commitment to particular methods. Flexible adaptation based on pilot findings, may substantially change approach if something isn't working. Tests whether methods generate actionable insights needed by stakeholders. May pilot with subset of contexts or settings to assess transferability. Pragmatic refinements made to maximise utility </w:t>
            </w:r>
            <w:r w:rsidRPr="002041B0">
              <w:rPr>
                <w:rFonts w:asciiTheme="minorBidi" w:eastAsia="Times New Roman" w:hAnsiTheme="minorBidi"/>
                <w:color w:val="000000"/>
                <w:kern w:val="0"/>
                <w14:ligatures w14:val="none"/>
              </w:rPr>
              <w:lastRenderedPageBreak/>
              <w:t>whilst maintaining quality. Pilot informs practical decisions about scope, methods and resource allocation. If pilot shows approach is infeasible, may completely redesign rather than persist.</w:t>
            </w:r>
          </w:p>
        </w:tc>
      </w:tr>
      <w:tr w:rsidR="00124566" w:rsidRPr="00124566" w14:paraId="6616AEC7" w14:textId="77777777" w:rsidTr="00D93057">
        <w:tc>
          <w:tcPr>
            <w:tcW w:w="834" w:type="pct"/>
            <w:tcMar>
              <w:top w:w="0" w:type="dxa"/>
              <w:left w:w="108" w:type="dxa"/>
              <w:bottom w:w="0" w:type="dxa"/>
              <w:right w:w="108" w:type="dxa"/>
            </w:tcMar>
            <w:hideMark/>
          </w:tcPr>
          <w:p w14:paraId="4378CDD6"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Data Collection</w:t>
            </w:r>
          </w:p>
        </w:tc>
        <w:tc>
          <w:tcPr>
            <w:tcW w:w="576" w:type="pct"/>
            <w:shd w:val="clear" w:color="auto" w:fill="99CCFF"/>
            <w:tcMar>
              <w:top w:w="0" w:type="dxa"/>
              <w:left w:w="108" w:type="dxa"/>
              <w:bottom w:w="0" w:type="dxa"/>
              <w:right w:w="108" w:type="dxa"/>
            </w:tcMar>
            <w:hideMark/>
          </w:tcPr>
          <w:p w14:paraId="0C7D58B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Standardised protocols; controlled conditions; uniformly administered</w:t>
            </w:r>
          </w:p>
        </w:tc>
        <w:tc>
          <w:tcPr>
            <w:tcW w:w="549" w:type="pct"/>
            <w:shd w:val="clear" w:color="auto" w:fill="66FFFF"/>
            <w:tcMar>
              <w:top w:w="0" w:type="dxa"/>
              <w:left w:w="108" w:type="dxa"/>
              <w:bottom w:w="0" w:type="dxa"/>
              <w:right w:w="108" w:type="dxa"/>
            </w:tcMar>
            <w:hideMark/>
          </w:tcPr>
          <w:p w14:paraId="3FC24E3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Structured with flexibility; multiple sources; pilot-tested</w:t>
            </w:r>
          </w:p>
        </w:tc>
        <w:tc>
          <w:tcPr>
            <w:tcW w:w="703" w:type="pct"/>
            <w:shd w:val="clear" w:color="auto" w:fill="CCFF99"/>
            <w:tcMar>
              <w:top w:w="0" w:type="dxa"/>
              <w:left w:w="108" w:type="dxa"/>
              <w:bottom w:w="0" w:type="dxa"/>
              <w:right w:w="108" w:type="dxa"/>
            </w:tcMar>
            <w:hideMark/>
          </w:tcPr>
          <w:p w14:paraId="1C402C2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Flexible semi-structured; audio-recorded; detailed field notes</w:t>
            </w:r>
          </w:p>
        </w:tc>
        <w:tc>
          <w:tcPr>
            <w:tcW w:w="608" w:type="pct"/>
            <w:tcMar>
              <w:top w:w="0" w:type="dxa"/>
              <w:left w:w="108" w:type="dxa"/>
              <w:bottom w:w="0" w:type="dxa"/>
              <w:right w:w="108" w:type="dxa"/>
            </w:tcMar>
            <w:hideMark/>
          </w:tcPr>
          <w:p w14:paraId="64EA1A7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Collaborative iterative; participants shape process throughout</w:t>
            </w:r>
          </w:p>
        </w:tc>
        <w:tc>
          <w:tcPr>
            <w:tcW w:w="554" w:type="pct"/>
            <w:shd w:val="clear" w:color="auto" w:fill="FFCC00"/>
            <w:tcMar>
              <w:top w:w="0" w:type="dxa"/>
              <w:left w:w="108" w:type="dxa"/>
              <w:bottom w:w="0" w:type="dxa"/>
              <w:right w:w="108" w:type="dxa"/>
            </w:tcMar>
            <w:hideMark/>
          </w:tcPr>
          <w:p w14:paraId="0406730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Consistent protocols across groups enabling comparison (typically focus groups or interviews). Separate data collection with each stakeholder group (e.g., focus group with engineers, separate focus group with marketers). Structured to ask comparable questions whilst allowing groups to construct meanings naturally. May observe group interactions to see constructions in action</w:t>
            </w:r>
          </w:p>
        </w:tc>
        <w:tc>
          <w:tcPr>
            <w:tcW w:w="657" w:type="pct"/>
            <w:shd w:val="clear" w:color="auto" w:fill="FFCCFF"/>
            <w:tcMar>
              <w:top w:w="0" w:type="dxa"/>
              <w:left w:w="108" w:type="dxa"/>
              <w:bottom w:w="0" w:type="dxa"/>
              <w:right w:w="108" w:type="dxa"/>
            </w:tcMar>
            <w:hideMark/>
          </w:tcPr>
          <w:p w14:paraId="067833B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Engaged with communities; attentive to power dynamics</w:t>
            </w:r>
          </w:p>
        </w:tc>
        <w:tc>
          <w:tcPr>
            <w:tcW w:w="519" w:type="pct"/>
            <w:shd w:val="clear" w:color="auto" w:fill="FFFF99"/>
            <w:tcMar>
              <w:top w:w="0" w:type="dxa"/>
              <w:left w:w="108" w:type="dxa"/>
              <w:bottom w:w="0" w:type="dxa"/>
              <w:right w:w="108" w:type="dxa"/>
            </w:tcMar>
            <w:hideMark/>
          </w:tcPr>
          <w:p w14:paraId="4C65526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Most efficient methods; iterative cycles; good enough data</w:t>
            </w:r>
          </w:p>
        </w:tc>
      </w:tr>
      <w:tr w:rsidR="00124566" w:rsidRPr="00124566" w14:paraId="5BC9D260" w14:textId="77777777" w:rsidTr="00D93057">
        <w:tc>
          <w:tcPr>
            <w:tcW w:w="834" w:type="pct"/>
            <w:tcMar>
              <w:top w:w="0" w:type="dxa"/>
              <w:left w:w="108" w:type="dxa"/>
              <w:bottom w:w="0" w:type="dxa"/>
              <w:right w:w="108" w:type="dxa"/>
            </w:tcMar>
            <w:hideMark/>
          </w:tcPr>
          <w:p w14:paraId="0F3BEA14"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Unit of Analysis</w:t>
            </w:r>
          </w:p>
        </w:tc>
        <w:tc>
          <w:tcPr>
            <w:tcW w:w="576" w:type="pct"/>
            <w:shd w:val="clear" w:color="auto" w:fill="99CCFF"/>
            <w:tcMar>
              <w:top w:w="0" w:type="dxa"/>
              <w:left w:w="108" w:type="dxa"/>
              <w:bottom w:w="0" w:type="dxa"/>
              <w:right w:w="108" w:type="dxa"/>
            </w:tcMar>
            <w:hideMark/>
          </w:tcPr>
          <w:p w14:paraId="088FB65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Variables and relationships across populations</w:t>
            </w:r>
          </w:p>
        </w:tc>
        <w:tc>
          <w:tcPr>
            <w:tcW w:w="549" w:type="pct"/>
            <w:shd w:val="clear" w:color="auto" w:fill="66FFFF"/>
            <w:tcMar>
              <w:top w:w="0" w:type="dxa"/>
              <w:left w:w="108" w:type="dxa"/>
              <w:bottom w:w="0" w:type="dxa"/>
              <w:right w:w="108" w:type="dxa"/>
            </w:tcMar>
            <w:hideMark/>
          </w:tcPr>
          <w:p w14:paraId="0C520BF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Variables with contextual factors considered</w:t>
            </w:r>
          </w:p>
        </w:tc>
        <w:tc>
          <w:tcPr>
            <w:tcW w:w="703" w:type="pct"/>
            <w:shd w:val="clear" w:color="auto" w:fill="CCFF99"/>
            <w:tcMar>
              <w:top w:w="0" w:type="dxa"/>
              <w:left w:w="108" w:type="dxa"/>
              <w:bottom w:w="0" w:type="dxa"/>
              <w:right w:w="108" w:type="dxa"/>
            </w:tcMar>
            <w:hideMark/>
          </w:tcPr>
          <w:p w14:paraId="42A26BC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Individual meaning and subjective experience</w:t>
            </w:r>
          </w:p>
        </w:tc>
        <w:tc>
          <w:tcPr>
            <w:tcW w:w="608" w:type="pct"/>
            <w:tcMar>
              <w:top w:w="0" w:type="dxa"/>
              <w:left w:w="108" w:type="dxa"/>
              <w:bottom w:w="0" w:type="dxa"/>
              <w:right w:w="108" w:type="dxa"/>
            </w:tcMar>
            <w:hideMark/>
          </w:tcPr>
          <w:p w14:paraId="6C0CC79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Co-constructed meanings and relational processes</w:t>
            </w:r>
          </w:p>
        </w:tc>
        <w:tc>
          <w:tcPr>
            <w:tcW w:w="554" w:type="pct"/>
            <w:shd w:val="clear" w:color="auto" w:fill="FFCC00"/>
            <w:tcMar>
              <w:top w:w="0" w:type="dxa"/>
              <w:left w:w="108" w:type="dxa"/>
              <w:bottom w:w="0" w:type="dxa"/>
              <w:right w:w="108" w:type="dxa"/>
            </w:tcMar>
            <w:hideMark/>
          </w:tcPr>
          <w:p w14:paraId="4150FA9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Group-level constructions: Examines how different groups (cultures, organisations, communities) collectively construct and maintain social realities. Comparative analysis across groups</w:t>
            </w:r>
          </w:p>
        </w:tc>
        <w:tc>
          <w:tcPr>
            <w:tcW w:w="657" w:type="pct"/>
            <w:shd w:val="clear" w:color="auto" w:fill="FFCCFF"/>
            <w:tcMar>
              <w:top w:w="0" w:type="dxa"/>
              <w:left w:w="108" w:type="dxa"/>
              <w:bottom w:w="0" w:type="dxa"/>
              <w:right w:w="108" w:type="dxa"/>
            </w:tcMar>
            <w:hideMark/>
          </w:tcPr>
          <w:p w14:paraId="5AA94DF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Power structures, systems, institutional practices</w:t>
            </w:r>
          </w:p>
        </w:tc>
        <w:tc>
          <w:tcPr>
            <w:tcW w:w="519" w:type="pct"/>
            <w:shd w:val="clear" w:color="auto" w:fill="FFFF99"/>
            <w:tcMar>
              <w:top w:w="0" w:type="dxa"/>
              <w:left w:w="108" w:type="dxa"/>
              <w:bottom w:w="0" w:type="dxa"/>
              <w:right w:w="108" w:type="dxa"/>
            </w:tcMar>
            <w:hideMark/>
          </w:tcPr>
          <w:p w14:paraId="2C1FD20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Problems and practical solutions at any level</w:t>
            </w:r>
          </w:p>
        </w:tc>
      </w:tr>
      <w:tr w:rsidR="00124566" w:rsidRPr="00124566" w14:paraId="7A10005D" w14:textId="77777777" w:rsidTr="00D93057">
        <w:tc>
          <w:tcPr>
            <w:tcW w:w="834" w:type="pct"/>
            <w:tcMar>
              <w:top w:w="0" w:type="dxa"/>
              <w:left w:w="108" w:type="dxa"/>
              <w:bottom w:w="0" w:type="dxa"/>
              <w:right w:w="108" w:type="dxa"/>
            </w:tcMar>
            <w:hideMark/>
          </w:tcPr>
          <w:p w14:paraId="689899AB"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Data Analysis</w:t>
            </w:r>
          </w:p>
        </w:tc>
        <w:tc>
          <w:tcPr>
            <w:tcW w:w="576" w:type="pct"/>
            <w:shd w:val="clear" w:color="auto" w:fill="99CCFF"/>
            <w:tcMar>
              <w:top w:w="0" w:type="dxa"/>
              <w:left w:w="108" w:type="dxa"/>
              <w:bottom w:w="0" w:type="dxa"/>
              <w:right w:w="108" w:type="dxa"/>
            </w:tcMar>
            <w:hideMark/>
          </w:tcPr>
          <w:p w14:paraId="414C2B6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Statistical analysis using predetermined methods: descriptive statistics, inferential tests (t-tests, ANOVA, </w:t>
            </w:r>
            <w:r w:rsidRPr="002041B0">
              <w:rPr>
                <w:rFonts w:asciiTheme="minorBidi" w:eastAsia="Times New Roman" w:hAnsiTheme="minorBidi"/>
                <w:color w:val="000000"/>
                <w:kern w:val="0"/>
                <w14:ligatures w14:val="none"/>
              </w:rPr>
              <w:lastRenderedPageBreak/>
              <w:t>regression), tests of significance. Hypothesis testing with clear accept/reject decisions. Software packages (SPSS, R, SAS) for rigorous calculation. Analysis separated from data collection. Results presented in tables, graphs and numerical summaries showing relationships between variables</w:t>
            </w:r>
          </w:p>
        </w:tc>
        <w:tc>
          <w:tcPr>
            <w:tcW w:w="549" w:type="pct"/>
            <w:shd w:val="clear" w:color="auto" w:fill="66FFFF"/>
            <w:tcMar>
              <w:top w:w="0" w:type="dxa"/>
              <w:left w:w="108" w:type="dxa"/>
              <w:bottom w:w="0" w:type="dxa"/>
              <w:right w:w="108" w:type="dxa"/>
            </w:tcMar>
            <w:hideMark/>
          </w:tcPr>
          <w:p w14:paraId="222B13E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Integrated analysis combining statistical and interpretive approaches. Quantitative analysis </w:t>
            </w:r>
            <w:r w:rsidRPr="002041B0">
              <w:rPr>
                <w:rFonts w:asciiTheme="minorBidi" w:eastAsia="Times New Roman" w:hAnsiTheme="minorBidi"/>
                <w:color w:val="000000"/>
                <w:kern w:val="0"/>
                <w14:ligatures w14:val="none"/>
              </w:rPr>
              <w:lastRenderedPageBreak/>
              <w:t>identifies patterns, qualitative analysis explains them. May use statistical software alongside qualitative coding software (NVivo). Iterative process where quantitative findings prompt qualitative exploration. Multiple analysts may code data to check agreement. Mixed methods integration occurs during analysis</w:t>
            </w:r>
          </w:p>
        </w:tc>
        <w:tc>
          <w:tcPr>
            <w:tcW w:w="703" w:type="pct"/>
            <w:shd w:val="clear" w:color="auto" w:fill="CCFF99"/>
            <w:tcMar>
              <w:top w:w="0" w:type="dxa"/>
              <w:left w:w="108" w:type="dxa"/>
              <w:bottom w:w="0" w:type="dxa"/>
              <w:right w:w="108" w:type="dxa"/>
            </w:tcMar>
            <w:hideMark/>
          </w:tcPr>
          <w:p w14:paraId="69A7187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Iterative, inductive coding and thematic analysis. Begins with open coding, reading transcripts line-by-line to identify concepts. </w:t>
            </w:r>
            <w:r w:rsidRPr="002041B0">
              <w:rPr>
                <w:rFonts w:asciiTheme="minorBidi" w:eastAsia="Times New Roman" w:hAnsiTheme="minorBidi"/>
                <w:color w:val="000000"/>
                <w:kern w:val="0"/>
                <w14:ligatures w14:val="none"/>
              </w:rPr>
              <w:lastRenderedPageBreak/>
              <w:t>Groups codes into categories, then organises categories into themes. Constant comparison across cases to refine themes. Researcher immerses in data, writing memos throughout. Software like NVivo aids organisation but researcher does interpretive work. Analysis is interpretive craft, shaped by researcher's insights and theoretical sensitivity</w:t>
            </w:r>
          </w:p>
        </w:tc>
        <w:tc>
          <w:tcPr>
            <w:tcW w:w="608" w:type="pct"/>
            <w:tcMar>
              <w:top w:w="0" w:type="dxa"/>
              <w:left w:w="108" w:type="dxa"/>
              <w:bottom w:w="0" w:type="dxa"/>
              <w:right w:w="108" w:type="dxa"/>
            </w:tcMar>
            <w:hideMark/>
          </w:tcPr>
          <w:p w14:paraId="4A62C37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Collaborative analysis where participants engage in interpretation. May involve returning </w:t>
            </w:r>
            <w:r w:rsidRPr="002041B0">
              <w:rPr>
                <w:rFonts w:asciiTheme="minorBidi" w:eastAsia="Times New Roman" w:hAnsiTheme="minorBidi"/>
                <w:color w:val="000000"/>
                <w:kern w:val="0"/>
                <w14:ligatures w14:val="none"/>
              </w:rPr>
              <w:lastRenderedPageBreak/>
              <w:t>transcripts to participants for reflection, holding analysis workshops where participants discuss emerging themes, or creating collective interpretations. Analysis examines both content and process, what meanings emerged and how they were co-created. Seeks consensus or acknowledges multiple valid interpretations. Participants may have final say on interpretations</w:t>
            </w:r>
          </w:p>
        </w:tc>
        <w:tc>
          <w:tcPr>
            <w:tcW w:w="554" w:type="pct"/>
            <w:shd w:val="clear" w:color="auto" w:fill="FFCC00"/>
            <w:tcMar>
              <w:top w:w="0" w:type="dxa"/>
              <w:left w:w="108" w:type="dxa"/>
              <w:bottom w:w="0" w:type="dxa"/>
              <w:right w:w="108" w:type="dxa"/>
            </w:tcMar>
            <w:hideMark/>
          </w:tcPr>
          <w:p w14:paraId="49F12FC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Comparative analysis across groups identifying patterns and differences in how </w:t>
            </w:r>
            <w:r w:rsidRPr="002041B0">
              <w:rPr>
                <w:rFonts w:asciiTheme="minorBidi" w:eastAsia="Times New Roman" w:hAnsiTheme="minorBidi"/>
                <w:color w:val="000000"/>
                <w:kern w:val="0"/>
                <w14:ligatures w14:val="none"/>
              </w:rPr>
              <w:lastRenderedPageBreak/>
              <w:t>groups construct phenomena. Codes how each group talks about the topic, then systematically compares: What differs? What's similar? What explains variations? Creates matrices comparing group constructions. Examines what's taken-for-granted within each group. Recognises researcher's own group influences interpretation. Focus on understanding multiple present realities</w:t>
            </w:r>
          </w:p>
        </w:tc>
        <w:tc>
          <w:tcPr>
            <w:tcW w:w="657" w:type="pct"/>
            <w:shd w:val="clear" w:color="auto" w:fill="FFCCFF"/>
            <w:tcMar>
              <w:top w:w="0" w:type="dxa"/>
              <w:left w:w="108" w:type="dxa"/>
              <w:bottom w:w="0" w:type="dxa"/>
              <w:right w:w="108" w:type="dxa"/>
            </w:tcMar>
            <w:hideMark/>
          </w:tcPr>
          <w:p w14:paraId="44C1C73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Critical analysis examining power relations and ideology. Analyses both explicit content and underlying </w:t>
            </w:r>
            <w:r w:rsidRPr="002041B0">
              <w:rPr>
                <w:rFonts w:asciiTheme="minorBidi" w:eastAsia="Times New Roman" w:hAnsiTheme="minorBidi"/>
                <w:color w:val="000000"/>
                <w:kern w:val="0"/>
                <w14:ligatures w14:val="none"/>
              </w:rPr>
              <w:lastRenderedPageBreak/>
              <w:t>assumptions, whose voices are privileged, whose are marginalised, what's taken-for-granted. Examines how language and practices maintain inequities. Compares marginalised versus dominant group perspectives. Analyses researcher's own position and potential complicity. Seeks to reveal hidden power structures and imagine alternatives. Analysis itself is political act</w:t>
            </w:r>
          </w:p>
        </w:tc>
        <w:tc>
          <w:tcPr>
            <w:tcW w:w="519" w:type="pct"/>
            <w:shd w:val="clear" w:color="auto" w:fill="FFFF99"/>
            <w:tcMar>
              <w:top w:w="0" w:type="dxa"/>
              <w:left w:w="108" w:type="dxa"/>
              <w:bottom w:w="0" w:type="dxa"/>
              <w:right w:w="108" w:type="dxa"/>
            </w:tcMar>
            <w:hideMark/>
          </w:tcPr>
          <w:p w14:paraId="590398F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Practical analysis focused on actionable insights. Analyses what works, what </w:t>
            </w:r>
            <w:r w:rsidRPr="002041B0">
              <w:rPr>
                <w:rFonts w:asciiTheme="minorBidi" w:eastAsia="Times New Roman" w:hAnsiTheme="minorBidi"/>
                <w:color w:val="000000"/>
                <w:kern w:val="0"/>
                <w14:ligatures w14:val="none"/>
              </w:rPr>
              <w:lastRenderedPageBreak/>
              <w:t>doesn't, why and under what conditions. May combine statistical patterns with case examples. Quick analysis cycles feed back into practice, analyse, identify improvements, implement, analyse again. Involves stakeholders in making sense of data, 'What does this mean for practice?'. Values speed and utility over theoretical sophistication. Analysis judged by whether it enables better decisions</w:t>
            </w:r>
          </w:p>
        </w:tc>
      </w:tr>
      <w:tr w:rsidR="00124566" w:rsidRPr="00124566" w14:paraId="18A22F59" w14:textId="77777777" w:rsidTr="00D93057">
        <w:tc>
          <w:tcPr>
            <w:tcW w:w="834" w:type="pct"/>
            <w:tcMar>
              <w:top w:w="0" w:type="dxa"/>
              <w:left w:w="108" w:type="dxa"/>
              <w:bottom w:w="0" w:type="dxa"/>
              <w:right w:w="108" w:type="dxa"/>
            </w:tcMar>
            <w:hideMark/>
          </w:tcPr>
          <w:p w14:paraId="52EAD84F"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Reasoning Approach</w:t>
            </w:r>
          </w:p>
        </w:tc>
        <w:tc>
          <w:tcPr>
            <w:tcW w:w="576" w:type="pct"/>
            <w:shd w:val="clear" w:color="auto" w:fill="99CCFF"/>
            <w:tcMar>
              <w:top w:w="0" w:type="dxa"/>
              <w:left w:w="108" w:type="dxa"/>
              <w:bottom w:w="0" w:type="dxa"/>
              <w:right w:w="108" w:type="dxa"/>
            </w:tcMar>
            <w:hideMark/>
          </w:tcPr>
          <w:p w14:paraId="1679378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Deductive: Starts with general theories and hypotheses, then tests them through specific observations and data collection to confirm or refute</w:t>
            </w:r>
          </w:p>
        </w:tc>
        <w:tc>
          <w:tcPr>
            <w:tcW w:w="549" w:type="pct"/>
            <w:shd w:val="clear" w:color="auto" w:fill="66FFFF"/>
            <w:tcMar>
              <w:top w:w="0" w:type="dxa"/>
              <w:left w:w="108" w:type="dxa"/>
              <w:bottom w:w="0" w:type="dxa"/>
              <w:right w:w="108" w:type="dxa"/>
            </w:tcMar>
            <w:hideMark/>
          </w:tcPr>
          <w:p w14:paraId="4353EDF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Deductive: Begins with theoretical propositions that are tested and refined through empirical evidence; allows for theory modification based on findings</w:t>
            </w:r>
          </w:p>
        </w:tc>
        <w:tc>
          <w:tcPr>
            <w:tcW w:w="703" w:type="pct"/>
            <w:shd w:val="clear" w:color="auto" w:fill="CCFF99"/>
            <w:tcMar>
              <w:top w:w="0" w:type="dxa"/>
              <w:left w:w="108" w:type="dxa"/>
              <w:bottom w:w="0" w:type="dxa"/>
              <w:right w:w="108" w:type="dxa"/>
            </w:tcMar>
            <w:hideMark/>
          </w:tcPr>
          <w:p w14:paraId="05DBFD5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Inductive: Builds understanding from specific observations and experiences, allowing patterns and meanings to emerge from the data without predetermined theories</w:t>
            </w:r>
          </w:p>
        </w:tc>
        <w:tc>
          <w:tcPr>
            <w:tcW w:w="608" w:type="pct"/>
            <w:tcMar>
              <w:top w:w="0" w:type="dxa"/>
              <w:left w:w="108" w:type="dxa"/>
              <w:bottom w:w="0" w:type="dxa"/>
              <w:right w:w="108" w:type="dxa"/>
            </w:tcMar>
            <w:hideMark/>
          </w:tcPr>
          <w:p w14:paraId="63937ED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Inductive: Knowledge emerges through interaction; meanings and understandings are built up from participants' experiences and co-constructed interpretations</w:t>
            </w:r>
          </w:p>
        </w:tc>
        <w:tc>
          <w:tcPr>
            <w:tcW w:w="554" w:type="pct"/>
            <w:shd w:val="clear" w:color="auto" w:fill="FFCC00"/>
            <w:tcMar>
              <w:top w:w="0" w:type="dxa"/>
              <w:left w:w="108" w:type="dxa"/>
              <w:bottom w:w="0" w:type="dxa"/>
              <w:right w:w="108" w:type="dxa"/>
            </w:tcMar>
            <w:hideMark/>
          </w:tcPr>
          <w:p w14:paraId="2C762F2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Inductive/Abductive: Builds understanding from how different groups talk about phenomena, then moves between data and emerging interpretations. May develop new theoretical insights about why groups construct meanings differently. Focus on comparative patterns across groups</w:t>
            </w:r>
          </w:p>
        </w:tc>
        <w:tc>
          <w:tcPr>
            <w:tcW w:w="657" w:type="pct"/>
            <w:shd w:val="clear" w:color="auto" w:fill="FFCCFF"/>
            <w:tcMar>
              <w:top w:w="0" w:type="dxa"/>
              <w:left w:w="108" w:type="dxa"/>
              <w:bottom w:w="0" w:type="dxa"/>
              <w:right w:w="108" w:type="dxa"/>
            </w:tcMar>
            <w:hideMark/>
          </w:tcPr>
          <w:p w14:paraId="4CFC1A0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Abductive: Moves iteratively between theory and data to uncover hidden power structures; uses theoretical frameworks to interpret evidence whilst allowing new critical insights to emerge</w:t>
            </w:r>
          </w:p>
        </w:tc>
        <w:tc>
          <w:tcPr>
            <w:tcW w:w="519" w:type="pct"/>
            <w:shd w:val="clear" w:color="auto" w:fill="FFFF99"/>
            <w:tcMar>
              <w:top w:w="0" w:type="dxa"/>
              <w:left w:w="108" w:type="dxa"/>
              <w:bottom w:w="0" w:type="dxa"/>
              <w:right w:w="108" w:type="dxa"/>
            </w:tcMar>
            <w:hideMark/>
          </w:tcPr>
          <w:p w14:paraId="7E803C9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Abductive: Flexibly moves between inductive and deductive approaches based on what works best for the problem at hand; emphasises practical utility over methodological purity</w:t>
            </w:r>
          </w:p>
        </w:tc>
      </w:tr>
      <w:tr w:rsidR="00124566" w:rsidRPr="00124566" w14:paraId="63F293E2" w14:textId="77777777" w:rsidTr="00D93057">
        <w:tc>
          <w:tcPr>
            <w:tcW w:w="834" w:type="pct"/>
            <w:tcMar>
              <w:top w:w="0" w:type="dxa"/>
              <w:left w:w="108" w:type="dxa"/>
              <w:bottom w:w="0" w:type="dxa"/>
              <w:right w:w="108" w:type="dxa"/>
            </w:tcMar>
            <w:hideMark/>
          </w:tcPr>
          <w:p w14:paraId="20FF3AC8"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Causality/Explanation</w:t>
            </w:r>
          </w:p>
        </w:tc>
        <w:tc>
          <w:tcPr>
            <w:tcW w:w="576" w:type="pct"/>
            <w:shd w:val="clear" w:color="auto" w:fill="99CCFF"/>
            <w:tcMar>
              <w:top w:w="0" w:type="dxa"/>
              <w:left w:w="108" w:type="dxa"/>
              <w:bottom w:w="0" w:type="dxa"/>
              <w:right w:w="108" w:type="dxa"/>
            </w:tcMar>
            <w:hideMark/>
          </w:tcPr>
          <w:p w14:paraId="7A7ECF2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Direct causation; X causes Y</w:t>
            </w:r>
          </w:p>
        </w:tc>
        <w:tc>
          <w:tcPr>
            <w:tcW w:w="549" w:type="pct"/>
            <w:shd w:val="clear" w:color="auto" w:fill="66FFFF"/>
            <w:tcMar>
              <w:top w:w="0" w:type="dxa"/>
              <w:left w:w="108" w:type="dxa"/>
              <w:bottom w:w="0" w:type="dxa"/>
              <w:right w:w="108" w:type="dxa"/>
            </w:tcMar>
            <w:hideMark/>
          </w:tcPr>
          <w:p w14:paraId="6DDD72A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Probable causation; multiple factors acknowledged</w:t>
            </w:r>
          </w:p>
        </w:tc>
        <w:tc>
          <w:tcPr>
            <w:tcW w:w="703" w:type="pct"/>
            <w:shd w:val="clear" w:color="auto" w:fill="CCFF99"/>
            <w:tcMar>
              <w:top w:w="0" w:type="dxa"/>
              <w:left w:w="108" w:type="dxa"/>
              <w:bottom w:w="0" w:type="dxa"/>
              <w:right w:w="108" w:type="dxa"/>
            </w:tcMar>
            <w:hideMark/>
          </w:tcPr>
          <w:p w14:paraId="6384D4D3"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Understanding not causation; focus on meanings</w:t>
            </w:r>
          </w:p>
        </w:tc>
        <w:tc>
          <w:tcPr>
            <w:tcW w:w="608" w:type="pct"/>
            <w:tcMar>
              <w:top w:w="0" w:type="dxa"/>
              <w:left w:w="108" w:type="dxa"/>
              <w:bottom w:w="0" w:type="dxa"/>
              <w:right w:w="108" w:type="dxa"/>
            </w:tcMar>
            <w:hideMark/>
          </w:tcPr>
          <w:p w14:paraId="79E5803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Mutual shaping; cause and effect inseparable</w:t>
            </w:r>
          </w:p>
        </w:tc>
        <w:tc>
          <w:tcPr>
            <w:tcW w:w="554" w:type="pct"/>
            <w:shd w:val="clear" w:color="auto" w:fill="FFCC00"/>
            <w:tcMar>
              <w:top w:w="0" w:type="dxa"/>
              <w:left w:w="108" w:type="dxa"/>
              <w:bottom w:w="0" w:type="dxa"/>
              <w:right w:w="108" w:type="dxa"/>
            </w:tcMar>
            <w:hideMark/>
          </w:tcPr>
          <w:p w14:paraId="747578F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xml:space="preserve">Multiple constructions coexist: Different groups construct phenomena differently based on their contexts, practices and interactions. Focus on understanding what creates different group-level realities rather than causal </w:t>
            </w:r>
            <w:r w:rsidRPr="002041B0">
              <w:rPr>
                <w:rFonts w:asciiTheme="minorBidi" w:eastAsia="Times New Roman" w:hAnsiTheme="minorBidi"/>
                <w:color w:val="000000"/>
                <w:kern w:val="0"/>
                <w14:ligatures w14:val="none"/>
              </w:rPr>
              <w:lastRenderedPageBreak/>
              <w:t>determination. Examines social processes within groups that maintain different constructions</w:t>
            </w:r>
          </w:p>
        </w:tc>
        <w:tc>
          <w:tcPr>
            <w:tcW w:w="657" w:type="pct"/>
            <w:shd w:val="clear" w:color="auto" w:fill="FFCCFF"/>
            <w:tcMar>
              <w:top w:w="0" w:type="dxa"/>
              <w:left w:w="108" w:type="dxa"/>
              <w:bottom w:w="0" w:type="dxa"/>
              <w:right w:w="108" w:type="dxa"/>
            </w:tcMar>
            <w:hideMark/>
          </w:tcPr>
          <w:p w14:paraId="59AF005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Structural causation through power and oppression</w:t>
            </w:r>
          </w:p>
        </w:tc>
        <w:tc>
          <w:tcPr>
            <w:tcW w:w="519" w:type="pct"/>
            <w:shd w:val="clear" w:color="auto" w:fill="FFFF99"/>
            <w:tcMar>
              <w:top w:w="0" w:type="dxa"/>
              <w:left w:w="108" w:type="dxa"/>
              <w:bottom w:w="0" w:type="dxa"/>
              <w:right w:w="108" w:type="dxa"/>
            </w:tcMar>
            <w:hideMark/>
          </w:tcPr>
          <w:p w14:paraId="29ACC44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Consequential: what works and practical outcomes</w:t>
            </w:r>
          </w:p>
        </w:tc>
      </w:tr>
      <w:tr w:rsidR="00124566" w:rsidRPr="00124566" w14:paraId="66B1280A" w14:textId="77777777" w:rsidTr="00D93057">
        <w:tc>
          <w:tcPr>
            <w:tcW w:w="834" w:type="pct"/>
            <w:tcMar>
              <w:top w:w="0" w:type="dxa"/>
              <w:left w:w="108" w:type="dxa"/>
              <w:bottom w:w="0" w:type="dxa"/>
              <w:right w:w="108" w:type="dxa"/>
            </w:tcMar>
            <w:hideMark/>
          </w:tcPr>
          <w:p w14:paraId="6C2038DD"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Generalisability/Transferability</w:t>
            </w:r>
          </w:p>
        </w:tc>
        <w:tc>
          <w:tcPr>
            <w:tcW w:w="576" w:type="pct"/>
            <w:shd w:val="clear" w:color="auto" w:fill="99CCFF"/>
            <w:tcMar>
              <w:top w:w="0" w:type="dxa"/>
              <w:left w:w="108" w:type="dxa"/>
              <w:bottom w:w="0" w:type="dxa"/>
              <w:right w:w="108" w:type="dxa"/>
            </w:tcMar>
            <w:hideMark/>
          </w:tcPr>
          <w:p w14:paraId="2B32687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Statistical generalisation to populations through representative samples</w:t>
            </w:r>
          </w:p>
        </w:tc>
        <w:tc>
          <w:tcPr>
            <w:tcW w:w="549" w:type="pct"/>
            <w:shd w:val="clear" w:color="auto" w:fill="66FFFF"/>
            <w:tcMar>
              <w:top w:w="0" w:type="dxa"/>
              <w:left w:w="108" w:type="dxa"/>
              <w:bottom w:w="0" w:type="dxa"/>
              <w:right w:w="108" w:type="dxa"/>
            </w:tcMar>
            <w:hideMark/>
          </w:tcPr>
          <w:p w14:paraId="47DEE34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Cautious generalisation with contextual caveats</w:t>
            </w:r>
          </w:p>
        </w:tc>
        <w:tc>
          <w:tcPr>
            <w:tcW w:w="703" w:type="pct"/>
            <w:shd w:val="clear" w:color="auto" w:fill="CCFF99"/>
            <w:tcMar>
              <w:top w:w="0" w:type="dxa"/>
              <w:left w:w="108" w:type="dxa"/>
              <w:bottom w:w="0" w:type="dxa"/>
              <w:right w:w="108" w:type="dxa"/>
            </w:tcMar>
            <w:hideMark/>
          </w:tcPr>
          <w:p w14:paraId="4CC1847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Transferability to similar contexts through thick description</w:t>
            </w:r>
          </w:p>
        </w:tc>
        <w:tc>
          <w:tcPr>
            <w:tcW w:w="608" w:type="pct"/>
            <w:tcMar>
              <w:top w:w="0" w:type="dxa"/>
              <w:left w:w="108" w:type="dxa"/>
              <w:bottom w:w="0" w:type="dxa"/>
              <w:right w:w="108" w:type="dxa"/>
            </w:tcMar>
            <w:hideMark/>
          </w:tcPr>
          <w:p w14:paraId="37039E2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Context-specific; resonance rather than generalisation</w:t>
            </w:r>
          </w:p>
        </w:tc>
        <w:tc>
          <w:tcPr>
            <w:tcW w:w="554" w:type="pct"/>
            <w:shd w:val="clear" w:color="auto" w:fill="FFCC00"/>
            <w:tcMar>
              <w:top w:w="0" w:type="dxa"/>
              <w:left w:w="108" w:type="dxa"/>
              <w:bottom w:w="0" w:type="dxa"/>
              <w:right w:w="108" w:type="dxa"/>
            </w:tcMar>
            <w:hideMark/>
          </w:tcPr>
          <w:p w14:paraId="20D603C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Analytical generalisation about group processes: Insights about how groups construct meanings differently may transfer to understanding similar group dynamics in other contexts. Shows patterns in multi-stakeholder situations. Not statistical generalisation</w:t>
            </w:r>
          </w:p>
        </w:tc>
        <w:tc>
          <w:tcPr>
            <w:tcW w:w="657" w:type="pct"/>
            <w:shd w:val="clear" w:color="auto" w:fill="FFCCFF"/>
            <w:tcMar>
              <w:top w:w="0" w:type="dxa"/>
              <w:left w:w="108" w:type="dxa"/>
              <w:bottom w:w="0" w:type="dxa"/>
              <w:right w:w="108" w:type="dxa"/>
            </w:tcMar>
            <w:hideMark/>
          </w:tcPr>
          <w:p w14:paraId="4D5A933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Theoretical transferability about power structures</w:t>
            </w:r>
          </w:p>
        </w:tc>
        <w:tc>
          <w:tcPr>
            <w:tcW w:w="519" w:type="pct"/>
            <w:shd w:val="clear" w:color="auto" w:fill="FFFF99"/>
            <w:tcMar>
              <w:top w:w="0" w:type="dxa"/>
              <w:left w:w="108" w:type="dxa"/>
              <w:bottom w:w="0" w:type="dxa"/>
              <w:right w:w="108" w:type="dxa"/>
            </w:tcMar>
            <w:hideMark/>
          </w:tcPr>
          <w:p w14:paraId="26CECD92"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Pragmatic transferability when solving similar problems</w:t>
            </w:r>
          </w:p>
        </w:tc>
      </w:tr>
      <w:tr w:rsidR="00124566" w:rsidRPr="00124566" w14:paraId="243ACE2B" w14:textId="77777777" w:rsidTr="00D93057">
        <w:tc>
          <w:tcPr>
            <w:tcW w:w="834" w:type="pct"/>
            <w:tcMar>
              <w:top w:w="0" w:type="dxa"/>
              <w:left w:w="108" w:type="dxa"/>
              <w:bottom w:w="0" w:type="dxa"/>
              <w:right w:w="108" w:type="dxa"/>
            </w:tcMar>
            <w:hideMark/>
          </w:tcPr>
          <w:p w14:paraId="3559E4D8"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Validity/Trustworthiness Strategies</w:t>
            </w:r>
          </w:p>
        </w:tc>
        <w:tc>
          <w:tcPr>
            <w:tcW w:w="576" w:type="pct"/>
            <w:shd w:val="clear" w:color="auto" w:fill="99CCFF"/>
            <w:tcMar>
              <w:top w:w="0" w:type="dxa"/>
              <w:left w:w="108" w:type="dxa"/>
              <w:bottom w:w="0" w:type="dxa"/>
              <w:right w:w="108" w:type="dxa"/>
            </w:tcMar>
            <w:hideMark/>
          </w:tcPr>
          <w:p w14:paraId="54AD0AC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Internal validity (controls, randomisation), external validity (representative sampling), construct validity (valid measures), reliability (consistent results). Strategies include experimental design, standardised instruments, replication</w:t>
            </w:r>
          </w:p>
        </w:tc>
        <w:tc>
          <w:tcPr>
            <w:tcW w:w="549" w:type="pct"/>
            <w:shd w:val="clear" w:color="auto" w:fill="66FFFF"/>
            <w:tcMar>
              <w:top w:w="0" w:type="dxa"/>
              <w:left w:w="108" w:type="dxa"/>
              <w:bottom w:w="0" w:type="dxa"/>
              <w:right w:w="108" w:type="dxa"/>
            </w:tcMar>
            <w:hideMark/>
          </w:tcPr>
          <w:p w14:paraId="0D8486F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Multiple methods triangulation, peer debriefing, negative case analysis, audit trails, prolonged engagement. Combines quantitative and qualitative validity strategies to strengthen credibility</w:t>
            </w:r>
          </w:p>
        </w:tc>
        <w:tc>
          <w:tcPr>
            <w:tcW w:w="703" w:type="pct"/>
            <w:shd w:val="clear" w:color="auto" w:fill="CCFF99"/>
            <w:tcMar>
              <w:top w:w="0" w:type="dxa"/>
              <w:left w:w="108" w:type="dxa"/>
              <w:bottom w:w="0" w:type="dxa"/>
              <w:right w:w="108" w:type="dxa"/>
            </w:tcMar>
            <w:hideMark/>
          </w:tcPr>
          <w:p w14:paraId="303A441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Credibility (member checking, prolonged engagement), dependability (audit trail), confirmability (reflexive journal), transferability (thick description). Lincoln and Guba's trustworthiness criteria</w:t>
            </w:r>
          </w:p>
        </w:tc>
        <w:tc>
          <w:tcPr>
            <w:tcW w:w="608" w:type="pct"/>
            <w:tcMar>
              <w:top w:w="0" w:type="dxa"/>
              <w:left w:w="108" w:type="dxa"/>
              <w:bottom w:w="0" w:type="dxa"/>
              <w:right w:w="108" w:type="dxa"/>
            </w:tcMar>
            <w:hideMark/>
          </w:tcPr>
          <w:p w14:paraId="4652ED1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Authenticity criteria (fairness, ontological authenticity, educative authenticity), catalytic validity (action-orientation), reciprocity. Focus on quality of relationships and transformative impact on participants</w:t>
            </w:r>
          </w:p>
        </w:tc>
        <w:tc>
          <w:tcPr>
            <w:tcW w:w="554" w:type="pct"/>
            <w:shd w:val="clear" w:color="auto" w:fill="FFCC00"/>
            <w:tcMar>
              <w:top w:w="0" w:type="dxa"/>
              <w:left w:w="108" w:type="dxa"/>
              <w:bottom w:w="0" w:type="dxa"/>
              <w:right w:w="108" w:type="dxa"/>
            </w:tcMar>
            <w:hideMark/>
          </w:tcPr>
          <w:p w14:paraId="765E50D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Multiple group perspectives triangulation, crystallisation showing different facets, documentation of researcher's reflexive analysis of own group memberships, transparency about how interpretations evolved through interaction with different groups, member validation with each group</w:t>
            </w:r>
          </w:p>
        </w:tc>
        <w:tc>
          <w:tcPr>
            <w:tcW w:w="657" w:type="pct"/>
            <w:shd w:val="clear" w:color="auto" w:fill="FFCCFF"/>
            <w:tcMar>
              <w:top w:w="0" w:type="dxa"/>
              <w:left w:w="108" w:type="dxa"/>
              <w:bottom w:w="0" w:type="dxa"/>
              <w:right w:w="108" w:type="dxa"/>
            </w:tcMar>
            <w:hideMark/>
          </w:tcPr>
          <w:p w14:paraId="1B4F240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Catalytic validity (research promotes action), critical reflexivity, participant empowerment, challenging the status quo, prolonged engagement with marginalised communities, member reflections (not just checking)</w:t>
            </w:r>
          </w:p>
        </w:tc>
        <w:tc>
          <w:tcPr>
            <w:tcW w:w="519" w:type="pct"/>
            <w:shd w:val="clear" w:color="auto" w:fill="FFFF99"/>
            <w:tcMar>
              <w:top w:w="0" w:type="dxa"/>
              <w:left w:w="108" w:type="dxa"/>
              <w:bottom w:w="0" w:type="dxa"/>
              <w:right w:w="108" w:type="dxa"/>
            </w:tcMar>
            <w:hideMark/>
          </w:tcPr>
          <w:p w14:paraId="4625690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Consequential validity (does it work?), triangulation for practical purposes, stakeholder validation, iterative testing of solutions, documentation of what works and what doesn't in specific contexts</w:t>
            </w:r>
          </w:p>
        </w:tc>
      </w:tr>
      <w:tr w:rsidR="00F77B68" w:rsidRPr="00F77B68" w14:paraId="579AC395" w14:textId="77777777" w:rsidTr="00F77B68">
        <w:tc>
          <w:tcPr>
            <w:tcW w:w="834"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674F6DD9" w14:textId="77777777" w:rsidR="00F77B68" w:rsidRPr="00F77B68" w:rsidRDefault="00F77B68" w:rsidP="00F77B68">
            <w:pPr>
              <w:spacing w:after="0" w:line="240" w:lineRule="auto"/>
              <w:rPr>
                <w:rFonts w:asciiTheme="minorBidi" w:eastAsia="Times New Roman" w:hAnsiTheme="minorBidi"/>
                <w:b/>
                <w:bCs/>
                <w:color w:val="000000"/>
                <w:kern w:val="0"/>
                <w14:ligatures w14:val="none"/>
              </w:rPr>
            </w:pPr>
            <w:r w:rsidRPr="00F77B68">
              <w:rPr>
                <w:rFonts w:asciiTheme="minorBidi" w:eastAsia="Times New Roman" w:hAnsiTheme="minorBidi"/>
                <w:b/>
                <w:bCs/>
                <w:color w:val="000000"/>
                <w:kern w:val="0"/>
                <w14:ligatures w14:val="none"/>
              </w:rPr>
              <w:t>Quality Criteria/Rigour Indicators</w:t>
            </w:r>
          </w:p>
        </w:tc>
        <w:tc>
          <w:tcPr>
            <w:tcW w:w="576" w:type="pct"/>
            <w:tcBorders>
              <w:top w:val="single" w:sz="12" w:space="0" w:color="auto"/>
              <w:left w:val="single" w:sz="12" w:space="0" w:color="auto"/>
              <w:bottom w:val="single" w:sz="12" w:space="0" w:color="auto"/>
              <w:right w:val="single" w:sz="12" w:space="0" w:color="auto"/>
            </w:tcBorders>
            <w:shd w:val="clear" w:color="auto" w:fill="99CCFF"/>
            <w:tcMar>
              <w:top w:w="0" w:type="dxa"/>
              <w:left w:w="108" w:type="dxa"/>
              <w:bottom w:w="0" w:type="dxa"/>
              <w:right w:w="108" w:type="dxa"/>
            </w:tcMar>
            <w:hideMark/>
          </w:tcPr>
          <w:p w14:paraId="6D360814"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t xml:space="preserve">Internal validity (causal claims justified), external validity (generalisable to populations), construct validity (measures what it claims), reliability (consistent, replicable results), objectivity (free from bias). Criteria: statistical significance, effect </w:t>
            </w:r>
            <w:r w:rsidRPr="00F77B68">
              <w:rPr>
                <w:rFonts w:asciiTheme="minorBidi" w:eastAsia="Times New Roman" w:hAnsiTheme="minorBidi"/>
                <w:color w:val="000000"/>
                <w:kern w:val="0"/>
                <w14:ligatures w14:val="none"/>
              </w:rPr>
              <w:lastRenderedPageBreak/>
              <w:t>sizes, power analysis, measurement validation.</w:t>
            </w:r>
          </w:p>
        </w:tc>
        <w:tc>
          <w:tcPr>
            <w:tcW w:w="549" w:type="pct"/>
            <w:tcBorders>
              <w:top w:val="single" w:sz="12" w:space="0" w:color="auto"/>
              <w:left w:val="single" w:sz="12" w:space="0" w:color="auto"/>
              <w:bottom w:val="single" w:sz="12" w:space="0" w:color="auto"/>
              <w:right w:val="single" w:sz="12" w:space="0" w:color="auto"/>
            </w:tcBorders>
            <w:shd w:val="clear" w:color="auto" w:fill="66FFFF"/>
            <w:tcMar>
              <w:top w:w="0" w:type="dxa"/>
              <w:left w:w="108" w:type="dxa"/>
              <w:bottom w:w="0" w:type="dxa"/>
              <w:right w:w="108" w:type="dxa"/>
            </w:tcMar>
            <w:hideMark/>
          </w:tcPr>
          <w:p w14:paraId="4CE0D6D5"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Modified validity criteria acknowledging fallibility: credible conclusions given evidence, reasonable generalisability with caveats, sound measurement despite imperfection, transparency about limitations. Criteria: </w:t>
            </w:r>
            <w:r w:rsidRPr="00F77B68">
              <w:rPr>
                <w:rFonts w:asciiTheme="minorBidi" w:eastAsia="Times New Roman" w:hAnsiTheme="minorBidi"/>
                <w:color w:val="000000"/>
                <w:kern w:val="0"/>
                <w14:ligatures w14:val="none"/>
              </w:rPr>
              <w:lastRenderedPageBreak/>
              <w:t>triangulation, thick description, negative case analysis, researcher reflexivity statements.</w:t>
            </w:r>
          </w:p>
        </w:tc>
        <w:tc>
          <w:tcPr>
            <w:tcW w:w="703" w:type="pct"/>
            <w:tcBorders>
              <w:top w:val="single" w:sz="12" w:space="0" w:color="auto"/>
              <w:left w:val="single" w:sz="12" w:space="0" w:color="auto"/>
              <w:bottom w:val="single" w:sz="12" w:space="0" w:color="auto"/>
              <w:right w:val="single" w:sz="12" w:space="0" w:color="auto"/>
            </w:tcBorders>
            <w:shd w:val="clear" w:color="auto" w:fill="CCFF99"/>
            <w:tcMar>
              <w:top w:w="0" w:type="dxa"/>
              <w:left w:w="108" w:type="dxa"/>
              <w:bottom w:w="0" w:type="dxa"/>
              <w:right w:w="108" w:type="dxa"/>
            </w:tcMar>
            <w:hideMark/>
          </w:tcPr>
          <w:p w14:paraId="689E950C"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Trustworthiness criteria (Lincoln &amp; Guba): Credibility (truth value - findings reflect participants' realities), Transferability (applicability - sufficient description for judgement), Dependability (consistency - documented process), Confirmability (neutrality - findings grounded in data not researcher bias). </w:t>
            </w:r>
            <w:r w:rsidRPr="00F77B68">
              <w:rPr>
                <w:rFonts w:asciiTheme="minorBidi" w:eastAsia="Times New Roman" w:hAnsiTheme="minorBidi"/>
                <w:color w:val="000000"/>
                <w:kern w:val="0"/>
                <w14:ligatures w14:val="none"/>
              </w:rPr>
              <w:lastRenderedPageBreak/>
              <w:t>Additional: authenticity, resonance.</w:t>
            </w:r>
          </w:p>
        </w:tc>
        <w:tc>
          <w:tcPr>
            <w:tcW w:w="608" w:type="pct"/>
            <w:tcBorders>
              <w:top w:val="single" w:sz="12" w:space="0" w:color="auto"/>
              <w:left w:val="single" w:sz="12" w:space="0" w:color="auto"/>
              <w:bottom w:val="single" w:sz="12" w:space="0" w:color="auto"/>
              <w:right w:val="single" w:sz="12" w:space="0" w:color="auto"/>
            </w:tcBorders>
            <w:tcMar>
              <w:top w:w="0" w:type="dxa"/>
              <w:left w:w="108" w:type="dxa"/>
              <w:bottom w:w="0" w:type="dxa"/>
              <w:right w:w="108" w:type="dxa"/>
            </w:tcMar>
            <w:hideMark/>
          </w:tcPr>
          <w:p w14:paraId="26C8EE3D"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Authenticity criteria: Fairness (multiple perspectives represented), Ontological authenticity (participants' understanding enhanced), Educative authenticity (understanding of others enhanced), Catalytic authenticity (action stimulated), </w:t>
            </w:r>
            <w:r w:rsidRPr="00F77B68">
              <w:rPr>
                <w:rFonts w:asciiTheme="minorBidi" w:eastAsia="Times New Roman" w:hAnsiTheme="minorBidi"/>
                <w:color w:val="000000"/>
                <w:kern w:val="0"/>
                <w14:ligatures w14:val="none"/>
              </w:rPr>
              <w:lastRenderedPageBreak/>
              <w:t>Tactical authenticity (empowerment achieved). Relational quality and transformative potential central.</w:t>
            </w:r>
          </w:p>
        </w:tc>
        <w:tc>
          <w:tcPr>
            <w:tcW w:w="554" w:type="pct"/>
            <w:tcBorders>
              <w:top w:val="single" w:sz="12" w:space="0" w:color="auto"/>
              <w:left w:val="single" w:sz="12" w:space="0" w:color="auto"/>
              <w:bottom w:val="single" w:sz="12" w:space="0" w:color="auto"/>
              <w:right w:val="single" w:sz="12" w:space="0" w:color="auto"/>
            </w:tcBorders>
            <w:shd w:val="clear" w:color="auto" w:fill="FFCC00"/>
            <w:tcMar>
              <w:top w:w="0" w:type="dxa"/>
              <w:left w:w="108" w:type="dxa"/>
              <w:bottom w:w="0" w:type="dxa"/>
              <w:right w:w="108" w:type="dxa"/>
            </w:tcMar>
            <w:hideMark/>
          </w:tcPr>
          <w:p w14:paraId="05685DD3"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Multiple perspectives captured and compared, crystallisation showing different facets rather than triangulation to single truth, transparency about how group constructions were interpreted, documentation of </w:t>
            </w:r>
            <w:r w:rsidRPr="00F77B68">
              <w:rPr>
                <w:rFonts w:asciiTheme="minorBidi" w:eastAsia="Times New Roman" w:hAnsiTheme="minorBidi"/>
                <w:color w:val="000000"/>
                <w:kern w:val="0"/>
                <w14:ligatures w14:val="none"/>
              </w:rPr>
              <w:lastRenderedPageBreak/>
              <w:t>variation within and across groups, reflexive analysis of researcher's own group memberships, fair representation.</w:t>
            </w:r>
          </w:p>
        </w:tc>
        <w:tc>
          <w:tcPr>
            <w:tcW w:w="657" w:type="pct"/>
            <w:tcBorders>
              <w:top w:val="single" w:sz="12" w:space="0" w:color="auto"/>
              <w:left w:val="single" w:sz="12" w:space="0" w:color="auto"/>
              <w:bottom w:val="single" w:sz="12" w:space="0" w:color="auto"/>
              <w:right w:val="single" w:sz="12" w:space="0" w:color="auto"/>
            </w:tcBorders>
            <w:shd w:val="clear" w:color="auto" w:fill="FFCCFF"/>
            <w:tcMar>
              <w:top w:w="0" w:type="dxa"/>
              <w:left w:w="108" w:type="dxa"/>
              <w:bottom w:w="0" w:type="dxa"/>
              <w:right w:w="108" w:type="dxa"/>
            </w:tcMar>
            <w:hideMark/>
          </w:tcPr>
          <w:p w14:paraId="0FE41BF5"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Catalytic validity (research promotes action), critical reflexivity (power examined), democratic validity (stakeholder ownership), dialogic validity (peer critique), outcome validity (problems resolved), process validity (iterative problem-solving), empowerment </w:t>
            </w:r>
            <w:r w:rsidRPr="00F77B68">
              <w:rPr>
                <w:rFonts w:asciiTheme="minorBidi" w:eastAsia="Times New Roman" w:hAnsiTheme="minorBidi"/>
                <w:color w:val="000000"/>
                <w:kern w:val="0"/>
                <w14:ligatures w14:val="none"/>
              </w:rPr>
              <w:lastRenderedPageBreak/>
              <w:t>(marginalised voices heard and acted upon).</w:t>
            </w:r>
          </w:p>
        </w:tc>
        <w:tc>
          <w:tcPr>
            <w:tcW w:w="519" w:type="pct"/>
            <w:tcBorders>
              <w:top w:val="single" w:sz="12" w:space="0" w:color="auto"/>
              <w:left w:val="single" w:sz="12" w:space="0" w:color="auto"/>
              <w:bottom w:val="single" w:sz="12" w:space="0" w:color="auto"/>
              <w:right w:val="single" w:sz="12" w:space="0" w:color="auto"/>
            </w:tcBorders>
            <w:shd w:val="clear" w:color="auto" w:fill="FFFF99"/>
            <w:tcMar>
              <w:top w:w="0" w:type="dxa"/>
              <w:left w:w="108" w:type="dxa"/>
              <w:bottom w:w="0" w:type="dxa"/>
              <w:right w:w="108" w:type="dxa"/>
            </w:tcMar>
            <w:hideMark/>
          </w:tcPr>
          <w:p w14:paraId="3D11313D" w14:textId="77777777" w:rsidR="00F77B68" w:rsidRPr="00F77B68" w:rsidRDefault="00F77B68" w:rsidP="00F77B68">
            <w:pPr>
              <w:spacing w:after="0" w:line="240" w:lineRule="auto"/>
              <w:rPr>
                <w:rFonts w:asciiTheme="minorBidi" w:eastAsia="Times New Roman" w:hAnsiTheme="minorBidi"/>
                <w:color w:val="000000"/>
                <w:kern w:val="0"/>
                <w14:ligatures w14:val="none"/>
              </w:rPr>
            </w:pPr>
            <w:r w:rsidRPr="00F77B68">
              <w:rPr>
                <w:rFonts w:asciiTheme="minorBidi" w:eastAsia="Times New Roman" w:hAnsiTheme="minorBidi"/>
                <w:color w:val="000000"/>
                <w:kern w:val="0"/>
                <w14:ligatures w14:val="none"/>
              </w:rPr>
              <w:lastRenderedPageBreak/>
              <w:t xml:space="preserve">Consequential validity (does it work? does it solve problems?), utility (practical value to stakeholders), feasibility (implementable), relevance (addresses real needs), transferability to similar contexts, </w:t>
            </w:r>
            <w:r w:rsidRPr="00F77B68">
              <w:rPr>
                <w:rFonts w:asciiTheme="minorBidi" w:eastAsia="Times New Roman" w:hAnsiTheme="minorBidi"/>
                <w:color w:val="000000"/>
                <w:kern w:val="0"/>
                <w14:ligatures w14:val="none"/>
              </w:rPr>
              <w:lastRenderedPageBreak/>
              <w:t>cost-effectiveness, stakeholder satisfaction, demonstrable impact, iteration and improvement cycles.</w:t>
            </w:r>
          </w:p>
        </w:tc>
      </w:tr>
      <w:tr w:rsidR="00576D49" w:rsidRPr="00124566" w14:paraId="6DFF13CD" w14:textId="77777777" w:rsidTr="00D93057">
        <w:tc>
          <w:tcPr>
            <w:tcW w:w="834" w:type="pct"/>
            <w:tcMar>
              <w:top w:w="0" w:type="dxa"/>
              <w:left w:w="108" w:type="dxa"/>
              <w:bottom w:w="0" w:type="dxa"/>
              <w:right w:w="108" w:type="dxa"/>
            </w:tcMar>
          </w:tcPr>
          <w:p w14:paraId="1CBEF74E" w14:textId="5D4DA16D" w:rsidR="00576D49" w:rsidRPr="00576D49" w:rsidRDefault="00576D49" w:rsidP="00576D49">
            <w:pPr>
              <w:spacing w:after="0" w:line="240" w:lineRule="auto"/>
              <w:rPr>
                <w:rFonts w:asciiTheme="minorBidi" w:eastAsia="Times New Roman" w:hAnsiTheme="minorBidi"/>
                <w:b/>
                <w:bCs/>
                <w:color w:val="000000"/>
                <w:kern w:val="0"/>
                <w14:ligatures w14:val="none"/>
              </w:rPr>
            </w:pPr>
            <w:r w:rsidRPr="00576D49">
              <w:rPr>
                <w:rFonts w:asciiTheme="minorBidi" w:hAnsiTheme="minorBidi"/>
                <w:b/>
                <w:bCs/>
                <w:color w:val="000000"/>
              </w:rPr>
              <w:lastRenderedPageBreak/>
              <w:t>Researcher Stance/Voice</w:t>
            </w:r>
          </w:p>
        </w:tc>
        <w:tc>
          <w:tcPr>
            <w:tcW w:w="576" w:type="pct"/>
            <w:shd w:val="clear" w:color="auto" w:fill="99CCFF"/>
            <w:tcMar>
              <w:top w:w="0" w:type="dxa"/>
              <w:left w:w="108" w:type="dxa"/>
              <w:bottom w:w="0" w:type="dxa"/>
              <w:right w:w="108" w:type="dxa"/>
            </w:tcMar>
          </w:tcPr>
          <w:p w14:paraId="65222E05" w14:textId="5306FE6D"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Distant, detached observer: Researcher maintains separation from participants and phenomena. Voice is objective, impersonal third-person. </w:t>
            </w:r>
            <w:r>
              <w:rPr>
                <w:rFonts w:asciiTheme="minorBidi" w:hAnsiTheme="minorBidi"/>
                <w:color w:val="000000"/>
              </w:rPr>
              <w:t>‘</w:t>
            </w:r>
            <w:r w:rsidRPr="00576D49">
              <w:rPr>
                <w:rFonts w:asciiTheme="minorBidi" w:hAnsiTheme="minorBidi"/>
                <w:color w:val="000000"/>
              </w:rPr>
              <w:t>The data show...</w:t>
            </w:r>
            <w:r>
              <w:rPr>
                <w:rFonts w:asciiTheme="minorBidi" w:hAnsiTheme="minorBidi"/>
                <w:color w:val="000000"/>
              </w:rPr>
              <w:t>’</w:t>
            </w:r>
            <w:r w:rsidRPr="00576D49">
              <w:rPr>
                <w:rFonts w:asciiTheme="minorBidi" w:hAnsiTheme="minorBidi"/>
                <w:color w:val="000000"/>
              </w:rPr>
              <w:t xml:space="preserve"> not </w:t>
            </w:r>
            <w:r>
              <w:rPr>
                <w:rFonts w:asciiTheme="minorBidi" w:hAnsiTheme="minorBidi"/>
                <w:color w:val="000000"/>
              </w:rPr>
              <w:t>‘</w:t>
            </w:r>
            <w:r w:rsidRPr="00576D49">
              <w:rPr>
                <w:rFonts w:asciiTheme="minorBidi" w:hAnsiTheme="minorBidi"/>
                <w:color w:val="000000"/>
              </w:rPr>
              <w:t>I observed...</w:t>
            </w:r>
            <w:r>
              <w:rPr>
                <w:rFonts w:asciiTheme="minorBidi" w:hAnsiTheme="minorBidi"/>
                <w:color w:val="000000"/>
              </w:rPr>
              <w:t>’</w:t>
            </w:r>
            <w:r w:rsidRPr="00576D49">
              <w:rPr>
                <w:rFonts w:asciiTheme="minorBidi" w:hAnsiTheme="minorBidi"/>
                <w:color w:val="000000"/>
              </w:rPr>
              <w:t>. Researcher as neutral instrument recording reality. Professional distance maximises objectivity. Relationships with participants are standardised and formal.</w:t>
            </w:r>
          </w:p>
        </w:tc>
        <w:tc>
          <w:tcPr>
            <w:tcW w:w="549" w:type="pct"/>
            <w:shd w:val="clear" w:color="auto" w:fill="66FFFF"/>
            <w:tcMar>
              <w:top w:w="0" w:type="dxa"/>
              <w:left w:w="108" w:type="dxa"/>
              <w:bottom w:w="0" w:type="dxa"/>
              <w:right w:w="108" w:type="dxa"/>
            </w:tcMar>
          </w:tcPr>
          <w:p w14:paraId="6B4C68FB" w14:textId="7B551084"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Engaged but </w:t>
            </w:r>
            <w:proofErr w:type="spellStart"/>
            <w:r w:rsidRPr="00576D49">
              <w:rPr>
                <w:rFonts w:asciiTheme="minorBidi" w:hAnsiTheme="minorBidi"/>
                <w:color w:val="000000"/>
              </w:rPr>
              <w:t>boundaried</w:t>
            </w:r>
            <w:proofErr w:type="spellEnd"/>
            <w:r w:rsidRPr="00576D49">
              <w:rPr>
                <w:rFonts w:asciiTheme="minorBidi" w:hAnsiTheme="minorBidi"/>
                <w:color w:val="000000"/>
              </w:rPr>
              <w:t xml:space="preserve"> observer: Researcher acknowledges relationship with participants whilst maintaining professional boundaries. Voice is primarily third-person with occasional first-person reflexive acknowledgments. </w:t>
            </w:r>
            <w:r>
              <w:rPr>
                <w:rFonts w:asciiTheme="minorBidi" w:hAnsiTheme="minorBidi"/>
                <w:color w:val="000000"/>
              </w:rPr>
              <w:t>‘</w:t>
            </w:r>
            <w:r w:rsidRPr="00576D49">
              <w:rPr>
                <w:rFonts w:asciiTheme="minorBidi" w:hAnsiTheme="minorBidi"/>
                <w:color w:val="000000"/>
              </w:rPr>
              <w:t>The findings suggest... though my background in X may have influenced...</w:t>
            </w:r>
            <w:r>
              <w:rPr>
                <w:rFonts w:asciiTheme="minorBidi" w:hAnsiTheme="minorBidi"/>
                <w:color w:val="000000"/>
              </w:rPr>
              <w:t>’</w:t>
            </w:r>
            <w:r w:rsidRPr="00576D49">
              <w:rPr>
                <w:rFonts w:asciiTheme="minorBidi" w:hAnsiTheme="minorBidi"/>
                <w:color w:val="000000"/>
              </w:rPr>
              <w:t>. Critical distance with awareness of limitations.</w:t>
            </w:r>
          </w:p>
        </w:tc>
        <w:tc>
          <w:tcPr>
            <w:tcW w:w="703" w:type="pct"/>
            <w:shd w:val="clear" w:color="auto" w:fill="CCFF99"/>
            <w:tcMar>
              <w:top w:w="0" w:type="dxa"/>
              <w:left w:w="108" w:type="dxa"/>
              <w:bottom w:w="0" w:type="dxa"/>
              <w:right w:w="108" w:type="dxa"/>
            </w:tcMar>
          </w:tcPr>
          <w:p w14:paraId="6D6445FD" w14:textId="67927946"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Empathetic interpreter and meaning-maker: Researcher as instrument of understanding. Close, trusting relationships essential for accessing meanings. First-person voice welcomed. </w:t>
            </w:r>
            <w:r>
              <w:rPr>
                <w:rFonts w:asciiTheme="minorBidi" w:hAnsiTheme="minorBidi"/>
                <w:color w:val="000000"/>
              </w:rPr>
              <w:t>‘</w:t>
            </w:r>
            <w:r w:rsidRPr="00576D49">
              <w:rPr>
                <w:rFonts w:asciiTheme="minorBidi" w:hAnsiTheme="minorBidi"/>
                <w:color w:val="000000"/>
              </w:rPr>
              <w:t>I came to understand...</w:t>
            </w:r>
            <w:r>
              <w:rPr>
                <w:rFonts w:asciiTheme="minorBidi" w:hAnsiTheme="minorBidi"/>
                <w:color w:val="000000"/>
              </w:rPr>
              <w:t>’</w:t>
            </w:r>
            <w:r w:rsidRPr="00576D49">
              <w:rPr>
                <w:rFonts w:asciiTheme="minorBidi" w:hAnsiTheme="minorBidi"/>
                <w:color w:val="000000"/>
              </w:rPr>
              <w:t xml:space="preserve"> </w:t>
            </w:r>
            <w:r>
              <w:rPr>
                <w:rFonts w:asciiTheme="minorBidi" w:hAnsiTheme="minorBidi"/>
                <w:color w:val="000000"/>
              </w:rPr>
              <w:t>‘</w:t>
            </w:r>
            <w:r w:rsidRPr="00576D49">
              <w:rPr>
                <w:rFonts w:asciiTheme="minorBidi" w:hAnsiTheme="minorBidi"/>
                <w:color w:val="000000"/>
              </w:rPr>
              <w:t>Participants revealed...</w:t>
            </w:r>
            <w:r>
              <w:rPr>
                <w:rFonts w:asciiTheme="minorBidi" w:hAnsiTheme="minorBidi"/>
                <w:color w:val="000000"/>
              </w:rPr>
              <w:t>’</w:t>
            </w:r>
            <w:r w:rsidRPr="00576D49">
              <w:rPr>
                <w:rFonts w:asciiTheme="minorBidi" w:hAnsiTheme="minorBidi"/>
                <w:color w:val="000000"/>
              </w:rPr>
              <w:t>. Researcher interprets participants' subjective realities. Prolonged engagement to build rapport. Empathetic, warm, respectful stance.</w:t>
            </w:r>
          </w:p>
        </w:tc>
        <w:tc>
          <w:tcPr>
            <w:tcW w:w="608" w:type="pct"/>
            <w:tcMar>
              <w:top w:w="0" w:type="dxa"/>
              <w:left w:w="108" w:type="dxa"/>
              <w:bottom w:w="0" w:type="dxa"/>
              <w:right w:w="108" w:type="dxa"/>
            </w:tcMar>
          </w:tcPr>
          <w:p w14:paraId="3ADDEED3" w14:textId="0F17CF32"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Co-inquirer and collaborative partner: Researcher and participants as equal partners in knowledge creation. Dialogic voice reflecting shared inquiry. </w:t>
            </w:r>
            <w:r>
              <w:rPr>
                <w:rFonts w:asciiTheme="minorBidi" w:hAnsiTheme="minorBidi"/>
                <w:color w:val="000000"/>
              </w:rPr>
              <w:t>‘</w:t>
            </w:r>
            <w:r w:rsidRPr="00576D49">
              <w:rPr>
                <w:rFonts w:asciiTheme="minorBidi" w:hAnsiTheme="minorBidi"/>
                <w:color w:val="000000"/>
              </w:rPr>
              <w:t>We explored together...</w:t>
            </w:r>
            <w:r>
              <w:rPr>
                <w:rFonts w:asciiTheme="minorBidi" w:hAnsiTheme="minorBidi"/>
                <w:color w:val="000000"/>
              </w:rPr>
              <w:t>’</w:t>
            </w:r>
            <w:r w:rsidRPr="00576D49">
              <w:rPr>
                <w:rFonts w:asciiTheme="minorBidi" w:hAnsiTheme="minorBidi"/>
                <w:color w:val="000000"/>
              </w:rPr>
              <w:t xml:space="preserve"> </w:t>
            </w:r>
            <w:r>
              <w:rPr>
                <w:rFonts w:asciiTheme="minorBidi" w:hAnsiTheme="minorBidi"/>
                <w:color w:val="000000"/>
              </w:rPr>
              <w:t>‘</w:t>
            </w:r>
            <w:r w:rsidRPr="00576D49">
              <w:rPr>
                <w:rFonts w:asciiTheme="minorBidi" w:hAnsiTheme="minorBidi"/>
                <w:color w:val="000000"/>
              </w:rPr>
              <w:t>Through our collaboration...</w:t>
            </w:r>
            <w:r>
              <w:rPr>
                <w:rFonts w:asciiTheme="minorBidi" w:hAnsiTheme="minorBidi"/>
                <w:color w:val="000000"/>
              </w:rPr>
              <w:t>’</w:t>
            </w:r>
            <w:r w:rsidRPr="00576D49">
              <w:rPr>
                <w:rFonts w:asciiTheme="minorBidi" w:hAnsiTheme="minorBidi"/>
                <w:color w:val="000000"/>
              </w:rPr>
              <w:t>. Boundaries between researcher and researched deliberately blurred. Mutual learning and transformation. Relationships characterised by reciprocity and shared power.</w:t>
            </w:r>
          </w:p>
        </w:tc>
        <w:tc>
          <w:tcPr>
            <w:tcW w:w="554" w:type="pct"/>
            <w:shd w:val="clear" w:color="auto" w:fill="FFCC00"/>
            <w:tcMar>
              <w:top w:w="0" w:type="dxa"/>
              <w:left w:w="108" w:type="dxa"/>
              <w:bottom w:w="0" w:type="dxa"/>
              <w:right w:w="108" w:type="dxa"/>
            </w:tcMar>
          </w:tcPr>
          <w:p w14:paraId="6F1FEE7D" w14:textId="66501129"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Reflexive interpreter of multiple group realities: Researcher moves between multiple stakeholder worlds, understanding each on its own terms. Voice explicitly comparative. </w:t>
            </w:r>
            <w:r>
              <w:rPr>
                <w:rFonts w:asciiTheme="minorBidi" w:hAnsiTheme="minorBidi"/>
                <w:color w:val="000000"/>
              </w:rPr>
              <w:t>‘</w:t>
            </w:r>
            <w:r w:rsidRPr="00576D49">
              <w:rPr>
                <w:rFonts w:asciiTheme="minorBidi" w:hAnsiTheme="minorBidi"/>
                <w:color w:val="000000"/>
              </w:rPr>
              <w:t>Engineers constructed X as... while marketers constructed it as...</w:t>
            </w:r>
            <w:r>
              <w:rPr>
                <w:rFonts w:asciiTheme="minorBidi" w:hAnsiTheme="minorBidi"/>
                <w:color w:val="000000"/>
              </w:rPr>
              <w:t>’</w:t>
            </w:r>
            <w:r w:rsidRPr="00576D49">
              <w:rPr>
                <w:rFonts w:asciiTheme="minorBidi" w:hAnsiTheme="minorBidi"/>
                <w:color w:val="000000"/>
              </w:rPr>
              <w:t>. Researcher reflects on their membership in various groups and how this shapes interpretation. Respectful curiosity across difference.</w:t>
            </w:r>
          </w:p>
        </w:tc>
        <w:tc>
          <w:tcPr>
            <w:tcW w:w="657" w:type="pct"/>
            <w:shd w:val="clear" w:color="auto" w:fill="FFCCFF"/>
            <w:tcMar>
              <w:top w:w="0" w:type="dxa"/>
              <w:left w:w="108" w:type="dxa"/>
              <w:bottom w:w="0" w:type="dxa"/>
              <w:right w:w="108" w:type="dxa"/>
            </w:tcMar>
          </w:tcPr>
          <w:p w14:paraId="370D2972" w14:textId="6D37468C"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Activist-scholar and change agent: Researcher stands with marginalised participants as ally or co-activist. Voice is engaged, political, advocacy-oriented. </w:t>
            </w:r>
            <w:r>
              <w:rPr>
                <w:rFonts w:asciiTheme="minorBidi" w:hAnsiTheme="minorBidi"/>
                <w:color w:val="000000"/>
              </w:rPr>
              <w:t>‘</w:t>
            </w:r>
            <w:r w:rsidRPr="00576D49">
              <w:rPr>
                <w:rFonts w:asciiTheme="minorBidi" w:hAnsiTheme="minorBidi"/>
                <w:color w:val="000000"/>
              </w:rPr>
              <w:t>As we worked together to challenge...</w:t>
            </w:r>
            <w:r>
              <w:rPr>
                <w:rFonts w:asciiTheme="minorBidi" w:hAnsiTheme="minorBidi"/>
                <w:color w:val="000000"/>
              </w:rPr>
              <w:t>’</w:t>
            </w:r>
            <w:r w:rsidRPr="00576D49">
              <w:rPr>
                <w:rFonts w:asciiTheme="minorBidi" w:hAnsiTheme="minorBidi"/>
                <w:color w:val="000000"/>
              </w:rPr>
              <w:t xml:space="preserve"> Clear about values and political commitments. Relationships characterised by solidarity and shared struggle. Uses privilege to amplify marginalised voices.</w:t>
            </w:r>
          </w:p>
        </w:tc>
        <w:tc>
          <w:tcPr>
            <w:tcW w:w="519" w:type="pct"/>
            <w:shd w:val="clear" w:color="auto" w:fill="FFFF99"/>
            <w:tcMar>
              <w:top w:w="0" w:type="dxa"/>
              <w:left w:w="108" w:type="dxa"/>
              <w:bottom w:w="0" w:type="dxa"/>
              <w:right w:w="108" w:type="dxa"/>
            </w:tcMar>
          </w:tcPr>
          <w:p w14:paraId="0EFBD3F5" w14:textId="1CCC826B" w:rsidR="00576D49" w:rsidRPr="00576D49" w:rsidRDefault="00576D49" w:rsidP="00576D49">
            <w:pPr>
              <w:spacing w:after="0" w:line="240" w:lineRule="auto"/>
              <w:rPr>
                <w:rFonts w:asciiTheme="minorBidi" w:eastAsia="Times New Roman" w:hAnsiTheme="minorBidi"/>
                <w:color w:val="000000"/>
                <w:kern w:val="0"/>
                <w14:ligatures w14:val="none"/>
              </w:rPr>
            </w:pPr>
            <w:r w:rsidRPr="00576D49">
              <w:rPr>
                <w:rFonts w:asciiTheme="minorBidi" w:hAnsiTheme="minorBidi"/>
                <w:color w:val="000000"/>
              </w:rPr>
              <w:t xml:space="preserve">Problem-solving partner and consultant: Researcher as collaborative pragmatist working with stakeholders to solve problems. Voice is accessible, action-oriented, practical. </w:t>
            </w:r>
            <w:r>
              <w:rPr>
                <w:rFonts w:asciiTheme="minorBidi" w:hAnsiTheme="minorBidi"/>
                <w:color w:val="000000"/>
              </w:rPr>
              <w:t>‘</w:t>
            </w:r>
            <w:r w:rsidRPr="00576D49">
              <w:rPr>
                <w:rFonts w:asciiTheme="minorBidi" w:hAnsiTheme="minorBidi"/>
                <w:color w:val="000000"/>
              </w:rPr>
              <w:t>Based on what worked... we recommend...</w:t>
            </w:r>
            <w:r>
              <w:rPr>
                <w:rFonts w:asciiTheme="minorBidi" w:hAnsiTheme="minorBidi"/>
                <w:color w:val="000000"/>
              </w:rPr>
              <w:t>’</w:t>
            </w:r>
            <w:r w:rsidRPr="00576D49">
              <w:rPr>
                <w:rFonts w:asciiTheme="minorBidi" w:hAnsiTheme="minorBidi"/>
                <w:color w:val="000000"/>
              </w:rPr>
              <w:t>. Relationship is professional partnership focused on outcomes. Respectful of practitioner knowledge. Adapts stance based on what facilitates problem-solving.</w:t>
            </w:r>
          </w:p>
        </w:tc>
      </w:tr>
      <w:tr w:rsidR="00124566" w:rsidRPr="00124566" w14:paraId="55F3831E" w14:textId="77777777" w:rsidTr="00D93057">
        <w:tc>
          <w:tcPr>
            <w:tcW w:w="834" w:type="pct"/>
            <w:tcMar>
              <w:top w:w="0" w:type="dxa"/>
              <w:left w:w="108" w:type="dxa"/>
              <w:bottom w:w="0" w:type="dxa"/>
              <w:right w:w="108" w:type="dxa"/>
            </w:tcMar>
            <w:hideMark/>
          </w:tcPr>
          <w:p w14:paraId="7F0409EE"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Role of Participants</w:t>
            </w:r>
          </w:p>
        </w:tc>
        <w:tc>
          <w:tcPr>
            <w:tcW w:w="576" w:type="pct"/>
            <w:shd w:val="clear" w:color="auto" w:fill="99CCFF"/>
            <w:tcMar>
              <w:top w:w="0" w:type="dxa"/>
              <w:left w:w="108" w:type="dxa"/>
              <w:bottom w:w="0" w:type="dxa"/>
              <w:right w:w="108" w:type="dxa"/>
            </w:tcMar>
            <w:hideMark/>
          </w:tcPr>
          <w:p w14:paraId="58FDE62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Subjects; provide data through responses to standardised measures</w:t>
            </w:r>
          </w:p>
        </w:tc>
        <w:tc>
          <w:tcPr>
            <w:tcW w:w="549" w:type="pct"/>
            <w:shd w:val="clear" w:color="auto" w:fill="66FFFF"/>
            <w:tcMar>
              <w:top w:w="0" w:type="dxa"/>
              <w:left w:w="108" w:type="dxa"/>
              <w:bottom w:w="0" w:type="dxa"/>
              <w:right w:w="108" w:type="dxa"/>
            </w:tcMar>
            <w:hideMark/>
          </w:tcPr>
          <w:p w14:paraId="1F730ED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Participants; provide both quantitative and qualitative data</w:t>
            </w:r>
          </w:p>
        </w:tc>
        <w:tc>
          <w:tcPr>
            <w:tcW w:w="703" w:type="pct"/>
            <w:shd w:val="clear" w:color="auto" w:fill="CCFF99"/>
            <w:tcMar>
              <w:top w:w="0" w:type="dxa"/>
              <w:left w:w="108" w:type="dxa"/>
              <w:bottom w:w="0" w:type="dxa"/>
              <w:right w:w="108" w:type="dxa"/>
            </w:tcMar>
            <w:hideMark/>
          </w:tcPr>
          <w:p w14:paraId="1C0DB33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Informants; share lived experiences and meanings</w:t>
            </w:r>
          </w:p>
        </w:tc>
        <w:tc>
          <w:tcPr>
            <w:tcW w:w="608" w:type="pct"/>
            <w:tcMar>
              <w:top w:w="0" w:type="dxa"/>
              <w:left w:w="108" w:type="dxa"/>
              <w:bottom w:w="0" w:type="dxa"/>
              <w:right w:w="108" w:type="dxa"/>
            </w:tcMar>
            <w:hideMark/>
          </w:tcPr>
          <w:p w14:paraId="54A1F02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Co-researchers; actively shape inquiry and interpretation</w:t>
            </w:r>
          </w:p>
        </w:tc>
        <w:tc>
          <w:tcPr>
            <w:tcW w:w="554" w:type="pct"/>
            <w:shd w:val="clear" w:color="auto" w:fill="FFCC00"/>
            <w:tcMar>
              <w:top w:w="0" w:type="dxa"/>
              <w:left w:w="108" w:type="dxa"/>
              <w:bottom w:w="0" w:type="dxa"/>
              <w:right w:w="108" w:type="dxa"/>
            </w:tcMar>
            <w:hideMark/>
          </w:tcPr>
          <w:p w14:paraId="6387869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Representatives of groups; illuminate different social constructions</w:t>
            </w:r>
          </w:p>
        </w:tc>
        <w:tc>
          <w:tcPr>
            <w:tcW w:w="657" w:type="pct"/>
            <w:shd w:val="clear" w:color="auto" w:fill="FFCCFF"/>
            <w:tcMar>
              <w:top w:w="0" w:type="dxa"/>
              <w:left w:w="108" w:type="dxa"/>
              <w:bottom w:w="0" w:type="dxa"/>
              <w:right w:w="108" w:type="dxa"/>
            </w:tcMar>
            <w:hideMark/>
          </w:tcPr>
          <w:p w14:paraId="61447C4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Partners; engaged in transformative action together</w:t>
            </w:r>
          </w:p>
        </w:tc>
        <w:tc>
          <w:tcPr>
            <w:tcW w:w="519" w:type="pct"/>
            <w:shd w:val="clear" w:color="auto" w:fill="FFFF99"/>
            <w:tcMar>
              <w:top w:w="0" w:type="dxa"/>
              <w:left w:w="108" w:type="dxa"/>
              <w:bottom w:w="0" w:type="dxa"/>
              <w:right w:w="108" w:type="dxa"/>
            </w:tcMar>
            <w:hideMark/>
          </w:tcPr>
          <w:p w14:paraId="1B603C3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Stakeholders; help identify and solve problems</w:t>
            </w:r>
          </w:p>
        </w:tc>
      </w:tr>
      <w:tr w:rsidR="00124566" w:rsidRPr="00124566" w14:paraId="0CF31D18" w14:textId="77777777" w:rsidTr="00D93057">
        <w:tc>
          <w:tcPr>
            <w:tcW w:w="834" w:type="pct"/>
            <w:tcMar>
              <w:top w:w="0" w:type="dxa"/>
              <w:left w:w="108" w:type="dxa"/>
              <w:bottom w:w="0" w:type="dxa"/>
              <w:right w:w="108" w:type="dxa"/>
            </w:tcMar>
            <w:hideMark/>
          </w:tcPr>
          <w:p w14:paraId="79F9EE03"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Writing Style/Reporting</w:t>
            </w:r>
          </w:p>
        </w:tc>
        <w:tc>
          <w:tcPr>
            <w:tcW w:w="576" w:type="pct"/>
            <w:shd w:val="clear" w:color="auto" w:fill="99CCFF"/>
            <w:tcMar>
              <w:top w:w="0" w:type="dxa"/>
              <w:left w:w="108" w:type="dxa"/>
              <w:bottom w:w="0" w:type="dxa"/>
              <w:right w:w="108" w:type="dxa"/>
            </w:tcMar>
            <w:hideMark/>
          </w:tcPr>
          <w:p w14:paraId="042CDA4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Objective third-person, passive voice: Impersonal tone emphasising methods and findings. Standard scientific format (Introduction, Methods, Results, Discussion). Tables, figures and statistical reporting. Removes researcher from narrative</w:t>
            </w:r>
          </w:p>
        </w:tc>
        <w:tc>
          <w:tcPr>
            <w:tcW w:w="549" w:type="pct"/>
            <w:shd w:val="clear" w:color="auto" w:fill="66FFFF"/>
            <w:tcMar>
              <w:top w:w="0" w:type="dxa"/>
              <w:left w:w="108" w:type="dxa"/>
              <w:bottom w:w="0" w:type="dxa"/>
              <w:right w:w="108" w:type="dxa"/>
            </w:tcMar>
            <w:hideMark/>
          </w:tcPr>
          <w:p w14:paraId="47BFCDD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Primarily third-person with some reflexivity: Mostly objective reporting but may include brief researcher reflections. Acknowledges researcher role whilst maintaining scientific tone. Balanced discussion of limitations</w:t>
            </w:r>
          </w:p>
        </w:tc>
        <w:tc>
          <w:tcPr>
            <w:tcW w:w="703" w:type="pct"/>
            <w:shd w:val="clear" w:color="auto" w:fill="CCFF99"/>
            <w:tcMar>
              <w:top w:w="0" w:type="dxa"/>
              <w:left w:w="108" w:type="dxa"/>
              <w:bottom w:w="0" w:type="dxa"/>
              <w:right w:w="108" w:type="dxa"/>
            </w:tcMar>
            <w:hideMark/>
          </w:tcPr>
          <w:p w14:paraId="24493D8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First-person narrative accepted: Rich, detailed descriptions of participants' experiences. Reflexive accounts of researcher's interpretive process. Evocative, thick description. May use narrative or thematic structure</w:t>
            </w:r>
          </w:p>
        </w:tc>
        <w:tc>
          <w:tcPr>
            <w:tcW w:w="608" w:type="pct"/>
            <w:tcMar>
              <w:top w:w="0" w:type="dxa"/>
              <w:left w:w="108" w:type="dxa"/>
              <w:bottom w:w="0" w:type="dxa"/>
              <w:right w:w="108" w:type="dxa"/>
            </w:tcMar>
            <w:hideMark/>
          </w:tcPr>
          <w:p w14:paraId="28C9236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Dialogic and reflexive first-person: Emphasises collaborative knowledge construction. Includes participant voices prominently, sometimes co-authored. Researcher openly discusses their evolving understanding through interaction</w:t>
            </w:r>
          </w:p>
        </w:tc>
        <w:tc>
          <w:tcPr>
            <w:tcW w:w="554" w:type="pct"/>
            <w:shd w:val="clear" w:color="auto" w:fill="FFCC00"/>
            <w:tcMar>
              <w:top w:w="0" w:type="dxa"/>
              <w:left w:w="108" w:type="dxa"/>
              <w:bottom w:w="0" w:type="dxa"/>
              <w:right w:w="108" w:type="dxa"/>
            </w:tcMar>
            <w:hideMark/>
          </w:tcPr>
          <w:p w14:paraId="4760005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Analytical with multiple group perspectives: Presents how different groups construct realities, often through comparative analysis. Researcher transparent about own social positioning. May use narrative comparison</w:t>
            </w:r>
          </w:p>
        </w:tc>
        <w:tc>
          <w:tcPr>
            <w:tcW w:w="657" w:type="pct"/>
            <w:shd w:val="clear" w:color="auto" w:fill="FFCCFF"/>
            <w:tcMar>
              <w:top w:w="0" w:type="dxa"/>
              <w:left w:w="108" w:type="dxa"/>
              <w:bottom w:w="0" w:type="dxa"/>
              <w:right w:w="108" w:type="dxa"/>
            </w:tcMar>
            <w:hideMark/>
          </w:tcPr>
          <w:p w14:paraId="48F9958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Politically engaged and explicit: Openly identifies with participants/marginalised communities. First-person accepted. Explicitly discusses power relations and researcher's activist stance. Emphasis on transformative potential and call to action</w:t>
            </w:r>
          </w:p>
        </w:tc>
        <w:tc>
          <w:tcPr>
            <w:tcW w:w="519" w:type="pct"/>
            <w:shd w:val="clear" w:color="auto" w:fill="FFFF99"/>
            <w:tcMar>
              <w:top w:w="0" w:type="dxa"/>
              <w:left w:w="108" w:type="dxa"/>
              <w:bottom w:w="0" w:type="dxa"/>
              <w:right w:w="108" w:type="dxa"/>
            </w:tcMar>
            <w:hideMark/>
          </w:tcPr>
          <w:p w14:paraId="29E9E49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Clear, accessible, action-oriented: Emphasis on practical implications and recommendations. Mixed methods presentation combining quantitative data with qualitative insights. Focus on 'so what?' and 'what works?' for practitioners</w:t>
            </w:r>
          </w:p>
        </w:tc>
      </w:tr>
      <w:tr w:rsidR="00124566" w:rsidRPr="00124566" w14:paraId="46CAA92D" w14:textId="77777777" w:rsidTr="00D93057">
        <w:tc>
          <w:tcPr>
            <w:tcW w:w="834" w:type="pct"/>
            <w:tcMar>
              <w:top w:w="0" w:type="dxa"/>
              <w:left w:w="108" w:type="dxa"/>
              <w:bottom w:w="0" w:type="dxa"/>
              <w:right w:w="108" w:type="dxa"/>
            </w:tcMar>
            <w:hideMark/>
          </w:tcPr>
          <w:p w14:paraId="3C55ADFB"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Strengths</w:t>
            </w:r>
          </w:p>
        </w:tc>
        <w:tc>
          <w:tcPr>
            <w:tcW w:w="576" w:type="pct"/>
            <w:shd w:val="clear" w:color="auto" w:fill="99CCFF"/>
            <w:tcMar>
              <w:top w:w="0" w:type="dxa"/>
              <w:left w:w="108" w:type="dxa"/>
              <w:bottom w:w="0" w:type="dxa"/>
              <w:right w:w="108" w:type="dxa"/>
            </w:tcMar>
            <w:hideMark/>
          </w:tcPr>
          <w:p w14:paraId="3E00586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Clear, objective, measurable results</w:t>
            </w:r>
            <w:r w:rsidRPr="002041B0">
              <w:rPr>
                <w:rFonts w:asciiTheme="minorBidi" w:eastAsia="Times New Roman" w:hAnsiTheme="minorBidi"/>
                <w:color w:val="000000"/>
                <w:kern w:val="0"/>
                <w14:ligatures w14:val="none"/>
              </w:rPr>
              <w:br/>
            </w:r>
            <w:r w:rsidRPr="002041B0">
              <w:rPr>
                <w:rFonts w:asciiTheme="minorBidi" w:eastAsia="Times New Roman" w:hAnsiTheme="minorBidi"/>
                <w:color w:val="000000"/>
                <w:kern w:val="0"/>
                <w14:ligatures w14:val="none"/>
              </w:rPr>
              <w:lastRenderedPageBreak/>
              <w:t>• Enables cause-and-effect relationships</w:t>
            </w:r>
            <w:r w:rsidRPr="002041B0">
              <w:rPr>
                <w:rFonts w:asciiTheme="minorBidi" w:eastAsia="Times New Roman" w:hAnsiTheme="minorBidi"/>
                <w:color w:val="000000"/>
                <w:kern w:val="0"/>
                <w14:ligatures w14:val="none"/>
              </w:rPr>
              <w:br/>
              <w:t>• Allows generalisation to larger populations</w:t>
            </w:r>
            <w:r w:rsidRPr="002041B0">
              <w:rPr>
                <w:rFonts w:asciiTheme="minorBidi" w:eastAsia="Times New Roman" w:hAnsiTheme="minorBidi"/>
                <w:color w:val="000000"/>
                <w:kern w:val="0"/>
                <w14:ligatures w14:val="none"/>
              </w:rPr>
              <w:br/>
              <w:t>• Structured and systematic approach</w:t>
            </w:r>
            <w:r w:rsidRPr="002041B0">
              <w:rPr>
                <w:rFonts w:asciiTheme="minorBidi" w:eastAsia="Times New Roman" w:hAnsiTheme="minorBidi"/>
                <w:color w:val="000000"/>
                <w:kern w:val="0"/>
                <w14:ligatures w14:val="none"/>
              </w:rPr>
              <w:br/>
              <w:t>• Reliability and replicability</w:t>
            </w:r>
          </w:p>
        </w:tc>
        <w:tc>
          <w:tcPr>
            <w:tcW w:w="549" w:type="pct"/>
            <w:shd w:val="clear" w:color="auto" w:fill="66FFFF"/>
            <w:tcMar>
              <w:top w:w="0" w:type="dxa"/>
              <w:left w:w="108" w:type="dxa"/>
              <w:bottom w:w="0" w:type="dxa"/>
              <w:right w:w="108" w:type="dxa"/>
            </w:tcMar>
            <w:hideMark/>
          </w:tcPr>
          <w:p w14:paraId="2E4CB95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Acknowledges limitations while </w:t>
            </w:r>
            <w:r w:rsidRPr="002041B0">
              <w:rPr>
                <w:rFonts w:asciiTheme="minorBidi" w:eastAsia="Times New Roman" w:hAnsiTheme="minorBidi"/>
                <w:color w:val="000000"/>
                <w:kern w:val="0"/>
                <w14:ligatures w14:val="none"/>
              </w:rPr>
              <w:lastRenderedPageBreak/>
              <w:t>striving for objectivity</w:t>
            </w:r>
            <w:r w:rsidRPr="002041B0">
              <w:rPr>
                <w:rFonts w:asciiTheme="minorBidi" w:eastAsia="Times New Roman" w:hAnsiTheme="minorBidi"/>
                <w:color w:val="000000"/>
                <w:kern w:val="0"/>
                <w14:ligatures w14:val="none"/>
              </w:rPr>
              <w:br/>
              <w:t>• Multiple methods for comprehensive understanding</w:t>
            </w:r>
            <w:r w:rsidRPr="002041B0">
              <w:rPr>
                <w:rFonts w:asciiTheme="minorBidi" w:eastAsia="Times New Roman" w:hAnsiTheme="minorBidi"/>
                <w:color w:val="000000"/>
                <w:kern w:val="0"/>
                <w14:ligatures w14:val="none"/>
              </w:rPr>
              <w:br/>
              <w:t>• Recognises context influence</w:t>
            </w:r>
            <w:r w:rsidRPr="002041B0">
              <w:rPr>
                <w:rFonts w:asciiTheme="minorBidi" w:eastAsia="Times New Roman" w:hAnsiTheme="minorBidi"/>
                <w:color w:val="000000"/>
                <w:kern w:val="0"/>
                <w14:ligatures w14:val="none"/>
              </w:rPr>
              <w:br/>
              <w:t>• Encourages critical examination of biases</w:t>
            </w:r>
            <w:r w:rsidRPr="002041B0">
              <w:rPr>
                <w:rFonts w:asciiTheme="minorBidi" w:eastAsia="Times New Roman" w:hAnsiTheme="minorBidi"/>
                <w:color w:val="000000"/>
                <w:kern w:val="0"/>
                <w14:ligatures w14:val="none"/>
              </w:rPr>
              <w:br/>
              <w:t>• Foundation for theory development</w:t>
            </w:r>
          </w:p>
        </w:tc>
        <w:tc>
          <w:tcPr>
            <w:tcW w:w="703" w:type="pct"/>
            <w:shd w:val="clear" w:color="auto" w:fill="CCFF99"/>
            <w:tcMar>
              <w:top w:w="0" w:type="dxa"/>
              <w:left w:w="108" w:type="dxa"/>
              <w:bottom w:w="0" w:type="dxa"/>
              <w:right w:w="108" w:type="dxa"/>
            </w:tcMar>
            <w:hideMark/>
          </w:tcPr>
          <w:p w14:paraId="50702357"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Rich, in-depth understanding of </w:t>
            </w:r>
            <w:r w:rsidRPr="002041B0">
              <w:rPr>
                <w:rFonts w:asciiTheme="minorBidi" w:eastAsia="Times New Roman" w:hAnsiTheme="minorBidi"/>
                <w:color w:val="000000"/>
                <w:kern w:val="0"/>
                <w14:ligatures w14:val="none"/>
              </w:rPr>
              <w:lastRenderedPageBreak/>
              <w:t>experiences</w:t>
            </w:r>
            <w:r w:rsidRPr="002041B0">
              <w:rPr>
                <w:rFonts w:asciiTheme="minorBidi" w:eastAsia="Times New Roman" w:hAnsiTheme="minorBidi"/>
                <w:color w:val="000000"/>
                <w:kern w:val="0"/>
                <w14:ligatures w14:val="none"/>
              </w:rPr>
              <w:br/>
              <w:t>• Acknowledges subjective nature of reality</w:t>
            </w:r>
            <w:r w:rsidRPr="002041B0">
              <w:rPr>
                <w:rFonts w:asciiTheme="minorBidi" w:eastAsia="Times New Roman" w:hAnsiTheme="minorBidi"/>
                <w:color w:val="000000"/>
                <w:kern w:val="0"/>
                <w14:ligatures w14:val="none"/>
              </w:rPr>
              <w:br/>
              <w:t>• Explores complex, context-specific phenomena</w:t>
            </w:r>
            <w:r w:rsidRPr="002041B0">
              <w:rPr>
                <w:rFonts w:asciiTheme="minorBidi" w:eastAsia="Times New Roman" w:hAnsiTheme="minorBidi"/>
                <w:color w:val="000000"/>
                <w:kern w:val="0"/>
                <w14:ligatures w14:val="none"/>
              </w:rPr>
              <w:br/>
              <w:t>• Emphasises participants' viewpoints</w:t>
            </w:r>
            <w:r w:rsidRPr="002041B0">
              <w:rPr>
                <w:rFonts w:asciiTheme="minorBidi" w:eastAsia="Times New Roman" w:hAnsiTheme="minorBidi"/>
                <w:color w:val="000000"/>
                <w:kern w:val="0"/>
                <w14:ligatures w14:val="none"/>
              </w:rPr>
              <w:br/>
              <w:t>• Grounded in lived experiences</w:t>
            </w:r>
          </w:p>
        </w:tc>
        <w:tc>
          <w:tcPr>
            <w:tcW w:w="608" w:type="pct"/>
            <w:tcMar>
              <w:top w:w="0" w:type="dxa"/>
              <w:left w:w="108" w:type="dxa"/>
              <w:bottom w:w="0" w:type="dxa"/>
              <w:right w:w="108" w:type="dxa"/>
            </w:tcMar>
            <w:hideMark/>
          </w:tcPr>
          <w:p w14:paraId="7908926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Recognises active role in constructing </w:t>
            </w:r>
            <w:r w:rsidRPr="002041B0">
              <w:rPr>
                <w:rFonts w:asciiTheme="minorBidi" w:eastAsia="Times New Roman" w:hAnsiTheme="minorBidi"/>
                <w:color w:val="000000"/>
                <w:kern w:val="0"/>
                <w14:ligatures w14:val="none"/>
              </w:rPr>
              <w:lastRenderedPageBreak/>
              <w:t>realities</w:t>
            </w:r>
            <w:r w:rsidRPr="002041B0">
              <w:rPr>
                <w:rFonts w:asciiTheme="minorBidi" w:eastAsia="Times New Roman" w:hAnsiTheme="minorBidi"/>
                <w:color w:val="000000"/>
                <w:kern w:val="0"/>
                <w14:ligatures w14:val="none"/>
              </w:rPr>
              <w:br/>
              <w:t>• Emphasises social interaction and dialogue</w:t>
            </w:r>
            <w:r w:rsidRPr="002041B0">
              <w:rPr>
                <w:rFonts w:asciiTheme="minorBidi" w:eastAsia="Times New Roman" w:hAnsiTheme="minorBidi"/>
                <w:color w:val="000000"/>
                <w:kern w:val="0"/>
                <w14:ligatures w14:val="none"/>
              </w:rPr>
              <w:br/>
              <w:t>• Allows co-creation of knowledge</w:t>
            </w:r>
            <w:r w:rsidRPr="002041B0">
              <w:rPr>
                <w:rFonts w:asciiTheme="minorBidi" w:eastAsia="Times New Roman" w:hAnsiTheme="minorBidi"/>
                <w:color w:val="000000"/>
                <w:kern w:val="0"/>
                <w14:ligatures w14:val="none"/>
              </w:rPr>
              <w:br/>
              <w:t>• Framework for understanding sense-making</w:t>
            </w:r>
            <w:r w:rsidRPr="002041B0">
              <w:rPr>
                <w:rFonts w:asciiTheme="minorBidi" w:eastAsia="Times New Roman" w:hAnsiTheme="minorBidi"/>
                <w:color w:val="000000"/>
                <w:kern w:val="0"/>
                <w14:ligatures w14:val="none"/>
              </w:rPr>
              <w:br/>
              <w:t>• Grounded in specific contexts</w:t>
            </w:r>
          </w:p>
        </w:tc>
        <w:tc>
          <w:tcPr>
            <w:tcW w:w="554" w:type="pct"/>
            <w:shd w:val="clear" w:color="auto" w:fill="FFCC00"/>
            <w:tcMar>
              <w:top w:w="0" w:type="dxa"/>
              <w:left w:w="108" w:type="dxa"/>
              <w:bottom w:w="0" w:type="dxa"/>
              <w:right w:w="108" w:type="dxa"/>
            </w:tcMar>
            <w:hideMark/>
          </w:tcPr>
          <w:p w14:paraId="58E646EC"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Reveals multiple valid group </w:t>
            </w:r>
            <w:r w:rsidRPr="002041B0">
              <w:rPr>
                <w:rFonts w:asciiTheme="minorBidi" w:eastAsia="Times New Roman" w:hAnsiTheme="minorBidi"/>
                <w:color w:val="000000"/>
                <w:kern w:val="0"/>
                <w14:ligatures w14:val="none"/>
              </w:rPr>
              <w:lastRenderedPageBreak/>
              <w:t>perspectives in organisations</w:t>
            </w:r>
            <w:r w:rsidRPr="002041B0">
              <w:rPr>
                <w:rFonts w:asciiTheme="minorBidi" w:eastAsia="Times New Roman" w:hAnsiTheme="minorBidi"/>
                <w:color w:val="000000"/>
                <w:kern w:val="0"/>
                <w14:ligatures w14:val="none"/>
              </w:rPr>
              <w:br/>
              <w:t>• Explains why groups see things differently</w:t>
            </w:r>
            <w:r w:rsidRPr="002041B0">
              <w:rPr>
                <w:rFonts w:asciiTheme="minorBidi" w:eastAsia="Times New Roman" w:hAnsiTheme="minorBidi"/>
                <w:color w:val="000000"/>
                <w:kern w:val="0"/>
                <w14:ligatures w14:val="none"/>
              </w:rPr>
              <w:br/>
              <w:t>• Bridges communication gaps between stakeholders</w:t>
            </w:r>
            <w:r w:rsidRPr="002041B0">
              <w:rPr>
                <w:rFonts w:asciiTheme="minorBidi" w:eastAsia="Times New Roman" w:hAnsiTheme="minorBidi"/>
                <w:color w:val="000000"/>
                <w:kern w:val="0"/>
                <w14:ligatures w14:val="none"/>
              </w:rPr>
              <w:br/>
              <w:t>• Practical for managing diverse groups</w:t>
            </w:r>
            <w:r w:rsidRPr="002041B0">
              <w:rPr>
                <w:rFonts w:asciiTheme="minorBidi" w:eastAsia="Times New Roman" w:hAnsiTheme="minorBidi"/>
                <w:color w:val="000000"/>
                <w:kern w:val="0"/>
                <w14:ligatures w14:val="none"/>
              </w:rPr>
              <w:br/>
              <w:t>• Validates that different views are real to those groups</w:t>
            </w:r>
            <w:r w:rsidRPr="002041B0">
              <w:rPr>
                <w:rFonts w:asciiTheme="minorBidi" w:eastAsia="Times New Roman" w:hAnsiTheme="minorBidi"/>
                <w:color w:val="000000"/>
                <w:kern w:val="0"/>
                <w14:ligatures w14:val="none"/>
              </w:rPr>
              <w:br/>
              <w:t>• Helps navigate organisational politics</w:t>
            </w:r>
          </w:p>
        </w:tc>
        <w:tc>
          <w:tcPr>
            <w:tcW w:w="657" w:type="pct"/>
            <w:shd w:val="clear" w:color="auto" w:fill="FFCCFF"/>
            <w:tcMar>
              <w:top w:w="0" w:type="dxa"/>
              <w:left w:w="108" w:type="dxa"/>
              <w:bottom w:w="0" w:type="dxa"/>
              <w:right w:w="108" w:type="dxa"/>
            </w:tcMar>
            <w:hideMark/>
          </w:tcPr>
          <w:p w14:paraId="153BB82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Framework for examining power </w:t>
            </w:r>
            <w:r w:rsidRPr="002041B0">
              <w:rPr>
                <w:rFonts w:asciiTheme="minorBidi" w:eastAsia="Times New Roman" w:hAnsiTheme="minorBidi"/>
                <w:color w:val="000000"/>
                <w:kern w:val="0"/>
                <w14:ligatures w14:val="none"/>
              </w:rPr>
              <w:lastRenderedPageBreak/>
              <w:t>structures</w:t>
            </w:r>
            <w:r w:rsidRPr="002041B0">
              <w:rPr>
                <w:rFonts w:asciiTheme="minorBidi" w:eastAsia="Times New Roman" w:hAnsiTheme="minorBidi"/>
                <w:color w:val="000000"/>
                <w:kern w:val="0"/>
                <w14:ligatures w14:val="none"/>
              </w:rPr>
              <w:br/>
              <w:t>• Emphasises social justice</w:t>
            </w:r>
            <w:r w:rsidRPr="002041B0">
              <w:rPr>
                <w:rFonts w:asciiTheme="minorBidi" w:eastAsia="Times New Roman" w:hAnsiTheme="minorBidi"/>
                <w:color w:val="000000"/>
                <w:kern w:val="0"/>
                <w14:ligatures w14:val="none"/>
              </w:rPr>
              <w:br/>
              <w:t>• Encourages researcher reflexivity</w:t>
            </w:r>
            <w:r w:rsidRPr="002041B0">
              <w:rPr>
                <w:rFonts w:asciiTheme="minorBidi" w:eastAsia="Times New Roman" w:hAnsiTheme="minorBidi"/>
                <w:color w:val="000000"/>
                <w:kern w:val="0"/>
                <w14:ligatures w14:val="none"/>
              </w:rPr>
              <w:br/>
              <w:t>• Amplifies marginalised voices</w:t>
            </w:r>
            <w:r w:rsidRPr="002041B0">
              <w:rPr>
                <w:rFonts w:asciiTheme="minorBidi" w:eastAsia="Times New Roman" w:hAnsiTheme="minorBidi"/>
                <w:color w:val="000000"/>
                <w:kern w:val="0"/>
                <w14:ligatures w14:val="none"/>
              </w:rPr>
              <w:br/>
              <w:t>• Informs social action</w:t>
            </w:r>
          </w:p>
        </w:tc>
        <w:tc>
          <w:tcPr>
            <w:tcW w:w="519" w:type="pct"/>
            <w:shd w:val="clear" w:color="auto" w:fill="FFFF99"/>
            <w:tcMar>
              <w:top w:w="0" w:type="dxa"/>
              <w:left w:w="108" w:type="dxa"/>
              <w:bottom w:w="0" w:type="dxa"/>
              <w:right w:w="108" w:type="dxa"/>
            </w:tcMar>
            <w:hideMark/>
          </w:tcPr>
          <w:p w14:paraId="2F14AA01"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xml:space="preserve">• Focuses on practical </w:t>
            </w:r>
            <w:r w:rsidRPr="002041B0">
              <w:rPr>
                <w:rFonts w:asciiTheme="minorBidi" w:eastAsia="Times New Roman" w:hAnsiTheme="minorBidi"/>
                <w:color w:val="000000"/>
                <w:kern w:val="0"/>
                <w14:ligatures w14:val="none"/>
              </w:rPr>
              <w:lastRenderedPageBreak/>
              <w:t>implications</w:t>
            </w:r>
            <w:r w:rsidRPr="002041B0">
              <w:rPr>
                <w:rFonts w:asciiTheme="minorBidi" w:eastAsia="Times New Roman" w:hAnsiTheme="minorBidi"/>
                <w:color w:val="000000"/>
                <w:kern w:val="0"/>
                <w14:ligatures w14:val="none"/>
              </w:rPr>
              <w:br/>
              <w:t>• Multiple methods to address question</w:t>
            </w:r>
            <w:r w:rsidRPr="002041B0">
              <w:rPr>
                <w:rFonts w:asciiTheme="minorBidi" w:eastAsia="Times New Roman" w:hAnsiTheme="minorBidi"/>
                <w:color w:val="000000"/>
                <w:kern w:val="0"/>
                <w14:ligatures w14:val="none"/>
              </w:rPr>
              <w:br/>
              <w:t>• Flexibility and adaptability</w:t>
            </w:r>
            <w:r w:rsidRPr="002041B0">
              <w:rPr>
                <w:rFonts w:asciiTheme="minorBidi" w:eastAsia="Times New Roman" w:hAnsiTheme="minorBidi"/>
                <w:color w:val="000000"/>
                <w:kern w:val="0"/>
                <w14:ligatures w14:val="none"/>
              </w:rPr>
              <w:br/>
              <w:t>• Relevant, actionable findings</w:t>
            </w:r>
            <w:r w:rsidRPr="002041B0">
              <w:rPr>
                <w:rFonts w:asciiTheme="minorBidi" w:eastAsia="Times New Roman" w:hAnsiTheme="minorBidi"/>
                <w:color w:val="000000"/>
                <w:kern w:val="0"/>
                <w14:ligatures w14:val="none"/>
              </w:rPr>
              <w:br/>
              <w:t>• Responsive to stakeholders</w:t>
            </w:r>
          </w:p>
        </w:tc>
      </w:tr>
      <w:tr w:rsidR="00124566" w:rsidRPr="00124566" w14:paraId="625E8E6D" w14:textId="77777777" w:rsidTr="00D93057">
        <w:tc>
          <w:tcPr>
            <w:tcW w:w="834" w:type="pct"/>
            <w:tcMar>
              <w:top w:w="0" w:type="dxa"/>
              <w:left w:w="108" w:type="dxa"/>
              <w:bottom w:w="0" w:type="dxa"/>
              <w:right w:w="108" w:type="dxa"/>
            </w:tcMar>
            <w:hideMark/>
          </w:tcPr>
          <w:p w14:paraId="32062E1D"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lastRenderedPageBreak/>
              <w:t>Weaknesses</w:t>
            </w:r>
          </w:p>
        </w:tc>
        <w:tc>
          <w:tcPr>
            <w:tcW w:w="576" w:type="pct"/>
            <w:shd w:val="clear" w:color="auto" w:fill="99CCFF"/>
            <w:tcMar>
              <w:top w:w="0" w:type="dxa"/>
              <w:left w:w="108" w:type="dxa"/>
              <w:bottom w:w="0" w:type="dxa"/>
              <w:right w:w="108" w:type="dxa"/>
            </w:tcMar>
            <w:hideMark/>
          </w:tcPr>
          <w:p w14:paraId="3223E8FA"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May oversimplify complex phenomena</w:t>
            </w:r>
            <w:r w:rsidRPr="002041B0">
              <w:rPr>
                <w:rFonts w:asciiTheme="minorBidi" w:eastAsia="Times New Roman" w:hAnsiTheme="minorBidi"/>
                <w:color w:val="000000"/>
                <w:kern w:val="0"/>
                <w14:ligatures w14:val="none"/>
              </w:rPr>
              <w:br/>
              <w:t>• Ignores subjective experiences</w:t>
            </w:r>
            <w:r w:rsidRPr="002041B0">
              <w:rPr>
                <w:rFonts w:asciiTheme="minorBidi" w:eastAsia="Times New Roman" w:hAnsiTheme="minorBidi"/>
                <w:color w:val="000000"/>
                <w:kern w:val="0"/>
                <w14:ligatures w14:val="none"/>
              </w:rPr>
              <w:br/>
              <w:t>• Assumes objective reality independent of interpretation</w:t>
            </w:r>
            <w:r w:rsidRPr="002041B0">
              <w:rPr>
                <w:rFonts w:asciiTheme="minorBidi" w:eastAsia="Times New Roman" w:hAnsiTheme="minorBidi"/>
                <w:color w:val="000000"/>
                <w:kern w:val="0"/>
                <w14:ligatures w14:val="none"/>
              </w:rPr>
              <w:br/>
              <w:t>• Limited in capturing depth of human behaviour</w:t>
            </w:r>
            <w:r w:rsidRPr="002041B0">
              <w:rPr>
                <w:rFonts w:asciiTheme="minorBidi" w:eastAsia="Times New Roman" w:hAnsiTheme="minorBidi"/>
                <w:color w:val="000000"/>
                <w:kern w:val="0"/>
                <w14:ligatures w14:val="none"/>
              </w:rPr>
              <w:br/>
              <w:t>• May lack contextual relevance</w:t>
            </w:r>
          </w:p>
        </w:tc>
        <w:tc>
          <w:tcPr>
            <w:tcW w:w="549" w:type="pct"/>
            <w:shd w:val="clear" w:color="auto" w:fill="66FFFF"/>
            <w:tcMar>
              <w:top w:w="0" w:type="dxa"/>
              <w:left w:w="108" w:type="dxa"/>
              <w:bottom w:w="0" w:type="dxa"/>
              <w:right w:w="108" w:type="dxa"/>
            </w:tcMar>
            <w:hideMark/>
          </w:tcPr>
          <w:p w14:paraId="26AD7B8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Still relies heavily on quantitative methods</w:t>
            </w:r>
            <w:r w:rsidRPr="002041B0">
              <w:rPr>
                <w:rFonts w:asciiTheme="minorBidi" w:eastAsia="Times New Roman" w:hAnsiTheme="minorBidi"/>
                <w:color w:val="000000"/>
                <w:kern w:val="0"/>
                <w14:ligatures w14:val="none"/>
              </w:rPr>
              <w:br/>
              <w:t>• Assumes objective reality exists</w:t>
            </w:r>
            <w:r w:rsidRPr="002041B0">
              <w:rPr>
                <w:rFonts w:asciiTheme="minorBidi" w:eastAsia="Times New Roman" w:hAnsiTheme="minorBidi"/>
                <w:color w:val="000000"/>
                <w:kern w:val="0"/>
                <w14:ligatures w14:val="none"/>
              </w:rPr>
              <w:br/>
              <w:t>• May prioritise researcher expertise</w:t>
            </w:r>
            <w:r w:rsidRPr="002041B0">
              <w:rPr>
                <w:rFonts w:asciiTheme="minorBidi" w:eastAsia="Times New Roman" w:hAnsiTheme="minorBidi"/>
                <w:color w:val="000000"/>
                <w:kern w:val="0"/>
                <w14:ligatures w14:val="none"/>
              </w:rPr>
              <w:br/>
              <w:t>• Pursuit of objectivity may neglect researcher influence</w:t>
            </w:r>
            <w:r w:rsidRPr="002041B0">
              <w:rPr>
                <w:rFonts w:asciiTheme="minorBidi" w:eastAsia="Times New Roman" w:hAnsiTheme="minorBidi"/>
                <w:color w:val="000000"/>
                <w:kern w:val="0"/>
                <w14:ligatures w14:val="none"/>
              </w:rPr>
              <w:br/>
              <w:t>• Limited transferability</w:t>
            </w:r>
          </w:p>
        </w:tc>
        <w:tc>
          <w:tcPr>
            <w:tcW w:w="703" w:type="pct"/>
            <w:shd w:val="clear" w:color="auto" w:fill="CCFF99"/>
            <w:tcMar>
              <w:top w:w="0" w:type="dxa"/>
              <w:left w:w="108" w:type="dxa"/>
              <w:bottom w:w="0" w:type="dxa"/>
              <w:right w:w="108" w:type="dxa"/>
            </w:tcMar>
            <w:hideMark/>
          </w:tcPr>
          <w:p w14:paraId="68682F5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Findings may be context-specific</w:t>
            </w:r>
            <w:r w:rsidRPr="002041B0">
              <w:rPr>
                <w:rFonts w:asciiTheme="minorBidi" w:eastAsia="Times New Roman" w:hAnsiTheme="minorBidi"/>
                <w:color w:val="000000"/>
                <w:kern w:val="0"/>
                <w14:ligatures w14:val="none"/>
              </w:rPr>
              <w:br/>
              <w:t>• Relies on researcher's interpretive skills</w:t>
            </w:r>
            <w:r w:rsidRPr="002041B0">
              <w:rPr>
                <w:rFonts w:asciiTheme="minorBidi" w:eastAsia="Times New Roman" w:hAnsiTheme="minorBidi"/>
                <w:color w:val="000000"/>
                <w:kern w:val="0"/>
                <w14:ligatures w14:val="none"/>
              </w:rPr>
              <w:br/>
              <w:t>• May be influenced by biases</w:t>
            </w:r>
            <w:r w:rsidRPr="002041B0">
              <w:rPr>
                <w:rFonts w:asciiTheme="minorBidi" w:eastAsia="Times New Roman" w:hAnsiTheme="minorBidi"/>
                <w:color w:val="000000"/>
                <w:kern w:val="0"/>
                <w14:ligatures w14:val="none"/>
              </w:rPr>
              <w:br/>
              <w:t>• Subjective nature raises reliability questions</w:t>
            </w:r>
            <w:r w:rsidRPr="002041B0">
              <w:rPr>
                <w:rFonts w:asciiTheme="minorBidi" w:eastAsia="Times New Roman" w:hAnsiTheme="minorBidi"/>
                <w:color w:val="000000"/>
                <w:kern w:val="0"/>
                <w14:ligatures w14:val="none"/>
              </w:rPr>
              <w:br/>
              <w:t>• Time-intensive</w:t>
            </w:r>
          </w:p>
        </w:tc>
        <w:tc>
          <w:tcPr>
            <w:tcW w:w="608" w:type="pct"/>
            <w:tcMar>
              <w:top w:w="0" w:type="dxa"/>
              <w:left w:w="108" w:type="dxa"/>
              <w:bottom w:w="0" w:type="dxa"/>
              <w:right w:w="108" w:type="dxa"/>
            </w:tcMar>
            <w:hideMark/>
          </w:tcPr>
          <w:p w14:paraId="7FEE471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Findings highly specific to contexts</w:t>
            </w:r>
            <w:r w:rsidRPr="002041B0">
              <w:rPr>
                <w:rFonts w:asciiTheme="minorBidi" w:eastAsia="Times New Roman" w:hAnsiTheme="minorBidi"/>
                <w:color w:val="000000"/>
                <w:kern w:val="0"/>
                <w14:ligatures w14:val="none"/>
              </w:rPr>
              <w:br/>
              <w:t>• Emphasis on subjectivity raises credibility questions</w:t>
            </w:r>
            <w:r w:rsidRPr="002041B0">
              <w:rPr>
                <w:rFonts w:asciiTheme="minorBidi" w:eastAsia="Times New Roman" w:hAnsiTheme="minorBidi"/>
                <w:color w:val="000000"/>
                <w:kern w:val="0"/>
                <w14:ligatures w14:val="none"/>
              </w:rPr>
              <w:br/>
              <w:t>• May blur researcher-participant roles</w:t>
            </w:r>
            <w:r w:rsidRPr="002041B0">
              <w:rPr>
                <w:rFonts w:asciiTheme="minorBidi" w:eastAsia="Times New Roman" w:hAnsiTheme="minorBidi"/>
                <w:color w:val="000000"/>
                <w:kern w:val="0"/>
                <w14:ligatures w14:val="none"/>
              </w:rPr>
              <w:br/>
              <w:t>• Lack of objective reality makes consensus difficult</w:t>
            </w:r>
            <w:r w:rsidRPr="002041B0">
              <w:rPr>
                <w:rFonts w:asciiTheme="minorBidi" w:eastAsia="Times New Roman" w:hAnsiTheme="minorBidi"/>
                <w:color w:val="000000"/>
                <w:kern w:val="0"/>
                <w14:ligatures w14:val="none"/>
              </w:rPr>
              <w:br/>
              <w:t>• Time-intensive process</w:t>
            </w:r>
          </w:p>
        </w:tc>
        <w:tc>
          <w:tcPr>
            <w:tcW w:w="554" w:type="pct"/>
            <w:shd w:val="clear" w:color="auto" w:fill="FFCC00"/>
            <w:tcMar>
              <w:top w:w="0" w:type="dxa"/>
              <w:left w:w="108" w:type="dxa"/>
              <w:bottom w:w="0" w:type="dxa"/>
              <w:right w:w="108" w:type="dxa"/>
            </w:tcMar>
            <w:hideMark/>
          </w:tcPr>
          <w:p w14:paraId="732A600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May appear relativistic (all views equally valid?)</w:t>
            </w:r>
            <w:r w:rsidRPr="002041B0">
              <w:rPr>
                <w:rFonts w:asciiTheme="minorBidi" w:eastAsia="Times New Roman" w:hAnsiTheme="minorBidi"/>
                <w:color w:val="000000"/>
                <w:kern w:val="0"/>
                <w14:ligatures w14:val="none"/>
              </w:rPr>
              <w:br/>
              <w:t>• Findings specific to studied groups and contexts</w:t>
            </w:r>
            <w:r w:rsidRPr="002041B0">
              <w:rPr>
                <w:rFonts w:asciiTheme="minorBidi" w:eastAsia="Times New Roman" w:hAnsiTheme="minorBidi"/>
                <w:color w:val="000000"/>
                <w:kern w:val="0"/>
                <w14:ligatures w14:val="none"/>
              </w:rPr>
              <w:br/>
              <w:t>• Doesn't prescribe which construction is 'right'</w:t>
            </w:r>
            <w:r w:rsidRPr="002041B0">
              <w:rPr>
                <w:rFonts w:asciiTheme="minorBidi" w:eastAsia="Times New Roman" w:hAnsiTheme="minorBidi"/>
                <w:color w:val="000000"/>
                <w:kern w:val="0"/>
                <w14:ligatures w14:val="none"/>
              </w:rPr>
              <w:br/>
              <w:t>• May not provide immediate actionable solutions</w:t>
            </w:r>
            <w:r w:rsidRPr="002041B0">
              <w:rPr>
                <w:rFonts w:asciiTheme="minorBidi" w:eastAsia="Times New Roman" w:hAnsiTheme="minorBidi"/>
                <w:color w:val="000000"/>
                <w:kern w:val="0"/>
                <w14:ligatures w14:val="none"/>
              </w:rPr>
              <w:br/>
              <w:t>• Can be challenging to reconcile conflicting constructions</w:t>
            </w:r>
            <w:r w:rsidRPr="002041B0">
              <w:rPr>
                <w:rFonts w:asciiTheme="minorBidi" w:eastAsia="Times New Roman" w:hAnsiTheme="minorBidi"/>
                <w:color w:val="000000"/>
                <w:kern w:val="0"/>
                <w14:ligatures w14:val="none"/>
              </w:rPr>
              <w:br/>
              <w:t>• Requires access to multiple groups</w:t>
            </w:r>
          </w:p>
        </w:tc>
        <w:tc>
          <w:tcPr>
            <w:tcW w:w="657" w:type="pct"/>
            <w:shd w:val="clear" w:color="auto" w:fill="FFCCFF"/>
            <w:tcMar>
              <w:top w:w="0" w:type="dxa"/>
              <w:left w:w="108" w:type="dxa"/>
              <w:bottom w:w="0" w:type="dxa"/>
              <w:right w:w="108" w:type="dxa"/>
            </w:tcMar>
            <w:hideMark/>
          </w:tcPr>
          <w:p w14:paraId="3BB2AD3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Explicitly political nature raises objectivity questions</w:t>
            </w:r>
            <w:r w:rsidRPr="002041B0">
              <w:rPr>
                <w:rFonts w:asciiTheme="minorBidi" w:eastAsia="Times New Roman" w:hAnsiTheme="minorBidi"/>
                <w:color w:val="000000"/>
                <w:kern w:val="0"/>
                <w14:ligatures w14:val="none"/>
              </w:rPr>
              <w:br/>
              <w:t>• Focus on specific issues may limit generalisability</w:t>
            </w:r>
            <w:r w:rsidRPr="002041B0">
              <w:rPr>
                <w:rFonts w:asciiTheme="minorBidi" w:eastAsia="Times New Roman" w:hAnsiTheme="minorBidi"/>
                <w:color w:val="000000"/>
                <w:kern w:val="0"/>
                <w14:ligatures w14:val="none"/>
              </w:rPr>
              <w:br/>
              <w:t>• Critical stance may strain relationships</w:t>
            </w:r>
            <w:r w:rsidRPr="002041B0">
              <w:rPr>
                <w:rFonts w:asciiTheme="minorBidi" w:eastAsia="Times New Roman" w:hAnsiTheme="minorBidi"/>
                <w:color w:val="000000"/>
                <w:kern w:val="0"/>
                <w14:ligatures w14:val="none"/>
              </w:rPr>
              <w:br/>
              <w:t>• Influenced by researcher's ideological commitments</w:t>
            </w:r>
            <w:r w:rsidRPr="002041B0">
              <w:rPr>
                <w:rFonts w:asciiTheme="minorBidi" w:eastAsia="Times New Roman" w:hAnsiTheme="minorBidi"/>
                <w:color w:val="000000"/>
                <w:kern w:val="0"/>
                <w14:ligatures w14:val="none"/>
              </w:rPr>
              <w:br/>
              <w:t>• Critique may overshadow practical solutions</w:t>
            </w:r>
          </w:p>
        </w:tc>
        <w:tc>
          <w:tcPr>
            <w:tcW w:w="519" w:type="pct"/>
            <w:shd w:val="clear" w:color="auto" w:fill="FFFF99"/>
            <w:tcMar>
              <w:top w:w="0" w:type="dxa"/>
              <w:left w:w="108" w:type="dxa"/>
              <w:bottom w:w="0" w:type="dxa"/>
              <w:right w:w="108" w:type="dxa"/>
            </w:tcMar>
            <w:hideMark/>
          </w:tcPr>
          <w:p w14:paraId="50AB9AC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Emphasis on practicality may sacrifice theoretical depth</w:t>
            </w:r>
            <w:r w:rsidRPr="002041B0">
              <w:rPr>
                <w:rFonts w:asciiTheme="minorBidi" w:eastAsia="Times New Roman" w:hAnsiTheme="minorBidi"/>
                <w:color w:val="000000"/>
                <w:kern w:val="0"/>
                <w14:ligatures w14:val="none"/>
              </w:rPr>
              <w:br/>
              <w:t>• Multiple methods may lack coherence</w:t>
            </w:r>
            <w:r w:rsidRPr="002041B0">
              <w:rPr>
                <w:rFonts w:asciiTheme="minorBidi" w:eastAsia="Times New Roman" w:hAnsiTheme="minorBidi"/>
                <w:color w:val="000000"/>
                <w:kern w:val="0"/>
                <w14:ligatures w14:val="none"/>
              </w:rPr>
              <w:br/>
              <w:t>• May be influenced by those in power</w:t>
            </w:r>
            <w:r w:rsidRPr="002041B0">
              <w:rPr>
                <w:rFonts w:asciiTheme="minorBidi" w:eastAsia="Times New Roman" w:hAnsiTheme="minorBidi"/>
                <w:color w:val="000000"/>
                <w:kern w:val="0"/>
                <w14:ligatures w14:val="none"/>
              </w:rPr>
              <w:br/>
              <w:t>• Flexibility makes quality evaluation difficult</w:t>
            </w:r>
            <w:r w:rsidRPr="002041B0">
              <w:rPr>
                <w:rFonts w:asciiTheme="minorBidi" w:eastAsia="Times New Roman" w:hAnsiTheme="minorBidi"/>
                <w:color w:val="000000"/>
                <w:kern w:val="0"/>
                <w14:ligatures w14:val="none"/>
              </w:rPr>
              <w:br/>
              <w:t>• May overlook broader contexts</w:t>
            </w:r>
          </w:p>
        </w:tc>
      </w:tr>
      <w:tr w:rsidR="00124566" w:rsidRPr="00124566" w14:paraId="632F6098" w14:textId="77777777" w:rsidTr="00D93057">
        <w:tc>
          <w:tcPr>
            <w:tcW w:w="834" w:type="pct"/>
            <w:tcMar>
              <w:top w:w="0" w:type="dxa"/>
              <w:left w:w="108" w:type="dxa"/>
              <w:bottom w:w="0" w:type="dxa"/>
              <w:right w:w="108" w:type="dxa"/>
            </w:tcMar>
            <w:hideMark/>
          </w:tcPr>
          <w:p w14:paraId="46D9D95E" w14:textId="77777777"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Ethics</w:t>
            </w:r>
          </w:p>
        </w:tc>
        <w:tc>
          <w:tcPr>
            <w:tcW w:w="576" w:type="pct"/>
            <w:shd w:val="clear" w:color="auto" w:fill="99CCFF"/>
            <w:tcMar>
              <w:top w:w="0" w:type="dxa"/>
              <w:left w:w="108" w:type="dxa"/>
              <w:bottom w:w="0" w:type="dxa"/>
              <w:right w:w="108" w:type="dxa"/>
            </w:tcMar>
            <w:hideMark/>
          </w:tcPr>
          <w:p w14:paraId="2E74D50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Informed consent</w:t>
            </w:r>
            <w:r w:rsidRPr="002041B0">
              <w:rPr>
                <w:rFonts w:asciiTheme="minorBidi" w:eastAsia="Times New Roman" w:hAnsiTheme="minorBidi"/>
                <w:color w:val="000000"/>
                <w:kern w:val="0"/>
                <w14:ligatures w14:val="none"/>
              </w:rPr>
              <w:br/>
              <w:t>• Confidentiality and anonymity</w:t>
            </w:r>
            <w:r w:rsidRPr="002041B0">
              <w:rPr>
                <w:rFonts w:asciiTheme="minorBidi" w:eastAsia="Times New Roman" w:hAnsiTheme="minorBidi"/>
                <w:color w:val="000000"/>
                <w:kern w:val="0"/>
                <w14:ligatures w14:val="none"/>
              </w:rPr>
              <w:br/>
              <w:t>• Minimising harm</w:t>
            </w:r>
            <w:r w:rsidRPr="002041B0">
              <w:rPr>
                <w:rFonts w:asciiTheme="minorBidi" w:eastAsia="Times New Roman" w:hAnsiTheme="minorBidi"/>
                <w:color w:val="000000"/>
                <w:kern w:val="0"/>
                <w14:ligatures w14:val="none"/>
              </w:rPr>
              <w:br/>
              <w:t>• Objectivity and neutrality</w:t>
            </w:r>
            <w:r w:rsidRPr="002041B0">
              <w:rPr>
                <w:rFonts w:asciiTheme="minorBidi" w:eastAsia="Times New Roman" w:hAnsiTheme="minorBidi"/>
                <w:color w:val="000000"/>
                <w:kern w:val="0"/>
                <w14:ligatures w14:val="none"/>
              </w:rPr>
              <w:br/>
              <w:t>• Transparency in reporting</w:t>
            </w:r>
            <w:r w:rsidRPr="002041B0">
              <w:rPr>
                <w:rFonts w:asciiTheme="minorBidi" w:eastAsia="Times New Roman" w:hAnsiTheme="minorBidi"/>
                <w:color w:val="000000"/>
                <w:kern w:val="0"/>
                <w14:ligatures w14:val="none"/>
              </w:rPr>
              <w:br/>
              <w:t>• Avoiding data manipulation</w:t>
            </w:r>
            <w:r w:rsidRPr="002041B0">
              <w:rPr>
                <w:rFonts w:asciiTheme="minorBidi" w:eastAsia="Times New Roman" w:hAnsiTheme="minorBidi"/>
                <w:color w:val="000000"/>
                <w:kern w:val="0"/>
                <w14:ligatures w14:val="none"/>
              </w:rPr>
              <w:br/>
              <w:t>• Considering societal impacts</w:t>
            </w:r>
          </w:p>
        </w:tc>
        <w:tc>
          <w:tcPr>
            <w:tcW w:w="549" w:type="pct"/>
            <w:shd w:val="clear" w:color="auto" w:fill="66FFFF"/>
            <w:tcMar>
              <w:top w:w="0" w:type="dxa"/>
              <w:left w:w="108" w:type="dxa"/>
              <w:bottom w:w="0" w:type="dxa"/>
              <w:right w:w="108" w:type="dxa"/>
            </w:tcMar>
            <w:hideMark/>
          </w:tcPr>
          <w:p w14:paraId="531D13E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Acknowledging researcher bias</w:t>
            </w:r>
            <w:r w:rsidRPr="002041B0">
              <w:rPr>
                <w:rFonts w:asciiTheme="minorBidi" w:eastAsia="Times New Roman" w:hAnsiTheme="minorBidi"/>
                <w:color w:val="000000"/>
                <w:kern w:val="0"/>
                <w14:ligatures w14:val="none"/>
              </w:rPr>
              <w:br/>
              <w:t>• Ethical handling of probabilistic findings</w:t>
            </w:r>
            <w:r w:rsidRPr="002041B0">
              <w:rPr>
                <w:rFonts w:asciiTheme="minorBidi" w:eastAsia="Times New Roman" w:hAnsiTheme="minorBidi"/>
                <w:color w:val="000000"/>
                <w:kern w:val="0"/>
                <w14:ligatures w14:val="none"/>
              </w:rPr>
              <w:br/>
              <w:t>• Ensuring validity and reliability</w:t>
            </w:r>
            <w:r w:rsidRPr="002041B0">
              <w:rPr>
                <w:rFonts w:asciiTheme="minorBidi" w:eastAsia="Times New Roman" w:hAnsiTheme="minorBidi"/>
                <w:color w:val="000000"/>
                <w:kern w:val="0"/>
                <w14:ligatures w14:val="none"/>
              </w:rPr>
              <w:br/>
              <w:t>• Responsible interpretation acknowledging limitations</w:t>
            </w:r>
            <w:r w:rsidRPr="002041B0">
              <w:rPr>
                <w:rFonts w:asciiTheme="minorBidi" w:eastAsia="Times New Roman" w:hAnsiTheme="minorBidi"/>
                <w:color w:val="000000"/>
                <w:kern w:val="0"/>
                <w14:ligatures w14:val="none"/>
              </w:rPr>
              <w:br/>
              <w:t>• Considering implications of generalising</w:t>
            </w:r>
          </w:p>
        </w:tc>
        <w:tc>
          <w:tcPr>
            <w:tcW w:w="703" w:type="pct"/>
            <w:shd w:val="clear" w:color="auto" w:fill="CCFF99"/>
            <w:tcMar>
              <w:top w:w="0" w:type="dxa"/>
              <w:left w:w="108" w:type="dxa"/>
              <w:bottom w:w="0" w:type="dxa"/>
              <w:right w:w="108" w:type="dxa"/>
            </w:tcMar>
            <w:hideMark/>
          </w:tcPr>
          <w:p w14:paraId="1D91851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Building trust and rapport</w:t>
            </w:r>
            <w:r w:rsidRPr="002041B0">
              <w:rPr>
                <w:rFonts w:asciiTheme="minorBidi" w:eastAsia="Times New Roman" w:hAnsiTheme="minorBidi"/>
                <w:color w:val="000000"/>
                <w:kern w:val="0"/>
                <w14:ligatures w14:val="none"/>
              </w:rPr>
              <w:br/>
              <w:t>• Maintaining confidentiality</w:t>
            </w:r>
            <w:r w:rsidRPr="002041B0">
              <w:rPr>
                <w:rFonts w:asciiTheme="minorBidi" w:eastAsia="Times New Roman" w:hAnsiTheme="minorBidi"/>
                <w:color w:val="000000"/>
                <w:kern w:val="0"/>
                <w14:ligatures w14:val="none"/>
              </w:rPr>
              <w:br/>
              <w:t>• Ethical representation of diverse viewpoints</w:t>
            </w:r>
            <w:r w:rsidRPr="002041B0">
              <w:rPr>
                <w:rFonts w:asciiTheme="minorBidi" w:eastAsia="Times New Roman" w:hAnsiTheme="minorBidi"/>
                <w:color w:val="000000"/>
                <w:kern w:val="0"/>
                <w14:ligatures w14:val="none"/>
              </w:rPr>
              <w:br/>
              <w:t>• Managing power dynamics</w:t>
            </w:r>
            <w:r w:rsidRPr="002041B0">
              <w:rPr>
                <w:rFonts w:asciiTheme="minorBidi" w:eastAsia="Times New Roman" w:hAnsiTheme="minorBidi"/>
                <w:color w:val="000000"/>
                <w:kern w:val="0"/>
                <w14:ligatures w14:val="none"/>
              </w:rPr>
              <w:br/>
              <w:t>• Reflexivity in acknowledging researcher's role</w:t>
            </w:r>
          </w:p>
        </w:tc>
        <w:tc>
          <w:tcPr>
            <w:tcW w:w="608" w:type="pct"/>
            <w:tcMar>
              <w:top w:w="0" w:type="dxa"/>
              <w:left w:w="108" w:type="dxa"/>
              <w:bottom w:w="0" w:type="dxa"/>
              <w:right w:w="108" w:type="dxa"/>
            </w:tcMar>
            <w:hideMark/>
          </w:tcPr>
          <w:p w14:paraId="72ACC7EE"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Collaboration and power-sharing</w:t>
            </w:r>
            <w:r w:rsidRPr="002041B0">
              <w:rPr>
                <w:rFonts w:asciiTheme="minorBidi" w:eastAsia="Times New Roman" w:hAnsiTheme="minorBidi"/>
                <w:color w:val="000000"/>
                <w:kern w:val="0"/>
                <w14:ligatures w14:val="none"/>
              </w:rPr>
              <w:br/>
              <w:t>• Co-creation of knowledge</w:t>
            </w:r>
            <w:r w:rsidRPr="002041B0">
              <w:rPr>
                <w:rFonts w:asciiTheme="minorBidi" w:eastAsia="Times New Roman" w:hAnsiTheme="minorBidi"/>
                <w:color w:val="000000"/>
                <w:kern w:val="0"/>
                <w14:ligatures w14:val="none"/>
              </w:rPr>
              <w:br/>
              <w:t>• Representing multiple realities</w:t>
            </w:r>
            <w:r w:rsidRPr="002041B0">
              <w:rPr>
                <w:rFonts w:asciiTheme="minorBidi" w:eastAsia="Times New Roman" w:hAnsiTheme="minorBidi"/>
                <w:color w:val="000000"/>
                <w:kern w:val="0"/>
                <w14:ligatures w14:val="none"/>
              </w:rPr>
              <w:br/>
              <w:t>• Respecting cultural/individual constructions</w:t>
            </w:r>
            <w:r w:rsidRPr="002041B0">
              <w:rPr>
                <w:rFonts w:asciiTheme="minorBidi" w:eastAsia="Times New Roman" w:hAnsiTheme="minorBidi"/>
                <w:color w:val="000000"/>
                <w:kern w:val="0"/>
                <w14:ligatures w14:val="none"/>
              </w:rPr>
              <w:br/>
              <w:t>• Informed consent in participatory research</w:t>
            </w:r>
            <w:r w:rsidRPr="002041B0">
              <w:rPr>
                <w:rFonts w:asciiTheme="minorBidi" w:eastAsia="Times New Roman" w:hAnsiTheme="minorBidi"/>
                <w:color w:val="000000"/>
                <w:kern w:val="0"/>
                <w14:ligatures w14:val="none"/>
              </w:rPr>
              <w:br/>
              <w:t>• Addressing conflicts in collaboration</w:t>
            </w:r>
          </w:p>
        </w:tc>
        <w:tc>
          <w:tcPr>
            <w:tcW w:w="554" w:type="pct"/>
            <w:shd w:val="clear" w:color="auto" w:fill="FFCC00"/>
            <w:tcMar>
              <w:top w:w="0" w:type="dxa"/>
              <w:left w:w="108" w:type="dxa"/>
              <w:bottom w:w="0" w:type="dxa"/>
              <w:right w:w="108" w:type="dxa"/>
            </w:tcMar>
            <w:hideMark/>
          </w:tcPr>
          <w:p w14:paraId="697EF536"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Representing all groups fairly without privileging one</w:t>
            </w:r>
            <w:r w:rsidRPr="002041B0">
              <w:rPr>
                <w:rFonts w:asciiTheme="minorBidi" w:eastAsia="Times New Roman" w:hAnsiTheme="minorBidi"/>
                <w:color w:val="000000"/>
                <w:kern w:val="0"/>
                <w14:ligatures w14:val="none"/>
              </w:rPr>
              <w:br/>
              <w:t>• Reflexivity about researcher's own group memberships</w:t>
            </w:r>
            <w:r w:rsidRPr="002041B0">
              <w:rPr>
                <w:rFonts w:asciiTheme="minorBidi" w:eastAsia="Times New Roman" w:hAnsiTheme="minorBidi"/>
                <w:color w:val="000000"/>
                <w:kern w:val="0"/>
                <w14:ligatures w14:val="none"/>
              </w:rPr>
              <w:br/>
              <w:t>• Transparency about which constructions are foregrounded</w:t>
            </w:r>
            <w:r w:rsidRPr="002041B0">
              <w:rPr>
                <w:rFonts w:asciiTheme="minorBidi" w:eastAsia="Times New Roman" w:hAnsiTheme="minorBidi"/>
                <w:color w:val="000000"/>
                <w:kern w:val="0"/>
                <w14:ligatures w14:val="none"/>
              </w:rPr>
              <w:br/>
              <w:t>• Ensuring all groups understand research purpose</w:t>
            </w:r>
            <w:r w:rsidRPr="002041B0">
              <w:rPr>
                <w:rFonts w:asciiTheme="minorBidi" w:eastAsia="Times New Roman" w:hAnsiTheme="minorBidi"/>
                <w:color w:val="000000"/>
                <w:kern w:val="0"/>
                <w14:ligatures w14:val="none"/>
              </w:rPr>
              <w:br/>
              <w:t>• Managing tensions when groups have conflicting views</w:t>
            </w:r>
            <w:r w:rsidRPr="002041B0">
              <w:rPr>
                <w:rFonts w:asciiTheme="minorBidi" w:eastAsia="Times New Roman" w:hAnsiTheme="minorBidi"/>
                <w:color w:val="000000"/>
                <w:kern w:val="0"/>
                <w14:ligatures w14:val="none"/>
              </w:rPr>
              <w:br/>
            </w:r>
            <w:r w:rsidRPr="002041B0">
              <w:rPr>
                <w:rFonts w:asciiTheme="minorBidi" w:eastAsia="Times New Roman" w:hAnsiTheme="minorBidi"/>
                <w:color w:val="000000"/>
                <w:kern w:val="0"/>
                <w14:ligatures w14:val="none"/>
              </w:rPr>
              <w:lastRenderedPageBreak/>
              <w:t>• Avoiding stereotyping groups</w:t>
            </w:r>
          </w:p>
        </w:tc>
        <w:tc>
          <w:tcPr>
            <w:tcW w:w="657" w:type="pct"/>
            <w:shd w:val="clear" w:color="auto" w:fill="FFCCFF"/>
            <w:tcMar>
              <w:top w:w="0" w:type="dxa"/>
              <w:left w:w="108" w:type="dxa"/>
              <w:bottom w:w="0" w:type="dxa"/>
              <w:right w:w="108" w:type="dxa"/>
            </w:tcMar>
            <w:hideMark/>
          </w:tcPr>
          <w:p w14:paraId="46920D4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lastRenderedPageBreak/>
              <w:t>• Addressing power imbalances</w:t>
            </w:r>
            <w:r w:rsidRPr="002041B0">
              <w:rPr>
                <w:rFonts w:asciiTheme="minorBidi" w:eastAsia="Times New Roman" w:hAnsiTheme="minorBidi"/>
                <w:color w:val="000000"/>
                <w:kern w:val="0"/>
                <w14:ligatures w14:val="none"/>
              </w:rPr>
              <w:br/>
              <w:t>• Ethical considerations in challenging structures</w:t>
            </w:r>
            <w:r w:rsidRPr="002041B0">
              <w:rPr>
                <w:rFonts w:asciiTheme="minorBidi" w:eastAsia="Times New Roman" w:hAnsiTheme="minorBidi"/>
                <w:color w:val="000000"/>
                <w:kern w:val="0"/>
                <w14:ligatures w14:val="none"/>
              </w:rPr>
              <w:br/>
              <w:t>• Ensuring research benefits marginalized groups</w:t>
            </w:r>
            <w:r w:rsidRPr="002041B0">
              <w:rPr>
                <w:rFonts w:asciiTheme="minorBidi" w:eastAsia="Times New Roman" w:hAnsiTheme="minorBidi"/>
                <w:color w:val="000000"/>
                <w:kern w:val="0"/>
                <w14:ligatures w14:val="none"/>
              </w:rPr>
              <w:br/>
              <w:t>• Avoiding exploitation</w:t>
            </w:r>
            <w:r w:rsidRPr="002041B0">
              <w:rPr>
                <w:rFonts w:asciiTheme="minorBidi" w:eastAsia="Times New Roman" w:hAnsiTheme="minorBidi"/>
                <w:color w:val="000000"/>
                <w:kern w:val="0"/>
                <w14:ligatures w14:val="none"/>
              </w:rPr>
              <w:br/>
              <w:t>• Balancing critique with respect</w:t>
            </w:r>
          </w:p>
        </w:tc>
        <w:tc>
          <w:tcPr>
            <w:tcW w:w="519" w:type="pct"/>
            <w:shd w:val="clear" w:color="auto" w:fill="FFFF99"/>
            <w:tcMar>
              <w:top w:w="0" w:type="dxa"/>
              <w:left w:w="108" w:type="dxa"/>
              <w:bottom w:w="0" w:type="dxa"/>
              <w:right w:w="108" w:type="dxa"/>
            </w:tcMar>
            <w:hideMark/>
          </w:tcPr>
          <w:p w14:paraId="6C1455E0"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 Focusing on 'what works'</w:t>
            </w:r>
            <w:r w:rsidRPr="002041B0">
              <w:rPr>
                <w:rFonts w:asciiTheme="minorBidi" w:eastAsia="Times New Roman" w:hAnsiTheme="minorBidi"/>
                <w:color w:val="000000"/>
                <w:kern w:val="0"/>
                <w14:ligatures w14:val="none"/>
              </w:rPr>
              <w:br/>
              <w:t>• Considering short and long-term consequences</w:t>
            </w:r>
            <w:r w:rsidRPr="002041B0">
              <w:rPr>
                <w:rFonts w:asciiTheme="minorBidi" w:eastAsia="Times New Roman" w:hAnsiTheme="minorBidi"/>
                <w:color w:val="000000"/>
                <w:kern w:val="0"/>
                <w14:ligatures w14:val="none"/>
              </w:rPr>
              <w:br/>
              <w:t>• Balancing practical and ethical considerations</w:t>
            </w:r>
            <w:r w:rsidRPr="002041B0">
              <w:rPr>
                <w:rFonts w:asciiTheme="minorBidi" w:eastAsia="Times New Roman" w:hAnsiTheme="minorBidi"/>
                <w:color w:val="000000"/>
                <w:kern w:val="0"/>
                <w14:ligatures w14:val="none"/>
              </w:rPr>
              <w:br/>
              <w:t>• Ensuring fairness in methods</w:t>
            </w:r>
            <w:r w:rsidRPr="002041B0">
              <w:rPr>
                <w:rFonts w:asciiTheme="minorBidi" w:eastAsia="Times New Roman" w:hAnsiTheme="minorBidi"/>
                <w:color w:val="000000"/>
                <w:kern w:val="0"/>
                <w14:ligatures w14:val="none"/>
              </w:rPr>
              <w:br/>
              <w:t>• Addressing practical-ethical conflicts</w:t>
            </w:r>
          </w:p>
        </w:tc>
      </w:tr>
      <w:tr w:rsidR="002F5607" w:rsidRPr="00124566" w14:paraId="1546AAD9" w14:textId="77777777" w:rsidTr="0027306D">
        <w:tc>
          <w:tcPr>
            <w:tcW w:w="834" w:type="pct"/>
            <w:tcMar>
              <w:top w:w="0" w:type="dxa"/>
              <w:left w:w="108" w:type="dxa"/>
              <w:bottom w:w="0" w:type="dxa"/>
              <w:right w:w="108" w:type="dxa"/>
            </w:tcMar>
            <w:hideMark/>
          </w:tcPr>
          <w:p w14:paraId="2B99888D" w14:textId="77777777" w:rsidR="002F5607" w:rsidRPr="002041B0" w:rsidRDefault="002F5607"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Common ethical considerations across all paradigms</w:t>
            </w:r>
          </w:p>
        </w:tc>
        <w:tc>
          <w:tcPr>
            <w:tcW w:w="4166" w:type="pct"/>
            <w:gridSpan w:val="7"/>
            <w:shd w:val="clear" w:color="auto" w:fill="FFCC99"/>
            <w:tcMar>
              <w:top w:w="0" w:type="dxa"/>
              <w:left w:w="108" w:type="dxa"/>
              <w:bottom w:w="0" w:type="dxa"/>
              <w:right w:w="108" w:type="dxa"/>
            </w:tcMar>
            <w:hideMark/>
          </w:tcPr>
          <w:p w14:paraId="6A59E28B" w14:textId="77777777" w:rsidR="002F5607" w:rsidRPr="00124566" w:rsidRDefault="002F5607" w:rsidP="002041B0">
            <w:pPr>
              <w:spacing w:after="0" w:line="240" w:lineRule="auto"/>
              <w:rPr>
                <w:rFonts w:asciiTheme="minorBidi" w:eastAsia="Times New Roman" w:hAnsiTheme="minorBidi"/>
                <w:color w:val="000000"/>
                <w:kern w:val="0"/>
                <w14:ligatures w14:val="none"/>
              </w:rPr>
            </w:pPr>
            <w:r w:rsidRPr="002041B0">
              <w:rPr>
                <w:rFonts w:asciiTheme="minorBidi" w:eastAsia="Times New Roman" w:hAnsiTheme="minorBidi"/>
                <w:color w:val="000000"/>
                <w:kern w:val="0"/>
                <w14:ligatures w14:val="none"/>
              </w:rPr>
              <w:t>Informed consent: Ensuring participants understand the research and voluntarily agree to participate.</w:t>
            </w:r>
            <w:r w:rsidRPr="002041B0">
              <w:rPr>
                <w:rFonts w:asciiTheme="minorBidi" w:eastAsia="Times New Roman" w:hAnsiTheme="minorBidi"/>
                <w:color w:val="000000"/>
                <w:kern w:val="0"/>
                <w14:ligatures w14:val="none"/>
              </w:rPr>
              <w:br/>
              <w:t>Confidentiality and anonymity: Protecting participants' identities and personal information.</w:t>
            </w:r>
            <w:r w:rsidRPr="002041B0">
              <w:rPr>
                <w:rFonts w:asciiTheme="minorBidi" w:eastAsia="Times New Roman" w:hAnsiTheme="minorBidi"/>
                <w:color w:val="000000"/>
                <w:kern w:val="0"/>
                <w14:ligatures w14:val="none"/>
              </w:rPr>
              <w:br/>
              <w:t>Minimising harm: Ensuring the research does not cause physical, emotional, or reputational damage to participants.</w:t>
            </w:r>
            <w:r w:rsidRPr="002041B0">
              <w:rPr>
                <w:rFonts w:asciiTheme="minorBidi" w:eastAsia="Times New Roman" w:hAnsiTheme="minorBidi"/>
                <w:color w:val="000000"/>
                <w:kern w:val="0"/>
                <w14:ligatures w14:val="none"/>
              </w:rPr>
              <w:br/>
              <w:t>Beneficence: Striving for research that benefits participants and society.</w:t>
            </w:r>
            <w:r w:rsidRPr="002041B0">
              <w:rPr>
                <w:rFonts w:asciiTheme="minorBidi" w:eastAsia="Times New Roman" w:hAnsiTheme="minorBidi"/>
                <w:color w:val="000000"/>
                <w:kern w:val="0"/>
                <w14:ligatures w14:val="none"/>
              </w:rPr>
              <w:br/>
              <w:t>Justice: Ensuring fair selection of participants and equitable distribution of research benefits and burdens.</w:t>
            </w:r>
            <w:r w:rsidRPr="002041B0">
              <w:rPr>
                <w:rFonts w:asciiTheme="minorBidi" w:eastAsia="Times New Roman" w:hAnsiTheme="minorBidi"/>
                <w:color w:val="000000"/>
                <w:kern w:val="0"/>
                <w14:ligatures w14:val="none"/>
              </w:rPr>
              <w:br/>
              <w:t>Respect for persons: Treating participants as autonomous agents and protecting those with diminished autonomy.</w:t>
            </w:r>
            <w:r w:rsidRPr="002041B0">
              <w:rPr>
                <w:rFonts w:asciiTheme="minorBidi" w:eastAsia="Times New Roman" w:hAnsiTheme="minorBidi"/>
                <w:color w:val="000000"/>
                <w:kern w:val="0"/>
                <w14:ligatures w14:val="none"/>
              </w:rPr>
              <w:br/>
              <w:t>Scientific integrity: Maintaining honesty, objectivity and transparency in research processes and reporting.</w:t>
            </w:r>
            <w:r w:rsidRPr="002041B0">
              <w:rPr>
                <w:rFonts w:asciiTheme="minorBidi" w:eastAsia="Times New Roman" w:hAnsiTheme="minorBidi"/>
                <w:color w:val="000000"/>
                <w:kern w:val="0"/>
                <w14:ligatures w14:val="none"/>
              </w:rPr>
              <w:br/>
              <w:t>Ethical review: Submitting research proposals for review by ethics committees or institutional review boards.</w:t>
            </w:r>
            <w:r w:rsidRPr="002041B0">
              <w:rPr>
                <w:rFonts w:asciiTheme="minorBidi" w:eastAsia="Times New Roman" w:hAnsiTheme="minorBidi"/>
                <w:color w:val="000000"/>
                <w:kern w:val="0"/>
                <w14:ligatures w14:val="none"/>
              </w:rPr>
              <w:br/>
              <w:t>Cultural sensitivity: Respecting cultural norms and values in research design and implementation.</w:t>
            </w:r>
            <w:r w:rsidRPr="002041B0">
              <w:rPr>
                <w:rFonts w:asciiTheme="minorBidi" w:eastAsia="Times New Roman" w:hAnsiTheme="minorBidi"/>
                <w:color w:val="000000"/>
                <w:kern w:val="0"/>
                <w14:ligatures w14:val="none"/>
              </w:rPr>
              <w:br/>
              <w:t>Data management: Ensuring secure storage, appropriate sharing and eventual disposal of research data.</w:t>
            </w:r>
          </w:p>
          <w:p w14:paraId="7B415AD6" w14:textId="3F6D198D" w:rsidR="002F5607" w:rsidRPr="002041B0" w:rsidRDefault="002F5607" w:rsidP="002041B0">
            <w:pPr>
              <w:spacing w:after="0" w:line="240" w:lineRule="auto"/>
              <w:rPr>
                <w:rFonts w:asciiTheme="minorBidi" w:eastAsia="Times New Roman" w:hAnsiTheme="minorBidi"/>
                <w:kern w:val="0"/>
                <w14:ligatures w14:val="none"/>
              </w:rPr>
            </w:pPr>
          </w:p>
        </w:tc>
      </w:tr>
      <w:tr w:rsidR="00124566" w:rsidRPr="00124566" w14:paraId="1595896A" w14:textId="77777777" w:rsidTr="00D93057">
        <w:tc>
          <w:tcPr>
            <w:tcW w:w="834" w:type="pct"/>
            <w:tcMar>
              <w:top w:w="0" w:type="dxa"/>
              <w:left w:w="108" w:type="dxa"/>
              <w:bottom w:w="0" w:type="dxa"/>
              <w:right w:w="108" w:type="dxa"/>
            </w:tcMar>
            <w:hideMark/>
          </w:tcPr>
          <w:p w14:paraId="52CA9D5A" w14:textId="3244532A" w:rsidR="002041B0" w:rsidRPr="002041B0" w:rsidRDefault="002041B0" w:rsidP="002041B0">
            <w:pPr>
              <w:spacing w:after="0" w:line="240" w:lineRule="auto"/>
              <w:rPr>
                <w:rFonts w:asciiTheme="minorBidi" w:eastAsia="Times New Roman" w:hAnsiTheme="minorBidi"/>
                <w:b/>
                <w:bCs/>
                <w:kern w:val="0"/>
                <w14:ligatures w14:val="none"/>
              </w:rPr>
            </w:pPr>
            <w:r w:rsidRPr="002041B0">
              <w:rPr>
                <w:rFonts w:asciiTheme="minorBidi" w:eastAsia="Times New Roman" w:hAnsiTheme="minorBidi"/>
                <w:b/>
                <w:bCs/>
                <w:color w:val="000000"/>
                <w:kern w:val="0"/>
                <w14:ligatures w14:val="none"/>
              </w:rPr>
              <w:t>Implications</w:t>
            </w:r>
            <w:r w:rsidR="00B05E6B">
              <w:rPr>
                <w:rFonts w:asciiTheme="minorBidi" w:eastAsia="Times New Roman" w:hAnsiTheme="minorBidi"/>
                <w:b/>
                <w:bCs/>
                <w:color w:val="000000"/>
                <w:kern w:val="0"/>
                <w14:ligatures w14:val="none"/>
              </w:rPr>
              <w:t xml:space="preserve"> for practice</w:t>
            </w:r>
          </w:p>
        </w:tc>
        <w:tc>
          <w:tcPr>
            <w:tcW w:w="576" w:type="pct"/>
            <w:shd w:val="clear" w:color="auto" w:fill="99CCFF"/>
            <w:tcMar>
              <w:top w:w="0" w:type="dxa"/>
              <w:left w:w="108" w:type="dxa"/>
              <w:bottom w:w="0" w:type="dxa"/>
              <w:right w:w="108" w:type="dxa"/>
            </w:tcMar>
            <w:hideMark/>
          </w:tcPr>
          <w:p w14:paraId="42035EC9"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establish generalisable laws and causal relationships applicable across contexts. Implications focus on replicable interventions, evidence-based policies and predictions. Practitioners can apply findings with confidence assuming similar conditions. Results inform universal best practices, standardised protocols and scalable solutions. Strong empirical basis supports widespread implementation</w:t>
            </w:r>
          </w:p>
        </w:tc>
        <w:tc>
          <w:tcPr>
            <w:tcW w:w="549" w:type="pct"/>
            <w:shd w:val="clear" w:color="auto" w:fill="66FFFF"/>
            <w:tcMar>
              <w:top w:w="0" w:type="dxa"/>
              <w:left w:w="108" w:type="dxa"/>
              <w:bottom w:w="0" w:type="dxa"/>
              <w:right w:w="108" w:type="dxa"/>
            </w:tcMar>
            <w:hideMark/>
          </w:tcPr>
          <w:p w14:paraId="16581DBD"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provide evidence-based guidance whilst acknowledging contextual factors and limitations. Implications offer recommendations with caveats about boundary conditions and need for local adaptation. Practitioners should consider findings alongside contextual factors. Multiple studies needed before confident generalisations. Results inform practice whilst encouraging critical appraisal and ongoing evaluation</w:t>
            </w:r>
          </w:p>
        </w:tc>
        <w:tc>
          <w:tcPr>
            <w:tcW w:w="703" w:type="pct"/>
            <w:shd w:val="clear" w:color="auto" w:fill="CCFF99"/>
            <w:tcMar>
              <w:top w:w="0" w:type="dxa"/>
              <w:left w:w="108" w:type="dxa"/>
              <w:bottom w:w="0" w:type="dxa"/>
              <w:right w:w="108" w:type="dxa"/>
            </w:tcMar>
            <w:hideMark/>
          </w:tcPr>
          <w:p w14:paraId="4D799188"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provide rich contextual understanding informing practice in similar settings. Implications emphasise transferability, readers assess applicability to their contexts. Practitioners gain deeper understanding of client experiences, meanings and perspectives that inform responsive, person-centred practice. Results illuminate complexity requiring professional judgement. Insights enhance empathy and understanding rather than prescribing actions</w:t>
            </w:r>
          </w:p>
        </w:tc>
        <w:tc>
          <w:tcPr>
            <w:tcW w:w="608" w:type="pct"/>
            <w:tcMar>
              <w:top w:w="0" w:type="dxa"/>
              <w:left w:w="108" w:type="dxa"/>
              <w:bottom w:w="0" w:type="dxa"/>
              <w:right w:w="108" w:type="dxa"/>
            </w:tcMar>
            <w:hideMark/>
          </w:tcPr>
          <w:p w14:paraId="4BD0FF3F"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demonstrate collaborative approaches to understanding and creating knowledge. Implications model participatory processes that practitioners can adapt. Emphasises importance of relationship, dialogue and co-creation in professional practice. Practitioners learn from the process as much as content. Results validate participant voices and demonstrate value of collaborative inquiry. Encourages partnerships rather than expert-driven approaches</w:t>
            </w:r>
          </w:p>
        </w:tc>
        <w:tc>
          <w:tcPr>
            <w:tcW w:w="554" w:type="pct"/>
            <w:shd w:val="clear" w:color="auto" w:fill="FFCC00"/>
            <w:tcMar>
              <w:top w:w="0" w:type="dxa"/>
              <w:left w:w="108" w:type="dxa"/>
              <w:bottom w:w="0" w:type="dxa"/>
              <w:right w:w="108" w:type="dxa"/>
            </w:tcMar>
            <w:hideMark/>
          </w:tcPr>
          <w:p w14:paraId="2BDD02DB"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reveal how different stakeholder groups understand phenomena differently, informing multi-perspective organisational approaches. Implications emphasise understanding diverse viewpoints, recognising validity of different group constructions and bridging different social worlds. Practitioners learn to navigate multiple realities in organisations, facilitate dialogue across groups and design interventions that work across different organisational cultures. Results highlight need for stakeholder-aware, context-sensitive practice that acknowledges multiple valid perspectives and group dynamics</w:t>
            </w:r>
          </w:p>
        </w:tc>
        <w:tc>
          <w:tcPr>
            <w:tcW w:w="657" w:type="pct"/>
            <w:shd w:val="clear" w:color="auto" w:fill="FFCCFF"/>
            <w:tcMar>
              <w:top w:w="0" w:type="dxa"/>
              <w:left w:w="108" w:type="dxa"/>
              <w:bottom w:w="0" w:type="dxa"/>
              <w:right w:w="108" w:type="dxa"/>
            </w:tcMar>
            <w:hideMark/>
          </w:tcPr>
          <w:p w14:paraId="58C365C5"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expose power structures and inequities requiring transformative action. Implications call for challenging oppressive practices, advocating for marginalised groups and restructuring systems. Practitioners engage in critical reflection about their own complicity and power. Results demand action towards social justice, not just understanding. Emphasises practitioner responsibility to work towards equity and empowerment, not neutrality</w:t>
            </w:r>
          </w:p>
        </w:tc>
        <w:tc>
          <w:tcPr>
            <w:tcW w:w="519" w:type="pct"/>
            <w:shd w:val="clear" w:color="auto" w:fill="FFFF99"/>
            <w:tcMar>
              <w:top w:w="0" w:type="dxa"/>
              <w:left w:w="108" w:type="dxa"/>
              <w:bottom w:w="0" w:type="dxa"/>
              <w:right w:w="108" w:type="dxa"/>
            </w:tcMar>
            <w:hideMark/>
          </w:tcPr>
          <w:p w14:paraId="5B242B14" w14:textId="77777777" w:rsidR="002041B0" w:rsidRPr="002041B0" w:rsidRDefault="002041B0" w:rsidP="002041B0">
            <w:pPr>
              <w:spacing w:after="0" w:line="240" w:lineRule="auto"/>
              <w:rPr>
                <w:rFonts w:asciiTheme="minorBidi" w:eastAsia="Times New Roman" w:hAnsiTheme="minorBidi"/>
                <w:kern w:val="0"/>
                <w14:ligatures w14:val="none"/>
              </w:rPr>
            </w:pPr>
            <w:r w:rsidRPr="002041B0">
              <w:rPr>
                <w:rFonts w:asciiTheme="minorBidi" w:eastAsia="Times New Roman" w:hAnsiTheme="minorBidi"/>
                <w:color w:val="000000"/>
                <w:kern w:val="0"/>
                <w14:ligatures w14:val="none"/>
              </w:rPr>
              <w:t>Findings provide practical, actionable solutions to specific problems with clear implementation guidance. Implications focus on 'what works' in similar contexts, concrete recommendations and implementation steps. Practitioners gain tested approaches, lessons learned and troubleshooting insights. Results valued for immediate applicability and measurable impact. Emphasis on pragmatic adoption, adaptation to local needs and continuous improvement based on outcomes</w:t>
            </w:r>
          </w:p>
        </w:tc>
      </w:tr>
      <w:tr w:rsidR="00387C72" w:rsidRPr="00124566" w14:paraId="6C1A3FC1" w14:textId="77777777" w:rsidTr="00681988">
        <w:tc>
          <w:tcPr>
            <w:tcW w:w="5000" w:type="pct"/>
            <w:gridSpan w:val="8"/>
            <w:shd w:val="clear" w:color="auto" w:fill="FF66FF"/>
            <w:tcMar>
              <w:top w:w="0" w:type="dxa"/>
              <w:left w:w="108" w:type="dxa"/>
              <w:bottom w:w="0" w:type="dxa"/>
              <w:right w:w="108" w:type="dxa"/>
            </w:tcMar>
          </w:tcPr>
          <w:p w14:paraId="656D133E" w14:textId="77777777" w:rsidR="00387C72" w:rsidRPr="00124566" w:rsidRDefault="00387C72" w:rsidP="002041B0">
            <w:pPr>
              <w:spacing w:after="0" w:line="240" w:lineRule="auto"/>
              <w:rPr>
                <w:rFonts w:asciiTheme="minorBidi" w:eastAsia="Times New Roman" w:hAnsiTheme="minorBidi"/>
                <w:color w:val="000000"/>
                <w:kern w:val="0"/>
                <w14:ligatures w14:val="none"/>
              </w:rPr>
            </w:pPr>
          </w:p>
          <w:p w14:paraId="13D22D52" w14:textId="396D1797" w:rsidR="00387C72" w:rsidRPr="00124566" w:rsidRDefault="00C81C59" w:rsidP="00681988">
            <w:pPr>
              <w:shd w:val="clear" w:color="auto" w:fill="FF66FF"/>
              <w:spacing w:after="0" w:line="240" w:lineRule="auto"/>
              <w:jc w:val="center"/>
              <w:rPr>
                <w:rFonts w:asciiTheme="minorBidi" w:eastAsia="Times New Roman" w:hAnsiTheme="minorBidi"/>
                <w:color w:val="000000"/>
                <w:kern w:val="0"/>
                <w14:ligatures w14:val="none"/>
              </w:rPr>
            </w:pPr>
            <w:r w:rsidRPr="00124566">
              <w:rPr>
                <w:rFonts w:asciiTheme="minorBidi" w:hAnsiTheme="minorBidi"/>
                <w:b/>
                <w:bCs/>
                <w:color w:val="000000"/>
              </w:rPr>
              <w:t>Creswell’s 5 Qualitative Approaches</w:t>
            </w:r>
          </w:p>
          <w:p w14:paraId="35FDFE87" w14:textId="77777777" w:rsidR="00387C72" w:rsidRPr="00124566" w:rsidRDefault="00387C72" w:rsidP="002041B0">
            <w:pPr>
              <w:spacing w:after="0" w:line="240" w:lineRule="auto"/>
              <w:rPr>
                <w:rFonts w:asciiTheme="minorBidi" w:eastAsia="Times New Roman" w:hAnsiTheme="minorBidi"/>
                <w:color w:val="000000"/>
                <w:kern w:val="0"/>
                <w14:ligatures w14:val="none"/>
              </w:rPr>
            </w:pPr>
          </w:p>
        </w:tc>
      </w:tr>
      <w:tr w:rsidR="00324848" w:rsidRPr="00124566" w14:paraId="59A084AC" w14:textId="77777777" w:rsidTr="00D93057">
        <w:trPr>
          <w:trHeight w:val="3224"/>
        </w:trPr>
        <w:tc>
          <w:tcPr>
            <w:tcW w:w="834" w:type="pct"/>
            <w:vMerge w:val="restart"/>
            <w:tcMar>
              <w:top w:w="0" w:type="dxa"/>
              <w:left w:w="108" w:type="dxa"/>
              <w:bottom w:w="0" w:type="dxa"/>
              <w:right w:w="108" w:type="dxa"/>
            </w:tcMar>
          </w:tcPr>
          <w:p w14:paraId="7B395256" w14:textId="77777777" w:rsidR="00324848" w:rsidRPr="00124566" w:rsidRDefault="00324848" w:rsidP="002041B0">
            <w:pPr>
              <w:spacing w:after="0" w:line="240" w:lineRule="auto"/>
              <w:rPr>
                <w:rFonts w:asciiTheme="minorBidi" w:eastAsia="Times New Roman" w:hAnsiTheme="minorBidi"/>
                <w:b/>
                <w:bCs/>
                <w:color w:val="000000"/>
                <w:kern w:val="0"/>
                <w14:ligatures w14:val="none"/>
              </w:rPr>
            </w:pPr>
          </w:p>
        </w:tc>
        <w:tc>
          <w:tcPr>
            <w:tcW w:w="576" w:type="pct"/>
            <w:vMerge w:val="restart"/>
            <w:shd w:val="clear" w:color="auto" w:fill="99CCFF"/>
            <w:tcMar>
              <w:top w:w="0" w:type="dxa"/>
              <w:left w:w="108" w:type="dxa"/>
              <w:bottom w:w="0" w:type="dxa"/>
              <w:right w:w="108" w:type="dxa"/>
            </w:tcMar>
          </w:tcPr>
          <w:p w14:paraId="61189B29"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49" w:type="pct"/>
            <w:vMerge w:val="restart"/>
            <w:shd w:val="clear" w:color="auto" w:fill="66FFFF"/>
            <w:tcMar>
              <w:top w:w="0" w:type="dxa"/>
              <w:left w:w="108" w:type="dxa"/>
              <w:bottom w:w="0" w:type="dxa"/>
              <w:right w:w="108" w:type="dxa"/>
            </w:tcMar>
          </w:tcPr>
          <w:p w14:paraId="7EDE0F6F" w14:textId="77777777" w:rsidR="00324848" w:rsidRPr="00124566" w:rsidRDefault="00324848" w:rsidP="00B62FD2">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Case Study</w:t>
            </w:r>
          </w:p>
          <w:p w14:paraId="28032437" w14:textId="77777777" w:rsidR="00324848" w:rsidRPr="00124566" w:rsidRDefault="00324848" w:rsidP="00B62FD2">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Can align with various paradigms, including </w:t>
            </w:r>
            <w:proofErr w:type="spellStart"/>
            <w:r w:rsidRPr="00124566">
              <w:rPr>
                <w:rFonts w:asciiTheme="minorBidi" w:eastAsia="Times New Roman" w:hAnsiTheme="minorBidi"/>
                <w:color w:val="000000"/>
                <w:kern w:val="0"/>
                <w14:ligatures w14:val="none"/>
              </w:rPr>
              <w:t>Postpositivism</w:t>
            </w:r>
            <w:proofErr w:type="spellEnd"/>
            <w:r w:rsidRPr="00124566">
              <w:rPr>
                <w:rFonts w:asciiTheme="minorBidi" w:eastAsia="Times New Roman" w:hAnsiTheme="minorBidi"/>
                <w:color w:val="000000"/>
                <w:kern w:val="0"/>
                <w14:ligatures w14:val="none"/>
              </w:rPr>
              <w:t>, Interpretivism, and Pragmatism, depending on the nature of the case and the research question.</w:t>
            </w:r>
          </w:p>
          <w:p w14:paraId="1B911472" w14:textId="77777777" w:rsidR="00324848" w:rsidRPr="00124566" w:rsidRDefault="00324848" w:rsidP="00B62FD2">
            <w:pPr>
              <w:spacing w:after="0" w:line="240" w:lineRule="auto"/>
              <w:rPr>
                <w:rFonts w:asciiTheme="minorBidi" w:eastAsia="Times New Roman" w:hAnsiTheme="minorBidi"/>
                <w:color w:val="000000"/>
                <w:kern w:val="0"/>
                <w14:ligatures w14:val="none"/>
              </w:rPr>
            </w:pPr>
          </w:p>
          <w:p w14:paraId="27CA1150" w14:textId="77777777" w:rsidR="00324848" w:rsidRPr="00124566" w:rsidRDefault="00324848" w:rsidP="00B62FD2">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A postpositivist case study may aim to identify patterns or causal relationships within a specific context.</w:t>
            </w:r>
          </w:p>
          <w:p w14:paraId="08055FB8" w14:textId="0E06F0E0" w:rsidR="00324848" w:rsidRPr="00124566" w:rsidRDefault="00324848" w:rsidP="00B62FD2">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w:t>
            </w:r>
          </w:p>
        </w:tc>
        <w:tc>
          <w:tcPr>
            <w:tcW w:w="703" w:type="pct"/>
            <w:shd w:val="clear" w:color="auto" w:fill="CCFF99"/>
            <w:tcMar>
              <w:top w:w="0" w:type="dxa"/>
              <w:left w:w="108" w:type="dxa"/>
              <w:bottom w:w="0" w:type="dxa"/>
              <w:right w:w="108" w:type="dxa"/>
            </w:tcMar>
          </w:tcPr>
          <w:p w14:paraId="6A4D257F"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Narrative Research</w:t>
            </w:r>
          </w:p>
          <w:p w14:paraId="2CA46FD3"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Aligns with the Interpretivism paradigm, as it focuses on understanding individual experiences and the meanings people attach to their stories.</w:t>
            </w:r>
          </w:p>
          <w:p w14:paraId="5135D7EE" w14:textId="42C9863D" w:rsidR="00324848" w:rsidRPr="00124566" w:rsidRDefault="00324848" w:rsidP="00A803F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Emphasises the subjective nature of reality and the importance of understanding the participant's perspective.</w:t>
            </w:r>
          </w:p>
        </w:tc>
        <w:tc>
          <w:tcPr>
            <w:tcW w:w="608" w:type="pct"/>
            <w:vMerge w:val="restart"/>
            <w:tcMar>
              <w:top w:w="0" w:type="dxa"/>
              <w:left w:w="108" w:type="dxa"/>
              <w:bottom w:w="0" w:type="dxa"/>
              <w:right w:w="108" w:type="dxa"/>
            </w:tcMar>
          </w:tcPr>
          <w:p w14:paraId="5A933E30" w14:textId="77777777" w:rsidR="00324848" w:rsidRPr="00124566" w:rsidRDefault="00324848" w:rsidP="002041B0">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Grounded Theory</w:t>
            </w:r>
          </w:p>
          <w:p w14:paraId="5DC5A6B4" w14:textId="381157DC" w:rsidR="00324848" w:rsidRPr="00124566" w:rsidRDefault="00324848" w:rsidP="0032484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When emphasising co-construction of theory through interaction between researcher and participants. Theory emerges through collaborative dialogue and iterative engagement.</w:t>
            </w:r>
          </w:p>
          <w:p w14:paraId="6FEE5138" w14:textId="77777777" w:rsidR="00124566" w:rsidRPr="00124566" w:rsidRDefault="00124566" w:rsidP="0012456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Note: The paradigm alignment depends on whether the grounded theory focuses on individual meanings (Interpretivism), co-construction through researcher-participant interaction (Constructivism), or comparative group-level processes (Social Constructionism).</w:t>
            </w:r>
          </w:p>
          <w:p w14:paraId="5AD6725D" w14:textId="77777777" w:rsidR="00124566" w:rsidRPr="00124566" w:rsidRDefault="00124566" w:rsidP="00324848">
            <w:pPr>
              <w:spacing w:after="0" w:line="240" w:lineRule="auto"/>
              <w:rPr>
                <w:rFonts w:asciiTheme="minorBidi" w:eastAsia="Times New Roman" w:hAnsiTheme="minorBidi"/>
                <w:color w:val="000000"/>
                <w:kern w:val="0"/>
                <w14:ligatures w14:val="none"/>
              </w:rPr>
            </w:pPr>
          </w:p>
          <w:p w14:paraId="19A9A73F" w14:textId="26D2B208"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54" w:type="pct"/>
            <w:vMerge w:val="restart"/>
            <w:shd w:val="clear" w:color="auto" w:fill="FFCC00"/>
            <w:tcMar>
              <w:top w:w="0" w:type="dxa"/>
              <w:left w:w="108" w:type="dxa"/>
              <w:bottom w:w="0" w:type="dxa"/>
              <w:right w:w="108" w:type="dxa"/>
            </w:tcMar>
          </w:tcPr>
          <w:p w14:paraId="1AD254B0" w14:textId="77777777" w:rsidR="00324848" w:rsidRPr="00124566" w:rsidRDefault="00324848" w:rsidP="0032484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Grounded Theory</w:t>
            </w:r>
          </w:p>
          <w:p w14:paraId="2DE0CF14" w14:textId="1207A4AE" w:rsidR="00324848" w:rsidRPr="00124566" w:rsidRDefault="00324848" w:rsidP="0032484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When comparing how different groups construct processes differently, or when theory explains group-level social processes and variations in how groups make sense of phenomena.</w:t>
            </w:r>
          </w:p>
          <w:p w14:paraId="1C81D0F0" w14:textId="77777777" w:rsidR="00324848" w:rsidRPr="00124566" w:rsidRDefault="00324848" w:rsidP="00124566">
            <w:pPr>
              <w:spacing w:after="0" w:line="240" w:lineRule="auto"/>
              <w:rPr>
                <w:rFonts w:asciiTheme="minorBidi" w:eastAsia="Times New Roman" w:hAnsiTheme="minorBidi"/>
                <w:color w:val="000000"/>
                <w:kern w:val="0"/>
                <w14:ligatures w14:val="none"/>
              </w:rPr>
            </w:pPr>
          </w:p>
        </w:tc>
        <w:tc>
          <w:tcPr>
            <w:tcW w:w="657" w:type="pct"/>
            <w:vMerge w:val="restart"/>
            <w:shd w:val="clear" w:color="auto" w:fill="FFCCFF"/>
            <w:tcMar>
              <w:top w:w="0" w:type="dxa"/>
              <w:left w:w="108" w:type="dxa"/>
              <w:bottom w:w="0" w:type="dxa"/>
              <w:right w:w="108" w:type="dxa"/>
            </w:tcMar>
          </w:tcPr>
          <w:p w14:paraId="3801F29E" w14:textId="77777777" w:rsidR="00324848" w:rsidRPr="00124566" w:rsidRDefault="00324848" w:rsidP="00800517">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Ethnography </w:t>
            </w:r>
          </w:p>
          <w:p w14:paraId="3DC57655" w14:textId="77777777" w:rsidR="00324848" w:rsidRPr="00124566" w:rsidRDefault="00324848" w:rsidP="00800517">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Can align with either the Interpretivism or Critical Theory paradigm, depending on the focus of the study.</w:t>
            </w:r>
          </w:p>
          <w:p w14:paraId="792D0757" w14:textId="77777777" w:rsidR="00324848" w:rsidRPr="00124566" w:rsidRDefault="00324848" w:rsidP="00800517">
            <w:pPr>
              <w:spacing w:after="0" w:line="240" w:lineRule="auto"/>
              <w:rPr>
                <w:rFonts w:asciiTheme="minorBidi" w:eastAsia="Times New Roman" w:hAnsiTheme="minorBidi"/>
                <w:color w:val="000000"/>
                <w:kern w:val="0"/>
                <w14:ligatures w14:val="none"/>
              </w:rPr>
            </w:pPr>
          </w:p>
          <w:p w14:paraId="3B3951BE" w14:textId="5B597A09" w:rsidR="00324848" w:rsidRPr="00124566" w:rsidRDefault="00324848" w:rsidP="00800517">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Critical ethnography aims to uncover and challenge power relations and oppressive structures within a culture or social group, aligning with the Critical Theory paradigm.</w:t>
            </w:r>
          </w:p>
        </w:tc>
        <w:tc>
          <w:tcPr>
            <w:tcW w:w="519" w:type="pct"/>
            <w:vMerge w:val="restart"/>
            <w:shd w:val="clear" w:color="auto" w:fill="FFFF99"/>
            <w:tcMar>
              <w:top w:w="0" w:type="dxa"/>
              <w:left w:w="108" w:type="dxa"/>
              <w:bottom w:w="0" w:type="dxa"/>
              <w:right w:w="108" w:type="dxa"/>
            </w:tcMar>
          </w:tcPr>
          <w:p w14:paraId="5FD2D174" w14:textId="77777777" w:rsidR="00324848" w:rsidRPr="00124566" w:rsidRDefault="00324848" w:rsidP="0084707D">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Case Study</w:t>
            </w:r>
          </w:p>
          <w:p w14:paraId="35BA3E7C" w14:textId="77777777" w:rsidR="00324848" w:rsidRPr="00124566" w:rsidRDefault="00324848" w:rsidP="0084707D">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Can align with various paradigms, including </w:t>
            </w:r>
            <w:proofErr w:type="spellStart"/>
            <w:r w:rsidRPr="00124566">
              <w:rPr>
                <w:rFonts w:asciiTheme="minorBidi" w:eastAsia="Times New Roman" w:hAnsiTheme="minorBidi"/>
                <w:color w:val="000000"/>
                <w:kern w:val="0"/>
                <w14:ligatures w14:val="none"/>
              </w:rPr>
              <w:t>Postpositivism</w:t>
            </w:r>
            <w:proofErr w:type="spellEnd"/>
            <w:r w:rsidRPr="00124566">
              <w:rPr>
                <w:rFonts w:asciiTheme="minorBidi" w:eastAsia="Times New Roman" w:hAnsiTheme="minorBidi"/>
                <w:color w:val="000000"/>
                <w:kern w:val="0"/>
                <w14:ligatures w14:val="none"/>
              </w:rPr>
              <w:t>, Interpretivism, and Pragmatism, depending on the nature of the case and the research question.</w:t>
            </w:r>
          </w:p>
          <w:p w14:paraId="51F3E32B" w14:textId="77777777" w:rsidR="00324848" w:rsidRPr="00124566" w:rsidRDefault="00324848" w:rsidP="0084707D">
            <w:pPr>
              <w:spacing w:after="0" w:line="240" w:lineRule="auto"/>
              <w:rPr>
                <w:rFonts w:asciiTheme="minorBidi" w:eastAsia="Times New Roman" w:hAnsiTheme="minorBidi"/>
                <w:color w:val="000000"/>
                <w:kern w:val="0"/>
                <w14:ligatures w14:val="none"/>
              </w:rPr>
            </w:pPr>
          </w:p>
          <w:p w14:paraId="2101B599" w14:textId="44FBF1BD" w:rsidR="00324848" w:rsidRPr="00124566" w:rsidRDefault="00324848" w:rsidP="0084707D">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A pragmatic case study may focus on finding practical solutions to real-world problems within a specific setting.</w:t>
            </w:r>
          </w:p>
        </w:tc>
      </w:tr>
      <w:tr w:rsidR="00324848" w:rsidRPr="00124566" w14:paraId="3562F861" w14:textId="77777777" w:rsidTr="00D93057">
        <w:trPr>
          <w:trHeight w:val="3008"/>
        </w:trPr>
        <w:tc>
          <w:tcPr>
            <w:tcW w:w="834" w:type="pct"/>
            <w:vMerge/>
            <w:tcMar>
              <w:top w:w="0" w:type="dxa"/>
              <w:left w:w="108" w:type="dxa"/>
              <w:bottom w:w="0" w:type="dxa"/>
              <w:right w:w="108" w:type="dxa"/>
            </w:tcMar>
          </w:tcPr>
          <w:p w14:paraId="431A32BF" w14:textId="77777777" w:rsidR="00324848" w:rsidRPr="00124566" w:rsidRDefault="00324848" w:rsidP="002041B0">
            <w:pPr>
              <w:spacing w:after="0" w:line="240" w:lineRule="auto"/>
              <w:rPr>
                <w:rFonts w:asciiTheme="minorBidi" w:eastAsia="Times New Roman" w:hAnsiTheme="minorBidi"/>
                <w:b/>
                <w:bCs/>
                <w:color w:val="000000"/>
                <w:kern w:val="0"/>
                <w14:ligatures w14:val="none"/>
              </w:rPr>
            </w:pPr>
          </w:p>
        </w:tc>
        <w:tc>
          <w:tcPr>
            <w:tcW w:w="576" w:type="pct"/>
            <w:vMerge/>
            <w:shd w:val="clear" w:color="auto" w:fill="99CCFF"/>
            <w:tcMar>
              <w:top w:w="0" w:type="dxa"/>
              <w:left w:w="108" w:type="dxa"/>
              <w:bottom w:w="0" w:type="dxa"/>
              <w:right w:w="108" w:type="dxa"/>
            </w:tcMar>
          </w:tcPr>
          <w:p w14:paraId="5F199D88"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49" w:type="pct"/>
            <w:vMerge/>
            <w:shd w:val="clear" w:color="auto" w:fill="66FFFF"/>
            <w:tcMar>
              <w:top w:w="0" w:type="dxa"/>
              <w:left w:w="108" w:type="dxa"/>
              <w:bottom w:w="0" w:type="dxa"/>
              <w:right w:w="108" w:type="dxa"/>
            </w:tcMar>
          </w:tcPr>
          <w:p w14:paraId="74BD4391"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703" w:type="pct"/>
            <w:shd w:val="clear" w:color="auto" w:fill="CCFF99"/>
            <w:tcMar>
              <w:top w:w="0" w:type="dxa"/>
              <w:left w:w="108" w:type="dxa"/>
              <w:bottom w:w="0" w:type="dxa"/>
              <w:right w:w="108" w:type="dxa"/>
            </w:tcMar>
          </w:tcPr>
          <w:p w14:paraId="7D7F0361"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Phenomenology</w:t>
            </w:r>
          </w:p>
          <w:p w14:paraId="0CB1A324"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Also aligns with the Interpretivism paradigm, as it seeks to understand the essence of a phenomenon through the lived experiences of individuals.</w:t>
            </w:r>
          </w:p>
          <w:p w14:paraId="1BD617BA" w14:textId="559B634A" w:rsidR="00324848" w:rsidRPr="00124566" w:rsidRDefault="00324848" w:rsidP="00A803F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Focuses on interpreting the meanings people assign to their experiences and how they construct their realities.</w:t>
            </w:r>
          </w:p>
        </w:tc>
        <w:tc>
          <w:tcPr>
            <w:tcW w:w="608" w:type="pct"/>
            <w:vMerge/>
            <w:tcMar>
              <w:top w:w="0" w:type="dxa"/>
              <w:left w:w="108" w:type="dxa"/>
              <w:bottom w:w="0" w:type="dxa"/>
              <w:right w:w="108" w:type="dxa"/>
            </w:tcMar>
          </w:tcPr>
          <w:p w14:paraId="7F58EC65"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54" w:type="pct"/>
            <w:vMerge/>
            <w:shd w:val="clear" w:color="auto" w:fill="FFCC00"/>
            <w:tcMar>
              <w:top w:w="0" w:type="dxa"/>
              <w:left w:w="108" w:type="dxa"/>
              <w:bottom w:w="0" w:type="dxa"/>
              <w:right w:w="108" w:type="dxa"/>
            </w:tcMar>
          </w:tcPr>
          <w:p w14:paraId="1171D6E1"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657" w:type="pct"/>
            <w:vMerge/>
            <w:shd w:val="clear" w:color="auto" w:fill="FFCCFF"/>
            <w:tcMar>
              <w:top w:w="0" w:type="dxa"/>
              <w:left w:w="108" w:type="dxa"/>
              <w:bottom w:w="0" w:type="dxa"/>
              <w:right w:w="108" w:type="dxa"/>
            </w:tcMar>
          </w:tcPr>
          <w:p w14:paraId="574D36B3"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19" w:type="pct"/>
            <w:vMerge/>
            <w:shd w:val="clear" w:color="auto" w:fill="FFFF99"/>
            <w:tcMar>
              <w:top w:w="0" w:type="dxa"/>
              <w:left w:w="108" w:type="dxa"/>
              <w:bottom w:w="0" w:type="dxa"/>
              <w:right w:w="108" w:type="dxa"/>
            </w:tcMar>
          </w:tcPr>
          <w:p w14:paraId="48385D60"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r>
      <w:tr w:rsidR="00324848" w:rsidRPr="00124566" w14:paraId="63259A68" w14:textId="77777777" w:rsidTr="00D93057">
        <w:trPr>
          <w:trHeight w:val="3734"/>
        </w:trPr>
        <w:tc>
          <w:tcPr>
            <w:tcW w:w="834" w:type="pct"/>
            <w:vMerge/>
            <w:tcMar>
              <w:top w:w="0" w:type="dxa"/>
              <w:left w:w="108" w:type="dxa"/>
              <w:bottom w:w="0" w:type="dxa"/>
              <w:right w:w="108" w:type="dxa"/>
            </w:tcMar>
          </w:tcPr>
          <w:p w14:paraId="30DF662C" w14:textId="77777777" w:rsidR="00324848" w:rsidRPr="00124566" w:rsidRDefault="00324848" w:rsidP="002041B0">
            <w:pPr>
              <w:spacing w:after="0" w:line="240" w:lineRule="auto"/>
              <w:rPr>
                <w:rFonts w:asciiTheme="minorBidi" w:eastAsia="Times New Roman" w:hAnsiTheme="minorBidi"/>
                <w:b/>
                <w:bCs/>
                <w:color w:val="000000"/>
                <w:kern w:val="0"/>
                <w14:ligatures w14:val="none"/>
              </w:rPr>
            </w:pPr>
          </w:p>
        </w:tc>
        <w:tc>
          <w:tcPr>
            <w:tcW w:w="576" w:type="pct"/>
            <w:vMerge/>
            <w:shd w:val="clear" w:color="auto" w:fill="99CCFF"/>
            <w:tcMar>
              <w:top w:w="0" w:type="dxa"/>
              <w:left w:w="108" w:type="dxa"/>
              <w:bottom w:w="0" w:type="dxa"/>
              <w:right w:w="108" w:type="dxa"/>
            </w:tcMar>
          </w:tcPr>
          <w:p w14:paraId="055F8406"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49" w:type="pct"/>
            <w:vMerge/>
            <w:shd w:val="clear" w:color="auto" w:fill="66FFFF"/>
            <w:tcMar>
              <w:top w:w="0" w:type="dxa"/>
              <w:left w:w="108" w:type="dxa"/>
              <w:bottom w:w="0" w:type="dxa"/>
              <w:right w:w="108" w:type="dxa"/>
            </w:tcMar>
          </w:tcPr>
          <w:p w14:paraId="3C588C15"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703" w:type="pct"/>
            <w:tcBorders>
              <w:bottom w:val="single" w:sz="12" w:space="0" w:color="auto"/>
            </w:tcBorders>
            <w:shd w:val="clear" w:color="auto" w:fill="CCFF99"/>
            <w:tcMar>
              <w:top w:w="0" w:type="dxa"/>
              <w:left w:w="108" w:type="dxa"/>
              <w:bottom w:w="0" w:type="dxa"/>
              <w:right w:w="108" w:type="dxa"/>
            </w:tcMar>
          </w:tcPr>
          <w:p w14:paraId="209F9083"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Ethnography</w:t>
            </w:r>
          </w:p>
          <w:p w14:paraId="2477B2EE" w14:textId="77777777"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Can align with either the Interpretivism or Critical Theory paradigm, depending on the focus of the study.</w:t>
            </w:r>
          </w:p>
          <w:p w14:paraId="1F1816ED" w14:textId="77777777" w:rsidR="00324848" w:rsidRPr="00124566" w:rsidRDefault="00324848" w:rsidP="000D0BE8">
            <w:pPr>
              <w:spacing w:after="0" w:line="240" w:lineRule="auto"/>
              <w:rPr>
                <w:rFonts w:asciiTheme="minorBidi" w:eastAsia="Times New Roman" w:hAnsiTheme="minorBidi"/>
                <w:color w:val="000000"/>
                <w:kern w:val="0"/>
                <w14:ligatures w14:val="none"/>
              </w:rPr>
            </w:pPr>
          </w:p>
          <w:p w14:paraId="2C02DA6C" w14:textId="7A3439FE" w:rsidR="00324848" w:rsidRPr="00124566" w:rsidRDefault="00324848" w:rsidP="000D0BE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Interpretive ethnography seeks to understand a culture or social group through the meanings they assign to their experiences, aligning with the Interpretivism paradigm</w:t>
            </w:r>
          </w:p>
        </w:tc>
        <w:tc>
          <w:tcPr>
            <w:tcW w:w="608" w:type="pct"/>
            <w:vMerge/>
            <w:tcMar>
              <w:top w:w="0" w:type="dxa"/>
              <w:left w:w="108" w:type="dxa"/>
              <w:bottom w:w="0" w:type="dxa"/>
              <w:right w:w="108" w:type="dxa"/>
            </w:tcMar>
          </w:tcPr>
          <w:p w14:paraId="04821E15"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54" w:type="pct"/>
            <w:vMerge/>
            <w:shd w:val="clear" w:color="auto" w:fill="FFCC00"/>
            <w:tcMar>
              <w:top w:w="0" w:type="dxa"/>
              <w:left w:w="108" w:type="dxa"/>
              <w:bottom w:w="0" w:type="dxa"/>
              <w:right w:w="108" w:type="dxa"/>
            </w:tcMar>
          </w:tcPr>
          <w:p w14:paraId="0EC8ABA0"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657" w:type="pct"/>
            <w:vMerge/>
            <w:shd w:val="clear" w:color="auto" w:fill="FFCCFF"/>
            <w:tcMar>
              <w:top w:w="0" w:type="dxa"/>
              <w:left w:w="108" w:type="dxa"/>
              <w:bottom w:w="0" w:type="dxa"/>
              <w:right w:w="108" w:type="dxa"/>
            </w:tcMar>
          </w:tcPr>
          <w:p w14:paraId="436CE21B"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19" w:type="pct"/>
            <w:vMerge/>
            <w:shd w:val="clear" w:color="auto" w:fill="FFFF99"/>
            <w:tcMar>
              <w:top w:w="0" w:type="dxa"/>
              <w:left w:w="108" w:type="dxa"/>
              <w:bottom w:w="0" w:type="dxa"/>
              <w:right w:w="108" w:type="dxa"/>
            </w:tcMar>
          </w:tcPr>
          <w:p w14:paraId="432AFC80"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r>
      <w:tr w:rsidR="00324848" w:rsidRPr="00124566" w14:paraId="4290C494" w14:textId="77777777" w:rsidTr="00D93057">
        <w:trPr>
          <w:trHeight w:val="3374"/>
        </w:trPr>
        <w:tc>
          <w:tcPr>
            <w:tcW w:w="834" w:type="pct"/>
            <w:vMerge/>
            <w:tcMar>
              <w:top w:w="0" w:type="dxa"/>
              <w:left w:w="108" w:type="dxa"/>
              <w:bottom w:w="0" w:type="dxa"/>
              <w:right w:w="108" w:type="dxa"/>
            </w:tcMar>
          </w:tcPr>
          <w:p w14:paraId="0B4F1F83" w14:textId="77777777" w:rsidR="00324848" w:rsidRPr="00124566" w:rsidRDefault="00324848" w:rsidP="002041B0">
            <w:pPr>
              <w:spacing w:after="0" w:line="240" w:lineRule="auto"/>
              <w:rPr>
                <w:rFonts w:asciiTheme="minorBidi" w:eastAsia="Times New Roman" w:hAnsiTheme="minorBidi"/>
                <w:b/>
                <w:bCs/>
                <w:color w:val="000000"/>
                <w:kern w:val="0"/>
                <w14:ligatures w14:val="none"/>
              </w:rPr>
            </w:pPr>
          </w:p>
        </w:tc>
        <w:tc>
          <w:tcPr>
            <w:tcW w:w="576" w:type="pct"/>
            <w:vMerge/>
            <w:shd w:val="clear" w:color="auto" w:fill="99CCFF"/>
            <w:tcMar>
              <w:top w:w="0" w:type="dxa"/>
              <w:left w:w="108" w:type="dxa"/>
              <w:bottom w:w="0" w:type="dxa"/>
              <w:right w:w="108" w:type="dxa"/>
            </w:tcMar>
          </w:tcPr>
          <w:p w14:paraId="7578AACB"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49" w:type="pct"/>
            <w:vMerge/>
            <w:shd w:val="clear" w:color="auto" w:fill="66FFFF"/>
            <w:tcMar>
              <w:top w:w="0" w:type="dxa"/>
              <w:left w:w="108" w:type="dxa"/>
              <w:bottom w:w="0" w:type="dxa"/>
              <w:right w:w="108" w:type="dxa"/>
            </w:tcMar>
          </w:tcPr>
          <w:p w14:paraId="313D3584"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703" w:type="pct"/>
            <w:shd w:val="clear" w:color="auto" w:fill="CCFF99"/>
            <w:tcMar>
              <w:top w:w="0" w:type="dxa"/>
              <w:left w:w="108" w:type="dxa"/>
              <w:bottom w:w="0" w:type="dxa"/>
              <w:right w:w="108" w:type="dxa"/>
            </w:tcMar>
          </w:tcPr>
          <w:p w14:paraId="48E8C93E" w14:textId="77777777" w:rsidR="00324848" w:rsidRPr="00124566" w:rsidRDefault="00324848" w:rsidP="00A803F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Case Study </w:t>
            </w:r>
          </w:p>
          <w:p w14:paraId="257D2086" w14:textId="77777777" w:rsidR="00324848" w:rsidRPr="00124566" w:rsidRDefault="00324848" w:rsidP="00A803F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Can align with various paradigms, including </w:t>
            </w:r>
            <w:proofErr w:type="spellStart"/>
            <w:r w:rsidRPr="00124566">
              <w:rPr>
                <w:rFonts w:asciiTheme="minorBidi" w:eastAsia="Times New Roman" w:hAnsiTheme="minorBidi"/>
                <w:color w:val="000000"/>
                <w:kern w:val="0"/>
                <w14:ligatures w14:val="none"/>
              </w:rPr>
              <w:t>Postpositivism</w:t>
            </w:r>
            <w:proofErr w:type="spellEnd"/>
            <w:r w:rsidRPr="00124566">
              <w:rPr>
                <w:rFonts w:asciiTheme="minorBidi" w:eastAsia="Times New Roman" w:hAnsiTheme="minorBidi"/>
                <w:color w:val="000000"/>
                <w:kern w:val="0"/>
                <w14:ligatures w14:val="none"/>
              </w:rPr>
              <w:t>, Interpretivism, and Pragmatism, depending on the nature of the case and the research question.</w:t>
            </w:r>
          </w:p>
          <w:p w14:paraId="4C5575B8" w14:textId="77777777" w:rsidR="00324848" w:rsidRPr="00124566" w:rsidRDefault="00324848" w:rsidP="00A803F6">
            <w:pPr>
              <w:spacing w:after="0" w:line="240" w:lineRule="auto"/>
              <w:rPr>
                <w:rFonts w:asciiTheme="minorBidi" w:eastAsia="Times New Roman" w:hAnsiTheme="minorBidi"/>
                <w:color w:val="000000"/>
                <w:kern w:val="0"/>
                <w14:ligatures w14:val="none"/>
              </w:rPr>
            </w:pPr>
          </w:p>
          <w:p w14:paraId="3122F4CB" w14:textId="6737F262" w:rsidR="00324848" w:rsidRPr="00124566" w:rsidRDefault="00324848" w:rsidP="0032484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 xml:space="preserve">An interpretive case study may seek to understand the unique experiences and perspectives of </w:t>
            </w:r>
            <w:r w:rsidRPr="00124566">
              <w:rPr>
                <w:rFonts w:asciiTheme="minorBidi" w:eastAsia="Times New Roman" w:hAnsiTheme="minorBidi"/>
                <w:color w:val="000000"/>
                <w:kern w:val="0"/>
                <w14:ligatures w14:val="none"/>
              </w:rPr>
              <w:lastRenderedPageBreak/>
              <w:t>individuals within a bounded system.</w:t>
            </w:r>
          </w:p>
          <w:p w14:paraId="52FCE4B1" w14:textId="70ED805B" w:rsidR="00324848" w:rsidRPr="00124566" w:rsidRDefault="00324848" w:rsidP="00324848">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w:t>
            </w:r>
          </w:p>
          <w:p w14:paraId="143AE7E4" w14:textId="77777777" w:rsidR="00324848" w:rsidRPr="00124566" w:rsidRDefault="00324848" w:rsidP="00324848">
            <w:pPr>
              <w:spacing w:after="0" w:line="240" w:lineRule="auto"/>
              <w:rPr>
                <w:rFonts w:asciiTheme="minorBidi" w:eastAsia="Times New Roman" w:hAnsiTheme="minorBidi"/>
                <w:color w:val="000000"/>
                <w:kern w:val="0"/>
                <w14:ligatures w14:val="none"/>
              </w:rPr>
            </w:pPr>
          </w:p>
        </w:tc>
        <w:tc>
          <w:tcPr>
            <w:tcW w:w="608" w:type="pct"/>
            <w:vMerge/>
            <w:tcMar>
              <w:top w:w="0" w:type="dxa"/>
              <w:left w:w="108" w:type="dxa"/>
              <w:bottom w:w="0" w:type="dxa"/>
              <w:right w:w="108" w:type="dxa"/>
            </w:tcMar>
          </w:tcPr>
          <w:p w14:paraId="32DECEA0"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54" w:type="pct"/>
            <w:vMerge/>
            <w:shd w:val="clear" w:color="auto" w:fill="FFCC00"/>
            <w:tcMar>
              <w:top w:w="0" w:type="dxa"/>
              <w:left w:w="108" w:type="dxa"/>
              <w:bottom w:w="0" w:type="dxa"/>
              <w:right w:w="108" w:type="dxa"/>
            </w:tcMar>
          </w:tcPr>
          <w:p w14:paraId="28A99DD4"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657" w:type="pct"/>
            <w:vMerge/>
            <w:shd w:val="clear" w:color="auto" w:fill="FFCCFF"/>
            <w:tcMar>
              <w:top w:w="0" w:type="dxa"/>
              <w:left w:w="108" w:type="dxa"/>
              <w:bottom w:w="0" w:type="dxa"/>
              <w:right w:w="108" w:type="dxa"/>
            </w:tcMar>
          </w:tcPr>
          <w:p w14:paraId="0E188F5B"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19" w:type="pct"/>
            <w:vMerge/>
            <w:shd w:val="clear" w:color="auto" w:fill="FFFF99"/>
            <w:tcMar>
              <w:top w:w="0" w:type="dxa"/>
              <w:left w:w="108" w:type="dxa"/>
              <w:bottom w:w="0" w:type="dxa"/>
              <w:right w:w="108" w:type="dxa"/>
            </w:tcMar>
          </w:tcPr>
          <w:p w14:paraId="5F405885"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r>
      <w:tr w:rsidR="00324848" w:rsidRPr="00124566" w14:paraId="212D4EBD" w14:textId="77777777" w:rsidTr="00D93057">
        <w:trPr>
          <w:trHeight w:val="3373"/>
        </w:trPr>
        <w:tc>
          <w:tcPr>
            <w:tcW w:w="834" w:type="pct"/>
            <w:vMerge/>
            <w:tcMar>
              <w:top w:w="0" w:type="dxa"/>
              <w:left w:w="108" w:type="dxa"/>
              <w:bottom w:w="0" w:type="dxa"/>
              <w:right w:w="108" w:type="dxa"/>
            </w:tcMar>
          </w:tcPr>
          <w:p w14:paraId="2347E712" w14:textId="77777777" w:rsidR="00324848" w:rsidRPr="00124566" w:rsidRDefault="00324848" w:rsidP="002041B0">
            <w:pPr>
              <w:spacing w:after="0" w:line="240" w:lineRule="auto"/>
              <w:rPr>
                <w:rFonts w:asciiTheme="minorBidi" w:eastAsia="Times New Roman" w:hAnsiTheme="minorBidi"/>
                <w:b/>
                <w:bCs/>
                <w:color w:val="000000"/>
                <w:kern w:val="0"/>
                <w14:ligatures w14:val="none"/>
              </w:rPr>
            </w:pPr>
          </w:p>
        </w:tc>
        <w:tc>
          <w:tcPr>
            <w:tcW w:w="576" w:type="pct"/>
            <w:vMerge/>
            <w:shd w:val="clear" w:color="auto" w:fill="99CCFF"/>
            <w:tcMar>
              <w:top w:w="0" w:type="dxa"/>
              <w:left w:w="108" w:type="dxa"/>
              <w:bottom w:w="0" w:type="dxa"/>
              <w:right w:w="108" w:type="dxa"/>
            </w:tcMar>
          </w:tcPr>
          <w:p w14:paraId="187858CF"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49" w:type="pct"/>
            <w:vMerge/>
            <w:shd w:val="clear" w:color="auto" w:fill="66FFFF"/>
            <w:tcMar>
              <w:top w:w="0" w:type="dxa"/>
              <w:left w:w="108" w:type="dxa"/>
              <w:bottom w:w="0" w:type="dxa"/>
              <w:right w:w="108" w:type="dxa"/>
            </w:tcMar>
          </w:tcPr>
          <w:p w14:paraId="5BF3CAAC"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703" w:type="pct"/>
            <w:shd w:val="clear" w:color="auto" w:fill="CCFF99"/>
            <w:tcMar>
              <w:top w:w="0" w:type="dxa"/>
              <w:left w:w="108" w:type="dxa"/>
              <w:bottom w:w="0" w:type="dxa"/>
              <w:right w:w="108" w:type="dxa"/>
            </w:tcMar>
          </w:tcPr>
          <w:p w14:paraId="138F0A39" w14:textId="77777777" w:rsidR="00124566" w:rsidRPr="00124566" w:rsidRDefault="00124566" w:rsidP="0012456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Grounded Theory</w:t>
            </w:r>
          </w:p>
          <w:p w14:paraId="067FBCA6" w14:textId="77777777" w:rsidR="00324848" w:rsidRPr="00124566" w:rsidRDefault="00124566" w:rsidP="0012456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When focused on understanding meanings and processes as experienced by individuals, with theory emerging from participants' perspectives and interpretations</w:t>
            </w:r>
          </w:p>
          <w:p w14:paraId="6D74D450" w14:textId="77777777" w:rsidR="00124566" w:rsidRPr="00124566" w:rsidRDefault="00124566" w:rsidP="00124566">
            <w:pPr>
              <w:spacing w:after="0" w:line="240" w:lineRule="auto"/>
              <w:rPr>
                <w:rFonts w:asciiTheme="minorBidi" w:eastAsia="Times New Roman" w:hAnsiTheme="minorBidi"/>
                <w:color w:val="000000"/>
                <w:kern w:val="0"/>
                <w14:ligatures w14:val="none"/>
              </w:rPr>
            </w:pPr>
            <w:r w:rsidRPr="00124566">
              <w:rPr>
                <w:rFonts w:asciiTheme="minorBidi" w:eastAsia="Times New Roman" w:hAnsiTheme="minorBidi"/>
                <w:color w:val="000000"/>
                <w:kern w:val="0"/>
                <w14:ligatures w14:val="none"/>
              </w:rPr>
              <w:t>Note: The paradigm alignment depends on whether the grounded theory focuses on individual meanings (Interpretivism), co-construction through researcher-participant interaction (Constructivism), or comparative group-level processes (Social Constructionism).</w:t>
            </w:r>
          </w:p>
          <w:p w14:paraId="32B321A5" w14:textId="17D2F13F" w:rsidR="00124566" w:rsidRPr="00124566" w:rsidRDefault="00124566" w:rsidP="00124566">
            <w:pPr>
              <w:spacing w:after="0" w:line="240" w:lineRule="auto"/>
              <w:rPr>
                <w:rFonts w:asciiTheme="minorBidi" w:eastAsia="Times New Roman" w:hAnsiTheme="minorBidi"/>
                <w:color w:val="000000"/>
                <w:kern w:val="0"/>
                <w14:ligatures w14:val="none"/>
              </w:rPr>
            </w:pPr>
          </w:p>
        </w:tc>
        <w:tc>
          <w:tcPr>
            <w:tcW w:w="608" w:type="pct"/>
            <w:vMerge/>
            <w:tcMar>
              <w:top w:w="0" w:type="dxa"/>
              <w:left w:w="108" w:type="dxa"/>
              <w:bottom w:w="0" w:type="dxa"/>
              <w:right w:w="108" w:type="dxa"/>
            </w:tcMar>
          </w:tcPr>
          <w:p w14:paraId="1D1E85C5"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54" w:type="pct"/>
            <w:vMerge/>
            <w:shd w:val="clear" w:color="auto" w:fill="FFCC00"/>
            <w:tcMar>
              <w:top w:w="0" w:type="dxa"/>
              <w:left w:w="108" w:type="dxa"/>
              <w:bottom w:w="0" w:type="dxa"/>
              <w:right w:w="108" w:type="dxa"/>
            </w:tcMar>
          </w:tcPr>
          <w:p w14:paraId="36FE8D57"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657" w:type="pct"/>
            <w:vMerge/>
            <w:shd w:val="clear" w:color="auto" w:fill="FFCCFF"/>
            <w:tcMar>
              <w:top w:w="0" w:type="dxa"/>
              <w:left w:w="108" w:type="dxa"/>
              <w:bottom w:w="0" w:type="dxa"/>
              <w:right w:w="108" w:type="dxa"/>
            </w:tcMar>
          </w:tcPr>
          <w:p w14:paraId="5E8113FA"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c>
          <w:tcPr>
            <w:tcW w:w="519" w:type="pct"/>
            <w:vMerge/>
            <w:shd w:val="clear" w:color="auto" w:fill="FFFF99"/>
            <w:tcMar>
              <w:top w:w="0" w:type="dxa"/>
              <w:left w:w="108" w:type="dxa"/>
              <w:bottom w:w="0" w:type="dxa"/>
              <w:right w:w="108" w:type="dxa"/>
            </w:tcMar>
          </w:tcPr>
          <w:p w14:paraId="18E841B4" w14:textId="77777777" w:rsidR="00324848" w:rsidRPr="00124566" w:rsidRDefault="00324848" w:rsidP="002041B0">
            <w:pPr>
              <w:spacing w:after="0" w:line="240" w:lineRule="auto"/>
              <w:rPr>
                <w:rFonts w:asciiTheme="minorBidi" w:eastAsia="Times New Roman" w:hAnsiTheme="minorBidi"/>
                <w:color w:val="000000"/>
                <w:kern w:val="0"/>
                <w14:ligatures w14:val="none"/>
              </w:rPr>
            </w:pPr>
          </w:p>
        </w:tc>
      </w:tr>
      <w:tr w:rsidR="00D622B5" w:rsidRPr="00124566" w14:paraId="62F4A7A6" w14:textId="77777777" w:rsidTr="00FC3EE9">
        <w:trPr>
          <w:trHeight w:val="1111"/>
        </w:trPr>
        <w:tc>
          <w:tcPr>
            <w:tcW w:w="5000" w:type="pct"/>
            <w:gridSpan w:val="8"/>
            <w:shd w:val="clear" w:color="auto" w:fill="00C5C0"/>
            <w:tcMar>
              <w:top w:w="0" w:type="dxa"/>
              <w:left w:w="108" w:type="dxa"/>
              <w:bottom w:w="0" w:type="dxa"/>
              <w:right w:w="108" w:type="dxa"/>
            </w:tcMar>
          </w:tcPr>
          <w:p w14:paraId="3F000104" w14:textId="77777777" w:rsidR="00D622B5" w:rsidRPr="00124566" w:rsidRDefault="00D622B5" w:rsidP="00FC3EE9">
            <w:pPr>
              <w:spacing w:after="0" w:line="240" w:lineRule="auto"/>
              <w:jc w:val="center"/>
              <w:rPr>
                <w:rFonts w:asciiTheme="minorBidi" w:eastAsia="Times New Roman" w:hAnsiTheme="minorBidi"/>
                <w:color w:val="000000"/>
                <w:kern w:val="0"/>
                <w14:ligatures w14:val="none"/>
              </w:rPr>
            </w:pPr>
          </w:p>
          <w:p w14:paraId="725F6A36" w14:textId="77777777" w:rsidR="00DB0634" w:rsidRPr="00124566" w:rsidRDefault="00DB0634" w:rsidP="00FC3EE9">
            <w:pPr>
              <w:pStyle w:val="NormalWeb"/>
              <w:spacing w:before="0" w:beforeAutospacing="0" w:after="0" w:afterAutospacing="0"/>
              <w:jc w:val="center"/>
              <w:rPr>
                <w:rFonts w:asciiTheme="minorBidi" w:hAnsiTheme="minorBidi" w:cstheme="minorBidi"/>
              </w:rPr>
            </w:pPr>
            <w:r w:rsidRPr="00124566">
              <w:rPr>
                <w:rFonts w:asciiTheme="minorBidi" w:hAnsiTheme="minorBidi" w:cstheme="minorBidi"/>
                <w:b/>
                <w:bCs/>
                <w:color w:val="000000"/>
              </w:rPr>
              <w:t>Research Topic: The Impact of Corporate Social Responsibility (CSR) on Consumer Loyalty in the Fast-Moving Consumer Goods (FMCG) Industry</w:t>
            </w:r>
          </w:p>
          <w:p w14:paraId="0EFB8A48" w14:textId="77777777" w:rsidR="00DB0634" w:rsidRPr="00124566" w:rsidRDefault="00DB0634" w:rsidP="00FC3EE9">
            <w:pPr>
              <w:spacing w:after="0" w:line="240" w:lineRule="auto"/>
              <w:jc w:val="center"/>
              <w:rPr>
                <w:rFonts w:asciiTheme="minorBidi" w:eastAsia="Times New Roman" w:hAnsiTheme="minorBidi"/>
                <w:color w:val="000000"/>
                <w:kern w:val="0"/>
                <w14:ligatures w14:val="none"/>
              </w:rPr>
            </w:pPr>
          </w:p>
        </w:tc>
      </w:tr>
      <w:tr w:rsidR="0078169B" w:rsidRPr="00124566" w14:paraId="2B6F1A77" w14:textId="77777777" w:rsidTr="0027306D">
        <w:trPr>
          <w:trHeight w:val="3542"/>
        </w:trPr>
        <w:tc>
          <w:tcPr>
            <w:tcW w:w="834" w:type="pct"/>
            <w:shd w:val="clear" w:color="auto" w:fill="C1FFFE"/>
            <w:tcMar>
              <w:top w:w="0" w:type="dxa"/>
              <w:left w:w="108" w:type="dxa"/>
              <w:bottom w:w="0" w:type="dxa"/>
              <w:right w:w="108" w:type="dxa"/>
            </w:tcMar>
          </w:tcPr>
          <w:p w14:paraId="17A0F8BE"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Narrative Research </w:t>
            </w:r>
          </w:p>
          <w:p w14:paraId="15733F08" w14:textId="77777777" w:rsidR="0078169B" w:rsidRPr="00124566" w:rsidRDefault="0078169B" w:rsidP="0078169B">
            <w:pPr>
              <w:rPr>
                <w:rFonts w:asciiTheme="minorBidi" w:hAnsiTheme="minorBidi"/>
              </w:rPr>
            </w:pPr>
          </w:p>
          <w:p w14:paraId="0145DD9E"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Emphasises the subjective nature of reality and the importance of understanding the participant's perspective.</w:t>
            </w:r>
          </w:p>
          <w:p w14:paraId="7ED5F918" w14:textId="77777777" w:rsidR="0078169B" w:rsidRPr="00124566" w:rsidRDefault="0078169B" w:rsidP="0078169B">
            <w:pPr>
              <w:spacing w:after="0" w:line="240" w:lineRule="auto"/>
              <w:rPr>
                <w:rFonts w:asciiTheme="minorBidi" w:eastAsia="Times New Roman" w:hAnsiTheme="minorBidi"/>
                <w:b/>
                <w:bCs/>
                <w:color w:val="000000"/>
                <w:kern w:val="0"/>
                <w14:ligatures w14:val="none"/>
              </w:rPr>
            </w:pPr>
          </w:p>
        </w:tc>
        <w:tc>
          <w:tcPr>
            <w:tcW w:w="4166" w:type="pct"/>
            <w:gridSpan w:val="7"/>
            <w:shd w:val="clear" w:color="auto" w:fill="C1FFFE"/>
            <w:tcMar>
              <w:top w:w="0" w:type="dxa"/>
              <w:left w:w="108" w:type="dxa"/>
              <w:bottom w:w="0" w:type="dxa"/>
              <w:right w:w="108" w:type="dxa"/>
            </w:tcMar>
          </w:tcPr>
          <w:p w14:paraId="7053A35A"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Narrative Research</w:t>
            </w:r>
          </w:p>
          <w:p w14:paraId="53AEB34C" w14:textId="77777777" w:rsidR="0078169B" w:rsidRPr="00124566" w:rsidRDefault="0078169B" w:rsidP="0078169B">
            <w:pPr>
              <w:rPr>
                <w:rFonts w:asciiTheme="minorBidi" w:hAnsiTheme="minorBidi"/>
              </w:rPr>
            </w:pPr>
          </w:p>
          <w:p w14:paraId="70215CDF"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Research Question: How do individual consumers' experiences with FMCG companies' CSR initiatives shape their loyalty over time?</w:t>
            </w:r>
          </w:p>
          <w:p w14:paraId="4AF4D74A"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Methodology: Longitudinal narrative inquiry focusing on a small number of consumers' stories about their interactions with FMCG companies' CSR initiatives.</w:t>
            </w:r>
          </w:p>
          <w:p w14:paraId="2DF40A86"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Collection: In-depth interviews conducted at multiple points over an extended period (e.g., 1-2 years), supplemented by participants' journals or diaries.</w:t>
            </w:r>
          </w:p>
          <w:p w14:paraId="06448BF4"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Analysis: Chronological analysis of individual stories, identifying key events, turning points, and themes in consumers' evolving relationships with FMCG brands based on CSR experiences.</w:t>
            </w:r>
          </w:p>
          <w:p w14:paraId="0EB9B7E1"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When to use: When seeking to understand the long-term, personal impact of CSR initiatives on individual consumers' brand loyalty journeys.</w:t>
            </w:r>
          </w:p>
          <w:p w14:paraId="05CFFAF9"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Reality: Subjective and constructed through individual experiences and storytelling.</w:t>
            </w:r>
          </w:p>
          <w:p w14:paraId="16DBD9D5"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Knowledge: Gained through understanding and interpreting individual narratives and experiences.</w:t>
            </w:r>
          </w:p>
          <w:p w14:paraId="0B407CC6"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 On the temporal and personal aspects of how CSR initiatives influence consumer loyalty.</w:t>
            </w:r>
          </w:p>
          <w:p w14:paraId="43FF7AD7"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What it seeks to do: Provide rich, detailed accounts of how CSR initiatives shape consumer loyalty over time.</w:t>
            </w:r>
          </w:p>
          <w:p w14:paraId="3B186BD0"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Rationale: Consumer loyalty is formed through ongoing experiences and interactions, best understood through personal stories.</w:t>
            </w:r>
          </w:p>
          <w:p w14:paraId="32ECDF02"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Axiology: Values the unique perspectives and experiences of individual consumers.</w:t>
            </w:r>
          </w:p>
          <w:p w14:paraId="44341E67"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lastRenderedPageBreak/>
              <w:t>Theoretical Framework: Draws on theories of narrative identity and brand relationship theory.</w:t>
            </w:r>
          </w:p>
          <w:p w14:paraId="1E7F249F"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Model: Consumer-Brand Relationship Evolution Model influenced by CSR initiatives.</w:t>
            </w:r>
          </w:p>
          <w:p w14:paraId="0EAC9B04"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Framework: Typically inductive, with theories emerging from the collected narratives.</w:t>
            </w:r>
          </w:p>
          <w:p w14:paraId="0EC3A539"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Implications for Practice: Informs long-term CSR strategy development and personalised consumer engagement approaches.</w:t>
            </w:r>
          </w:p>
          <w:p w14:paraId="02A63B1A"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Ethics: Ensures confidentiality and informed consent, with careful consideration of the long-term nature of participant involvement.</w:t>
            </w:r>
          </w:p>
          <w:p w14:paraId="3E35FB2F"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Approach: Primarily inductive, with theories about CSR impact emerging from collected narratives.</w:t>
            </w:r>
          </w:p>
          <w:p w14:paraId="37F21065"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Strengths: Provides deep, contextualised understanding of CSR's impact on consumer loyalty over time.</w:t>
            </w:r>
          </w:p>
          <w:p w14:paraId="5C6BC6C2" w14:textId="77777777" w:rsidR="0078169B" w:rsidRPr="00124566" w:rsidRDefault="0078169B" w:rsidP="0078169B">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Weaknesses: Limited generalisability due to small sample </w:t>
            </w:r>
            <w:proofErr w:type="spellStart"/>
            <w:r w:rsidRPr="00124566">
              <w:rPr>
                <w:rFonts w:asciiTheme="minorBidi" w:hAnsiTheme="minorBidi" w:cstheme="minorBidi"/>
                <w:color w:val="000000"/>
              </w:rPr>
              <w:t>sise</w:t>
            </w:r>
            <w:proofErr w:type="spellEnd"/>
            <w:r w:rsidRPr="00124566">
              <w:rPr>
                <w:rFonts w:asciiTheme="minorBidi" w:hAnsiTheme="minorBidi" w:cstheme="minorBidi"/>
                <w:color w:val="000000"/>
              </w:rPr>
              <w:t xml:space="preserve"> and highly personal nature of data.</w:t>
            </w:r>
          </w:p>
          <w:p w14:paraId="393117E9" w14:textId="77777777" w:rsidR="0078169B" w:rsidRPr="00124566" w:rsidRDefault="0078169B" w:rsidP="0078169B">
            <w:pPr>
              <w:spacing w:after="0" w:line="240" w:lineRule="auto"/>
              <w:rPr>
                <w:rFonts w:asciiTheme="minorBidi" w:eastAsia="Times New Roman" w:hAnsiTheme="minorBidi"/>
                <w:color w:val="000000"/>
                <w:kern w:val="0"/>
                <w14:ligatures w14:val="none"/>
              </w:rPr>
            </w:pPr>
          </w:p>
        </w:tc>
      </w:tr>
      <w:tr w:rsidR="0017596D" w:rsidRPr="00124566" w14:paraId="08386589" w14:textId="77777777" w:rsidTr="0027306D">
        <w:trPr>
          <w:trHeight w:val="1893"/>
        </w:trPr>
        <w:tc>
          <w:tcPr>
            <w:tcW w:w="834" w:type="pct"/>
            <w:shd w:val="clear" w:color="auto" w:fill="C1FFFE"/>
            <w:tcMar>
              <w:top w:w="0" w:type="dxa"/>
              <w:left w:w="108" w:type="dxa"/>
              <w:bottom w:w="0" w:type="dxa"/>
              <w:right w:w="108" w:type="dxa"/>
            </w:tcMar>
          </w:tcPr>
          <w:p w14:paraId="4B989E92" w14:textId="1DCDCE6B" w:rsidR="0017596D" w:rsidRPr="00124566" w:rsidRDefault="0017596D" w:rsidP="0017596D">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b/>
                <w:bCs/>
                <w:color w:val="000000"/>
              </w:rPr>
              <w:lastRenderedPageBreak/>
              <w:t>Narrative Research and Ethics</w:t>
            </w:r>
          </w:p>
        </w:tc>
        <w:tc>
          <w:tcPr>
            <w:tcW w:w="4166" w:type="pct"/>
            <w:gridSpan w:val="7"/>
            <w:shd w:val="clear" w:color="auto" w:fill="C1FFFE"/>
            <w:tcMar>
              <w:top w:w="0" w:type="dxa"/>
              <w:left w:w="108" w:type="dxa"/>
              <w:bottom w:w="0" w:type="dxa"/>
              <w:right w:w="108" w:type="dxa"/>
            </w:tcMar>
          </w:tcPr>
          <w:p w14:paraId="7B74A24E"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Respecting the storyteller's voice and perspective</w:t>
            </w:r>
          </w:p>
          <w:p w14:paraId="44837675"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Maintaining confidentiality when sharing personal stories</w:t>
            </w:r>
          </w:p>
          <w:p w14:paraId="0264448B"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Addressing potential psychological impacts of recounting personal experiences</w:t>
            </w:r>
          </w:p>
          <w:p w14:paraId="5BA63A66"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accurate representation of narratives</w:t>
            </w:r>
          </w:p>
          <w:p w14:paraId="131B33DA"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Managing power dynamics between researcher and participant</w:t>
            </w:r>
          </w:p>
          <w:p w14:paraId="39082320" w14:textId="15A0DFAE" w:rsidR="0017596D" w:rsidRPr="00124566" w:rsidRDefault="0017596D" w:rsidP="0017596D">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Considering the impact of sharing stories on participants' relationships and communities</w:t>
            </w:r>
          </w:p>
        </w:tc>
      </w:tr>
      <w:tr w:rsidR="0017596D" w:rsidRPr="00124566" w14:paraId="0F0394AC" w14:textId="77777777" w:rsidTr="0027306D">
        <w:trPr>
          <w:trHeight w:val="3542"/>
        </w:trPr>
        <w:tc>
          <w:tcPr>
            <w:tcW w:w="834" w:type="pct"/>
            <w:shd w:val="clear" w:color="auto" w:fill="C1FFFE"/>
            <w:tcMar>
              <w:top w:w="0" w:type="dxa"/>
              <w:left w:w="108" w:type="dxa"/>
              <w:bottom w:w="0" w:type="dxa"/>
              <w:right w:w="108" w:type="dxa"/>
            </w:tcMar>
          </w:tcPr>
          <w:p w14:paraId="57B1D380"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Phenomenology</w:t>
            </w:r>
          </w:p>
          <w:p w14:paraId="5C0BC5AB" w14:textId="77777777" w:rsidR="0017596D" w:rsidRPr="00124566" w:rsidRDefault="0017596D" w:rsidP="0017596D">
            <w:pPr>
              <w:rPr>
                <w:rFonts w:asciiTheme="minorBidi" w:hAnsiTheme="minorBidi"/>
              </w:rPr>
            </w:pPr>
          </w:p>
          <w:p w14:paraId="4AAB07BD"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Focuses on interpreting the meanings people assign to their experiences and how they construct their realities.</w:t>
            </w:r>
          </w:p>
          <w:p w14:paraId="4A958D9E" w14:textId="77777777" w:rsidR="0017596D" w:rsidRPr="00124566" w:rsidRDefault="0017596D" w:rsidP="0017596D">
            <w:pPr>
              <w:pStyle w:val="NormalWeb"/>
              <w:spacing w:before="0" w:beforeAutospacing="0" w:after="0" w:afterAutospacing="0"/>
              <w:rPr>
                <w:rFonts w:asciiTheme="minorBidi" w:hAnsiTheme="minorBidi" w:cstheme="minorBidi"/>
                <w:b/>
                <w:bCs/>
                <w:color w:val="000000"/>
              </w:rPr>
            </w:pPr>
          </w:p>
        </w:tc>
        <w:tc>
          <w:tcPr>
            <w:tcW w:w="4166" w:type="pct"/>
            <w:gridSpan w:val="7"/>
            <w:shd w:val="clear" w:color="auto" w:fill="C1FFFE"/>
            <w:tcMar>
              <w:top w:w="0" w:type="dxa"/>
              <w:left w:w="108" w:type="dxa"/>
              <w:bottom w:w="0" w:type="dxa"/>
              <w:right w:w="108" w:type="dxa"/>
            </w:tcMar>
          </w:tcPr>
          <w:p w14:paraId="1E54B69A"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Phenomenology</w:t>
            </w:r>
          </w:p>
          <w:p w14:paraId="32EDFCBA" w14:textId="77777777" w:rsidR="0017596D" w:rsidRPr="00124566" w:rsidRDefault="0017596D" w:rsidP="0017596D">
            <w:pPr>
              <w:rPr>
                <w:rFonts w:asciiTheme="minorBidi" w:hAnsiTheme="minorBidi"/>
              </w:rPr>
            </w:pPr>
          </w:p>
          <w:p w14:paraId="6F0529AF"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Research Question: What is the lived experience of consumers engaging with FMCG companies' CSR initiatives, and how does this experience relate to their sense of brand loyalty?</w:t>
            </w:r>
          </w:p>
          <w:p w14:paraId="341D0EAB"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Methodology: Hermeneutic phenomenology, focusing on the essence of consumers' experiences with CSR initiatives.</w:t>
            </w:r>
          </w:p>
          <w:p w14:paraId="59C885C5"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Collection: In-depth, semi-structured interviews with consumers who have engaged with FMCG companies' CSR initiatives, possibly supplemented by written reflections.</w:t>
            </w:r>
          </w:p>
          <w:p w14:paraId="7CC0B3A0"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Analysis: Thematic analysis to identify common themes and patterns in consumers' experiences, followed by the development of a rich, textural description of the phenomenon.</w:t>
            </w:r>
          </w:p>
          <w:p w14:paraId="07B7F1E5"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When to use: When aiming to understand the essence of how consumers experience and make meaning of CSR initiatives in relation to their loyalty.</w:t>
            </w:r>
          </w:p>
          <w:p w14:paraId="36C79FE8"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Reality: Subjective and based on individuals' lived experiences and perceptions.</w:t>
            </w:r>
          </w:p>
          <w:p w14:paraId="234E4639"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Knowledge: Gained through understanding the essence of shared experiences.</w:t>
            </w:r>
          </w:p>
          <w:p w14:paraId="0CE8C25D"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 On the common elements of consumers' experiences with CSR initiatives and how these relate to loyalty.</w:t>
            </w:r>
          </w:p>
          <w:p w14:paraId="58753277"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What it seeks to do: Uncover the essential structure of the CSR-loyalty relationship as experienced by consumers.</w:t>
            </w:r>
          </w:p>
          <w:p w14:paraId="231DE06A"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Rationale: Consumer loyalty is fundamentally shaped by how individuals experience and interpret CSR initiatives.</w:t>
            </w:r>
          </w:p>
          <w:p w14:paraId="4C370C89"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Axiology: Values the subjective experiences and interpretations of consumers.</w:t>
            </w:r>
          </w:p>
          <w:p w14:paraId="76E8CF4A"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Theoretical Framework: Draws on phenomenological philosophy and consumer experience theories.</w:t>
            </w:r>
          </w:p>
          <w:p w14:paraId="5C653CD2"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Model: Essence of CSR-Loyalty Experience Model.</w:t>
            </w:r>
          </w:p>
          <w:p w14:paraId="32DB36B5"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Framework: Typically inductive, with the essence of the phenomenon emerging from data analysis.</w:t>
            </w:r>
          </w:p>
          <w:p w14:paraId="1ECE7F3E"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Implications for Practice: Informs the design of CSR initiatives to create meaningful consumer experiences that foster loyalty.</w:t>
            </w:r>
          </w:p>
          <w:p w14:paraId="72F43DEB"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Ethics: Ensures informed consent and respects the personal nature of participants' shared experiences.</w:t>
            </w:r>
          </w:p>
          <w:p w14:paraId="1EF85CC1"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Approach: Primarily inductive, with the essence of the CSR-loyalty relationship emerging from data analysis.</w:t>
            </w:r>
          </w:p>
          <w:p w14:paraId="390B1FAC"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Strengths: Provides deep insights into the lived experience of CSR initiatives and their impact on loyalty.</w:t>
            </w:r>
          </w:p>
          <w:p w14:paraId="7ACACEDD" w14:textId="77777777" w:rsidR="0017596D" w:rsidRPr="00124566" w:rsidRDefault="0017596D" w:rsidP="0017596D">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Weaknesses: May overlook broader contextual factors influencing the CSR-loyalty relationship.</w:t>
            </w:r>
          </w:p>
          <w:p w14:paraId="6666C0E9" w14:textId="77777777" w:rsidR="0017596D" w:rsidRPr="00124566" w:rsidRDefault="0017596D" w:rsidP="0017596D">
            <w:pPr>
              <w:pStyle w:val="NormalWeb"/>
              <w:spacing w:before="0" w:beforeAutospacing="0" w:after="0" w:afterAutospacing="0"/>
              <w:rPr>
                <w:rFonts w:asciiTheme="minorBidi" w:hAnsiTheme="minorBidi" w:cstheme="minorBidi"/>
                <w:b/>
                <w:bCs/>
                <w:color w:val="000000"/>
              </w:rPr>
            </w:pPr>
          </w:p>
        </w:tc>
      </w:tr>
      <w:tr w:rsidR="00AF577E" w:rsidRPr="00124566" w14:paraId="023566A3" w14:textId="77777777" w:rsidTr="0027306D">
        <w:trPr>
          <w:trHeight w:val="2104"/>
        </w:trPr>
        <w:tc>
          <w:tcPr>
            <w:tcW w:w="834" w:type="pct"/>
            <w:shd w:val="clear" w:color="auto" w:fill="C1FFFE"/>
            <w:tcMar>
              <w:top w:w="0" w:type="dxa"/>
              <w:left w:w="108" w:type="dxa"/>
              <w:bottom w:w="0" w:type="dxa"/>
              <w:right w:w="108" w:type="dxa"/>
            </w:tcMar>
          </w:tcPr>
          <w:p w14:paraId="60AAEA9B" w14:textId="339A71BA" w:rsidR="00AF577E" w:rsidRPr="00124566" w:rsidRDefault="00AF577E" w:rsidP="00AF577E">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b/>
                <w:bCs/>
                <w:color w:val="000000"/>
              </w:rPr>
              <w:t>Phenomenology and Ethics</w:t>
            </w:r>
          </w:p>
        </w:tc>
        <w:tc>
          <w:tcPr>
            <w:tcW w:w="4166" w:type="pct"/>
            <w:gridSpan w:val="7"/>
            <w:shd w:val="clear" w:color="auto" w:fill="C1FFFE"/>
            <w:tcMar>
              <w:top w:w="0" w:type="dxa"/>
              <w:left w:w="108" w:type="dxa"/>
              <w:bottom w:w="0" w:type="dxa"/>
              <w:right w:w="108" w:type="dxa"/>
            </w:tcMar>
          </w:tcPr>
          <w:p w14:paraId="4709B793"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Respecting participants' lived experiences</w:t>
            </w:r>
          </w:p>
          <w:p w14:paraId="5AD4556C"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Bracketing researcher's preconceptions to avoid bias</w:t>
            </w:r>
          </w:p>
          <w:p w14:paraId="1EDDF3F7"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confidentiality in deeply personal accounts</w:t>
            </w:r>
          </w:p>
          <w:p w14:paraId="43E51B81"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Managing potential emotional distress during in-depth interviews</w:t>
            </w:r>
          </w:p>
          <w:p w14:paraId="475CF65C"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Accurate representation of the essence of experiences</w:t>
            </w:r>
          </w:p>
          <w:p w14:paraId="17F7383E" w14:textId="546400BC" w:rsidR="00AF577E" w:rsidRPr="00124566" w:rsidRDefault="00AF577E" w:rsidP="00AF577E">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Considering the impact of reflection on participants' self-perception</w:t>
            </w:r>
          </w:p>
        </w:tc>
      </w:tr>
      <w:tr w:rsidR="00AF577E" w:rsidRPr="00124566" w14:paraId="0E875269" w14:textId="77777777" w:rsidTr="0027306D">
        <w:trPr>
          <w:trHeight w:val="3542"/>
        </w:trPr>
        <w:tc>
          <w:tcPr>
            <w:tcW w:w="834" w:type="pct"/>
            <w:shd w:val="clear" w:color="auto" w:fill="C1FFFE"/>
            <w:tcMar>
              <w:top w:w="0" w:type="dxa"/>
              <w:left w:w="108" w:type="dxa"/>
              <w:bottom w:w="0" w:type="dxa"/>
              <w:right w:w="108" w:type="dxa"/>
            </w:tcMar>
          </w:tcPr>
          <w:p w14:paraId="1B7D19EB"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lastRenderedPageBreak/>
              <w:t>Grounded Theory</w:t>
            </w:r>
          </w:p>
          <w:p w14:paraId="29581C3F" w14:textId="77777777" w:rsidR="00AF577E" w:rsidRPr="00124566" w:rsidRDefault="00AF577E" w:rsidP="00AF577E">
            <w:pPr>
              <w:rPr>
                <w:rFonts w:asciiTheme="minorBidi" w:hAnsiTheme="minorBidi"/>
              </w:rPr>
            </w:pPr>
          </w:p>
          <w:p w14:paraId="3440687E"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Emphasises the co-construction of knowledge through the interaction between the researcher and the researched.</w:t>
            </w:r>
          </w:p>
          <w:p w14:paraId="25F567D1" w14:textId="77777777" w:rsidR="00AF577E" w:rsidRPr="00124566" w:rsidRDefault="00AF577E" w:rsidP="00AF577E">
            <w:pPr>
              <w:rPr>
                <w:rFonts w:asciiTheme="minorBidi" w:hAnsiTheme="minorBidi"/>
              </w:rPr>
            </w:pPr>
          </w:p>
          <w:p w14:paraId="529C7FB0"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Involves an iterative process of data collection and analysis, with the theory emerging from the data.</w:t>
            </w:r>
          </w:p>
          <w:p w14:paraId="5DAF562E" w14:textId="77777777" w:rsidR="00AF577E" w:rsidRPr="00124566" w:rsidRDefault="00AF577E" w:rsidP="00AF577E">
            <w:pPr>
              <w:pStyle w:val="NormalWeb"/>
              <w:spacing w:before="0" w:beforeAutospacing="0" w:after="0" w:afterAutospacing="0"/>
              <w:rPr>
                <w:rFonts w:asciiTheme="minorBidi" w:hAnsiTheme="minorBidi" w:cstheme="minorBidi"/>
                <w:b/>
                <w:bCs/>
                <w:color w:val="000000"/>
              </w:rPr>
            </w:pPr>
          </w:p>
        </w:tc>
        <w:tc>
          <w:tcPr>
            <w:tcW w:w="4166" w:type="pct"/>
            <w:gridSpan w:val="7"/>
            <w:shd w:val="clear" w:color="auto" w:fill="C1FFFE"/>
            <w:tcMar>
              <w:top w:w="0" w:type="dxa"/>
              <w:left w:w="108" w:type="dxa"/>
              <w:bottom w:w="0" w:type="dxa"/>
              <w:right w:w="108" w:type="dxa"/>
            </w:tcMar>
          </w:tcPr>
          <w:p w14:paraId="58DB56B5"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Grounded Theory</w:t>
            </w:r>
          </w:p>
          <w:p w14:paraId="719A3A70" w14:textId="77777777" w:rsidR="00AF577E" w:rsidRPr="00124566" w:rsidRDefault="00AF577E" w:rsidP="00AF577E">
            <w:pPr>
              <w:rPr>
                <w:rFonts w:asciiTheme="minorBidi" w:hAnsiTheme="minorBidi"/>
              </w:rPr>
            </w:pPr>
          </w:p>
          <w:p w14:paraId="44C0CEFA"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Research Question: What processes underlie the development of consumer loyalty in response to FMCG companies' CSR initiatives?</w:t>
            </w:r>
          </w:p>
          <w:p w14:paraId="33D12310"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Methodology: Constructivist grounded theory approach to develop a theory explaining the process of loyalty formation in relation to CSR initiatives.</w:t>
            </w:r>
          </w:p>
          <w:p w14:paraId="793AF945"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Collection: Theoretical sampling with initial, focused, and theoretical coding. Methods include in-depth interviews, focus groups, and analysis of consumer feedback data.</w:t>
            </w:r>
          </w:p>
          <w:p w14:paraId="6679D1D0"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Analysis: Constant comparative method, memo-writing, and theoretical coding to develop a substantive theory.</w:t>
            </w:r>
          </w:p>
          <w:p w14:paraId="6A72FB3E"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When to use: When aiming to develop a new theory explaining how CSR initiatives influence consumer loyalty in the FMCG industry.</w:t>
            </w:r>
          </w:p>
          <w:p w14:paraId="581D5BD4"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Reality: Socially constructed through interactions between consumers, brands, and CSR initiatives.</w:t>
            </w:r>
          </w:p>
          <w:p w14:paraId="7958B9D7"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Knowledge: Co-constructed through the research process and interactions between researcher and participants.</w:t>
            </w:r>
          </w:p>
          <w:p w14:paraId="5BDE6789"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 On the social processes and interactions that lead to the development of consumer loyalty in response to CSR initiatives.</w:t>
            </w:r>
          </w:p>
          <w:p w14:paraId="7E36EB7A"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What it seeks to do: Generate a theory grounded in empirical data that explains the process of CSR-influenced loyalty formation.</w:t>
            </w:r>
          </w:p>
          <w:p w14:paraId="1BF49910"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Rationale: Understanding the underlying processes of loyalty formation can inform more effective CSR strategies.</w:t>
            </w:r>
          </w:p>
          <w:p w14:paraId="11A0CA77"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Axiology: Values multiple perspectives and recognises the researcher's role in co-constructing knowledge.</w:t>
            </w:r>
          </w:p>
          <w:p w14:paraId="6083EDED"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Theoretical Framework: Emerges from the data through the research process.</w:t>
            </w:r>
          </w:p>
          <w:p w14:paraId="404B8DDD"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Model: Process Model of CSR-Influenced Consumer Loyalty Formation.</w:t>
            </w:r>
          </w:p>
          <w:p w14:paraId="2D8E3F49"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Framework: Inductive, with the theory emerging from and grounded in the data.</w:t>
            </w:r>
          </w:p>
          <w:p w14:paraId="451EB1DB"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Implications for Practice: Provides a theoretical framework for designing and implementing CSR initiatives to foster consumer loyalty.</w:t>
            </w:r>
          </w:p>
          <w:p w14:paraId="4599EC56"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Ethics: Ensures informed consent and maintains participant confidentiality throughout the iterative research process.</w:t>
            </w:r>
          </w:p>
          <w:p w14:paraId="3D0C678C"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Approach: Inductive, with the theory emerging from the data through constant comparison and analysis.</w:t>
            </w:r>
          </w:p>
          <w:p w14:paraId="1FED4A91"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Strengths: Generates a comprehensive, context-specific theory of CSR-influenced loyalty formation.</w:t>
            </w:r>
          </w:p>
          <w:p w14:paraId="6D5254F2"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Weaknesses: The developed theory may be limited to the specific context of the study.</w:t>
            </w:r>
          </w:p>
          <w:p w14:paraId="2A8A1654" w14:textId="77777777" w:rsidR="00AF577E" w:rsidRPr="00124566" w:rsidRDefault="00AF577E" w:rsidP="00AF577E">
            <w:pPr>
              <w:pStyle w:val="NormalWeb"/>
              <w:spacing w:before="0" w:beforeAutospacing="0" w:after="0" w:afterAutospacing="0"/>
              <w:rPr>
                <w:rFonts w:asciiTheme="minorBidi" w:hAnsiTheme="minorBidi" w:cstheme="minorBidi"/>
                <w:b/>
                <w:bCs/>
                <w:color w:val="000000"/>
              </w:rPr>
            </w:pPr>
          </w:p>
        </w:tc>
      </w:tr>
      <w:tr w:rsidR="00AF577E" w:rsidRPr="00124566" w14:paraId="65A27725" w14:textId="77777777" w:rsidTr="0027306D">
        <w:trPr>
          <w:trHeight w:val="3542"/>
        </w:trPr>
        <w:tc>
          <w:tcPr>
            <w:tcW w:w="834" w:type="pct"/>
            <w:shd w:val="clear" w:color="auto" w:fill="C1FFFE"/>
            <w:tcMar>
              <w:top w:w="0" w:type="dxa"/>
              <w:left w:w="108" w:type="dxa"/>
              <w:bottom w:w="0" w:type="dxa"/>
              <w:right w:w="108" w:type="dxa"/>
            </w:tcMar>
          </w:tcPr>
          <w:p w14:paraId="57D99FBF" w14:textId="0A91B191" w:rsidR="00AF577E" w:rsidRPr="00124566" w:rsidRDefault="00AF577E" w:rsidP="00AF577E">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b/>
                <w:bCs/>
                <w:color w:val="000000"/>
              </w:rPr>
              <w:t>Grounded Theory and Ethics</w:t>
            </w:r>
          </w:p>
        </w:tc>
        <w:tc>
          <w:tcPr>
            <w:tcW w:w="4166" w:type="pct"/>
            <w:gridSpan w:val="7"/>
            <w:shd w:val="clear" w:color="auto" w:fill="C1FFFE"/>
            <w:tcMar>
              <w:top w:w="0" w:type="dxa"/>
              <w:left w:w="108" w:type="dxa"/>
              <w:bottom w:w="0" w:type="dxa"/>
              <w:right w:w="108" w:type="dxa"/>
            </w:tcMar>
          </w:tcPr>
          <w:p w14:paraId="1255BFA6"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Maintaining participant confidentiality throughout iterative data collection</w:t>
            </w:r>
          </w:p>
          <w:p w14:paraId="7EA61114"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Ethical considerations in theoretical sampling</w:t>
            </w:r>
          </w:p>
          <w:p w14:paraId="43EA1AEF"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Managing participant expectations about theory development</w:t>
            </w:r>
          </w:p>
          <w:p w14:paraId="0718279B"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fair representation of diverse perspectives in theory building</w:t>
            </w:r>
          </w:p>
          <w:p w14:paraId="44B4248C" w14:textId="77777777" w:rsidR="00AF577E" w:rsidRPr="00124566" w:rsidRDefault="00AF577E" w:rsidP="00AF577E">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Addressing potential conflicts between emerging theory and participant views</w:t>
            </w:r>
          </w:p>
          <w:p w14:paraId="52D2375B" w14:textId="4DEAF463" w:rsidR="00AF577E" w:rsidRPr="00124566" w:rsidRDefault="00AF577E" w:rsidP="00AF577E">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Considering the implications of the developed theory on practice and policy</w:t>
            </w:r>
          </w:p>
        </w:tc>
      </w:tr>
      <w:tr w:rsidR="005D4077" w:rsidRPr="00124566" w14:paraId="55273FDE" w14:textId="77777777" w:rsidTr="0027306D">
        <w:trPr>
          <w:trHeight w:val="3542"/>
        </w:trPr>
        <w:tc>
          <w:tcPr>
            <w:tcW w:w="834" w:type="pct"/>
            <w:shd w:val="clear" w:color="auto" w:fill="C1FFFE"/>
            <w:tcMar>
              <w:top w:w="0" w:type="dxa"/>
              <w:left w:w="108" w:type="dxa"/>
              <w:bottom w:w="0" w:type="dxa"/>
              <w:right w:w="108" w:type="dxa"/>
            </w:tcMar>
          </w:tcPr>
          <w:p w14:paraId="7F296C17"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Ethnography</w:t>
            </w:r>
          </w:p>
          <w:p w14:paraId="7324ACAF" w14:textId="77777777" w:rsidR="005D4077" w:rsidRPr="00124566" w:rsidRDefault="005D4077" w:rsidP="005D4077">
            <w:pPr>
              <w:rPr>
                <w:rFonts w:asciiTheme="minorBidi" w:hAnsiTheme="minorBidi"/>
              </w:rPr>
            </w:pPr>
          </w:p>
          <w:p w14:paraId="61019901"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Interpretive ethnography seeks to understand a culture or social group through the meanings they assign to their experiences, aligning with the Interpretivism paradigm.</w:t>
            </w:r>
          </w:p>
          <w:p w14:paraId="399C2111" w14:textId="77777777" w:rsidR="005D4077" w:rsidRPr="00124566" w:rsidRDefault="005D4077" w:rsidP="005D4077">
            <w:pPr>
              <w:pStyle w:val="NormalWeb"/>
              <w:spacing w:before="0" w:beforeAutospacing="0" w:after="0" w:afterAutospacing="0"/>
              <w:rPr>
                <w:rFonts w:asciiTheme="minorBidi" w:hAnsiTheme="minorBidi" w:cstheme="minorBidi"/>
                <w:b/>
                <w:bCs/>
                <w:color w:val="000000"/>
              </w:rPr>
            </w:pPr>
          </w:p>
        </w:tc>
        <w:tc>
          <w:tcPr>
            <w:tcW w:w="4166" w:type="pct"/>
            <w:gridSpan w:val="7"/>
            <w:shd w:val="clear" w:color="auto" w:fill="C1FFFE"/>
            <w:tcMar>
              <w:top w:w="0" w:type="dxa"/>
              <w:left w:w="108" w:type="dxa"/>
              <w:bottom w:w="0" w:type="dxa"/>
              <w:right w:w="108" w:type="dxa"/>
            </w:tcMar>
          </w:tcPr>
          <w:p w14:paraId="155796B4"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Ethnography</w:t>
            </w:r>
          </w:p>
          <w:p w14:paraId="5C3D3AF9" w14:textId="77777777" w:rsidR="005D4077" w:rsidRPr="00124566" w:rsidRDefault="005D4077" w:rsidP="005D4077">
            <w:pPr>
              <w:rPr>
                <w:rFonts w:asciiTheme="minorBidi" w:hAnsiTheme="minorBidi"/>
              </w:rPr>
            </w:pPr>
          </w:p>
          <w:p w14:paraId="340C5C84"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Research Question: How do cultural and social factors shape consumers' responses to FMCG companies' CSR initiatives and their subsequent loyalty behaviours?</w:t>
            </w:r>
          </w:p>
          <w:p w14:paraId="594609AB"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Methodology: Critical ethnography focusing on the cultural context of CSR initiatives and consumer loyalty in the FMCG industry.</w:t>
            </w:r>
          </w:p>
          <w:p w14:paraId="6EEDDD87"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Collection: Participant observation in relevant settings (e.g., stores, community CSR events), in-depth interviews, and document analysis of CSR communications and consumer feedback.</w:t>
            </w:r>
          </w:p>
          <w:p w14:paraId="36588046"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Analysis: Thematic analysis and critical interpretation of field notes, interview transcripts, and documents to uncover cultural patterns and power dynamics.</w:t>
            </w:r>
          </w:p>
          <w:p w14:paraId="7C3DDD8F"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When to use: When seeking to understand how broader cultural and social contexts influence the relationship between CSR initiatives and consumer loyalty.</w:t>
            </w:r>
          </w:p>
          <w:p w14:paraId="6C69B8DF"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Reality: Socially and culturally constructed, influenced by power structures and shared meanings.</w:t>
            </w:r>
          </w:p>
          <w:p w14:paraId="2EE64204"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Knowledge: Gained through immersion in and interpretation of cultural contexts and social interactions.</w:t>
            </w:r>
          </w:p>
          <w:p w14:paraId="527F68CC"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 On the cultural patterns, social dynamics, and power structures that shape CSR perceptions and loyalty behaviours.</w:t>
            </w:r>
          </w:p>
          <w:p w14:paraId="7CE42FAD"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What it seeks to do: Provide a rich, contextualised understanding of how culture influences the CSR-loyalty relationship.</w:t>
            </w:r>
          </w:p>
          <w:p w14:paraId="5905EA52"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Rationale: Consumer responses to CSR initiatives are deeply embedded in cultural and social contexts.</w:t>
            </w:r>
          </w:p>
          <w:p w14:paraId="52FB29F9"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Axiology: Values cultural relativism while maintaining a critical perspective on power dynamics.</w:t>
            </w:r>
          </w:p>
          <w:p w14:paraId="08861BAA"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Theoretical Framework: Draws on cultural theory, consumer culture theory, and critical theory.</w:t>
            </w:r>
          </w:p>
          <w:p w14:paraId="1BDFF2F2"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lastRenderedPageBreak/>
              <w:t>Conceptual Model: Cultural Web of CSR Influence on Consumer Loyalty.</w:t>
            </w:r>
          </w:p>
          <w:p w14:paraId="7977EB80"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Framework: Combines inductive analysis with critical interpretation of cultural patterns.</w:t>
            </w:r>
          </w:p>
          <w:p w14:paraId="0892998B"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Implications for Practice: Informs culturally sensitive CSR strategies and helps identify potential cultural barriers or facilitators to loyalty.</w:t>
            </w:r>
          </w:p>
          <w:p w14:paraId="7B192FB3"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Ethics: Ensures informed consent, respects cultural sensitivities, and considers the potential impact of the research on the community.</w:t>
            </w:r>
          </w:p>
          <w:p w14:paraId="1047EDCD"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Approach: Combines inductive analysis with critical interpretation of observed cultural patterns and social dynamics.</w:t>
            </w:r>
          </w:p>
          <w:p w14:paraId="327A8A0B"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Strengths: Provides rich, contextualised insights into the cultural factors influencing CSR effectiveness and consumer loyalty.</w:t>
            </w:r>
          </w:p>
          <w:p w14:paraId="220EA728" w14:textId="77777777" w:rsidR="005D4077" w:rsidRPr="00124566" w:rsidRDefault="005D4077" w:rsidP="005D407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Weaknesses: Findings may be specific to the studied cultural context and require careful consideration for generalisation.</w:t>
            </w:r>
          </w:p>
          <w:p w14:paraId="35AD51C8" w14:textId="77777777" w:rsidR="005D4077" w:rsidRPr="00124566" w:rsidRDefault="005D4077" w:rsidP="005D4077">
            <w:pPr>
              <w:pStyle w:val="NormalWeb"/>
              <w:spacing w:before="0" w:beforeAutospacing="0" w:after="0" w:afterAutospacing="0"/>
              <w:rPr>
                <w:rFonts w:asciiTheme="minorBidi" w:hAnsiTheme="minorBidi" w:cstheme="minorBidi"/>
                <w:b/>
                <w:bCs/>
                <w:color w:val="000000"/>
              </w:rPr>
            </w:pPr>
          </w:p>
        </w:tc>
      </w:tr>
      <w:tr w:rsidR="00CF1E14" w:rsidRPr="00124566" w14:paraId="4BA6EBD6" w14:textId="77777777" w:rsidTr="0027306D">
        <w:trPr>
          <w:trHeight w:val="2304"/>
        </w:trPr>
        <w:tc>
          <w:tcPr>
            <w:tcW w:w="834" w:type="pct"/>
            <w:shd w:val="clear" w:color="auto" w:fill="C1FFFE"/>
            <w:tcMar>
              <w:top w:w="0" w:type="dxa"/>
              <w:left w:w="108" w:type="dxa"/>
              <w:bottom w:w="0" w:type="dxa"/>
              <w:right w:w="108" w:type="dxa"/>
            </w:tcMar>
          </w:tcPr>
          <w:p w14:paraId="20111F9D" w14:textId="5A5FFD77" w:rsidR="00CF1E14" w:rsidRPr="00124566" w:rsidRDefault="00CF1E14" w:rsidP="00CF1E14">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b/>
                <w:bCs/>
                <w:color w:val="000000"/>
              </w:rPr>
              <w:lastRenderedPageBreak/>
              <w:t>Ethnography and Ethics </w:t>
            </w:r>
          </w:p>
        </w:tc>
        <w:tc>
          <w:tcPr>
            <w:tcW w:w="4166" w:type="pct"/>
            <w:gridSpan w:val="7"/>
            <w:shd w:val="clear" w:color="auto" w:fill="C1FFFE"/>
            <w:tcMar>
              <w:top w:w="0" w:type="dxa"/>
              <w:left w:w="108" w:type="dxa"/>
              <w:bottom w:w="0" w:type="dxa"/>
              <w:right w:w="108" w:type="dxa"/>
            </w:tcMar>
          </w:tcPr>
          <w:p w14:paraId="2F8B941A"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Respecting cultural norms and values of the studied group</w:t>
            </w:r>
          </w:p>
          <w:p w14:paraId="18BD6311"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Managing researcher's insider/outsider status</w:t>
            </w:r>
          </w:p>
          <w:p w14:paraId="348E50C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informed consent in prolonged field observations</w:t>
            </w:r>
          </w:p>
          <w:p w14:paraId="52BEA934"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Protecting vulnerable populations within the studied culture</w:t>
            </w:r>
          </w:p>
          <w:p w14:paraId="776E1CD5"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Addressing potential exploitation or misrepresentation of the culture</w:t>
            </w:r>
          </w:p>
          <w:p w14:paraId="56551BA0"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Considering the impact of research on the studied community</w:t>
            </w:r>
          </w:p>
          <w:p w14:paraId="4BF68707" w14:textId="1A11B9E5" w:rsidR="00CF1E14" w:rsidRPr="00124566" w:rsidRDefault="00CF1E14" w:rsidP="00CF1E14">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Ethical use of field notes and observations</w:t>
            </w:r>
          </w:p>
        </w:tc>
      </w:tr>
      <w:tr w:rsidR="00CF1E14" w:rsidRPr="00124566" w14:paraId="053A0DA9" w14:textId="77777777" w:rsidTr="0027306D">
        <w:trPr>
          <w:trHeight w:val="1395"/>
        </w:trPr>
        <w:tc>
          <w:tcPr>
            <w:tcW w:w="834" w:type="pct"/>
            <w:shd w:val="clear" w:color="auto" w:fill="C1FFFE"/>
            <w:tcMar>
              <w:top w:w="0" w:type="dxa"/>
              <w:left w:w="108" w:type="dxa"/>
              <w:bottom w:w="0" w:type="dxa"/>
              <w:right w:w="108" w:type="dxa"/>
            </w:tcMar>
          </w:tcPr>
          <w:p w14:paraId="351547D4"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Case study</w:t>
            </w:r>
          </w:p>
          <w:p w14:paraId="0C716E5B" w14:textId="77777777" w:rsidR="00CF1E14" w:rsidRPr="00124566" w:rsidRDefault="00CF1E14" w:rsidP="00CF1E14">
            <w:pPr>
              <w:rPr>
                <w:rFonts w:asciiTheme="minorBidi" w:hAnsiTheme="minorBidi"/>
              </w:rPr>
            </w:pPr>
          </w:p>
          <w:p w14:paraId="76A34078"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 pragmatic case study may focus on finding practical solutions to real-world problems within a specific setting.</w:t>
            </w:r>
          </w:p>
          <w:p w14:paraId="54BB5382" w14:textId="77777777" w:rsidR="00CF1E14" w:rsidRPr="00124566" w:rsidRDefault="00CF1E14" w:rsidP="00CF1E14">
            <w:pPr>
              <w:pStyle w:val="NormalWeb"/>
              <w:spacing w:before="0" w:beforeAutospacing="0" w:after="0" w:afterAutospacing="0"/>
              <w:rPr>
                <w:rFonts w:asciiTheme="minorBidi" w:hAnsiTheme="minorBidi" w:cstheme="minorBidi"/>
                <w:b/>
                <w:bCs/>
                <w:color w:val="000000"/>
              </w:rPr>
            </w:pPr>
          </w:p>
        </w:tc>
        <w:tc>
          <w:tcPr>
            <w:tcW w:w="4166" w:type="pct"/>
            <w:gridSpan w:val="7"/>
            <w:shd w:val="clear" w:color="auto" w:fill="C1FFFE"/>
            <w:tcMar>
              <w:top w:w="0" w:type="dxa"/>
              <w:left w:w="108" w:type="dxa"/>
              <w:bottom w:w="0" w:type="dxa"/>
              <w:right w:w="108" w:type="dxa"/>
            </w:tcMar>
          </w:tcPr>
          <w:p w14:paraId="6FED2A43"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b/>
                <w:bCs/>
                <w:color w:val="000000"/>
              </w:rPr>
              <w:t>Case study</w:t>
            </w:r>
          </w:p>
          <w:p w14:paraId="787B311E" w14:textId="77777777" w:rsidR="00CF1E14" w:rsidRPr="00124566" w:rsidRDefault="00CF1E14" w:rsidP="00CF1E14">
            <w:pPr>
              <w:rPr>
                <w:rFonts w:asciiTheme="minorBidi" w:hAnsiTheme="minorBidi"/>
              </w:rPr>
            </w:pPr>
          </w:p>
          <w:p w14:paraId="29183194"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Research Question: How do specific FMCG companies implement CSR initiatives to enhance consumer loyalty, and what are the outcomes of these initiatives?</w:t>
            </w:r>
          </w:p>
          <w:p w14:paraId="2032C0FA"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Methodology: Multiple case study approach examining CSR initiatives and their impact on consumer loyalty across several FMCG companies.</w:t>
            </w:r>
          </w:p>
          <w:p w14:paraId="5621F1D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Collection: Interviews with company representatives and consumers, document analysis of CSR reports and communications, and observation of CSR initiative implementation.</w:t>
            </w:r>
          </w:p>
          <w:p w14:paraId="6F488A37"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Data Analysis: Within-case and cross-case analysis to identify patterns, similarities, and differences in CSR approaches and their impact on consumer loyalty.</w:t>
            </w:r>
          </w:p>
          <w:p w14:paraId="4CEB6581"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When to use: When aiming to gain an in-depth understanding of how different FMCG companies approach CSR and its impact on consumer loyalty in real-world contexts.</w:t>
            </w:r>
          </w:p>
          <w:p w14:paraId="7DA1D3B6"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Reality: Complex and multifaceted, best understood through in-depth examination of specific cases.</w:t>
            </w:r>
          </w:p>
          <w:p w14:paraId="4443E2C1"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Knowledge: Gained through detailed investigation of real-world examples and contexts.</w:t>
            </w:r>
          </w:p>
          <w:p w14:paraId="7B5EE6D8"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Focus: On the specific strategies, contexts, and outcomes of CSR initiatives in relation to consumer loyalty.</w:t>
            </w:r>
          </w:p>
          <w:p w14:paraId="02CAD96B"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What it seeks to do: Provide detailed, contextualised insights into how CSR initiatives are implemented and their impact on consumer loyalty.</w:t>
            </w:r>
          </w:p>
          <w:p w14:paraId="3B03958B"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Rationale: Understanding specific cases in depth can provide valuable insights into effective CSR strategies for enhancing consumer loyalty.</w:t>
            </w:r>
          </w:p>
          <w:p w14:paraId="138CCDC4"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Axiology: Values the complexity and uniqueness of individual cases while seeking broader patterns.</w:t>
            </w:r>
          </w:p>
          <w:p w14:paraId="1BBEA1A3"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Theoretical Framework: May draw on multiple theories relevant to CSR and consumer loyalty, depending on the specific cases studied.</w:t>
            </w:r>
          </w:p>
          <w:p w14:paraId="7B4B9DF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Model: Comparative CSR-Loyalty Impact Framework across FMCG companies.</w:t>
            </w:r>
          </w:p>
          <w:p w14:paraId="1EF8E075"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Conceptual Framework: Combines deductive and inductive approaches, using existing theories to guide investigation while remaining open to new insights.</w:t>
            </w:r>
          </w:p>
          <w:p w14:paraId="4CC7B18F"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Implications for Practice: Provides concrete examples and best practices for implementing effective CSR initiatives to enhance consumer loyalty.</w:t>
            </w:r>
          </w:p>
          <w:p w14:paraId="23F3989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Ethics: Ensures informed consent from both company representatives and consumers, maintains confidentiality, and considers potential conflicts of interest.</w:t>
            </w:r>
          </w:p>
          <w:p w14:paraId="53327475"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Approach: Combines deductive and inductive approaches, using existing theories to guide investigation while remaining open to new insights from the cases.</w:t>
            </w:r>
          </w:p>
          <w:p w14:paraId="51AA99E6"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Strengths: Provides rich, contextual insights into real-world CSR practices and their impact on consumer loyalty.</w:t>
            </w:r>
          </w:p>
          <w:p w14:paraId="18DEEDE4"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Weaknesses: Findings may be specific to the studied cases and require careful consideration for generalisation to other contexts.</w:t>
            </w:r>
          </w:p>
          <w:p w14:paraId="317F8C67" w14:textId="77777777" w:rsidR="00CF1E14" w:rsidRPr="00124566" w:rsidRDefault="00CF1E14" w:rsidP="00CF1E14">
            <w:pPr>
              <w:pStyle w:val="NormalWeb"/>
              <w:spacing w:before="0" w:beforeAutospacing="0" w:after="0" w:afterAutospacing="0"/>
              <w:rPr>
                <w:rFonts w:asciiTheme="minorBidi" w:hAnsiTheme="minorBidi" w:cstheme="minorBidi"/>
                <w:b/>
                <w:bCs/>
                <w:color w:val="000000"/>
              </w:rPr>
            </w:pPr>
          </w:p>
        </w:tc>
      </w:tr>
      <w:tr w:rsidR="00CF1E14" w:rsidRPr="00124566" w14:paraId="3693942E" w14:textId="77777777" w:rsidTr="0027306D">
        <w:trPr>
          <w:trHeight w:val="1939"/>
        </w:trPr>
        <w:tc>
          <w:tcPr>
            <w:tcW w:w="834" w:type="pct"/>
            <w:shd w:val="clear" w:color="auto" w:fill="C1FFFE"/>
            <w:tcMar>
              <w:top w:w="0" w:type="dxa"/>
              <w:left w:w="108" w:type="dxa"/>
              <w:bottom w:w="0" w:type="dxa"/>
              <w:right w:w="108" w:type="dxa"/>
            </w:tcMar>
          </w:tcPr>
          <w:p w14:paraId="17559736" w14:textId="3B58F56E" w:rsidR="00CF1E14" w:rsidRPr="00124566" w:rsidRDefault="00CF1E14" w:rsidP="00CF1E14">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b/>
                <w:bCs/>
                <w:color w:val="000000"/>
              </w:rPr>
              <w:t>Case study and Ethics</w:t>
            </w:r>
          </w:p>
        </w:tc>
        <w:tc>
          <w:tcPr>
            <w:tcW w:w="4166" w:type="pct"/>
            <w:gridSpan w:val="7"/>
            <w:shd w:val="clear" w:color="auto" w:fill="C1FFFE"/>
            <w:tcMar>
              <w:top w:w="0" w:type="dxa"/>
              <w:left w:w="108" w:type="dxa"/>
              <w:bottom w:w="0" w:type="dxa"/>
              <w:right w:w="108" w:type="dxa"/>
            </w:tcMar>
          </w:tcPr>
          <w:p w14:paraId="5ECC603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Maintaining organisational or individual privacy</w:t>
            </w:r>
          </w:p>
          <w:p w14:paraId="6194F7D9"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confidentiality when using multiple data sources</w:t>
            </w:r>
          </w:p>
          <w:p w14:paraId="2AF52B0E"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Managing potential conflicts of interest, especially in organisational studies</w:t>
            </w:r>
          </w:p>
          <w:p w14:paraId="1A818F28"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Addressing power dynamics in accessing and reporting on cases</w:t>
            </w:r>
          </w:p>
          <w:p w14:paraId="775DA78D" w14:textId="77777777" w:rsidR="00CF1E14" w:rsidRPr="00124566" w:rsidRDefault="00CF1E14" w:rsidP="00CF1E14">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Ensuring fair and balanced representation of the case</w:t>
            </w:r>
          </w:p>
          <w:p w14:paraId="4996BB13" w14:textId="5EF1CB00" w:rsidR="00CF1E14" w:rsidRPr="00124566" w:rsidRDefault="00CF1E14" w:rsidP="00CF1E14">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Considering the impact of case study findings on the studied entity</w:t>
            </w:r>
            <w:r w:rsidRPr="00124566">
              <w:rPr>
                <w:rStyle w:val="apple-tab-span"/>
                <w:rFonts w:asciiTheme="minorBidi" w:eastAsiaTheme="majorEastAsia" w:hAnsiTheme="minorBidi" w:cstheme="minorBidi"/>
                <w:color w:val="000000"/>
              </w:rPr>
              <w:tab/>
            </w:r>
          </w:p>
        </w:tc>
      </w:tr>
      <w:tr w:rsidR="00CF1E14" w:rsidRPr="00124566" w14:paraId="2079B41F" w14:textId="77777777" w:rsidTr="00681988">
        <w:trPr>
          <w:trHeight w:val="819"/>
        </w:trPr>
        <w:tc>
          <w:tcPr>
            <w:tcW w:w="5000" w:type="pct"/>
            <w:gridSpan w:val="8"/>
            <w:shd w:val="clear" w:color="auto" w:fill="BB93B8"/>
            <w:tcMar>
              <w:top w:w="0" w:type="dxa"/>
              <w:left w:w="108" w:type="dxa"/>
              <w:bottom w:w="0" w:type="dxa"/>
              <w:right w:w="108" w:type="dxa"/>
            </w:tcMar>
          </w:tcPr>
          <w:p w14:paraId="06A37A6C" w14:textId="77777777" w:rsidR="00CF1E14" w:rsidRPr="00124566" w:rsidRDefault="00CF1E14" w:rsidP="00681988">
            <w:pPr>
              <w:pStyle w:val="NormalWeb"/>
              <w:spacing w:before="0" w:beforeAutospacing="0" w:after="0" w:afterAutospacing="0"/>
              <w:jc w:val="center"/>
              <w:rPr>
                <w:rFonts w:asciiTheme="minorBidi" w:hAnsiTheme="minorBidi" w:cstheme="minorBidi"/>
                <w:b/>
                <w:bCs/>
                <w:color w:val="000000"/>
              </w:rPr>
            </w:pPr>
          </w:p>
          <w:p w14:paraId="29FE6BC8" w14:textId="126B3860" w:rsidR="00CF1E14" w:rsidRPr="00124566" w:rsidRDefault="00CF1E14" w:rsidP="00681988">
            <w:pPr>
              <w:pStyle w:val="NormalWeb"/>
              <w:spacing w:before="0" w:beforeAutospacing="0" w:after="0" w:afterAutospacing="0"/>
              <w:jc w:val="center"/>
              <w:rPr>
                <w:rFonts w:asciiTheme="minorBidi" w:hAnsiTheme="minorBidi" w:cstheme="minorBidi"/>
                <w:color w:val="000000"/>
              </w:rPr>
            </w:pPr>
            <w:r w:rsidRPr="00124566">
              <w:rPr>
                <w:rFonts w:asciiTheme="minorBidi" w:hAnsiTheme="minorBidi" w:cstheme="minorBidi"/>
                <w:b/>
                <w:bCs/>
                <w:color w:val="000000"/>
                <w:shd w:val="clear" w:color="auto" w:fill="BB93B8"/>
              </w:rPr>
              <w:t>READING</w:t>
            </w:r>
          </w:p>
        </w:tc>
      </w:tr>
      <w:tr w:rsidR="00411467" w:rsidRPr="00124566" w14:paraId="15ABB14F" w14:textId="77777777" w:rsidTr="0027306D">
        <w:trPr>
          <w:trHeight w:val="1115"/>
        </w:trPr>
        <w:tc>
          <w:tcPr>
            <w:tcW w:w="834" w:type="pct"/>
            <w:shd w:val="clear" w:color="auto" w:fill="E7D9E6"/>
            <w:tcMar>
              <w:top w:w="0" w:type="dxa"/>
              <w:left w:w="108" w:type="dxa"/>
              <w:bottom w:w="0" w:type="dxa"/>
              <w:right w:w="108" w:type="dxa"/>
            </w:tcMar>
          </w:tcPr>
          <w:p w14:paraId="3E54E22E" w14:textId="48001BC1"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Positivism</w:t>
            </w:r>
          </w:p>
        </w:tc>
        <w:tc>
          <w:tcPr>
            <w:tcW w:w="4166" w:type="pct"/>
            <w:gridSpan w:val="7"/>
            <w:shd w:val="clear" w:color="auto" w:fill="E7D9E6"/>
            <w:tcMar>
              <w:top w:w="0" w:type="dxa"/>
              <w:left w:w="108" w:type="dxa"/>
              <w:bottom w:w="0" w:type="dxa"/>
              <w:right w:w="108" w:type="dxa"/>
            </w:tcMar>
          </w:tcPr>
          <w:p w14:paraId="47359D32" w14:textId="4BF4BAD2"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Auguste Comte: </w:t>
            </w:r>
            <w:r w:rsidR="00576D49">
              <w:rPr>
                <w:rFonts w:asciiTheme="minorBidi" w:hAnsiTheme="minorBidi" w:cstheme="minorBidi"/>
                <w:color w:val="000000"/>
              </w:rPr>
              <w:t>‘</w:t>
            </w:r>
            <w:r w:rsidRPr="00124566">
              <w:rPr>
                <w:rFonts w:asciiTheme="minorBidi" w:hAnsiTheme="minorBidi" w:cstheme="minorBidi"/>
                <w:color w:val="000000"/>
              </w:rPr>
              <w:t>The Course in Positive Philosophy</w:t>
            </w:r>
            <w:r w:rsidR="00576D49">
              <w:rPr>
                <w:rFonts w:asciiTheme="minorBidi" w:hAnsiTheme="minorBidi" w:cstheme="minorBidi"/>
                <w:color w:val="000000"/>
              </w:rPr>
              <w:t>’</w:t>
            </w:r>
            <w:r w:rsidRPr="00124566">
              <w:rPr>
                <w:rFonts w:asciiTheme="minorBidi" w:hAnsiTheme="minorBidi" w:cstheme="minorBidi"/>
                <w:color w:val="000000"/>
              </w:rPr>
              <w:t xml:space="preserve"> (1830-1842)</w:t>
            </w:r>
          </w:p>
          <w:p w14:paraId="6EDC5816" w14:textId="0276C0E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Émile Durkheim: </w:t>
            </w:r>
            <w:r w:rsidR="00576D49">
              <w:rPr>
                <w:rFonts w:asciiTheme="minorBidi" w:hAnsiTheme="minorBidi" w:cstheme="minorBidi"/>
                <w:color w:val="000000"/>
              </w:rPr>
              <w:t>‘</w:t>
            </w:r>
            <w:r w:rsidRPr="00124566">
              <w:rPr>
                <w:rFonts w:asciiTheme="minorBidi" w:hAnsiTheme="minorBidi" w:cstheme="minorBidi"/>
                <w:color w:val="000000"/>
              </w:rPr>
              <w:t>The Rules of Sociological Method</w:t>
            </w:r>
            <w:r w:rsidR="00576D49">
              <w:rPr>
                <w:rFonts w:asciiTheme="minorBidi" w:hAnsiTheme="minorBidi" w:cstheme="minorBidi"/>
                <w:color w:val="000000"/>
              </w:rPr>
              <w:t>’</w:t>
            </w:r>
            <w:r w:rsidRPr="00124566">
              <w:rPr>
                <w:rFonts w:asciiTheme="minorBidi" w:hAnsiTheme="minorBidi" w:cstheme="minorBidi"/>
                <w:color w:val="000000"/>
              </w:rPr>
              <w:t xml:space="preserve"> (1895)</w:t>
            </w:r>
          </w:p>
          <w:p w14:paraId="162C246E" w14:textId="0FF23C11"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Karl Popper: </w:t>
            </w:r>
            <w:r w:rsidR="00576D49">
              <w:rPr>
                <w:rFonts w:asciiTheme="minorBidi" w:hAnsiTheme="minorBidi" w:cstheme="minorBidi"/>
                <w:color w:val="000000"/>
              </w:rPr>
              <w:t>‘</w:t>
            </w:r>
            <w:r w:rsidRPr="00124566">
              <w:rPr>
                <w:rFonts w:asciiTheme="minorBidi" w:hAnsiTheme="minorBidi" w:cstheme="minorBidi"/>
                <w:color w:val="000000"/>
              </w:rPr>
              <w:t>The Logic of Scientific Discovery</w:t>
            </w:r>
            <w:r w:rsidR="00576D49">
              <w:rPr>
                <w:rFonts w:asciiTheme="minorBidi" w:hAnsiTheme="minorBidi" w:cstheme="minorBidi"/>
                <w:color w:val="000000"/>
              </w:rPr>
              <w:t>’</w:t>
            </w:r>
            <w:r w:rsidRPr="00124566">
              <w:rPr>
                <w:rFonts w:asciiTheme="minorBidi" w:hAnsiTheme="minorBidi" w:cstheme="minorBidi"/>
                <w:color w:val="000000"/>
              </w:rPr>
              <w:t xml:space="preserve"> (1934)</w:t>
            </w:r>
          </w:p>
          <w:p w14:paraId="5975C24C"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5F57102B" w14:textId="77777777" w:rsidTr="0027306D">
        <w:trPr>
          <w:trHeight w:val="1103"/>
        </w:trPr>
        <w:tc>
          <w:tcPr>
            <w:tcW w:w="834" w:type="pct"/>
            <w:shd w:val="clear" w:color="auto" w:fill="E7D9E6"/>
            <w:tcMar>
              <w:top w:w="0" w:type="dxa"/>
              <w:left w:w="108" w:type="dxa"/>
              <w:bottom w:w="0" w:type="dxa"/>
              <w:right w:w="108" w:type="dxa"/>
            </w:tcMar>
          </w:tcPr>
          <w:p w14:paraId="26F23374" w14:textId="367E3ABF"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Post-positivism:</w:t>
            </w:r>
          </w:p>
        </w:tc>
        <w:tc>
          <w:tcPr>
            <w:tcW w:w="4166" w:type="pct"/>
            <w:gridSpan w:val="7"/>
            <w:shd w:val="clear" w:color="auto" w:fill="E7D9E6"/>
            <w:tcMar>
              <w:top w:w="0" w:type="dxa"/>
              <w:left w:w="108" w:type="dxa"/>
              <w:bottom w:w="0" w:type="dxa"/>
              <w:right w:w="108" w:type="dxa"/>
            </w:tcMar>
          </w:tcPr>
          <w:p w14:paraId="23A0805D" w14:textId="3568E77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Karl Popper: </w:t>
            </w:r>
            <w:r w:rsidR="00576D49">
              <w:rPr>
                <w:rFonts w:asciiTheme="minorBidi" w:hAnsiTheme="minorBidi" w:cstheme="minorBidi"/>
                <w:color w:val="000000"/>
              </w:rPr>
              <w:t>‘</w:t>
            </w:r>
            <w:r w:rsidRPr="00124566">
              <w:rPr>
                <w:rFonts w:asciiTheme="minorBidi" w:hAnsiTheme="minorBidi" w:cstheme="minorBidi"/>
                <w:color w:val="000000"/>
              </w:rPr>
              <w:t>Conjectures and Refutations</w:t>
            </w:r>
            <w:r w:rsidR="00576D49">
              <w:rPr>
                <w:rFonts w:asciiTheme="minorBidi" w:hAnsiTheme="minorBidi" w:cstheme="minorBidi"/>
                <w:color w:val="000000"/>
              </w:rPr>
              <w:t>’</w:t>
            </w:r>
            <w:r w:rsidRPr="00124566">
              <w:rPr>
                <w:rFonts w:asciiTheme="minorBidi" w:hAnsiTheme="minorBidi" w:cstheme="minorBidi"/>
                <w:color w:val="000000"/>
              </w:rPr>
              <w:t xml:space="preserve"> (1963)</w:t>
            </w:r>
          </w:p>
          <w:p w14:paraId="5F69347E" w14:textId="64B08144"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Thomas Kuhn: </w:t>
            </w:r>
            <w:r w:rsidR="00576D49">
              <w:rPr>
                <w:rFonts w:asciiTheme="minorBidi" w:hAnsiTheme="minorBidi" w:cstheme="minorBidi"/>
                <w:color w:val="000000"/>
              </w:rPr>
              <w:t>‘</w:t>
            </w:r>
            <w:r w:rsidRPr="00124566">
              <w:rPr>
                <w:rFonts w:asciiTheme="minorBidi" w:hAnsiTheme="minorBidi" w:cstheme="minorBidi"/>
                <w:color w:val="000000"/>
              </w:rPr>
              <w:t>The Structure of Scientific Revolutions</w:t>
            </w:r>
            <w:r w:rsidR="00576D49">
              <w:rPr>
                <w:rFonts w:asciiTheme="minorBidi" w:hAnsiTheme="minorBidi" w:cstheme="minorBidi"/>
                <w:color w:val="000000"/>
              </w:rPr>
              <w:t>’</w:t>
            </w:r>
            <w:r w:rsidRPr="00124566">
              <w:rPr>
                <w:rFonts w:asciiTheme="minorBidi" w:hAnsiTheme="minorBidi" w:cstheme="minorBidi"/>
                <w:color w:val="000000"/>
              </w:rPr>
              <w:t xml:space="preserve"> (1962)</w:t>
            </w:r>
          </w:p>
          <w:p w14:paraId="620FB544" w14:textId="343DADAB"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Imre Lakatos: </w:t>
            </w:r>
            <w:r w:rsidR="00576D49">
              <w:rPr>
                <w:rFonts w:asciiTheme="minorBidi" w:hAnsiTheme="minorBidi" w:cstheme="minorBidi"/>
                <w:color w:val="000000"/>
              </w:rPr>
              <w:t>‘</w:t>
            </w:r>
            <w:r w:rsidRPr="00124566">
              <w:rPr>
                <w:rFonts w:asciiTheme="minorBidi" w:hAnsiTheme="minorBidi" w:cstheme="minorBidi"/>
                <w:color w:val="000000"/>
              </w:rPr>
              <w:t>The Methodology of Scientific Research Programmes</w:t>
            </w:r>
            <w:r w:rsidR="00576D49">
              <w:rPr>
                <w:rFonts w:asciiTheme="minorBidi" w:hAnsiTheme="minorBidi" w:cstheme="minorBidi"/>
                <w:color w:val="000000"/>
              </w:rPr>
              <w:t>’</w:t>
            </w:r>
            <w:r w:rsidRPr="00124566">
              <w:rPr>
                <w:rFonts w:asciiTheme="minorBidi" w:hAnsiTheme="minorBidi" w:cstheme="minorBidi"/>
                <w:color w:val="000000"/>
              </w:rPr>
              <w:t xml:space="preserve"> (1978)</w:t>
            </w:r>
          </w:p>
          <w:p w14:paraId="34ACAC34"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6FC05758" w14:textId="77777777" w:rsidTr="0027306D">
        <w:trPr>
          <w:trHeight w:val="963"/>
        </w:trPr>
        <w:tc>
          <w:tcPr>
            <w:tcW w:w="834" w:type="pct"/>
            <w:shd w:val="clear" w:color="auto" w:fill="E7D9E6"/>
            <w:tcMar>
              <w:top w:w="0" w:type="dxa"/>
              <w:left w:w="108" w:type="dxa"/>
              <w:bottom w:w="0" w:type="dxa"/>
              <w:right w:w="108" w:type="dxa"/>
            </w:tcMar>
          </w:tcPr>
          <w:p w14:paraId="71825088" w14:textId="0FA9D656"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Interpretivism</w:t>
            </w:r>
          </w:p>
        </w:tc>
        <w:tc>
          <w:tcPr>
            <w:tcW w:w="4166" w:type="pct"/>
            <w:gridSpan w:val="7"/>
            <w:shd w:val="clear" w:color="auto" w:fill="E7D9E6"/>
            <w:tcMar>
              <w:top w:w="0" w:type="dxa"/>
              <w:left w:w="108" w:type="dxa"/>
              <w:bottom w:w="0" w:type="dxa"/>
              <w:right w:w="108" w:type="dxa"/>
            </w:tcMar>
          </w:tcPr>
          <w:p w14:paraId="0190528D" w14:textId="2C7AC4B1"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Max Weber: </w:t>
            </w:r>
            <w:r w:rsidR="00576D49">
              <w:rPr>
                <w:rFonts w:asciiTheme="minorBidi" w:hAnsiTheme="minorBidi" w:cstheme="minorBidi"/>
                <w:color w:val="000000"/>
              </w:rPr>
              <w:t>‘</w:t>
            </w:r>
            <w:r w:rsidRPr="00124566">
              <w:rPr>
                <w:rFonts w:asciiTheme="minorBidi" w:hAnsiTheme="minorBidi" w:cstheme="minorBidi"/>
                <w:color w:val="000000"/>
              </w:rPr>
              <w:t>Economy and Society</w:t>
            </w:r>
            <w:r w:rsidR="00576D49">
              <w:rPr>
                <w:rFonts w:asciiTheme="minorBidi" w:hAnsiTheme="minorBidi" w:cstheme="minorBidi"/>
                <w:color w:val="000000"/>
              </w:rPr>
              <w:t>’</w:t>
            </w:r>
            <w:r w:rsidRPr="00124566">
              <w:rPr>
                <w:rFonts w:asciiTheme="minorBidi" w:hAnsiTheme="minorBidi" w:cstheme="minorBidi"/>
                <w:color w:val="000000"/>
              </w:rPr>
              <w:t xml:space="preserve"> (1922)</w:t>
            </w:r>
          </w:p>
          <w:p w14:paraId="18BB8C45" w14:textId="551941E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Clifford Geertz: </w:t>
            </w:r>
            <w:r w:rsidR="00576D49">
              <w:rPr>
                <w:rFonts w:asciiTheme="minorBidi" w:hAnsiTheme="minorBidi" w:cstheme="minorBidi"/>
                <w:color w:val="000000"/>
              </w:rPr>
              <w:t>‘</w:t>
            </w:r>
            <w:r w:rsidRPr="00124566">
              <w:rPr>
                <w:rFonts w:asciiTheme="minorBidi" w:hAnsiTheme="minorBidi" w:cstheme="minorBidi"/>
                <w:color w:val="000000"/>
              </w:rPr>
              <w:t>The Interpretation of Cultures</w:t>
            </w:r>
            <w:r w:rsidR="00576D49">
              <w:rPr>
                <w:rFonts w:asciiTheme="minorBidi" w:hAnsiTheme="minorBidi" w:cstheme="minorBidi"/>
                <w:color w:val="000000"/>
              </w:rPr>
              <w:t>’</w:t>
            </w:r>
            <w:r w:rsidRPr="00124566">
              <w:rPr>
                <w:rFonts w:asciiTheme="minorBidi" w:hAnsiTheme="minorBidi" w:cstheme="minorBidi"/>
                <w:color w:val="000000"/>
              </w:rPr>
              <w:t xml:space="preserve"> (1973)</w:t>
            </w:r>
          </w:p>
          <w:p w14:paraId="6E00EA83" w14:textId="483C1DE5"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Norman Denzin: </w:t>
            </w:r>
            <w:r w:rsidR="00576D49">
              <w:rPr>
                <w:rFonts w:asciiTheme="minorBidi" w:hAnsiTheme="minorBidi" w:cstheme="minorBidi"/>
                <w:color w:val="000000"/>
              </w:rPr>
              <w:t>‘</w:t>
            </w:r>
            <w:r w:rsidRPr="00124566">
              <w:rPr>
                <w:rFonts w:asciiTheme="minorBidi" w:hAnsiTheme="minorBidi" w:cstheme="minorBidi"/>
                <w:color w:val="000000"/>
              </w:rPr>
              <w:t>Interpretive Interactionism</w:t>
            </w:r>
            <w:r w:rsidR="00576D49">
              <w:rPr>
                <w:rFonts w:asciiTheme="minorBidi" w:hAnsiTheme="minorBidi" w:cstheme="minorBidi"/>
                <w:color w:val="000000"/>
              </w:rPr>
              <w:t>’</w:t>
            </w:r>
            <w:r w:rsidRPr="00124566">
              <w:rPr>
                <w:rFonts w:asciiTheme="minorBidi" w:hAnsiTheme="minorBidi" w:cstheme="minorBidi"/>
                <w:color w:val="000000"/>
              </w:rPr>
              <w:t xml:space="preserve"> (1989)</w:t>
            </w:r>
          </w:p>
          <w:p w14:paraId="2F587655"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3451FD5E" w14:textId="77777777" w:rsidTr="0027306D">
        <w:trPr>
          <w:trHeight w:val="1277"/>
        </w:trPr>
        <w:tc>
          <w:tcPr>
            <w:tcW w:w="834" w:type="pct"/>
            <w:shd w:val="clear" w:color="auto" w:fill="E7D9E6"/>
            <w:tcMar>
              <w:top w:w="0" w:type="dxa"/>
              <w:left w:w="108" w:type="dxa"/>
              <w:bottom w:w="0" w:type="dxa"/>
              <w:right w:w="108" w:type="dxa"/>
            </w:tcMar>
          </w:tcPr>
          <w:p w14:paraId="11BCBB1B" w14:textId="343198D1"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Social constructionism</w:t>
            </w:r>
          </w:p>
        </w:tc>
        <w:tc>
          <w:tcPr>
            <w:tcW w:w="4166" w:type="pct"/>
            <w:gridSpan w:val="7"/>
            <w:shd w:val="clear" w:color="auto" w:fill="E7D9E6"/>
            <w:tcMar>
              <w:top w:w="0" w:type="dxa"/>
              <w:left w:w="108" w:type="dxa"/>
              <w:bottom w:w="0" w:type="dxa"/>
              <w:right w:w="108" w:type="dxa"/>
            </w:tcMar>
          </w:tcPr>
          <w:p w14:paraId="6DC05779" w14:textId="03B982F8"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Peter L. Berger and Thomas Luckmann: </w:t>
            </w:r>
            <w:r w:rsidR="00576D49">
              <w:rPr>
                <w:rFonts w:asciiTheme="minorBidi" w:hAnsiTheme="minorBidi" w:cstheme="minorBidi"/>
                <w:color w:val="000000"/>
              </w:rPr>
              <w:t>‘</w:t>
            </w:r>
            <w:r w:rsidRPr="00124566">
              <w:rPr>
                <w:rFonts w:asciiTheme="minorBidi" w:hAnsiTheme="minorBidi" w:cstheme="minorBidi"/>
                <w:color w:val="000000"/>
              </w:rPr>
              <w:t>The Social Construction of Reality</w:t>
            </w:r>
            <w:r w:rsidR="00576D49">
              <w:rPr>
                <w:rFonts w:asciiTheme="minorBidi" w:hAnsiTheme="minorBidi" w:cstheme="minorBidi"/>
                <w:color w:val="000000"/>
              </w:rPr>
              <w:t>’</w:t>
            </w:r>
            <w:r w:rsidRPr="00124566">
              <w:rPr>
                <w:rFonts w:asciiTheme="minorBidi" w:hAnsiTheme="minorBidi" w:cstheme="minorBidi"/>
                <w:color w:val="000000"/>
              </w:rPr>
              <w:t xml:space="preserve"> (1966)</w:t>
            </w:r>
          </w:p>
          <w:p w14:paraId="06E8BD17" w14:textId="07AA7EFC"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Kenneth Gergen: </w:t>
            </w:r>
            <w:r w:rsidR="00576D49">
              <w:rPr>
                <w:rFonts w:asciiTheme="minorBidi" w:hAnsiTheme="minorBidi" w:cstheme="minorBidi"/>
                <w:color w:val="000000"/>
              </w:rPr>
              <w:t>‘</w:t>
            </w:r>
            <w:r w:rsidRPr="00124566">
              <w:rPr>
                <w:rFonts w:asciiTheme="minorBidi" w:hAnsiTheme="minorBidi" w:cstheme="minorBidi"/>
                <w:color w:val="000000"/>
              </w:rPr>
              <w:t>An Invitation to Social Construction</w:t>
            </w:r>
            <w:r w:rsidR="00576D49">
              <w:rPr>
                <w:rFonts w:asciiTheme="minorBidi" w:hAnsiTheme="minorBidi" w:cstheme="minorBidi"/>
                <w:color w:val="000000"/>
              </w:rPr>
              <w:t>’</w:t>
            </w:r>
            <w:r w:rsidRPr="00124566">
              <w:rPr>
                <w:rFonts w:asciiTheme="minorBidi" w:hAnsiTheme="minorBidi" w:cstheme="minorBidi"/>
                <w:color w:val="000000"/>
              </w:rPr>
              <w:t xml:space="preserve"> (1999)</w:t>
            </w:r>
          </w:p>
          <w:p w14:paraId="29AABFD9" w14:textId="5A595574"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Vivien Burr: </w:t>
            </w:r>
            <w:r w:rsidR="00576D49">
              <w:rPr>
                <w:rFonts w:asciiTheme="minorBidi" w:hAnsiTheme="minorBidi" w:cstheme="minorBidi"/>
                <w:color w:val="000000"/>
              </w:rPr>
              <w:t>‘</w:t>
            </w:r>
            <w:r w:rsidRPr="00124566">
              <w:rPr>
                <w:rFonts w:asciiTheme="minorBidi" w:hAnsiTheme="minorBidi" w:cstheme="minorBidi"/>
                <w:color w:val="000000"/>
              </w:rPr>
              <w:t>Social Constructionism</w:t>
            </w:r>
            <w:r w:rsidR="00576D49">
              <w:rPr>
                <w:rFonts w:asciiTheme="minorBidi" w:hAnsiTheme="minorBidi" w:cstheme="minorBidi"/>
                <w:color w:val="000000"/>
              </w:rPr>
              <w:t>’</w:t>
            </w:r>
            <w:r w:rsidRPr="00124566">
              <w:rPr>
                <w:rFonts w:asciiTheme="minorBidi" w:hAnsiTheme="minorBidi" w:cstheme="minorBidi"/>
                <w:color w:val="000000"/>
              </w:rPr>
              <w:t xml:space="preserve"> (1995)</w:t>
            </w:r>
          </w:p>
          <w:p w14:paraId="1062AB4A"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3CB21C63" w14:textId="77777777" w:rsidTr="0027306D">
        <w:trPr>
          <w:trHeight w:val="813"/>
        </w:trPr>
        <w:tc>
          <w:tcPr>
            <w:tcW w:w="834" w:type="pct"/>
            <w:shd w:val="clear" w:color="auto" w:fill="E7D9E6"/>
            <w:tcMar>
              <w:top w:w="0" w:type="dxa"/>
              <w:left w:w="108" w:type="dxa"/>
              <w:bottom w:w="0" w:type="dxa"/>
              <w:right w:w="108" w:type="dxa"/>
            </w:tcMar>
          </w:tcPr>
          <w:p w14:paraId="76381342" w14:textId="168EACEB"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Critical Theory</w:t>
            </w:r>
          </w:p>
        </w:tc>
        <w:tc>
          <w:tcPr>
            <w:tcW w:w="4166" w:type="pct"/>
            <w:gridSpan w:val="7"/>
            <w:shd w:val="clear" w:color="auto" w:fill="E7D9E6"/>
            <w:tcMar>
              <w:top w:w="0" w:type="dxa"/>
              <w:left w:w="108" w:type="dxa"/>
              <w:bottom w:w="0" w:type="dxa"/>
              <w:right w:w="108" w:type="dxa"/>
            </w:tcMar>
          </w:tcPr>
          <w:p w14:paraId="7A8C78FA" w14:textId="60D07184"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Theodor Adorno and Max Horkheimer: </w:t>
            </w:r>
            <w:r w:rsidR="00576D49">
              <w:rPr>
                <w:rFonts w:asciiTheme="minorBidi" w:hAnsiTheme="minorBidi" w:cstheme="minorBidi"/>
                <w:color w:val="000000"/>
              </w:rPr>
              <w:t>‘</w:t>
            </w:r>
            <w:r w:rsidRPr="00124566">
              <w:rPr>
                <w:rFonts w:asciiTheme="minorBidi" w:hAnsiTheme="minorBidi" w:cstheme="minorBidi"/>
                <w:color w:val="000000"/>
              </w:rPr>
              <w:t>Dialectic of Enlightenment</w:t>
            </w:r>
            <w:r w:rsidR="00576D49">
              <w:rPr>
                <w:rFonts w:asciiTheme="minorBidi" w:hAnsiTheme="minorBidi" w:cstheme="minorBidi"/>
                <w:color w:val="000000"/>
              </w:rPr>
              <w:t>’</w:t>
            </w:r>
            <w:r w:rsidRPr="00124566">
              <w:rPr>
                <w:rFonts w:asciiTheme="minorBidi" w:hAnsiTheme="minorBidi" w:cstheme="minorBidi"/>
                <w:color w:val="000000"/>
              </w:rPr>
              <w:t xml:space="preserve"> (1944)</w:t>
            </w:r>
          </w:p>
          <w:p w14:paraId="7A0A0534" w14:textId="6EEBF7EC"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Jürgen Habermas: </w:t>
            </w:r>
            <w:r w:rsidR="00576D49">
              <w:rPr>
                <w:rFonts w:asciiTheme="minorBidi" w:hAnsiTheme="minorBidi" w:cstheme="minorBidi"/>
                <w:color w:val="000000"/>
              </w:rPr>
              <w:t>‘</w:t>
            </w:r>
            <w:r w:rsidRPr="00124566">
              <w:rPr>
                <w:rFonts w:asciiTheme="minorBidi" w:hAnsiTheme="minorBidi" w:cstheme="minorBidi"/>
                <w:color w:val="000000"/>
              </w:rPr>
              <w:t>Knowledge and Human Interests</w:t>
            </w:r>
            <w:r w:rsidR="00576D49">
              <w:rPr>
                <w:rFonts w:asciiTheme="minorBidi" w:hAnsiTheme="minorBidi" w:cstheme="minorBidi"/>
                <w:color w:val="000000"/>
              </w:rPr>
              <w:t>’</w:t>
            </w:r>
            <w:r w:rsidRPr="00124566">
              <w:rPr>
                <w:rFonts w:asciiTheme="minorBidi" w:hAnsiTheme="minorBidi" w:cstheme="minorBidi"/>
                <w:color w:val="000000"/>
              </w:rPr>
              <w:t xml:space="preserve"> (1968)</w:t>
            </w:r>
          </w:p>
          <w:p w14:paraId="6047C735"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5C486DB8" w14:textId="77777777" w:rsidTr="0027306D">
        <w:trPr>
          <w:trHeight w:val="1679"/>
        </w:trPr>
        <w:tc>
          <w:tcPr>
            <w:tcW w:w="834" w:type="pct"/>
            <w:shd w:val="clear" w:color="auto" w:fill="E7D9E6"/>
            <w:tcMar>
              <w:top w:w="0" w:type="dxa"/>
              <w:left w:w="108" w:type="dxa"/>
              <w:bottom w:w="0" w:type="dxa"/>
              <w:right w:w="108" w:type="dxa"/>
            </w:tcMar>
          </w:tcPr>
          <w:p w14:paraId="6D769BCA" w14:textId="77777777" w:rsidR="00411467" w:rsidRPr="00124566" w:rsidRDefault="00411467" w:rsidP="00411467">
            <w:pPr>
              <w:rPr>
                <w:rFonts w:asciiTheme="minorBidi" w:hAnsiTheme="minorBidi"/>
              </w:rPr>
            </w:pPr>
          </w:p>
          <w:p w14:paraId="7A4396FB"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Pragmatism</w:t>
            </w:r>
          </w:p>
          <w:p w14:paraId="597AA948" w14:textId="77777777" w:rsidR="00411467" w:rsidRPr="00124566" w:rsidRDefault="00411467" w:rsidP="00411467">
            <w:pPr>
              <w:pStyle w:val="NormalWeb"/>
              <w:spacing w:before="0" w:beforeAutospacing="0" w:after="0" w:afterAutospacing="0"/>
              <w:rPr>
                <w:rFonts w:asciiTheme="minorBidi" w:hAnsiTheme="minorBidi" w:cstheme="minorBidi"/>
                <w:b/>
                <w:bCs/>
                <w:color w:val="000000"/>
              </w:rPr>
            </w:pPr>
          </w:p>
        </w:tc>
        <w:tc>
          <w:tcPr>
            <w:tcW w:w="4166" w:type="pct"/>
            <w:gridSpan w:val="7"/>
            <w:shd w:val="clear" w:color="auto" w:fill="E7D9E6"/>
            <w:tcMar>
              <w:top w:w="0" w:type="dxa"/>
              <w:left w:w="108" w:type="dxa"/>
              <w:bottom w:w="0" w:type="dxa"/>
              <w:right w:w="108" w:type="dxa"/>
            </w:tcMar>
          </w:tcPr>
          <w:p w14:paraId="0E040C1B" w14:textId="77777777" w:rsidR="00411467" w:rsidRPr="00124566" w:rsidRDefault="00411467" w:rsidP="00411467">
            <w:pPr>
              <w:rPr>
                <w:rFonts w:asciiTheme="minorBidi" w:hAnsiTheme="minorBidi"/>
              </w:rPr>
            </w:pPr>
          </w:p>
          <w:p w14:paraId="4C511118" w14:textId="25B942D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John Dewey: </w:t>
            </w:r>
            <w:r w:rsidR="00576D49">
              <w:rPr>
                <w:rFonts w:asciiTheme="minorBidi" w:hAnsiTheme="minorBidi" w:cstheme="minorBidi"/>
                <w:color w:val="000000"/>
              </w:rPr>
              <w:t>‘</w:t>
            </w:r>
            <w:r w:rsidRPr="00124566">
              <w:rPr>
                <w:rFonts w:asciiTheme="minorBidi" w:hAnsiTheme="minorBidi" w:cstheme="minorBidi"/>
                <w:color w:val="000000"/>
              </w:rPr>
              <w:t>Logic: The Theory of Inquiry</w:t>
            </w:r>
            <w:r w:rsidR="00576D49">
              <w:rPr>
                <w:rFonts w:asciiTheme="minorBidi" w:hAnsiTheme="minorBidi" w:cstheme="minorBidi"/>
                <w:color w:val="000000"/>
              </w:rPr>
              <w:t>’</w:t>
            </w:r>
            <w:r w:rsidRPr="00124566">
              <w:rPr>
                <w:rFonts w:asciiTheme="minorBidi" w:hAnsiTheme="minorBidi" w:cstheme="minorBidi"/>
                <w:color w:val="000000"/>
              </w:rPr>
              <w:t xml:space="preserve"> (1938)</w:t>
            </w:r>
          </w:p>
          <w:p w14:paraId="5D09A2C7" w14:textId="3FC045FF"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Charles Sanders Peirce: </w:t>
            </w:r>
            <w:r w:rsidR="00576D49">
              <w:rPr>
                <w:rFonts w:asciiTheme="minorBidi" w:hAnsiTheme="minorBidi" w:cstheme="minorBidi"/>
                <w:color w:val="000000"/>
              </w:rPr>
              <w:t>‘</w:t>
            </w:r>
            <w:r w:rsidRPr="00124566">
              <w:rPr>
                <w:rFonts w:asciiTheme="minorBidi" w:hAnsiTheme="minorBidi" w:cstheme="minorBidi"/>
                <w:color w:val="000000"/>
              </w:rPr>
              <w:t>How to Make Our Ideas Clear</w:t>
            </w:r>
            <w:r w:rsidR="00576D49">
              <w:rPr>
                <w:rFonts w:asciiTheme="minorBidi" w:hAnsiTheme="minorBidi" w:cstheme="minorBidi"/>
                <w:color w:val="000000"/>
              </w:rPr>
              <w:t>’</w:t>
            </w:r>
            <w:r w:rsidRPr="00124566">
              <w:rPr>
                <w:rFonts w:asciiTheme="minorBidi" w:hAnsiTheme="minorBidi" w:cstheme="minorBidi"/>
                <w:color w:val="000000"/>
              </w:rPr>
              <w:t xml:space="preserve"> (1878)</w:t>
            </w:r>
          </w:p>
          <w:p w14:paraId="55B69D0F" w14:textId="73ADF8A8"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William James: </w:t>
            </w:r>
            <w:r w:rsidR="00576D49">
              <w:rPr>
                <w:rFonts w:asciiTheme="minorBidi" w:hAnsiTheme="minorBidi" w:cstheme="minorBidi"/>
                <w:color w:val="000000"/>
              </w:rPr>
              <w:t>‘</w:t>
            </w:r>
            <w:r w:rsidRPr="00124566">
              <w:rPr>
                <w:rFonts w:asciiTheme="minorBidi" w:hAnsiTheme="minorBidi" w:cstheme="minorBidi"/>
                <w:color w:val="000000"/>
              </w:rPr>
              <w:t>Pragmatism: A New Name for Some Old Ways of Thinking</w:t>
            </w:r>
            <w:r w:rsidR="00576D49">
              <w:rPr>
                <w:rFonts w:asciiTheme="minorBidi" w:hAnsiTheme="minorBidi" w:cstheme="minorBidi"/>
                <w:color w:val="000000"/>
              </w:rPr>
              <w:t>’</w:t>
            </w:r>
            <w:r w:rsidRPr="00124566">
              <w:rPr>
                <w:rFonts w:asciiTheme="minorBidi" w:hAnsiTheme="minorBidi" w:cstheme="minorBidi"/>
                <w:color w:val="000000"/>
              </w:rPr>
              <w:t xml:space="preserve"> (1907)</w:t>
            </w:r>
          </w:p>
          <w:p w14:paraId="51BD0A7E" w14:textId="77777777" w:rsidR="00411467" w:rsidRPr="00124566" w:rsidRDefault="00411467" w:rsidP="00411467">
            <w:pPr>
              <w:pStyle w:val="NormalWeb"/>
              <w:spacing w:before="0" w:beforeAutospacing="0" w:after="0" w:afterAutospacing="0"/>
              <w:rPr>
                <w:rFonts w:asciiTheme="minorBidi" w:hAnsiTheme="minorBidi" w:cstheme="minorBidi"/>
                <w:color w:val="000000"/>
              </w:rPr>
            </w:pPr>
          </w:p>
        </w:tc>
      </w:tr>
      <w:tr w:rsidR="00411467" w:rsidRPr="00124566" w14:paraId="1FA2C44A" w14:textId="77777777" w:rsidTr="0027306D">
        <w:trPr>
          <w:trHeight w:val="3542"/>
        </w:trPr>
        <w:tc>
          <w:tcPr>
            <w:tcW w:w="834" w:type="pct"/>
            <w:tcBorders>
              <w:bottom w:val="single" w:sz="12" w:space="0" w:color="auto"/>
            </w:tcBorders>
            <w:shd w:val="clear" w:color="auto" w:fill="E7D9E6"/>
            <w:tcMar>
              <w:top w:w="0" w:type="dxa"/>
              <w:left w:w="108" w:type="dxa"/>
              <w:bottom w:w="0" w:type="dxa"/>
              <w:right w:w="108" w:type="dxa"/>
            </w:tcMar>
          </w:tcPr>
          <w:p w14:paraId="5719FA61" w14:textId="59B43073" w:rsidR="00411467" w:rsidRPr="00124566" w:rsidRDefault="00411467" w:rsidP="00411467">
            <w:pPr>
              <w:pStyle w:val="NormalWeb"/>
              <w:spacing w:before="0" w:beforeAutospacing="0" w:after="0" w:afterAutospacing="0"/>
              <w:rPr>
                <w:rFonts w:asciiTheme="minorBidi" w:hAnsiTheme="minorBidi" w:cstheme="minorBidi"/>
                <w:b/>
                <w:bCs/>
                <w:color w:val="000000"/>
              </w:rPr>
            </w:pPr>
            <w:r w:rsidRPr="00124566">
              <w:rPr>
                <w:rFonts w:asciiTheme="minorBidi" w:hAnsiTheme="minorBidi" w:cstheme="minorBidi"/>
                <w:color w:val="000000"/>
              </w:rPr>
              <w:t>Additional Modern Authors</w:t>
            </w:r>
          </w:p>
        </w:tc>
        <w:tc>
          <w:tcPr>
            <w:tcW w:w="4166" w:type="pct"/>
            <w:gridSpan w:val="7"/>
            <w:tcBorders>
              <w:bottom w:val="single" w:sz="12" w:space="0" w:color="auto"/>
            </w:tcBorders>
            <w:shd w:val="clear" w:color="auto" w:fill="E7D9E6"/>
            <w:tcMar>
              <w:top w:w="0" w:type="dxa"/>
              <w:left w:w="108" w:type="dxa"/>
              <w:bottom w:w="0" w:type="dxa"/>
              <w:right w:w="108" w:type="dxa"/>
            </w:tcMar>
          </w:tcPr>
          <w:p w14:paraId="70B38A1C"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Modern Research Methods Writers:</w:t>
            </w:r>
          </w:p>
          <w:p w14:paraId="32C64850" w14:textId="77777777" w:rsidR="00411467" w:rsidRPr="00124566" w:rsidRDefault="00411467" w:rsidP="00411467">
            <w:pPr>
              <w:rPr>
                <w:rFonts w:asciiTheme="minorBidi" w:hAnsiTheme="minorBidi"/>
              </w:rPr>
            </w:pPr>
          </w:p>
          <w:p w14:paraId="7BD0ED84"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Mixed Methods and Paradigm Integration:</w:t>
            </w:r>
          </w:p>
          <w:p w14:paraId="1934D399" w14:textId="1159C61A"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John W. Creswell: </w:t>
            </w:r>
            <w:r w:rsidR="00576D49">
              <w:rPr>
                <w:rFonts w:asciiTheme="minorBidi" w:hAnsiTheme="minorBidi" w:cstheme="minorBidi"/>
                <w:color w:val="000000"/>
              </w:rPr>
              <w:t>‘</w:t>
            </w:r>
            <w:r w:rsidRPr="00124566">
              <w:rPr>
                <w:rFonts w:asciiTheme="minorBidi" w:hAnsiTheme="minorBidi" w:cstheme="minorBidi"/>
                <w:color w:val="000000"/>
              </w:rPr>
              <w:t>Research Design: Qualitative, Quantitative, and Mixed Methods Approaches</w:t>
            </w:r>
            <w:r w:rsidR="00576D49">
              <w:rPr>
                <w:rFonts w:asciiTheme="minorBidi" w:hAnsiTheme="minorBidi" w:cstheme="minorBidi"/>
                <w:color w:val="000000"/>
              </w:rPr>
              <w:t>’</w:t>
            </w:r>
            <w:r w:rsidRPr="00124566">
              <w:rPr>
                <w:rFonts w:asciiTheme="minorBidi" w:hAnsiTheme="minorBidi" w:cstheme="minorBidi"/>
                <w:color w:val="000000"/>
              </w:rPr>
              <w:t xml:space="preserve"> (4th ed., 2014)</w:t>
            </w:r>
          </w:p>
          <w:p w14:paraId="1AA644C3" w14:textId="03C1D74D"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Abbas Tashakkori and Charles Teddlie: </w:t>
            </w:r>
            <w:r w:rsidR="00576D49">
              <w:rPr>
                <w:rFonts w:asciiTheme="minorBidi" w:hAnsiTheme="minorBidi" w:cstheme="minorBidi"/>
                <w:color w:val="000000"/>
              </w:rPr>
              <w:t>‘</w:t>
            </w:r>
            <w:r w:rsidRPr="00124566">
              <w:rPr>
                <w:rFonts w:asciiTheme="minorBidi" w:hAnsiTheme="minorBidi" w:cstheme="minorBidi"/>
                <w:color w:val="000000"/>
              </w:rPr>
              <w:t xml:space="preserve">Handbook of Mixed Methods in Social &amp; </w:t>
            </w:r>
            <w:proofErr w:type="spellStart"/>
            <w:r w:rsidRPr="00124566">
              <w:rPr>
                <w:rFonts w:asciiTheme="minorBidi" w:hAnsiTheme="minorBidi" w:cstheme="minorBidi"/>
                <w:color w:val="000000"/>
              </w:rPr>
              <w:t>Behavioral</w:t>
            </w:r>
            <w:proofErr w:type="spellEnd"/>
            <w:r w:rsidRPr="00124566">
              <w:rPr>
                <w:rFonts w:asciiTheme="minorBidi" w:hAnsiTheme="minorBidi" w:cstheme="minorBidi"/>
                <w:color w:val="000000"/>
              </w:rPr>
              <w:t xml:space="preserve"> Research</w:t>
            </w:r>
            <w:r w:rsidR="00576D49">
              <w:rPr>
                <w:rFonts w:asciiTheme="minorBidi" w:hAnsiTheme="minorBidi" w:cstheme="minorBidi"/>
                <w:color w:val="000000"/>
              </w:rPr>
              <w:t>’</w:t>
            </w:r>
            <w:r w:rsidRPr="00124566">
              <w:rPr>
                <w:rFonts w:asciiTheme="minorBidi" w:hAnsiTheme="minorBidi" w:cstheme="minorBidi"/>
                <w:color w:val="000000"/>
              </w:rPr>
              <w:t xml:space="preserve"> (2nd ed., 2010)</w:t>
            </w:r>
          </w:p>
          <w:p w14:paraId="77A8BECF" w14:textId="77777777" w:rsidR="00411467" w:rsidRPr="00124566" w:rsidRDefault="00411467" w:rsidP="00411467">
            <w:pPr>
              <w:rPr>
                <w:rFonts w:asciiTheme="minorBidi" w:hAnsiTheme="minorBidi"/>
              </w:rPr>
            </w:pPr>
          </w:p>
          <w:p w14:paraId="1FAD0077"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Qualitative Research:</w:t>
            </w:r>
          </w:p>
          <w:p w14:paraId="4AF7930C" w14:textId="5017BE74"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Yvonna Lincoln and Egon Guba: </w:t>
            </w:r>
            <w:r w:rsidR="00576D49">
              <w:rPr>
                <w:rFonts w:asciiTheme="minorBidi" w:hAnsiTheme="minorBidi" w:cstheme="minorBidi"/>
                <w:color w:val="000000"/>
              </w:rPr>
              <w:t>‘</w:t>
            </w:r>
            <w:r w:rsidRPr="00124566">
              <w:rPr>
                <w:rFonts w:asciiTheme="minorBidi" w:hAnsiTheme="minorBidi" w:cstheme="minorBidi"/>
                <w:color w:val="000000"/>
              </w:rPr>
              <w:t>Naturalistic Inquiry</w:t>
            </w:r>
            <w:r w:rsidR="00576D49">
              <w:rPr>
                <w:rFonts w:asciiTheme="minorBidi" w:hAnsiTheme="minorBidi" w:cstheme="minorBidi"/>
                <w:color w:val="000000"/>
              </w:rPr>
              <w:t>’</w:t>
            </w:r>
            <w:r w:rsidRPr="00124566">
              <w:rPr>
                <w:rFonts w:asciiTheme="minorBidi" w:hAnsiTheme="minorBidi" w:cstheme="minorBidi"/>
                <w:color w:val="000000"/>
              </w:rPr>
              <w:t xml:space="preserve"> (1985)</w:t>
            </w:r>
          </w:p>
          <w:p w14:paraId="16D10795" w14:textId="3CE2F29C"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Anselm Strauss and Juliet Corbin: </w:t>
            </w:r>
            <w:r w:rsidR="00576D49">
              <w:rPr>
                <w:rFonts w:asciiTheme="minorBidi" w:hAnsiTheme="minorBidi" w:cstheme="minorBidi"/>
                <w:color w:val="000000"/>
              </w:rPr>
              <w:t>‘</w:t>
            </w:r>
            <w:r w:rsidRPr="00124566">
              <w:rPr>
                <w:rFonts w:asciiTheme="minorBidi" w:hAnsiTheme="minorBidi" w:cstheme="minorBidi"/>
                <w:color w:val="000000"/>
              </w:rPr>
              <w:t>Basics of Qualitative Research</w:t>
            </w:r>
            <w:r w:rsidR="00576D49">
              <w:rPr>
                <w:rFonts w:asciiTheme="minorBidi" w:hAnsiTheme="minorBidi" w:cstheme="minorBidi"/>
                <w:color w:val="000000"/>
              </w:rPr>
              <w:t>’</w:t>
            </w:r>
            <w:r w:rsidRPr="00124566">
              <w:rPr>
                <w:rFonts w:asciiTheme="minorBidi" w:hAnsiTheme="minorBidi" w:cstheme="minorBidi"/>
                <w:color w:val="000000"/>
              </w:rPr>
              <w:t xml:space="preserve"> (3rd ed., 2008)</w:t>
            </w:r>
          </w:p>
          <w:p w14:paraId="6C1C98E5" w14:textId="35E0A8ED"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Robert K. Yin: </w:t>
            </w:r>
            <w:r w:rsidR="00576D49">
              <w:rPr>
                <w:rFonts w:asciiTheme="minorBidi" w:hAnsiTheme="minorBidi" w:cstheme="minorBidi"/>
                <w:color w:val="000000"/>
              </w:rPr>
              <w:t>‘</w:t>
            </w:r>
            <w:r w:rsidRPr="00124566">
              <w:rPr>
                <w:rFonts w:asciiTheme="minorBidi" w:hAnsiTheme="minorBidi" w:cstheme="minorBidi"/>
                <w:color w:val="000000"/>
              </w:rPr>
              <w:t>Case Study Research and Applications: Design and Methods</w:t>
            </w:r>
            <w:r w:rsidR="00576D49">
              <w:rPr>
                <w:rFonts w:asciiTheme="minorBidi" w:hAnsiTheme="minorBidi" w:cstheme="minorBidi"/>
                <w:color w:val="000000"/>
              </w:rPr>
              <w:t>’</w:t>
            </w:r>
            <w:r w:rsidRPr="00124566">
              <w:rPr>
                <w:rFonts w:asciiTheme="minorBidi" w:hAnsiTheme="minorBidi" w:cstheme="minorBidi"/>
                <w:color w:val="000000"/>
              </w:rPr>
              <w:t xml:space="preserve"> (6th ed., 2017)</w:t>
            </w:r>
          </w:p>
          <w:p w14:paraId="20228B1F" w14:textId="7E797EE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Kathy Charmaz: </w:t>
            </w:r>
            <w:r w:rsidR="00576D49">
              <w:rPr>
                <w:rFonts w:asciiTheme="minorBidi" w:hAnsiTheme="minorBidi" w:cstheme="minorBidi"/>
                <w:color w:val="000000"/>
              </w:rPr>
              <w:t>‘</w:t>
            </w:r>
            <w:r w:rsidRPr="00124566">
              <w:rPr>
                <w:rFonts w:asciiTheme="minorBidi" w:hAnsiTheme="minorBidi" w:cstheme="minorBidi"/>
                <w:color w:val="000000"/>
              </w:rPr>
              <w:t>Constructing Grounded Theory</w:t>
            </w:r>
            <w:r w:rsidR="00576D49">
              <w:rPr>
                <w:rFonts w:asciiTheme="minorBidi" w:hAnsiTheme="minorBidi" w:cstheme="minorBidi"/>
                <w:color w:val="000000"/>
              </w:rPr>
              <w:t>’</w:t>
            </w:r>
            <w:r w:rsidRPr="00124566">
              <w:rPr>
                <w:rFonts w:asciiTheme="minorBidi" w:hAnsiTheme="minorBidi" w:cstheme="minorBidi"/>
                <w:color w:val="000000"/>
              </w:rPr>
              <w:t xml:space="preserve"> (2nd ed., 2014)</w:t>
            </w:r>
          </w:p>
          <w:p w14:paraId="683FD689" w14:textId="77777777" w:rsidR="00411467" w:rsidRPr="00124566" w:rsidRDefault="00411467" w:rsidP="00411467">
            <w:pPr>
              <w:rPr>
                <w:rFonts w:asciiTheme="minorBidi" w:hAnsiTheme="minorBidi"/>
              </w:rPr>
            </w:pPr>
          </w:p>
          <w:p w14:paraId="74164166"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Quantitative Research:</w:t>
            </w:r>
          </w:p>
          <w:p w14:paraId="14D7DB05" w14:textId="3E927A48"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Andy Field: </w:t>
            </w:r>
            <w:r w:rsidR="00576D49">
              <w:rPr>
                <w:rFonts w:asciiTheme="minorBidi" w:hAnsiTheme="minorBidi" w:cstheme="minorBidi"/>
                <w:color w:val="000000"/>
              </w:rPr>
              <w:t>‘</w:t>
            </w:r>
            <w:r w:rsidRPr="00124566">
              <w:rPr>
                <w:rFonts w:asciiTheme="minorBidi" w:hAnsiTheme="minorBidi" w:cstheme="minorBidi"/>
                <w:color w:val="000000"/>
              </w:rPr>
              <w:t>Discovering Statistics Using IBM SPSS Statistics</w:t>
            </w:r>
            <w:r w:rsidR="00576D49">
              <w:rPr>
                <w:rFonts w:asciiTheme="minorBidi" w:hAnsiTheme="minorBidi" w:cstheme="minorBidi"/>
                <w:color w:val="000000"/>
              </w:rPr>
              <w:t>’</w:t>
            </w:r>
            <w:r w:rsidRPr="00124566">
              <w:rPr>
                <w:rFonts w:asciiTheme="minorBidi" w:hAnsiTheme="minorBidi" w:cstheme="minorBidi"/>
                <w:color w:val="000000"/>
              </w:rPr>
              <w:t xml:space="preserve"> (5th ed., 2017)</w:t>
            </w:r>
          </w:p>
          <w:p w14:paraId="37FA171F" w14:textId="444BA2C3"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Barbara G. Tabachnick and Linda S. Fidell: </w:t>
            </w:r>
            <w:r w:rsidR="00576D49">
              <w:rPr>
                <w:rFonts w:asciiTheme="minorBidi" w:hAnsiTheme="minorBidi" w:cstheme="minorBidi"/>
                <w:color w:val="000000"/>
              </w:rPr>
              <w:t>‘</w:t>
            </w:r>
            <w:r w:rsidRPr="00124566">
              <w:rPr>
                <w:rFonts w:asciiTheme="minorBidi" w:hAnsiTheme="minorBidi" w:cstheme="minorBidi"/>
                <w:color w:val="000000"/>
              </w:rPr>
              <w:t>Using Multivariate Statistics</w:t>
            </w:r>
            <w:r w:rsidR="00576D49">
              <w:rPr>
                <w:rFonts w:asciiTheme="minorBidi" w:hAnsiTheme="minorBidi" w:cstheme="minorBidi"/>
                <w:color w:val="000000"/>
              </w:rPr>
              <w:t>’</w:t>
            </w:r>
            <w:r w:rsidRPr="00124566">
              <w:rPr>
                <w:rFonts w:asciiTheme="minorBidi" w:hAnsiTheme="minorBidi" w:cstheme="minorBidi"/>
                <w:color w:val="000000"/>
              </w:rPr>
              <w:t xml:space="preserve"> (7th ed., 2019)</w:t>
            </w:r>
          </w:p>
          <w:p w14:paraId="1055E4F8" w14:textId="77777777" w:rsidR="00411467" w:rsidRPr="00124566" w:rsidRDefault="00411467" w:rsidP="00411467">
            <w:pPr>
              <w:rPr>
                <w:rFonts w:asciiTheme="minorBidi" w:hAnsiTheme="minorBidi"/>
              </w:rPr>
            </w:pPr>
          </w:p>
          <w:p w14:paraId="4A3DB65D" w14:textId="777777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Philosophy of Science:</w:t>
            </w:r>
          </w:p>
          <w:p w14:paraId="3C89F76F" w14:textId="7EBC6002"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    - Ian Hacking: </w:t>
            </w:r>
            <w:r w:rsidR="00576D49">
              <w:rPr>
                <w:rFonts w:asciiTheme="minorBidi" w:hAnsiTheme="minorBidi" w:cstheme="minorBidi"/>
                <w:color w:val="000000"/>
              </w:rPr>
              <w:t>‘</w:t>
            </w:r>
            <w:r w:rsidRPr="00124566">
              <w:rPr>
                <w:rFonts w:asciiTheme="minorBidi" w:hAnsiTheme="minorBidi" w:cstheme="minorBidi"/>
                <w:color w:val="000000"/>
              </w:rPr>
              <w:t>Representing and Intervening</w:t>
            </w:r>
            <w:r w:rsidR="00576D49">
              <w:rPr>
                <w:rFonts w:asciiTheme="minorBidi" w:hAnsiTheme="minorBidi" w:cstheme="minorBidi"/>
                <w:color w:val="000000"/>
              </w:rPr>
              <w:t>’</w:t>
            </w:r>
            <w:r w:rsidRPr="00124566">
              <w:rPr>
                <w:rFonts w:asciiTheme="minorBidi" w:hAnsiTheme="minorBidi" w:cstheme="minorBidi"/>
                <w:color w:val="000000"/>
              </w:rPr>
              <w:t xml:space="preserve"> (1983)</w:t>
            </w:r>
          </w:p>
          <w:p w14:paraId="13E63B83" w14:textId="20B37FE0" w:rsidR="00411467" w:rsidRPr="00124566" w:rsidRDefault="00411467" w:rsidP="00411467">
            <w:pPr>
              <w:pStyle w:val="NormalWeb"/>
              <w:spacing w:before="0" w:beforeAutospacing="0" w:after="0" w:afterAutospacing="0"/>
              <w:ind w:firstLine="218"/>
              <w:rPr>
                <w:rFonts w:asciiTheme="minorBidi" w:hAnsiTheme="minorBidi" w:cstheme="minorBidi"/>
              </w:rPr>
            </w:pPr>
            <w:r w:rsidRPr="00124566">
              <w:rPr>
                <w:rFonts w:asciiTheme="minorBidi" w:hAnsiTheme="minorBidi" w:cstheme="minorBidi"/>
                <w:color w:val="000000"/>
              </w:rPr>
              <w:t xml:space="preserve">- Sandra Harding: </w:t>
            </w:r>
            <w:r w:rsidR="00576D49">
              <w:rPr>
                <w:rFonts w:asciiTheme="minorBidi" w:hAnsiTheme="minorBidi" w:cstheme="minorBidi"/>
                <w:color w:val="000000"/>
              </w:rPr>
              <w:t>‘</w:t>
            </w:r>
            <w:r w:rsidRPr="00124566">
              <w:rPr>
                <w:rFonts w:asciiTheme="minorBidi" w:hAnsiTheme="minorBidi" w:cstheme="minorBidi"/>
                <w:color w:val="000000"/>
              </w:rPr>
              <w:t>Whose Science? Whose Knowledge?</w:t>
            </w:r>
            <w:r w:rsidR="00576D49">
              <w:rPr>
                <w:rFonts w:asciiTheme="minorBidi" w:hAnsiTheme="minorBidi" w:cstheme="minorBidi"/>
                <w:color w:val="000000"/>
              </w:rPr>
              <w:t>’</w:t>
            </w:r>
            <w:r w:rsidRPr="00124566">
              <w:rPr>
                <w:rFonts w:asciiTheme="minorBidi" w:hAnsiTheme="minorBidi" w:cstheme="minorBidi"/>
                <w:color w:val="000000"/>
              </w:rPr>
              <w:t xml:space="preserve"> (1991)</w:t>
            </w:r>
          </w:p>
          <w:p w14:paraId="0285D06F" w14:textId="77777777" w:rsidR="00411467" w:rsidRPr="00124566" w:rsidRDefault="00411467" w:rsidP="00411467">
            <w:pPr>
              <w:rPr>
                <w:rFonts w:asciiTheme="minorBidi" w:hAnsiTheme="minorBidi"/>
              </w:rPr>
            </w:pPr>
          </w:p>
          <w:p w14:paraId="6299DC82" w14:textId="55427B64"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lastRenderedPageBreak/>
              <w:t xml:space="preserve">Patricia Leavy: </w:t>
            </w:r>
            <w:r w:rsidR="00576D49">
              <w:rPr>
                <w:rFonts w:asciiTheme="minorBidi" w:hAnsiTheme="minorBidi" w:cstheme="minorBidi"/>
                <w:color w:val="000000"/>
              </w:rPr>
              <w:t>‘</w:t>
            </w:r>
            <w:r w:rsidRPr="00124566">
              <w:rPr>
                <w:rFonts w:asciiTheme="minorBidi" w:hAnsiTheme="minorBidi" w:cstheme="minorBidi"/>
                <w:color w:val="000000"/>
              </w:rPr>
              <w:t>Research Design: Quantitative, Qualitative, Mixed Methods, Arts-Based, and Community-Based Participatory Research Approaches</w:t>
            </w:r>
            <w:r w:rsidR="00576D49">
              <w:rPr>
                <w:rFonts w:asciiTheme="minorBidi" w:hAnsiTheme="minorBidi" w:cstheme="minorBidi"/>
                <w:color w:val="000000"/>
              </w:rPr>
              <w:t>’</w:t>
            </w:r>
            <w:r w:rsidRPr="00124566">
              <w:rPr>
                <w:rFonts w:asciiTheme="minorBidi" w:hAnsiTheme="minorBidi" w:cstheme="minorBidi"/>
                <w:color w:val="000000"/>
              </w:rPr>
              <w:t xml:space="preserve"> (2017)</w:t>
            </w:r>
          </w:p>
          <w:p w14:paraId="43AD4B2F" w14:textId="587193DB"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Uwe Flick: </w:t>
            </w:r>
            <w:r w:rsidR="00576D49">
              <w:rPr>
                <w:rFonts w:asciiTheme="minorBidi" w:hAnsiTheme="minorBidi" w:cstheme="minorBidi"/>
                <w:color w:val="000000"/>
              </w:rPr>
              <w:t>‘</w:t>
            </w:r>
            <w:r w:rsidRPr="00124566">
              <w:rPr>
                <w:rFonts w:asciiTheme="minorBidi" w:hAnsiTheme="minorBidi" w:cstheme="minorBidi"/>
                <w:color w:val="000000"/>
              </w:rPr>
              <w:t>An Introduction to Qualitative Research</w:t>
            </w:r>
            <w:r w:rsidR="00576D49">
              <w:rPr>
                <w:rFonts w:asciiTheme="minorBidi" w:hAnsiTheme="minorBidi" w:cstheme="minorBidi"/>
                <w:color w:val="000000"/>
              </w:rPr>
              <w:t>’</w:t>
            </w:r>
            <w:r w:rsidRPr="00124566">
              <w:rPr>
                <w:rFonts w:asciiTheme="minorBidi" w:hAnsiTheme="minorBidi" w:cstheme="minorBidi"/>
                <w:color w:val="000000"/>
              </w:rPr>
              <w:t xml:space="preserve"> (6th ed., 2018)</w:t>
            </w:r>
          </w:p>
          <w:p w14:paraId="6A2A2064" w14:textId="44465628"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David Silverman: </w:t>
            </w:r>
            <w:r w:rsidR="00576D49">
              <w:rPr>
                <w:rFonts w:asciiTheme="minorBidi" w:hAnsiTheme="minorBidi" w:cstheme="minorBidi"/>
                <w:color w:val="000000"/>
              </w:rPr>
              <w:t>‘</w:t>
            </w:r>
            <w:r w:rsidRPr="00124566">
              <w:rPr>
                <w:rFonts w:asciiTheme="minorBidi" w:hAnsiTheme="minorBidi" w:cstheme="minorBidi"/>
                <w:color w:val="000000"/>
              </w:rPr>
              <w:t>Doing Qualitative Research</w:t>
            </w:r>
            <w:r w:rsidR="00576D49">
              <w:rPr>
                <w:rFonts w:asciiTheme="minorBidi" w:hAnsiTheme="minorBidi" w:cstheme="minorBidi"/>
                <w:color w:val="000000"/>
              </w:rPr>
              <w:t>’</w:t>
            </w:r>
            <w:r w:rsidRPr="00124566">
              <w:rPr>
                <w:rFonts w:asciiTheme="minorBidi" w:hAnsiTheme="minorBidi" w:cstheme="minorBidi"/>
                <w:color w:val="000000"/>
              </w:rPr>
              <w:t xml:space="preserve"> (5th ed., 2017)</w:t>
            </w:r>
          </w:p>
          <w:p w14:paraId="6D297FC1" w14:textId="0CC51277"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Alan Bryman: </w:t>
            </w:r>
            <w:r w:rsidR="00576D49">
              <w:rPr>
                <w:rFonts w:asciiTheme="minorBidi" w:hAnsiTheme="minorBidi" w:cstheme="minorBidi"/>
                <w:color w:val="000000"/>
              </w:rPr>
              <w:t>‘</w:t>
            </w:r>
            <w:r w:rsidRPr="00124566">
              <w:rPr>
                <w:rFonts w:asciiTheme="minorBidi" w:hAnsiTheme="minorBidi" w:cstheme="minorBidi"/>
                <w:color w:val="000000"/>
              </w:rPr>
              <w:t>Social Research Methods</w:t>
            </w:r>
            <w:r w:rsidR="00576D49">
              <w:rPr>
                <w:rFonts w:asciiTheme="minorBidi" w:hAnsiTheme="minorBidi" w:cstheme="minorBidi"/>
                <w:color w:val="000000"/>
              </w:rPr>
              <w:t>’</w:t>
            </w:r>
            <w:r w:rsidRPr="00124566">
              <w:rPr>
                <w:rFonts w:asciiTheme="minorBidi" w:hAnsiTheme="minorBidi" w:cstheme="minorBidi"/>
                <w:color w:val="000000"/>
              </w:rPr>
              <w:t xml:space="preserve"> (5th ed., 2016)</w:t>
            </w:r>
          </w:p>
          <w:p w14:paraId="6C1710BD" w14:textId="0A5F9420"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Sharlene Nagy Hesse-Biber: </w:t>
            </w:r>
            <w:r w:rsidR="00576D49">
              <w:rPr>
                <w:rFonts w:asciiTheme="minorBidi" w:hAnsiTheme="minorBidi" w:cstheme="minorBidi"/>
                <w:color w:val="000000"/>
              </w:rPr>
              <w:t>‘</w:t>
            </w:r>
            <w:r w:rsidRPr="00124566">
              <w:rPr>
                <w:rFonts w:asciiTheme="minorBidi" w:hAnsiTheme="minorBidi" w:cstheme="minorBidi"/>
                <w:color w:val="000000"/>
              </w:rPr>
              <w:t>The Practice of Qualitative Research</w:t>
            </w:r>
            <w:r w:rsidR="00576D49">
              <w:rPr>
                <w:rFonts w:asciiTheme="minorBidi" w:hAnsiTheme="minorBidi" w:cstheme="minorBidi"/>
                <w:color w:val="000000"/>
              </w:rPr>
              <w:t>’</w:t>
            </w:r>
            <w:r w:rsidRPr="00124566">
              <w:rPr>
                <w:rFonts w:asciiTheme="minorBidi" w:hAnsiTheme="minorBidi" w:cstheme="minorBidi"/>
                <w:color w:val="000000"/>
              </w:rPr>
              <w:t xml:space="preserve"> (3rd ed., 2016)</w:t>
            </w:r>
          </w:p>
          <w:p w14:paraId="4BEA05CA" w14:textId="1D33CD61" w:rsidR="00411467" w:rsidRPr="00124566" w:rsidRDefault="00411467" w:rsidP="00411467">
            <w:pPr>
              <w:pStyle w:val="NormalWeb"/>
              <w:spacing w:before="0" w:beforeAutospacing="0" w:after="0" w:afterAutospacing="0"/>
              <w:rPr>
                <w:rFonts w:asciiTheme="minorBidi" w:hAnsiTheme="minorBidi" w:cstheme="minorBidi"/>
              </w:rPr>
            </w:pPr>
            <w:r w:rsidRPr="00124566">
              <w:rPr>
                <w:rFonts w:asciiTheme="minorBidi" w:hAnsiTheme="minorBidi" w:cstheme="minorBidi"/>
                <w:color w:val="000000"/>
              </w:rPr>
              <w:t xml:space="preserve">Michael Quinn Patton: </w:t>
            </w:r>
            <w:r w:rsidR="00576D49">
              <w:rPr>
                <w:rFonts w:asciiTheme="minorBidi" w:hAnsiTheme="minorBidi" w:cstheme="minorBidi"/>
                <w:color w:val="000000"/>
              </w:rPr>
              <w:t>‘</w:t>
            </w:r>
            <w:r w:rsidRPr="00124566">
              <w:rPr>
                <w:rFonts w:asciiTheme="minorBidi" w:hAnsiTheme="minorBidi" w:cstheme="minorBidi"/>
                <w:color w:val="000000"/>
              </w:rPr>
              <w:t>Qualitative Research &amp; Evaluation Methods</w:t>
            </w:r>
            <w:r w:rsidR="00576D49">
              <w:rPr>
                <w:rFonts w:asciiTheme="minorBidi" w:hAnsiTheme="minorBidi" w:cstheme="minorBidi"/>
                <w:color w:val="000000"/>
              </w:rPr>
              <w:t>’</w:t>
            </w:r>
            <w:r w:rsidRPr="00124566">
              <w:rPr>
                <w:rFonts w:asciiTheme="minorBidi" w:hAnsiTheme="minorBidi" w:cstheme="minorBidi"/>
                <w:color w:val="000000"/>
              </w:rPr>
              <w:t xml:space="preserve"> (4th ed., 2014)</w:t>
            </w:r>
          </w:p>
          <w:p w14:paraId="6BECFC35" w14:textId="77777777" w:rsidR="00411467" w:rsidRPr="00124566" w:rsidRDefault="00411467" w:rsidP="00411467">
            <w:pPr>
              <w:rPr>
                <w:rFonts w:asciiTheme="minorBidi" w:hAnsiTheme="minorBidi"/>
              </w:rPr>
            </w:pPr>
          </w:p>
          <w:p w14:paraId="1AA74F88" w14:textId="7D9477AF" w:rsidR="00411467" w:rsidRPr="00124566" w:rsidRDefault="00411467" w:rsidP="00411467">
            <w:pPr>
              <w:pStyle w:val="NormalWeb"/>
              <w:spacing w:before="0" w:beforeAutospacing="0" w:after="0" w:afterAutospacing="0"/>
              <w:rPr>
                <w:rFonts w:asciiTheme="minorBidi" w:hAnsiTheme="minorBidi" w:cstheme="minorBidi"/>
                <w:color w:val="000000"/>
              </w:rPr>
            </w:pPr>
            <w:r w:rsidRPr="00124566">
              <w:rPr>
                <w:rFonts w:asciiTheme="minorBidi" w:hAnsiTheme="minorBidi" w:cstheme="minorBidi"/>
                <w:color w:val="000000"/>
              </w:rPr>
              <w:t>These modern authors have contributed significantly to the development and refinement of research methods across various paradigms, often integrating insights from multiple approaches.</w:t>
            </w:r>
          </w:p>
        </w:tc>
      </w:tr>
    </w:tbl>
    <w:p w14:paraId="2009D2BA" w14:textId="77777777" w:rsidR="00F77284" w:rsidRPr="00124566" w:rsidRDefault="00F77284" w:rsidP="002B68D0">
      <w:pPr>
        <w:rPr>
          <w:rFonts w:asciiTheme="minorBidi" w:hAnsiTheme="minorBidi"/>
        </w:rPr>
      </w:pPr>
    </w:p>
    <w:sectPr w:rsidR="00F77284" w:rsidRPr="00124566" w:rsidSect="00E220BF">
      <w:footerReference w:type="default" r:id="rId8"/>
      <w:pgSz w:w="23811" w:h="16838"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46CB8" w14:textId="77777777" w:rsidR="0016729B" w:rsidRDefault="0016729B" w:rsidP="00193752">
      <w:pPr>
        <w:spacing w:after="0" w:line="240" w:lineRule="auto"/>
      </w:pPr>
      <w:r>
        <w:separator/>
      </w:r>
    </w:p>
  </w:endnote>
  <w:endnote w:type="continuationSeparator" w:id="0">
    <w:p w14:paraId="7AA8A960" w14:textId="77777777" w:rsidR="0016729B" w:rsidRDefault="0016729B" w:rsidP="00193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Biome">
    <w:charset w:val="00"/>
    <w:family w:val="swiss"/>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605678"/>
      <w:docPartObj>
        <w:docPartGallery w:val="Page Numbers (Bottom of Page)"/>
        <w:docPartUnique/>
      </w:docPartObj>
    </w:sdtPr>
    <w:sdtEndPr>
      <w:rPr>
        <w:noProof/>
      </w:rPr>
    </w:sdtEndPr>
    <w:sdtContent>
      <w:p w14:paraId="0E536F7E" w14:textId="4FA12B3B" w:rsidR="003D2922" w:rsidRDefault="003D2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0A8FB8" w14:textId="77777777" w:rsidR="00193752" w:rsidRDefault="00193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337C8" w14:textId="77777777" w:rsidR="0016729B" w:rsidRDefault="0016729B" w:rsidP="00193752">
      <w:pPr>
        <w:spacing w:after="0" w:line="240" w:lineRule="auto"/>
      </w:pPr>
      <w:r>
        <w:separator/>
      </w:r>
    </w:p>
  </w:footnote>
  <w:footnote w:type="continuationSeparator" w:id="0">
    <w:p w14:paraId="69448E14" w14:textId="77777777" w:rsidR="0016729B" w:rsidRDefault="0016729B" w:rsidP="001937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04192"/>
    <w:multiLevelType w:val="multilevel"/>
    <w:tmpl w:val="70E81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1E0E9E"/>
    <w:multiLevelType w:val="multilevel"/>
    <w:tmpl w:val="FC529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7838D1"/>
    <w:multiLevelType w:val="multilevel"/>
    <w:tmpl w:val="E09C6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2542C4"/>
    <w:multiLevelType w:val="multilevel"/>
    <w:tmpl w:val="41329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7959242">
    <w:abstractNumId w:val="1"/>
  </w:num>
  <w:num w:numId="2" w16cid:durableId="902987675">
    <w:abstractNumId w:val="0"/>
  </w:num>
  <w:num w:numId="3" w16cid:durableId="1998145672">
    <w:abstractNumId w:val="3"/>
  </w:num>
  <w:num w:numId="4" w16cid:durableId="2053413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81"/>
    <w:rsid w:val="000050E0"/>
    <w:rsid w:val="000133AD"/>
    <w:rsid w:val="000201BB"/>
    <w:rsid w:val="00021C26"/>
    <w:rsid w:val="000604BF"/>
    <w:rsid w:val="00060E11"/>
    <w:rsid w:val="00084A31"/>
    <w:rsid w:val="00086921"/>
    <w:rsid w:val="000D0BE8"/>
    <w:rsid w:val="000D2611"/>
    <w:rsid w:val="000E46B3"/>
    <w:rsid w:val="000E6CBC"/>
    <w:rsid w:val="00103449"/>
    <w:rsid w:val="00121E3B"/>
    <w:rsid w:val="00124566"/>
    <w:rsid w:val="00137D27"/>
    <w:rsid w:val="001500C6"/>
    <w:rsid w:val="0016729B"/>
    <w:rsid w:val="0017596D"/>
    <w:rsid w:val="00193752"/>
    <w:rsid w:val="001D1BE8"/>
    <w:rsid w:val="001D4876"/>
    <w:rsid w:val="001E182E"/>
    <w:rsid w:val="002041B0"/>
    <w:rsid w:val="00207077"/>
    <w:rsid w:val="00222BE3"/>
    <w:rsid w:val="0023046D"/>
    <w:rsid w:val="0024365E"/>
    <w:rsid w:val="002459EE"/>
    <w:rsid w:val="002565C9"/>
    <w:rsid w:val="002653FC"/>
    <w:rsid w:val="00272F9E"/>
    <w:rsid w:val="0027306D"/>
    <w:rsid w:val="002B55F8"/>
    <w:rsid w:val="002B68D0"/>
    <w:rsid w:val="002E6BCC"/>
    <w:rsid w:val="002E6F85"/>
    <w:rsid w:val="002F5607"/>
    <w:rsid w:val="003017FB"/>
    <w:rsid w:val="00324848"/>
    <w:rsid w:val="00324AE6"/>
    <w:rsid w:val="00350729"/>
    <w:rsid w:val="0035077F"/>
    <w:rsid w:val="0036319E"/>
    <w:rsid w:val="00387C72"/>
    <w:rsid w:val="0039282A"/>
    <w:rsid w:val="003D2922"/>
    <w:rsid w:val="003D3344"/>
    <w:rsid w:val="003D4F1E"/>
    <w:rsid w:val="003D66E0"/>
    <w:rsid w:val="003E0EEF"/>
    <w:rsid w:val="003F3712"/>
    <w:rsid w:val="003F5B4D"/>
    <w:rsid w:val="003F63C0"/>
    <w:rsid w:val="00411467"/>
    <w:rsid w:val="004251CD"/>
    <w:rsid w:val="0042640A"/>
    <w:rsid w:val="0043152A"/>
    <w:rsid w:val="00443E80"/>
    <w:rsid w:val="00447FBA"/>
    <w:rsid w:val="00453456"/>
    <w:rsid w:val="00455C4F"/>
    <w:rsid w:val="00455FD1"/>
    <w:rsid w:val="00476654"/>
    <w:rsid w:val="004A2499"/>
    <w:rsid w:val="004D0717"/>
    <w:rsid w:val="004E69AB"/>
    <w:rsid w:val="004F5318"/>
    <w:rsid w:val="005011B9"/>
    <w:rsid w:val="0051642A"/>
    <w:rsid w:val="0053378A"/>
    <w:rsid w:val="00543D43"/>
    <w:rsid w:val="0056296D"/>
    <w:rsid w:val="00566D13"/>
    <w:rsid w:val="0057171B"/>
    <w:rsid w:val="00576D49"/>
    <w:rsid w:val="00584D5D"/>
    <w:rsid w:val="005C39E8"/>
    <w:rsid w:val="005D285D"/>
    <w:rsid w:val="005D4077"/>
    <w:rsid w:val="0062048C"/>
    <w:rsid w:val="0064347C"/>
    <w:rsid w:val="00644E9E"/>
    <w:rsid w:val="00664C23"/>
    <w:rsid w:val="00681988"/>
    <w:rsid w:val="006B4012"/>
    <w:rsid w:val="006D7517"/>
    <w:rsid w:val="00701933"/>
    <w:rsid w:val="00745AB9"/>
    <w:rsid w:val="00756438"/>
    <w:rsid w:val="00776E17"/>
    <w:rsid w:val="0078169B"/>
    <w:rsid w:val="007A5F08"/>
    <w:rsid w:val="00800517"/>
    <w:rsid w:val="0080353F"/>
    <w:rsid w:val="00832566"/>
    <w:rsid w:val="008335C9"/>
    <w:rsid w:val="0084707D"/>
    <w:rsid w:val="0087447B"/>
    <w:rsid w:val="008861B7"/>
    <w:rsid w:val="008A25A3"/>
    <w:rsid w:val="008B62AD"/>
    <w:rsid w:val="008D3D9B"/>
    <w:rsid w:val="00900F7E"/>
    <w:rsid w:val="00903474"/>
    <w:rsid w:val="0092093F"/>
    <w:rsid w:val="00955676"/>
    <w:rsid w:val="0096637F"/>
    <w:rsid w:val="009933CE"/>
    <w:rsid w:val="009C53B0"/>
    <w:rsid w:val="009C7817"/>
    <w:rsid w:val="009E63AF"/>
    <w:rsid w:val="00A00FE0"/>
    <w:rsid w:val="00A24343"/>
    <w:rsid w:val="00A571AD"/>
    <w:rsid w:val="00A803F6"/>
    <w:rsid w:val="00AB50AC"/>
    <w:rsid w:val="00AC6435"/>
    <w:rsid w:val="00AD32DE"/>
    <w:rsid w:val="00AF577E"/>
    <w:rsid w:val="00B05E6B"/>
    <w:rsid w:val="00B1753B"/>
    <w:rsid w:val="00B31482"/>
    <w:rsid w:val="00B35F2F"/>
    <w:rsid w:val="00B40690"/>
    <w:rsid w:val="00B52094"/>
    <w:rsid w:val="00B62FD2"/>
    <w:rsid w:val="00BD133D"/>
    <w:rsid w:val="00BF5718"/>
    <w:rsid w:val="00C14C65"/>
    <w:rsid w:val="00C243A1"/>
    <w:rsid w:val="00C32861"/>
    <w:rsid w:val="00C3394E"/>
    <w:rsid w:val="00C43A41"/>
    <w:rsid w:val="00C56786"/>
    <w:rsid w:val="00C767B8"/>
    <w:rsid w:val="00C81C59"/>
    <w:rsid w:val="00C87831"/>
    <w:rsid w:val="00C94134"/>
    <w:rsid w:val="00CB510F"/>
    <w:rsid w:val="00CD1C10"/>
    <w:rsid w:val="00CF141D"/>
    <w:rsid w:val="00CF1E14"/>
    <w:rsid w:val="00D32A1D"/>
    <w:rsid w:val="00D622B5"/>
    <w:rsid w:val="00D93057"/>
    <w:rsid w:val="00DB0634"/>
    <w:rsid w:val="00DB3134"/>
    <w:rsid w:val="00DD227E"/>
    <w:rsid w:val="00DF77EF"/>
    <w:rsid w:val="00E12EAC"/>
    <w:rsid w:val="00E220BF"/>
    <w:rsid w:val="00E72462"/>
    <w:rsid w:val="00E87CFD"/>
    <w:rsid w:val="00E96C4D"/>
    <w:rsid w:val="00EE5B81"/>
    <w:rsid w:val="00EF6125"/>
    <w:rsid w:val="00F14F18"/>
    <w:rsid w:val="00F379FD"/>
    <w:rsid w:val="00F65968"/>
    <w:rsid w:val="00F70C15"/>
    <w:rsid w:val="00F70E21"/>
    <w:rsid w:val="00F7374F"/>
    <w:rsid w:val="00F77284"/>
    <w:rsid w:val="00F77B68"/>
    <w:rsid w:val="00F965AD"/>
    <w:rsid w:val="00FA17A1"/>
    <w:rsid w:val="00FA7F02"/>
    <w:rsid w:val="00FC3EE9"/>
    <w:rsid w:val="00FD54C4"/>
    <w:rsid w:val="00FE1227"/>
    <w:rsid w:val="00FE17E2"/>
    <w:rsid w:val="00FE7B82"/>
    <w:rsid w:val="00FF0B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CE6C1E"/>
  <w15:chartTrackingRefBased/>
  <w15:docId w15:val="{D5954CDD-731F-40D6-83EA-C4DA382D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B81"/>
    <w:rPr>
      <w:rFonts w:eastAsiaTheme="majorEastAsia" w:cstheme="majorBidi"/>
      <w:color w:val="272727" w:themeColor="text1" w:themeTint="D8"/>
    </w:rPr>
  </w:style>
  <w:style w:type="paragraph" w:styleId="Title">
    <w:name w:val="Title"/>
    <w:basedOn w:val="Normal"/>
    <w:next w:val="Normal"/>
    <w:link w:val="TitleChar"/>
    <w:uiPriority w:val="10"/>
    <w:qFormat/>
    <w:rsid w:val="00EE5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B81"/>
    <w:pPr>
      <w:spacing w:before="160"/>
      <w:jc w:val="center"/>
    </w:pPr>
    <w:rPr>
      <w:i/>
      <w:iCs/>
      <w:color w:val="404040" w:themeColor="text1" w:themeTint="BF"/>
    </w:rPr>
  </w:style>
  <w:style w:type="character" w:customStyle="1" w:styleId="QuoteChar">
    <w:name w:val="Quote Char"/>
    <w:basedOn w:val="DefaultParagraphFont"/>
    <w:link w:val="Quote"/>
    <w:uiPriority w:val="29"/>
    <w:rsid w:val="00EE5B81"/>
    <w:rPr>
      <w:i/>
      <w:iCs/>
      <w:color w:val="404040" w:themeColor="text1" w:themeTint="BF"/>
    </w:rPr>
  </w:style>
  <w:style w:type="paragraph" w:styleId="ListParagraph">
    <w:name w:val="List Paragraph"/>
    <w:basedOn w:val="Normal"/>
    <w:uiPriority w:val="34"/>
    <w:qFormat/>
    <w:rsid w:val="00EE5B81"/>
    <w:pPr>
      <w:ind w:left="720"/>
      <w:contextualSpacing/>
    </w:pPr>
  </w:style>
  <w:style w:type="character" w:styleId="IntenseEmphasis">
    <w:name w:val="Intense Emphasis"/>
    <w:basedOn w:val="DefaultParagraphFont"/>
    <w:uiPriority w:val="21"/>
    <w:qFormat/>
    <w:rsid w:val="00EE5B81"/>
    <w:rPr>
      <w:i/>
      <w:iCs/>
      <w:color w:val="0F4761" w:themeColor="accent1" w:themeShade="BF"/>
    </w:rPr>
  </w:style>
  <w:style w:type="paragraph" w:styleId="IntenseQuote">
    <w:name w:val="Intense Quote"/>
    <w:basedOn w:val="Normal"/>
    <w:next w:val="Normal"/>
    <w:link w:val="IntenseQuoteChar"/>
    <w:uiPriority w:val="30"/>
    <w:qFormat/>
    <w:rsid w:val="00EE5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B81"/>
    <w:rPr>
      <w:i/>
      <w:iCs/>
      <w:color w:val="0F4761" w:themeColor="accent1" w:themeShade="BF"/>
    </w:rPr>
  </w:style>
  <w:style w:type="character" w:styleId="IntenseReference">
    <w:name w:val="Intense Reference"/>
    <w:basedOn w:val="DefaultParagraphFont"/>
    <w:uiPriority w:val="32"/>
    <w:qFormat/>
    <w:rsid w:val="00EE5B81"/>
    <w:rPr>
      <w:b/>
      <w:bCs/>
      <w:smallCaps/>
      <w:color w:val="0F4761" w:themeColor="accent1" w:themeShade="BF"/>
      <w:spacing w:val="5"/>
    </w:rPr>
  </w:style>
  <w:style w:type="paragraph" w:styleId="Header">
    <w:name w:val="header"/>
    <w:basedOn w:val="Normal"/>
    <w:link w:val="HeaderChar"/>
    <w:uiPriority w:val="99"/>
    <w:unhideWhenUsed/>
    <w:rsid w:val="00193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752"/>
  </w:style>
  <w:style w:type="paragraph" w:styleId="Footer">
    <w:name w:val="footer"/>
    <w:basedOn w:val="Normal"/>
    <w:link w:val="FooterChar"/>
    <w:uiPriority w:val="99"/>
    <w:unhideWhenUsed/>
    <w:rsid w:val="00193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752"/>
  </w:style>
  <w:style w:type="paragraph" w:customStyle="1" w:styleId="msonormal0">
    <w:name w:val="msonormal"/>
    <w:basedOn w:val="Normal"/>
    <w:rsid w:val="00F70C1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semiHidden/>
    <w:unhideWhenUsed/>
    <w:rsid w:val="00F70C1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tab-span">
    <w:name w:val="apple-tab-span"/>
    <w:basedOn w:val="DefaultParagraphFont"/>
    <w:rsid w:val="00F70C15"/>
  </w:style>
  <w:style w:type="character" w:styleId="Strong">
    <w:name w:val="Strong"/>
    <w:basedOn w:val="DefaultParagraphFont"/>
    <w:uiPriority w:val="22"/>
    <w:qFormat/>
    <w:rsid w:val="0024365E"/>
    <w:rPr>
      <w:b/>
      <w:bCs/>
    </w:rPr>
  </w:style>
  <w:style w:type="table" w:styleId="LightGrid-Accent1">
    <w:name w:val="Light Grid Accent 1"/>
    <w:basedOn w:val="TableNormal"/>
    <w:uiPriority w:val="62"/>
    <w:rsid w:val="00903474"/>
    <w:pPr>
      <w:spacing w:after="0" w:line="240" w:lineRule="auto"/>
    </w:pPr>
    <w:rPr>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88740-4C53-4EB3-8DF3-E565284F2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15961</Words>
  <Characters>92101</Characters>
  <Application>Microsoft Office Word</Application>
  <DocSecurity>0</DocSecurity>
  <Lines>2631</Lines>
  <Paragraphs>1831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122</cp:revision>
  <dcterms:created xsi:type="dcterms:W3CDTF">2025-11-01T15:42:00Z</dcterms:created>
  <dcterms:modified xsi:type="dcterms:W3CDTF">2026-02-22T10:54:00Z</dcterms:modified>
</cp:coreProperties>
</file>