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Legal Structure of the Business</w:t>
      </w:r>
    </w:p>
    <w:p>
      <w:pPr>
        <w:pStyle w:val="Heading2"/>
      </w:pPr>
      <w:r>
        <w:t>Chosen Structure: Private Limited Company (Ltd) – Limited by Shares</w:t>
      </w:r>
    </w:p>
    <w:p>
      <w:r>
        <w:t>PowerGrip Wrestling &amp; Fitness Academy will be registered as a Private Limited Company (Ltd). This structure is chosen because it offers limited liability protection, meaning the personal assets of the owners are safe if the business faces financial difficulties.</w:t>
        <w:br/>
        <w:br/>
        <w:t>Being a Private Limited Company also makes it easier to raise investment from partners or sponsors, while keeping control within a small group of directors. It gives the business a professional image, which helps build trust with clients, athletes, and the local community.</w:t>
        <w:br/>
        <w:br/>
        <w:t>This structure also supports future growth, allowing the academy to expand to new locations or offer franchise opportunities while maintaining financial stability and legal protection.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