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9F038" w14:textId="3F03D7CB" w:rsidR="003F474F" w:rsidRDefault="00A11DE9" w:rsidP="00A11DE9">
      <w:r>
        <w:rPr>
          <w:noProof/>
        </w:rPr>
        <w:drawing>
          <wp:inline distT="0" distB="0" distL="0" distR="0" wp14:anchorId="6365AB22" wp14:editId="39D8BFAD">
            <wp:extent cx="1993900" cy="78421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2773" cy="787702"/>
                    </a:xfrm>
                    <a:prstGeom prst="rect">
                      <a:avLst/>
                    </a:prstGeom>
                    <a:noFill/>
                  </pic:spPr>
                </pic:pic>
              </a:graphicData>
            </a:graphic>
          </wp:inline>
        </w:drawing>
      </w:r>
    </w:p>
    <w:p w14:paraId="2265FCF1" w14:textId="081D31A3" w:rsidR="00A11DE9" w:rsidRPr="00AE6C1E" w:rsidRDefault="00A11DE9" w:rsidP="00A11DE9">
      <w:pPr>
        <w:jc w:val="center"/>
        <w:rPr>
          <w:b/>
          <w:sz w:val="32"/>
          <w:szCs w:val="32"/>
        </w:rPr>
      </w:pPr>
      <w:r w:rsidRPr="00AE6C1E">
        <w:rPr>
          <w:b/>
          <w:sz w:val="32"/>
          <w:szCs w:val="32"/>
        </w:rPr>
        <w:t>BMMB7005</w:t>
      </w:r>
    </w:p>
    <w:p w14:paraId="411E94DF" w14:textId="77E0B56C" w:rsidR="00A11DE9" w:rsidRPr="00AE6C1E" w:rsidRDefault="00A11DE9" w:rsidP="00A11DE9">
      <w:pPr>
        <w:jc w:val="center"/>
        <w:rPr>
          <w:b/>
          <w:sz w:val="32"/>
          <w:szCs w:val="32"/>
        </w:rPr>
      </w:pPr>
      <w:r w:rsidRPr="00AE6C1E">
        <w:rPr>
          <w:b/>
          <w:sz w:val="32"/>
          <w:szCs w:val="32"/>
        </w:rPr>
        <w:t>LEVEL 7</w:t>
      </w:r>
    </w:p>
    <w:p w14:paraId="15AB516C" w14:textId="7CF73EB3" w:rsidR="00A11DE9" w:rsidRPr="00AE6C1E" w:rsidRDefault="00A11DE9" w:rsidP="00A11DE9">
      <w:pPr>
        <w:jc w:val="center"/>
        <w:rPr>
          <w:b/>
          <w:sz w:val="32"/>
          <w:szCs w:val="32"/>
        </w:rPr>
      </w:pPr>
      <w:r w:rsidRPr="00AE6C1E">
        <w:rPr>
          <w:b/>
          <w:sz w:val="32"/>
          <w:szCs w:val="32"/>
        </w:rPr>
        <w:t>SCHOOL OF BUSINESS</w:t>
      </w:r>
    </w:p>
    <w:p w14:paraId="2B28627F" w14:textId="7D5793B8" w:rsidR="00A11DE9" w:rsidRPr="00AE6C1E" w:rsidRDefault="00A11DE9" w:rsidP="00A11DE9">
      <w:pPr>
        <w:jc w:val="center"/>
        <w:rPr>
          <w:b/>
          <w:sz w:val="32"/>
          <w:szCs w:val="32"/>
        </w:rPr>
      </w:pPr>
      <w:r w:rsidRPr="00AE6C1E">
        <w:rPr>
          <w:b/>
          <w:sz w:val="32"/>
          <w:szCs w:val="32"/>
        </w:rPr>
        <w:t>FACULTY OF BUSINESS AND MANAGEMENT</w:t>
      </w:r>
    </w:p>
    <w:p w14:paraId="7D0155DF" w14:textId="3FFA8D93" w:rsidR="00AE6C1E" w:rsidRPr="00AE6C1E" w:rsidRDefault="00AE6C1E" w:rsidP="00AE6C1E">
      <w:pPr>
        <w:jc w:val="center"/>
        <w:rPr>
          <w:b/>
          <w:sz w:val="32"/>
          <w:szCs w:val="32"/>
        </w:rPr>
      </w:pPr>
      <w:r w:rsidRPr="00AE6C1E">
        <w:rPr>
          <w:b/>
          <w:sz w:val="32"/>
          <w:szCs w:val="32"/>
        </w:rPr>
        <w:t>Title of the Assignment: Westward Plc</w:t>
      </w:r>
    </w:p>
    <w:p w14:paraId="53138332" w14:textId="77777777" w:rsidR="00AE6C1E" w:rsidRPr="00AE6C1E" w:rsidRDefault="00A11DE9" w:rsidP="00AE6C1E">
      <w:pPr>
        <w:jc w:val="center"/>
        <w:rPr>
          <w:b/>
          <w:sz w:val="32"/>
          <w:szCs w:val="32"/>
        </w:rPr>
      </w:pPr>
      <w:r w:rsidRPr="00AE6C1E">
        <w:rPr>
          <w:b/>
          <w:sz w:val="32"/>
          <w:szCs w:val="32"/>
        </w:rPr>
        <w:t>Semester 1 – 2025-206</w:t>
      </w:r>
    </w:p>
    <w:p w14:paraId="541CBB75" w14:textId="77777777" w:rsidR="00AE6C1E" w:rsidRDefault="00AE6C1E" w:rsidP="00AE6C1E">
      <w:pPr>
        <w:jc w:val="center"/>
        <w:rPr>
          <w:b/>
          <w:bCs/>
          <w:sz w:val="32"/>
          <w:szCs w:val="28"/>
        </w:rPr>
      </w:pPr>
    </w:p>
    <w:p w14:paraId="09D792D0" w14:textId="2E9CE57D" w:rsidR="00AE6C1E" w:rsidRPr="00AE6C1E" w:rsidRDefault="00AE6C1E" w:rsidP="00AE6C1E">
      <w:pPr>
        <w:jc w:val="center"/>
        <w:rPr>
          <w:b/>
          <w:sz w:val="28"/>
        </w:rPr>
      </w:pPr>
      <w:r>
        <w:rPr>
          <w:b/>
          <w:bCs/>
          <w:sz w:val="32"/>
          <w:szCs w:val="28"/>
        </w:rPr>
        <w:t>Submitted by:</w:t>
      </w:r>
    </w:p>
    <w:p w14:paraId="2E27E0A6" w14:textId="77777777" w:rsidR="00AE6C1E" w:rsidRDefault="00AE6C1E" w:rsidP="00AE6C1E">
      <w:pPr>
        <w:spacing w:before="0" w:after="0"/>
        <w:jc w:val="center"/>
        <w:rPr>
          <w:sz w:val="28"/>
          <w:szCs w:val="28"/>
        </w:rPr>
      </w:pPr>
      <w:r w:rsidRPr="00BD002A">
        <w:rPr>
          <w:sz w:val="28"/>
          <w:szCs w:val="28"/>
        </w:rPr>
        <w:t>Md Sakib Ahmed</w:t>
      </w:r>
    </w:p>
    <w:p w14:paraId="26A6D990" w14:textId="5879A339" w:rsidR="00AE6C1E" w:rsidRPr="00A11DE9" w:rsidRDefault="00AE6C1E" w:rsidP="00AE6C1E">
      <w:pPr>
        <w:jc w:val="center"/>
        <w:rPr>
          <w:b/>
          <w:sz w:val="28"/>
        </w:rPr>
      </w:pPr>
      <w:r w:rsidRPr="00BD002A">
        <w:rPr>
          <w:sz w:val="28"/>
          <w:szCs w:val="28"/>
        </w:rPr>
        <w:t xml:space="preserve">Student </w:t>
      </w:r>
      <w:r>
        <w:rPr>
          <w:sz w:val="28"/>
          <w:szCs w:val="28"/>
        </w:rPr>
        <w:t>ID</w:t>
      </w:r>
      <w:r w:rsidRPr="00BD002A">
        <w:rPr>
          <w:sz w:val="28"/>
          <w:szCs w:val="28"/>
        </w:rPr>
        <w:t>:25037</w:t>
      </w:r>
      <w:r>
        <w:rPr>
          <w:sz w:val="28"/>
          <w:szCs w:val="28"/>
        </w:rPr>
        <w:t>67</w:t>
      </w:r>
    </w:p>
    <w:p w14:paraId="659F1184" w14:textId="4AAF127B" w:rsidR="00BA1A48" w:rsidRDefault="00A11DE9" w:rsidP="005D6E41">
      <w:r>
        <w:br w:type="page"/>
      </w:r>
    </w:p>
    <w:p w14:paraId="4C001F61" w14:textId="5D74CBE4" w:rsidR="005D6E41" w:rsidRDefault="005D6E41" w:rsidP="005D6E41">
      <w:pPr>
        <w:pStyle w:val="Heading1"/>
        <w:jc w:val="center"/>
      </w:pPr>
      <w:bookmarkStart w:id="0" w:name="_Toc223729974"/>
      <w:r>
        <w:lastRenderedPageBreak/>
        <w:t>Executive Summary</w:t>
      </w:r>
      <w:bookmarkEnd w:id="0"/>
    </w:p>
    <w:p w14:paraId="0D4EA45B" w14:textId="3EA51F5A" w:rsidR="005D6E41" w:rsidRDefault="005D6E41" w:rsidP="005D6E41">
      <w:r>
        <w:t>This report is an assessment of the financial performance and investment choice of Tesco PLC and Westward Plc. Profitability, liquidity, efficiency and gearing were measured by the financial ratio analysis. The findings indicate Tesco has a stable profitability and operational efficiency despite its low-margin and a very competitive retail environment in which it operates. Nonetheless, the liquidity ratios are low because of the type of the grocery business. The report also analyses three investment opportunities to Westward Plc available to the company using NPV and IRR technique. It is analysed that the internet sales project has the greatest shareholder value. The research finds that sound financial analysis and investment appraisal are useful in making informed decisions and long-term financial sustainability.</w:t>
      </w:r>
    </w:p>
    <w:p w14:paraId="5FB0970F" w14:textId="77777777" w:rsidR="005D6E41" w:rsidRDefault="005D6E41">
      <w:r>
        <w:br w:type="page"/>
      </w:r>
    </w:p>
    <w:sdt>
      <w:sdtPr>
        <w:rPr>
          <w:rFonts w:ascii="Arial" w:eastAsiaTheme="minorHAnsi" w:hAnsi="Arial" w:cstheme="minorBidi"/>
          <w:color w:val="auto"/>
          <w:sz w:val="22"/>
          <w:szCs w:val="24"/>
          <w:lang w:val="en-GB"/>
        </w:rPr>
        <w:id w:val="-1689289775"/>
        <w:docPartObj>
          <w:docPartGallery w:val="Table of Contents"/>
          <w:docPartUnique/>
        </w:docPartObj>
      </w:sdtPr>
      <w:sdtEndPr>
        <w:rPr>
          <w:b/>
          <w:bCs/>
          <w:noProof/>
        </w:rPr>
      </w:sdtEndPr>
      <w:sdtContent>
        <w:p w14:paraId="251CF590" w14:textId="7F9D3930" w:rsidR="005D6E41" w:rsidRPr="005D6E41" w:rsidRDefault="005D6E41" w:rsidP="005D6E41">
          <w:pPr>
            <w:pStyle w:val="TOCHeading"/>
            <w:jc w:val="center"/>
            <w:rPr>
              <w:rFonts w:ascii="Arial" w:hAnsi="Arial" w:cs="Arial"/>
              <w:b/>
              <w:bCs/>
              <w:color w:val="000000" w:themeColor="text1"/>
            </w:rPr>
          </w:pPr>
          <w:r w:rsidRPr="005D6E41">
            <w:rPr>
              <w:rFonts w:ascii="Arial" w:hAnsi="Arial" w:cs="Arial"/>
              <w:b/>
              <w:bCs/>
              <w:color w:val="000000" w:themeColor="text1"/>
            </w:rPr>
            <w:t>Table of Contents</w:t>
          </w:r>
        </w:p>
        <w:p w14:paraId="3A0F9BCD" w14:textId="78D13134" w:rsidR="005D6E41" w:rsidRDefault="005D6E41">
          <w:pPr>
            <w:pStyle w:val="TOC1"/>
            <w:tabs>
              <w:tab w:val="right" w:leader="dot" w:pos="9350"/>
            </w:tabs>
            <w:rPr>
              <w:rFonts w:asciiTheme="minorHAnsi" w:eastAsiaTheme="minorEastAsia" w:hAnsiTheme="minorHAnsi"/>
              <w:noProof/>
              <w:szCs w:val="22"/>
              <w:lang w:eastAsia="en-GB"/>
            </w:rPr>
          </w:pPr>
          <w:r>
            <w:fldChar w:fldCharType="begin"/>
          </w:r>
          <w:r>
            <w:instrText xml:space="preserve"> TOC \o "1-3" \h \z \u </w:instrText>
          </w:r>
          <w:r>
            <w:fldChar w:fldCharType="separate"/>
          </w:r>
          <w:hyperlink w:anchor="_Toc223729974" w:history="1">
            <w:r w:rsidRPr="0001602B">
              <w:rPr>
                <w:rStyle w:val="Hyperlink"/>
                <w:noProof/>
              </w:rPr>
              <w:t>Executive Summary</w:t>
            </w:r>
            <w:r>
              <w:rPr>
                <w:noProof/>
                <w:webHidden/>
              </w:rPr>
              <w:tab/>
            </w:r>
            <w:r>
              <w:rPr>
                <w:noProof/>
                <w:webHidden/>
              </w:rPr>
              <w:fldChar w:fldCharType="begin"/>
            </w:r>
            <w:r>
              <w:rPr>
                <w:noProof/>
                <w:webHidden/>
              </w:rPr>
              <w:instrText xml:space="preserve"> PAGEREF _Toc223729974 \h </w:instrText>
            </w:r>
            <w:r>
              <w:rPr>
                <w:noProof/>
                <w:webHidden/>
              </w:rPr>
            </w:r>
            <w:r>
              <w:rPr>
                <w:noProof/>
                <w:webHidden/>
              </w:rPr>
              <w:fldChar w:fldCharType="separate"/>
            </w:r>
            <w:r>
              <w:rPr>
                <w:noProof/>
                <w:webHidden/>
              </w:rPr>
              <w:t>2</w:t>
            </w:r>
            <w:r>
              <w:rPr>
                <w:noProof/>
                <w:webHidden/>
              </w:rPr>
              <w:fldChar w:fldCharType="end"/>
            </w:r>
          </w:hyperlink>
        </w:p>
        <w:p w14:paraId="03D8DAA6" w14:textId="6310BF85" w:rsidR="005D6E41" w:rsidRDefault="005D6E41">
          <w:pPr>
            <w:pStyle w:val="TOC1"/>
            <w:tabs>
              <w:tab w:val="right" w:leader="dot" w:pos="9350"/>
            </w:tabs>
            <w:rPr>
              <w:rFonts w:asciiTheme="minorHAnsi" w:eastAsiaTheme="minorEastAsia" w:hAnsiTheme="minorHAnsi"/>
              <w:noProof/>
              <w:szCs w:val="22"/>
              <w:lang w:eastAsia="en-GB"/>
            </w:rPr>
          </w:pPr>
          <w:hyperlink w:anchor="_Toc223729975" w:history="1">
            <w:r w:rsidRPr="0001602B">
              <w:rPr>
                <w:rStyle w:val="Hyperlink"/>
                <w:noProof/>
              </w:rPr>
              <w:t>PART 1 – Report Tesco Plc</w:t>
            </w:r>
            <w:r>
              <w:rPr>
                <w:noProof/>
                <w:webHidden/>
              </w:rPr>
              <w:tab/>
            </w:r>
            <w:r>
              <w:rPr>
                <w:noProof/>
                <w:webHidden/>
              </w:rPr>
              <w:fldChar w:fldCharType="begin"/>
            </w:r>
            <w:r>
              <w:rPr>
                <w:noProof/>
                <w:webHidden/>
              </w:rPr>
              <w:instrText xml:space="preserve"> PAGEREF _Toc223729975 \h </w:instrText>
            </w:r>
            <w:r>
              <w:rPr>
                <w:noProof/>
                <w:webHidden/>
              </w:rPr>
            </w:r>
            <w:r>
              <w:rPr>
                <w:noProof/>
                <w:webHidden/>
              </w:rPr>
              <w:fldChar w:fldCharType="separate"/>
            </w:r>
            <w:r>
              <w:rPr>
                <w:noProof/>
                <w:webHidden/>
              </w:rPr>
              <w:t>4</w:t>
            </w:r>
            <w:r>
              <w:rPr>
                <w:noProof/>
                <w:webHidden/>
              </w:rPr>
              <w:fldChar w:fldCharType="end"/>
            </w:r>
          </w:hyperlink>
        </w:p>
        <w:p w14:paraId="3148B73F" w14:textId="0214E033" w:rsidR="005D6E41" w:rsidRDefault="005D6E41">
          <w:pPr>
            <w:pStyle w:val="TOC2"/>
            <w:tabs>
              <w:tab w:val="right" w:leader="dot" w:pos="9350"/>
            </w:tabs>
            <w:rPr>
              <w:rFonts w:asciiTheme="minorHAnsi" w:eastAsiaTheme="minorEastAsia" w:hAnsiTheme="minorHAnsi"/>
              <w:noProof/>
              <w:szCs w:val="22"/>
              <w:lang w:eastAsia="en-GB"/>
            </w:rPr>
          </w:pPr>
          <w:hyperlink w:anchor="_Toc223729976" w:history="1">
            <w:r w:rsidRPr="0001602B">
              <w:rPr>
                <w:rStyle w:val="Hyperlink"/>
                <w:noProof/>
              </w:rPr>
              <w:t>1.1 Introduction</w:t>
            </w:r>
            <w:r>
              <w:rPr>
                <w:noProof/>
                <w:webHidden/>
              </w:rPr>
              <w:tab/>
            </w:r>
            <w:r>
              <w:rPr>
                <w:noProof/>
                <w:webHidden/>
              </w:rPr>
              <w:fldChar w:fldCharType="begin"/>
            </w:r>
            <w:r>
              <w:rPr>
                <w:noProof/>
                <w:webHidden/>
              </w:rPr>
              <w:instrText xml:space="preserve"> PAGEREF _Toc223729976 \h </w:instrText>
            </w:r>
            <w:r>
              <w:rPr>
                <w:noProof/>
                <w:webHidden/>
              </w:rPr>
            </w:r>
            <w:r>
              <w:rPr>
                <w:noProof/>
                <w:webHidden/>
              </w:rPr>
              <w:fldChar w:fldCharType="separate"/>
            </w:r>
            <w:r>
              <w:rPr>
                <w:noProof/>
                <w:webHidden/>
              </w:rPr>
              <w:t>4</w:t>
            </w:r>
            <w:r>
              <w:rPr>
                <w:noProof/>
                <w:webHidden/>
              </w:rPr>
              <w:fldChar w:fldCharType="end"/>
            </w:r>
          </w:hyperlink>
        </w:p>
        <w:p w14:paraId="4DAAB46B" w14:textId="5D86D23A" w:rsidR="005D6E41" w:rsidRDefault="005D6E41">
          <w:pPr>
            <w:pStyle w:val="TOC2"/>
            <w:tabs>
              <w:tab w:val="right" w:leader="dot" w:pos="9350"/>
            </w:tabs>
            <w:rPr>
              <w:rFonts w:asciiTheme="minorHAnsi" w:eastAsiaTheme="minorEastAsia" w:hAnsiTheme="minorHAnsi"/>
              <w:noProof/>
              <w:szCs w:val="22"/>
              <w:lang w:eastAsia="en-GB"/>
            </w:rPr>
          </w:pPr>
          <w:hyperlink w:anchor="_Toc223729977" w:history="1">
            <w:r w:rsidRPr="0001602B">
              <w:rPr>
                <w:rStyle w:val="Hyperlink"/>
                <w:noProof/>
              </w:rPr>
              <w:t>1.2 Main Findings</w:t>
            </w:r>
            <w:r>
              <w:rPr>
                <w:noProof/>
                <w:webHidden/>
              </w:rPr>
              <w:tab/>
            </w:r>
            <w:r>
              <w:rPr>
                <w:noProof/>
                <w:webHidden/>
              </w:rPr>
              <w:fldChar w:fldCharType="begin"/>
            </w:r>
            <w:r>
              <w:rPr>
                <w:noProof/>
                <w:webHidden/>
              </w:rPr>
              <w:instrText xml:space="preserve"> PAGEREF _Toc223729977 \h </w:instrText>
            </w:r>
            <w:r>
              <w:rPr>
                <w:noProof/>
                <w:webHidden/>
              </w:rPr>
            </w:r>
            <w:r>
              <w:rPr>
                <w:noProof/>
                <w:webHidden/>
              </w:rPr>
              <w:fldChar w:fldCharType="separate"/>
            </w:r>
            <w:r>
              <w:rPr>
                <w:noProof/>
                <w:webHidden/>
              </w:rPr>
              <w:t>5</w:t>
            </w:r>
            <w:r>
              <w:rPr>
                <w:noProof/>
                <w:webHidden/>
              </w:rPr>
              <w:fldChar w:fldCharType="end"/>
            </w:r>
          </w:hyperlink>
        </w:p>
        <w:p w14:paraId="28D8401E" w14:textId="3C129B1F" w:rsidR="005D6E41" w:rsidRDefault="005D6E41">
          <w:pPr>
            <w:pStyle w:val="TOC3"/>
            <w:tabs>
              <w:tab w:val="right" w:leader="dot" w:pos="9350"/>
            </w:tabs>
            <w:rPr>
              <w:rFonts w:asciiTheme="minorHAnsi" w:eastAsiaTheme="minorEastAsia" w:hAnsiTheme="minorHAnsi"/>
              <w:noProof/>
              <w:szCs w:val="22"/>
              <w:lang w:eastAsia="en-GB"/>
            </w:rPr>
          </w:pPr>
          <w:hyperlink w:anchor="_Toc223729978" w:history="1">
            <w:r w:rsidRPr="0001602B">
              <w:rPr>
                <w:rStyle w:val="Hyperlink"/>
                <w:noProof/>
              </w:rPr>
              <w:t>1.2.1 Financial ratio calculations</w:t>
            </w:r>
            <w:r>
              <w:rPr>
                <w:noProof/>
                <w:webHidden/>
              </w:rPr>
              <w:tab/>
            </w:r>
            <w:r>
              <w:rPr>
                <w:noProof/>
                <w:webHidden/>
              </w:rPr>
              <w:fldChar w:fldCharType="begin"/>
            </w:r>
            <w:r>
              <w:rPr>
                <w:noProof/>
                <w:webHidden/>
              </w:rPr>
              <w:instrText xml:space="preserve"> PAGEREF _Toc223729978 \h </w:instrText>
            </w:r>
            <w:r>
              <w:rPr>
                <w:noProof/>
                <w:webHidden/>
              </w:rPr>
            </w:r>
            <w:r>
              <w:rPr>
                <w:noProof/>
                <w:webHidden/>
              </w:rPr>
              <w:fldChar w:fldCharType="separate"/>
            </w:r>
            <w:r>
              <w:rPr>
                <w:noProof/>
                <w:webHidden/>
              </w:rPr>
              <w:t>5</w:t>
            </w:r>
            <w:r>
              <w:rPr>
                <w:noProof/>
                <w:webHidden/>
              </w:rPr>
              <w:fldChar w:fldCharType="end"/>
            </w:r>
          </w:hyperlink>
        </w:p>
        <w:p w14:paraId="0B20912C" w14:textId="31785833" w:rsidR="005D6E41" w:rsidRDefault="005D6E41">
          <w:pPr>
            <w:pStyle w:val="TOC2"/>
            <w:tabs>
              <w:tab w:val="right" w:leader="dot" w:pos="9350"/>
            </w:tabs>
            <w:rPr>
              <w:rFonts w:asciiTheme="minorHAnsi" w:eastAsiaTheme="minorEastAsia" w:hAnsiTheme="minorHAnsi"/>
              <w:noProof/>
              <w:szCs w:val="22"/>
              <w:lang w:eastAsia="en-GB"/>
            </w:rPr>
          </w:pPr>
          <w:hyperlink w:anchor="_Toc223729979" w:history="1">
            <w:r w:rsidRPr="0001602B">
              <w:rPr>
                <w:rStyle w:val="Hyperlink"/>
                <w:noProof/>
              </w:rPr>
              <w:t>1.3 Critical evaluation of ratio movements</w:t>
            </w:r>
            <w:r>
              <w:rPr>
                <w:noProof/>
                <w:webHidden/>
              </w:rPr>
              <w:tab/>
            </w:r>
            <w:r>
              <w:rPr>
                <w:noProof/>
                <w:webHidden/>
              </w:rPr>
              <w:fldChar w:fldCharType="begin"/>
            </w:r>
            <w:r>
              <w:rPr>
                <w:noProof/>
                <w:webHidden/>
              </w:rPr>
              <w:instrText xml:space="preserve"> PAGEREF _Toc223729979 \h </w:instrText>
            </w:r>
            <w:r>
              <w:rPr>
                <w:noProof/>
                <w:webHidden/>
              </w:rPr>
            </w:r>
            <w:r>
              <w:rPr>
                <w:noProof/>
                <w:webHidden/>
              </w:rPr>
              <w:fldChar w:fldCharType="separate"/>
            </w:r>
            <w:r>
              <w:rPr>
                <w:noProof/>
                <w:webHidden/>
              </w:rPr>
              <w:t>12</w:t>
            </w:r>
            <w:r>
              <w:rPr>
                <w:noProof/>
                <w:webHidden/>
              </w:rPr>
              <w:fldChar w:fldCharType="end"/>
            </w:r>
          </w:hyperlink>
        </w:p>
        <w:p w14:paraId="7B6E0964" w14:textId="0BB2F083" w:rsidR="005D6E41" w:rsidRDefault="005D6E41">
          <w:pPr>
            <w:pStyle w:val="TOC3"/>
            <w:tabs>
              <w:tab w:val="right" w:leader="dot" w:pos="9350"/>
            </w:tabs>
            <w:rPr>
              <w:rFonts w:asciiTheme="minorHAnsi" w:eastAsiaTheme="minorEastAsia" w:hAnsiTheme="minorHAnsi"/>
              <w:noProof/>
              <w:szCs w:val="22"/>
              <w:lang w:eastAsia="en-GB"/>
            </w:rPr>
          </w:pPr>
          <w:hyperlink w:anchor="_Toc223729980" w:history="1">
            <w:r w:rsidRPr="0001602B">
              <w:rPr>
                <w:rStyle w:val="Hyperlink"/>
                <w:noProof/>
              </w:rPr>
              <w:t>1.3.1 Profitability</w:t>
            </w:r>
            <w:r>
              <w:rPr>
                <w:noProof/>
                <w:webHidden/>
              </w:rPr>
              <w:tab/>
            </w:r>
            <w:r>
              <w:rPr>
                <w:noProof/>
                <w:webHidden/>
              </w:rPr>
              <w:fldChar w:fldCharType="begin"/>
            </w:r>
            <w:r>
              <w:rPr>
                <w:noProof/>
                <w:webHidden/>
              </w:rPr>
              <w:instrText xml:space="preserve"> PAGEREF _Toc223729980 \h </w:instrText>
            </w:r>
            <w:r>
              <w:rPr>
                <w:noProof/>
                <w:webHidden/>
              </w:rPr>
            </w:r>
            <w:r>
              <w:rPr>
                <w:noProof/>
                <w:webHidden/>
              </w:rPr>
              <w:fldChar w:fldCharType="separate"/>
            </w:r>
            <w:r>
              <w:rPr>
                <w:noProof/>
                <w:webHidden/>
              </w:rPr>
              <w:t>12</w:t>
            </w:r>
            <w:r>
              <w:rPr>
                <w:noProof/>
                <w:webHidden/>
              </w:rPr>
              <w:fldChar w:fldCharType="end"/>
            </w:r>
          </w:hyperlink>
        </w:p>
        <w:p w14:paraId="476B3B50" w14:textId="64FAF92F" w:rsidR="005D6E41" w:rsidRDefault="005D6E41">
          <w:pPr>
            <w:pStyle w:val="TOC3"/>
            <w:tabs>
              <w:tab w:val="right" w:leader="dot" w:pos="9350"/>
            </w:tabs>
            <w:rPr>
              <w:rFonts w:asciiTheme="minorHAnsi" w:eastAsiaTheme="minorEastAsia" w:hAnsiTheme="minorHAnsi"/>
              <w:noProof/>
              <w:szCs w:val="22"/>
              <w:lang w:eastAsia="en-GB"/>
            </w:rPr>
          </w:pPr>
          <w:hyperlink w:anchor="_Toc223729981" w:history="1">
            <w:r w:rsidRPr="0001602B">
              <w:rPr>
                <w:rStyle w:val="Hyperlink"/>
                <w:noProof/>
              </w:rPr>
              <w:t>1.3.2 Liquidity</w:t>
            </w:r>
            <w:r>
              <w:rPr>
                <w:noProof/>
                <w:webHidden/>
              </w:rPr>
              <w:tab/>
            </w:r>
            <w:r>
              <w:rPr>
                <w:noProof/>
                <w:webHidden/>
              </w:rPr>
              <w:fldChar w:fldCharType="begin"/>
            </w:r>
            <w:r>
              <w:rPr>
                <w:noProof/>
                <w:webHidden/>
              </w:rPr>
              <w:instrText xml:space="preserve"> PAGEREF _Toc223729981 \h </w:instrText>
            </w:r>
            <w:r>
              <w:rPr>
                <w:noProof/>
                <w:webHidden/>
              </w:rPr>
            </w:r>
            <w:r>
              <w:rPr>
                <w:noProof/>
                <w:webHidden/>
              </w:rPr>
              <w:fldChar w:fldCharType="separate"/>
            </w:r>
            <w:r>
              <w:rPr>
                <w:noProof/>
                <w:webHidden/>
              </w:rPr>
              <w:t>13</w:t>
            </w:r>
            <w:r>
              <w:rPr>
                <w:noProof/>
                <w:webHidden/>
              </w:rPr>
              <w:fldChar w:fldCharType="end"/>
            </w:r>
          </w:hyperlink>
        </w:p>
        <w:p w14:paraId="77CF3ACF" w14:textId="0C9D3F70" w:rsidR="005D6E41" w:rsidRDefault="005D6E41">
          <w:pPr>
            <w:pStyle w:val="TOC3"/>
            <w:tabs>
              <w:tab w:val="right" w:leader="dot" w:pos="9350"/>
            </w:tabs>
            <w:rPr>
              <w:rFonts w:asciiTheme="minorHAnsi" w:eastAsiaTheme="minorEastAsia" w:hAnsiTheme="minorHAnsi"/>
              <w:noProof/>
              <w:szCs w:val="22"/>
              <w:lang w:eastAsia="en-GB"/>
            </w:rPr>
          </w:pPr>
          <w:hyperlink w:anchor="_Toc223729982" w:history="1">
            <w:r w:rsidRPr="0001602B">
              <w:rPr>
                <w:rStyle w:val="Hyperlink"/>
                <w:noProof/>
              </w:rPr>
              <w:t>1.4.3 Efficiency</w:t>
            </w:r>
            <w:r>
              <w:rPr>
                <w:noProof/>
                <w:webHidden/>
              </w:rPr>
              <w:tab/>
            </w:r>
            <w:r>
              <w:rPr>
                <w:noProof/>
                <w:webHidden/>
              </w:rPr>
              <w:fldChar w:fldCharType="begin"/>
            </w:r>
            <w:r>
              <w:rPr>
                <w:noProof/>
                <w:webHidden/>
              </w:rPr>
              <w:instrText xml:space="preserve"> PAGEREF _Toc223729982 \h </w:instrText>
            </w:r>
            <w:r>
              <w:rPr>
                <w:noProof/>
                <w:webHidden/>
              </w:rPr>
            </w:r>
            <w:r>
              <w:rPr>
                <w:noProof/>
                <w:webHidden/>
              </w:rPr>
              <w:fldChar w:fldCharType="separate"/>
            </w:r>
            <w:r>
              <w:rPr>
                <w:noProof/>
                <w:webHidden/>
              </w:rPr>
              <w:t>13</w:t>
            </w:r>
            <w:r>
              <w:rPr>
                <w:noProof/>
                <w:webHidden/>
              </w:rPr>
              <w:fldChar w:fldCharType="end"/>
            </w:r>
          </w:hyperlink>
        </w:p>
        <w:p w14:paraId="641013BA" w14:textId="5FCDA1ED" w:rsidR="005D6E41" w:rsidRDefault="005D6E41">
          <w:pPr>
            <w:pStyle w:val="TOC3"/>
            <w:tabs>
              <w:tab w:val="right" w:leader="dot" w:pos="9350"/>
            </w:tabs>
            <w:rPr>
              <w:rFonts w:asciiTheme="minorHAnsi" w:eastAsiaTheme="minorEastAsia" w:hAnsiTheme="minorHAnsi"/>
              <w:noProof/>
              <w:szCs w:val="22"/>
              <w:lang w:eastAsia="en-GB"/>
            </w:rPr>
          </w:pPr>
          <w:hyperlink w:anchor="_Toc223729983" w:history="1">
            <w:r w:rsidRPr="0001602B">
              <w:rPr>
                <w:rStyle w:val="Hyperlink"/>
                <w:noProof/>
              </w:rPr>
              <w:t>1.3.4 Gearing</w:t>
            </w:r>
            <w:r>
              <w:rPr>
                <w:noProof/>
                <w:webHidden/>
              </w:rPr>
              <w:tab/>
            </w:r>
            <w:r>
              <w:rPr>
                <w:noProof/>
                <w:webHidden/>
              </w:rPr>
              <w:fldChar w:fldCharType="begin"/>
            </w:r>
            <w:r>
              <w:rPr>
                <w:noProof/>
                <w:webHidden/>
              </w:rPr>
              <w:instrText xml:space="preserve"> PAGEREF _Toc223729983 \h </w:instrText>
            </w:r>
            <w:r>
              <w:rPr>
                <w:noProof/>
                <w:webHidden/>
              </w:rPr>
            </w:r>
            <w:r>
              <w:rPr>
                <w:noProof/>
                <w:webHidden/>
              </w:rPr>
              <w:fldChar w:fldCharType="separate"/>
            </w:r>
            <w:r>
              <w:rPr>
                <w:noProof/>
                <w:webHidden/>
              </w:rPr>
              <w:t>13</w:t>
            </w:r>
            <w:r>
              <w:rPr>
                <w:noProof/>
                <w:webHidden/>
              </w:rPr>
              <w:fldChar w:fldCharType="end"/>
            </w:r>
          </w:hyperlink>
        </w:p>
        <w:p w14:paraId="57D1C293" w14:textId="624012F0" w:rsidR="005D6E41" w:rsidRDefault="005D6E41">
          <w:pPr>
            <w:pStyle w:val="TOC2"/>
            <w:tabs>
              <w:tab w:val="right" w:leader="dot" w:pos="9350"/>
            </w:tabs>
            <w:rPr>
              <w:rFonts w:asciiTheme="minorHAnsi" w:eastAsiaTheme="minorEastAsia" w:hAnsiTheme="minorHAnsi"/>
              <w:noProof/>
              <w:szCs w:val="22"/>
              <w:lang w:eastAsia="en-GB"/>
            </w:rPr>
          </w:pPr>
          <w:hyperlink w:anchor="_Toc223729984" w:history="1">
            <w:r w:rsidRPr="0001602B">
              <w:rPr>
                <w:rStyle w:val="Hyperlink"/>
                <w:noProof/>
              </w:rPr>
              <w:t>1.4 Limitations of ratio analysis</w:t>
            </w:r>
            <w:r>
              <w:rPr>
                <w:noProof/>
                <w:webHidden/>
              </w:rPr>
              <w:tab/>
            </w:r>
            <w:r>
              <w:rPr>
                <w:noProof/>
                <w:webHidden/>
              </w:rPr>
              <w:fldChar w:fldCharType="begin"/>
            </w:r>
            <w:r>
              <w:rPr>
                <w:noProof/>
                <w:webHidden/>
              </w:rPr>
              <w:instrText xml:space="preserve"> PAGEREF _Toc223729984 \h </w:instrText>
            </w:r>
            <w:r>
              <w:rPr>
                <w:noProof/>
                <w:webHidden/>
              </w:rPr>
            </w:r>
            <w:r>
              <w:rPr>
                <w:noProof/>
                <w:webHidden/>
              </w:rPr>
              <w:fldChar w:fldCharType="separate"/>
            </w:r>
            <w:r>
              <w:rPr>
                <w:noProof/>
                <w:webHidden/>
              </w:rPr>
              <w:t>14</w:t>
            </w:r>
            <w:r>
              <w:rPr>
                <w:noProof/>
                <w:webHidden/>
              </w:rPr>
              <w:fldChar w:fldCharType="end"/>
            </w:r>
          </w:hyperlink>
        </w:p>
        <w:p w14:paraId="252272D9" w14:textId="33ACE3CF" w:rsidR="005D6E41" w:rsidRDefault="005D6E41">
          <w:pPr>
            <w:pStyle w:val="TOC2"/>
            <w:tabs>
              <w:tab w:val="right" w:leader="dot" w:pos="9350"/>
            </w:tabs>
            <w:rPr>
              <w:rFonts w:asciiTheme="minorHAnsi" w:eastAsiaTheme="minorEastAsia" w:hAnsiTheme="minorHAnsi"/>
              <w:noProof/>
              <w:szCs w:val="22"/>
              <w:lang w:eastAsia="en-GB"/>
            </w:rPr>
          </w:pPr>
          <w:hyperlink w:anchor="_Toc223729985" w:history="1">
            <w:r w:rsidRPr="0001602B">
              <w:rPr>
                <w:rStyle w:val="Hyperlink"/>
                <w:noProof/>
              </w:rPr>
              <w:t>1.5 Recommendations to improve Tesco’s financial management</w:t>
            </w:r>
            <w:r>
              <w:rPr>
                <w:noProof/>
                <w:webHidden/>
              </w:rPr>
              <w:tab/>
            </w:r>
            <w:r>
              <w:rPr>
                <w:noProof/>
                <w:webHidden/>
              </w:rPr>
              <w:fldChar w:fldCharType="begin"/>
            </w:r>
            <w:r>
              <w:rPr>
                <w:noProof/>
                <w:webHidden/>
              </w:rPr>
              <w:instrText xml:space="preserve"> PAGEREF _Toc223729985 \h </w:instrText>
            </w:r>
            <w:r>
              <w:rPr>
                <w:noProof/>
                <w:webHidden/>
              </w:rPr>
            </w:r>
            <w:r>
              <w:rPr>
                <w:noProof/>
                <w:webHidden/>
              </w:rPr>
              <w:fldChar w:fldCharType="separate"/>
            </w:r>
            <w:r>
              <w:rPr>
                <w:noProof/>
                <w:webHidden/>
              </w:rPr>
              <w:t>15</w:t>
            </w:r>
            <w:r>
              <w:rPr>
                <w:noProof/>
                <w:webHidden/>
              </w:rPr>
              <w:fldChar w:fldCharType="end"/>
            </w:r>
          </w:hyperlink>
        </w:p>
        <w:p w14:paraId="359CA275" w14:textId="6793CF70" w:rsidR="005D6E41" w:rsidRDefault="005D6E41">
          <w:pPr>
            <w:pStyle w:val="TOC1"/>
            <w:tabs>
              <w:tab w:val="right" w:leader="dot" w:pos="9350"/>
            </w:tabs>
            <w:rPr>
              <w:rFonts w:asciiTheme="minorHAnsi" w:eastAsiaTheme="minorEastAsia" w:hAnsiTheme="minorHAnsi"/>
              <w:noProof/>
              <w:szCs w:val="22"/>
              <w:lang w:eastAsia="en-GB"/>
            </w:rPr>
          </w:pPr>
          <w:hyperlink w:anchor="_Toc223729986" w:history="1">
            <w:r w:rsidRPr="0001602B">
              <w:rPr>
                <w:rStyle w:val="Hyperlink"/>
                <w:noProof/>
              </w:rPr>
              <w:t>PART 2 — Westward Plc investment appraisal report</w:t>
            </w:r>
            <w:r>
              <w:rPr>
                <w:noProof/>
                <w:webHidden/>
              </w:rPr>
              <w:tab/>
            </w:r>
            <w:r>
              <w:rPr>
                <w:noProof/>
                <w:webHidden/>
              </w:rPr>
              <w:fldChar w:fldCharType="begin"/>
            </w:r>
            <w:r>
              <w:rPr>
                <w:noProof/>
                <w:webHidden/>
              </w:rPr>
              <w:instrText xml:space="preserve"> PAGEREF _Toc223729986 \h </w:instrText>
            </w:r>
            <w:r>
              <w:rPr>
                <w:noProof/>
                <w:webHidden/>
              </w:rPr>
            </w:r>
            <w:r>
              <w:rPr>
                <w:noProof/>
                <w:webHidden/>
              </w:rPr>
              <w:fldChar w:fldCharType="separate"/>
            </w:r>
            <w:r>
              <w:rPr>
                <w:noProof/>
                <w:webHidden/>
              </w:rPr>
              <w:t>17</w:t>
            </w:r>
            <w:r>
              <w:rPr>
                <w:noProof/>
                <w:webHidden/>
              </w:rPr>
              <w:fldChar w:fldCharType="end"/>
            </w:r>
          </w:hyperlink>
        </w:p>
        <w:p w14:paraId="5511421D" w14:textId="38DB99EC" w:rsidR="005D6E41" w:rsidRDefault="005D6E41">
          <w:pPr>
            <w:pStyle w:val="TOC2"/>
            <w:tabs>
              <w:tab w:val="right" w:leader="dot" w:pos="9350"/>
            </w:tabs>
            <w:rPr>
              <w:rFonts w:asciiTheme="minorHAnsi" w:eastAsiaTheme="minorEastAsia" w:hAnsiTheme="minorHAnsi"/>
              <w:noProof/>
              <w:szCs w:val="22"/>
              <w:lang w:eastAsia="en-GB"/>
            </w:rPr>
          </w:pPr>
          <w:hyperlink w:anchor="_Toc223729987" w:history="1">
            <w:r w:rsidRPr="0001602B">
              <w:rPr>
                <w:rStyle w:val="Hyperlink"/>
                <w:noProof/>
              </w:rPr>
              <w:t>2.1 Project Data and Tax Treatment</w:t>
            </w:r>
            <w:r>
              <w:rPr>
                <w:noProof/>
                <w:webHidden/>
              </w:rPr>
              <w:tab/>
            </w:r>
            <w:r>
              <w:rPr>
                <w:noProof/>
                <w:webHidden/>
              </w:rPr>
              <w:fldChar w:fldCharType="begin"/>
            </w:r>
            <w:r>
              <w:rPr>
                <w:noProof/>
                <w:webHidden/>
              </w:rPr>
              <w:instrText xml:space="preserve"> PAGEREF _Toc223729987 \h </w:instrText>
            </w:r>
            <w:r>
              <w:rPr>
                <w:noProof/>
                <w:webHidden/>
              </w:rPr>
            </w:r>
            <w:r>
              <w:rPr>
                <w:noProof/>
                <w:webHidden/>
              </w:rPr>
              <w:fldChar w:fldCharType="separate"/>
            </w:r>
            <w:r>
              <w:rPr>
                <w:noProof/>
                <w:webHidden/>
              </w:rPr>
              <w:t>17</w:t>
            </w:r>
            <w:r>
              <w:rPr>
                <w:noProof/>
                <w:webHidden/>
              </w:rPr>
              <w:fldChar w:fldCharType="end"/>
            </w:r>
          </w:hyperlink>
        </w:p>
        <w:p w14:paraId="122223B0" w14:textId="12B00490" w:rsidR="005D6E41" w:rsidRDefault="005D6E41">
          <w:pPr>
            <w:pStyle w:val="TOC2"/>
            <w:tabs>
              <w:tab w:val="right" w:leader="dot" w:pos="9350"/>
            </w:tabs>
            <w:rPr>
              <w:rFonts w:asciiTheme="minorHAnsi" w:eastAsiaTheme="minorEastAsia" w:hAnsiTheme="minorHAnsi"/>
              <w:noProof/>
              <w:szCs w:val="22"/>
              <w:lang w:eastAsia="en-GB"/>
            </w:rPr>
          </w:pPr>
          <w:hyperlink w:anchor="_Toc223729988" w:history="1">
            <w:r w:rsidRPr="0001602B">
              <w:rPr>
                <w:rStyle w:val="Hyperlink"/>
                <w:noProof/>
              </w:rPr>
              <w:t>2.2 Net Present Value (NPV) and Recommendation</w:t>
            </w:r>
            <w:r>
              <w:rPr>
                <w:noProof/>
                <w:webHidden/>
              </w:rPr>
              <w:tab/>
            </w:r>
            <w:r>
              <w:rPr>
                <w:noProof/>
                <w:webHidden/>
              </w:rPr>
              <w:fldChar w:fldCharType="begin"/>
            </w:r>
            <w:r>
              <w:rPr>
                <w:noProof/>
                <w:webHidden/>
              </w:rPr>
              <w:instrText xml:space="preserve"> PAGEREF _Toc223729988 \h </w:instrText>
            </w:r>
            <w:r>
              <w:rPr>
                <w:noProof/>
                <w:webHidden/>
              </w:rPr>
            </w:r>
            <w:r>
              <w:rPr>
                <w:noProof/>
                <w:webHidden/>
              </w:rPr>
              <w:fldChar w:fldCharType="separate"/>
            </w:r>
            <w:r>
              <w:rPr>
                <w:noProof/>
                <w:webHidden/>
              </w:rPr>
              <w:t>19</w:t>
            </w:r>
            <w:r>
              <w:rPr>
                <w:noProof/>
                <w:webHidden/>
              </w:rPr>
              <w:fldChar w:fldCharType="end"/>
            </w:r>
          </w:hyperlink>
        </w:p>
        <w:p w14:paraId="42BFBF8C" w14:textId="7804F20E" w:rsidR="005D6E41" w:rsidRDefault="005D6E41">
          <w:pPr>
            <w:pStyle w:val="TOC2"/>
            <w:tabs>
              <w:tab w:val="right" w:leader="dot" w:pos="9350"/>
            </w:tabs>
            <w:rPr>
              <w:rFonts w:asciiTheme="minorHAnsi" w:eastAsiaTheme="minorEastAsia" w:hAnsiTheme="minorHAnsi"/>
              <w:noProof/>
              <w:szCs w:val="22"/>
              <w:lang w:eastAsia="en-GB"/>
            </w:rPr>
          </w:pPr>
          <w:hyperlink w:anchor="_Toc223729989" w:history="1">
            <w:r w:rsidRPr="0001602B">
              <w:rPr>
                <w:rStyle w:val="Hyperlink"/>
                <w:noProof/>
              </w:rPr>
              <w:t>2.3 Approximate Internal Rate of Return (IRR)</w:t>
            </w:r>
            <w:r>
              <w:rPr>
                <w:noProof/>
                <w:webHidden/>
              </w:rPr>
              <w:tab/>
            </w:r>
            <w:r>
              <w:rPr>
                <w:noProof/>
                <w:webHidden/>
              </w:rPr>
              <w:fldChar w:fldCharType="begin"/>
            </w:r>
            <w:r>
              <w:rPr>
                <w:noProof/>
                <w:webHidden/>
              </w:rPr>
              <w:instrText xml:space="preserve"> PAGEREF _Toc223729989 \h </w:instrText>
            </w:r>
            <w:r>
              <w:rPr>
                <w:noProof/>
                <w:webHidden/>
              </w:rPr>
            </w:r>
            <w:r>
              <w:rPr>
                <w:noProof/>
                <w:webHidden/>
              </w:rPr>
              <w:fldChar w:fldCharType="separate"/>
            </w:r>
            <w:r>
              <w:rPr>
                <w:noProof/>
                <w:webHidden/>
              </w:rPr>
              <w:t>20</w:t>
            </w:r>
            <w:r>
              <w:rPr>
                <w:noProof/>
                <w:webHidden/>
              </w:rPr>
              <w:fldChar w:fldCharType="end"/>
            </w:r>
          </w:hyperlink>
        </w:p>
        <w:p w14:paraId="512448EE" w14:textId="35D51502" w:rsidR="005D6E41" w:rsidRDefault="005D6E41">
          <w:pPr>
            <w:pStyle w:val="TOC2"/>
            <w:tabs>
              <w:tab w:val="right" w:leader="dot" w:pos="9350"/>
            </w:tabs>
            <w:rPr>
              <w:rFonts w:asciiTheme="minorHAnsi" w:eastAsiaTheme="minorEastAsia" w:hAnsiTheme="minorHAnsi"/>
              <w:noProof/>
              <w:szCs w:val="22"/>
              <w:lang w:eastAsia="en-GB"/>
            </w:rPr>
          </w:pPr>
          <w:hyperlink w:anchor="_Toc223729990" w:history="1">
            <w:r w:rsidRPr="0001602B">
              <w:rPr>
                <w:rStyle w:val="Hyperlink"/>
                <w:noProof/>
              </w:rPr>
              <w:t>2.4 Interpretation for Management</w:t>
            </w:r>
            <w:r>
              <w:rPr>
                <w:noProof/>
                <w:webHidden/>
              </w:rPr>
              <w:tab/>
            </w:r>
            <w:r>
              <w:rPr>
                <w:noProof/>
                <w:webHidden/>
              </w:rPr>
              <w:fldChar w:fldCharType="begin"/>
            </w:r>
            <w:r>
              <w:rPr>
                <w:noProof/>
                <w:webHidden/>
              </w:rPr>
              <w:instrText xml:space="preserve"> PAGEREF _Toc223729990 \h </w:instrText>
            </w:r>
            <w:r>
              <w:rPr>
                <w:noProof/>
                <w:webHidden/>
              </w:rPr>
            </w:r>
            <w:r>
              <w:rPr>
                <w:noProof/>
                <w:webHidden/>
              </w:rPr>
              <w:fldChar w:fldCharType="separate"/>
            </w:r>
            <w:r>
              <w:rPr>
                <w:noProof/>
                <w:webHidden/>
              </w:rPr>
              <w:t>21</w:t>
            </w:r>
            <w:r>
              <w:rPr>
                <w:noProof/>
                <w:webHidden/>
              </w:rPr>
              <w:fldChar w:fldCharType="end"/>
            </w:r>
          </w:hyperlink>
        </w:p>
        <w:p w14:paraId="780EC1F3" w14:textId="21F219AE" w:rsidR="005D6E41" w:rsidRDefault="005D6E41">
          <w:pPr>
            <w:pStyle w:val="TOC2"/>
            <w:tabs>
              <w:tab w:val="right" w:leader="dot" w:pos="9350"/>
            </w:tabs>
            <w:rPr>
              <w:rFonts w:asciiTheme="minorHAnsi" w:eastAsiaTheme="minorEastAsia" w:hAnsiTheme="minorHAnsi"/>
              <w:noProof/>
              <w:szCs w:val="22"/>
              <w:lang w:eastAsia="en-GB"/>
            </w:rPr>
          </w:pPr>
          <w:hyperlink w:anchor="_Toc223729991" w:history="1">
            <w:r w:rsidRPr="0001602B">
              <w:rPr>
                <w:rStyle w:val="Hyperlink"/>
                <w:noProof/>
              </w:rPr>
              <w:t>2.5 Capital Rationing: Optimal Investment Policy</w:t>
            </w:r>
            <w:r>
              <w:rPr>
                <w:noProof/>
                <w:webHidden/>
              </w:rPr>
              <w:tab/>
            </w:r>
            <w:r>
              <w:rPr>
                <w:noProof/>
                <w:webHidden/>
              </w:rPr>
              <w:fldChar w:fldCharType="begin"/>
            </w:r>
            <w:r>
              <w:rPr>
                <w:noProof/>
                <w:webHidden/>
              </w:rPr>
              <w:instrText xml:space="preserve"> PAGEREF _Toc223729991 \h </w:instrText>
            </w:r>
            <w:r>
              <w:rPr>
                <w:noProof/>
                <w:webHidden/>
              </w:rPr>
            </w:r>
            <w:r>
              <w:rPr>
                <w:noProof/>
                <w:webHidden/>
              </w:rPr>
              <w:fldChar w:fldCharType="separate"/>
            </w:r>
            <w:r>
              <w:rPr>
                <w:noProof/>
                <w:webHidden/>
              </w:rPr>
              <w:t>23</w:t>
            </w:r>
            <w:r>
              <w:rPr>
                <w:noProof/>
                <w:webHidden/>
              </w:rPr>
              <w:fldChar w:fldCharType="end"/>
            </w:r>
          </w:hyperlink>
        </w:p>
        <w:p w14:paraId="69339244" w14:textId="7181E7CD" w:rsidR="005D6E41" w:rsidRDefault="005D6E41">
          <w:pPr>
            <w:pStyle w:val="TOC2"/>
            <w:tabs>
              <w:tab w:val="right" w:leader="dot" w:pos="9350"/>
            </w:tabs>
            <w:rPr>
              <w:rFonts w:asciiTheme="minorHAnsi" w:eastAsiaTheme="minorEastAsia" w:hAnsiTheme="minorHAnsi"/>
              <w:noProof/>
              <w:szCs w:val="22"/>
              <w:lang w:eastAsia="en-GB"/>
            </w:rPr>
          </w:pPr>
          <w:hyperlink w:anchor="_Toc223729992" w:history="1">
            <w:r w:rsidRPr="0001602B">
              <w:rPr>
                <w:rStyle w:val="Hyperlink"/>
                <w:noProof/>
              </w:rPr>
              <w:t>2.6 Financing Options and Recommendation</w:t>
            </w:r>
            <w:r>
              <w:rPr>
                <w:noProof/>
                <w:webHidden/>
              </w:rPr>
              <w:tab/>
            </w:r>
            <w:r>
              <w:rPr>
                <w:noProof/>
                <w:webHidden/>
              </w:rPr>
              <w:fldChar w:fldCharType="begin"/>
            </w:r>
            <w:r>
              <w:rPr>
                <w:noProof/>
                <w:webHidden/>
              </w:rPr>
              <w:instrText xml:space="preserve"> PAGEREF _Toc223729992 \h </w:instrText>
            </w:r>
            <w:r>
              <w:rPr>
                <w:noProof/>
                <w:webHidden/>
              </w:rPr>
            </w:r>
            <w:r>
              <w:rPr>
                <w:noProof/>
                <w:webHidden/>
              </w:rPr>
              <w:fldChar w:fldCharType="separate"/>
            </w:r>
            <w:r>
              <w:rPr>
                <w:noProof/>
                <w:webHidden/>
              </w:rPr>
              <w:t>24</w:t>
            </w:r>
            <w:r>
              <w:rPr>
                <w:noProof/>
                <w:webHidden/>
              </w:rPr>
              <w:fldChar w:fldCharType="end"/>
            </w:r>
          </w:hyperlink>
        </w:p>
        <w:p w14:paraId="7A7F38CE" w14:textId="02C17F99" w:rsidR="005D6E41" w:rsidRDefault="005D6E41">
          <w:pPr>
            <w:pStyle w:val="TOC2"/>
            <w:tabs>
              <w:tab w:val="right" w:leader="dot" w:pos="9350"/>
            </w:tabs>
            <w:rPr>
              <w:rFonts w:asciiTheme="minorHAnsi" w:eastAsiaTheme="minorEastAsia" w:hAnsiTheme="minorHAnsi"/>
              <w:noProof/>
              <w:szCs w:val="22"/>
              <w:lang w:eastAsia="en-GB"/>
            </w:rPr>
          </w:pPr>
          <w:hyperlink w:anchor="_Toc223729993" w:history="1">
            <w:r w:rsidRPr="0001602B">
              <w:rPr>
                <w:rStyle w:val="Hyperlink"/>
                <w:noProof/>
              </w:rPr>
              <w:t>2.7 Conclusion</w:t>
            </w:r>
            <w:r>
              <w:rPr>
                <w:noProof/>
                <w:webHidden/>
              </w:rPr>
              <w:tab/>
            </w:r>
            <w:r>
              <w:rPr>
                <w:noProof/>
                <w:webHidden/>
              </w:rPr>
              <w:fldChar w:fldCharType="begin"/>
            </w:r>
            <w:r>
              <w:rPr>
                <w:noProof/>
                <w:webHidden/>
              </w:rPr>
              <w:instrText xml:space="preserve"> PAGEREF _Toc223729993 \h </w:instrText>
            </w:r>
            <w:r>
              <w:rPr>
                <w:noProof/>
                <w:webHidden/>
              </w:rPr>
            </w:r>
            <w:r>
              <w:rPr>
                <w:noProof/>
                <w:webHidden/>
              </w:rPr>
              <w:fldChar w:fldCharType="separate"/>
            </w:r>
            <w:r>
              <w:rPr>
                <w:noProof/>
                <w:webHidden/>
              </w:rPr>
              <w:t>25</w:t>
            </w:r>
            <w:r>
              <w:rPr>
                <w:noProof/>
                <w:webHidden/>
              </w:rPr>
              <w:fldChar w:fldCharType="end"/>
            </w:r>
          </w:hyperlink>
        </w:p>
        <w:p w14:paraId="7DB32B92" w14:textId="60FCFA31" w:rsidR="005D6E41" w:rsidRDefault="005D6E41">
          <w:pPr>
            <w:pStyle w:val="TOC1"/>
            <w:tabs>
              <w:tab w:val="right" w:leader="dot" w:pos="9350"/>
            </w:tabs>
            <w:rPr>
              <w:rFonts w:asciiTheme="minorHAnsi" w:eastAsiaTheme="minorEastAsia" w:hAnsiTheme="minorHAnsi"/>
              <w:noProof/>
              <w:szCs w:val="22"/>
              <w:lang w:eastAsia="en-GB"/>
            </w:rPr>
          </w:pPr>
          <w:hyperlink w:anchor="_Toc223729994" w:history="1">
            <w:r w:rsidRPr="0001602B">
              <w:rPr>
                <w:rStyle w:val="Hyperlink"/>
                <w:noProof/>
              </w:rPr>
              <w:t>References</w:t>
            </w:r>
            <w:r>
              <w:rPr>
                <w:noProof/>
                <w:webHidden/>
              </w:rPr>
              <w:tab/>
            </w:r>
            <w:r>
              <w:rPr>
                <w:noProof/>
                <w:webHidden/>
              </w:rPr>
              <w:fldChar w:fldCharType="begin"/>
            </w:r>
            <w:r>
              <w:rPr>
                <w:noProof/>
                <w:webHidden/>
              </w:rPr>
              <w:instrText xml:space="preserve"> PAGEREF _Toc223729994 \h </w:instrText>
            </w:r>
            <w:r>
              <w:rPr>
                <w:noProof/>
                <w:webHidden/>
              </w:rPr>
            </w:r>
            <w:r>
              <w:rPr>
                <w:noProof/>
                <w:webHidden/>
              </w:rPr>
              <w:fldChar w:fldCharType="separate"/>
            </w:r>
            <w:r>
              <w:rPr>
                <w:noProof/>
                <w:webHidden/>
              </w:rPr>
              <w:t>26</w:t>
            </w:r>
            <w:r>
              <w:rPr>
                <w:noProof/>
                <w:webHidden/>
              </w:rPr>
              <w:fldChar w:fldCharType="end"/>
            </w:r>
          </w:hyperlink>
        </w:p>
        <w:p w14:paraId="5D9B803D" w14:textId="4FFBB6BC" w:rsidR="005D6E41" w:rsidRDefault="005D6E41">
          <w:pPr>
            <w:pStyle w:val="TOC1"/>
            <w:tabs>
              <w:tab w:val="right" w:leader="dot" w:pos="9350"/>
            </w:tabs>
            <w:rPr>
              <w:rFonts w:asciiTheme="minorHAnsi" w:eastAsiaTheme="minorEastAsia" w:hAnsiTheme="minorHAnsi"/>
              <w:noProof/>
              <w:szCs w:val="22"/>
              <w:lang w:eastAsia="en-GB"/>
            </w:rPr>
          </w:pPr>
          <w:hyperlink w:anchor="_Toc223729995" w:history="1">
            <w:r w:rsidRPr="0001602B">
              <w:rPr>
                <w:rStyle w:val="Hyperlink"/>
                <w:noProof/>
              </w:rPr>
              <w:t>Appendices</w:t>
            </w:r>
            <w:r>
              <w:rPr>
                <w:noProof/>
                <w:webHidden/>
              </w:rPr>
              <w:tab/>
            </w:r>
            <w:r>
              <w:rPr>
                <w:noProof/>
                <w:webHidden/>
              </w:rPr>
              <w:fldChar w:fldCharType="begin"/>
            </w:r>
            <w:r>
              <w:rPr>
                <w:noProof/>
                <w:webHidden/>
              </w:rPr>
              <w:instrText xml:space="preserve"> PAGEREF _Toc223729995 \h </w:instrText>
            </w:r>
            <w:r>
              <w:rPr>
                <w:noProof/>
                <w:webHidden/>
              </w:rPr>
            </w:r>
            <w:r>
              <w:rPr>
                <w:noProof/>
                <w:webHidden/>
              </w:rPr>
              <w:fldChar w:fldCharType="separate"/>
            </w:r>
            <w:r>
              <w:rPr>
                <w:noProof/>
                <w:webHidden/>
              </w:rPr>
              <w:t>32</w:t>
            </w:r>
            <w:r>
              <w:rPr>
                <w:noProof/>
                <w:webHidden/>
              </w:rPr>
              <w:fldChar w:fldCharType="end"/>
            </w:r>
          </w:hyperlink>
        </w:p>
        <w:p w14:paraId="06532452" w14:textId="112F0375" w:rsidR="009D02B9" w:rsidRDefault="005D6E41" w:rsidP="005D6E41">
          <w:r>
            <w:rPr>
              <w:b/>
              <w:bCs/>
              <w:noProof/>
            </w:rPr>
            <w:fldChar w:fldCharType="end"/>
          </w:r>
        </w:p>
      </w:sdtContent>
    </w:sdt>
    <w:p w14:paraId="11877679" w14:textId="569E8990" w:rsidR="00950E50" w:rsidRDefault="00A11DE9" w:rsidP="00950E50">
      <w:r>
        <w:br w:type="page"/>
      </w:r>
      <w:bookmarkStart w:id="1" w:name="_Toc218268950"/>
      <w:bookmarkStart w:id="2" w:name="_Toc218269016"/>
      <w:bookmarkStart w:id="3" w:name="_Toc223379527"/>
    </w:p>
    <w:p w14:paraId="56A4B94C" w14:textId="3A98C341" w:rsidR="00A11DE9" w:rsidRDefault="00295EC0" w:rsidP="00950E50">
      <w:pPr>
        <w:pStyle w:val="Heading1"/>
      </w:pPr>
      <w:bookmarkStart w:id="4" w:name="_Toc223379775"/>
      <w:bookmarkStart w:id="5" w:name="_Toc223379885"/>
      <w:bookmarkStart w:id="6" w:name="_Toc223380600"/>
      <w:bookmarkStart w:id="7" w:name="_Toc223729975"/>
      <w:r w:rsidRPr="00295EC0">
        <w:lastRenderedPageBreak/>
        <w:t xml:space="preserve">PART 1 </w:t>
      </w:r>
      <w:bookmarkEnd w:id="1"/>
      <w:bookmarkEnd w:id="2"/>
      <w:r w:rsidR="00C808B2">
        <w:t>– Report Tesco Plc</w:t>
      </w:r>
      <w:bookmarkEnd w:id="3"/>
      <w:bookmarkEnd w:id="4"/>
      <w:bookmarkEnd w:id="5"/>
      <w:bookmarkEnd w:id="6"/>
      <w:bookmarkEnd w:id="7"/>
    </w:p>
    <w:p w14:paraId="73984860" w14:textId="413F2549" w:rsidR="00295EC0" w:rsidRDefault="000D7794" w:rsidP="00392463">
      <w:pPr>
        <w:pStyle w:val="Heading2"/>
      </w:pPr>
      <w:bookmarkStart w:id="8" w:name="_Toc218268951"/>
      <w:bookmarkStart w:id="9" w:name="_Toc218269017"/>
      <w:bookmarkStart w:id="10" w:name="_Toc223379528"/>
      <w:bookmarkStart w:id="11" w:name="_Toc223379706"/>
      <w:bookmarkStart w:id="12" w:name="_Toc223379776"/>
      <w:bookmarkStart w:id="13" w:name="_Toc223379886"/>
      <w:bookmarkStart w:id="14" w:name="_Toc223380601"/>
      <w:bookmarkStart w:id="15" w:name="_Toc223729976"/>
      <w:r>
        <w:t>1.</w:t>
      </w:r>
      <w:r w:rsidR="00950E50">
        <w:t>1</w:t>
      </w:r>
      <w:r>
        <w:t xml:space="preserve"> </w:t>
      </w:r>
      <w:r w:rsidR="002871D0">
        <w:t>Introduction</w:t>
      </w:r>
      <w:bookmarkEnd w:id="8"/>
      <w:bookmarkEnd w:id="9"/>
      <w:bookmarkEnd w:id="10"/>
      <w:bookmarkEnd w:id="11"/>
      <w:bookmarkEnd w:id="12"/>
      <w:bookmarkEnd w:id="13"/>
      <w:bookmarkEnd w:id="14"/>
      <w:bookmarkEnd w:id="15"/>
    </w:p>
    <w:p w14:paraId="0398C26E" w14:textId="39952548" w:rsidR="00AB0F88" w:rsidRDefault="00AB0F88" w:rsidP="00AB0F88">
      <w:r>
        <w:t xml:space="preserve">Tesco PLC is a company based in the United Kingdom and a member of the FTSE 100 list of the biggest food retailers. The company is in a very competitive grocery market that is characterised by low margins, intense price competition, and constant pressure on cost. Financial performance is critical when studied in a such an environment. The analysis of the financial statements helps the directors to analyse profitability, liquidity, efficiency, capital structure and returns to the shareholders. Such signs allow making informed strategic decisions and properly managing finances. Organised ratio analysis thus gives a clue about the operational capacity, financial robustness and sustainability. The UK supermarket sector is based on low margin and high-volume business processes. Retailers usually keep the current ratios low due to high turnover of inventory and supplier credit is used to finance working capital. </w:t>
      </w:r>
      <w:r w:rsidR="005224EB">
        <w:t>T</w:t>
      </w:r>
      <w:r>
        <w:t>his framework may subject firms to the liquidity risk in case of a decline in trading conditions or alterations in supplier conditions. There is also the issue of inflationary pressures and increasing wage costs and competitive pressure due to discount retailers, which the sector has had to deal with in the past years. All these aspects make cost control, stability in cash flow and capital discipline more important to observe. It is against this background that a review of the past financial performance of Tesco would offer a chance to determine its financial strength and competitive facet in a tough market context</w:t>
      </w:r>
      <w:r w:rsidR="002871D0">
        <w:t>.</w:t>
      </w:r>
    </w:p>
    <w:p w14:paraId="46DBADCD" w14:textId="6B4A6F25" w:rsidR="002871D0" w:rsidRDefault="00AB0F88" w:rsidP="00AB0F88">
      <w:r>
        <w:br w:type="page"/>
      </w:r>
    </w:p>
    <w:p w14:paraId="261A8779" w14:textId="7E331E16" w:rsidR="000D7794" w:rsidRDefault="00950E50" w:rsidP="00392463">
      <w:pPr>
        <w:pStyle w:val="Heading2"/>
      </w:pPr>
      <w:bookmarkStart w:id="16" w:name="_Toc218268952"/>
      <w:bookmarkStart w:id="17" w:name="_Toc218269018"/>
      <w:bookmarkStart w:id="18" w:name="_Toc223379529"/>
      <w:bookmarkStart w:id="19" w:name="_Toc223379707"/>
      <w:bookmarkStart w:id="20" w:name="_Toc223379777"/>
      <w:bookmarkStart w:id="21" w:name="_Toc223379887"/>
      <w:bookmarkStart w:id="22" w:name="_Toc223380602"/>
      <w:bookmarkStart w:id="23" w:name="_Toc223729977"/>
      <w:r>
        <w:lastRenderedPageBreak/>
        <w:t>1</w:t>
      </w:r>
      <w:r w:rsidR="000D7794" w:rsidRPr="000D7794">
        <w:t>.</w:t>
      </w:r>
      <w:r>
        <w:t>2</w:t>
      </w:r>
      <w:r w:rsidR="000D7794" w:rsidRPr="000D7794">
        <w:t xml:space="preserve"> </w:t>
      </w:r>
      <w:bookmarkEnd w:id="16"/>
      <w:bookmarkEnd w:id="17"/>
      <w:r w:rsidR="00AB0F88" w:rsidRPr="00AB0F88">
        <w:t>Main Findings</w:t>
      </w:r>
      <w:bookmarkEnd w:id="18"/>
      <w:bookmarkEnd w:id="19"/>
      <w:bookmarkEnd w:id="20"/>
      <w:bookmarkEnd w:id="21"/>
      <w:bookmarkEnd w:id="22"/>
      <w:bookmarkEnd w:id="23"/>
    </w:p>
    <w:p w14:paraId="13009C14" w14:textId="4DDEBC98" w:rsidR="0078691F" w:rsidRPr="0078691F" w:rsidRDefault="0078691F" w:rsidP="0078691F">
      <w:r w:rsidRPr="0078691F">
        <w:t>In the next section, the most significant findings of the financial analysis of the Tesco PLC in FY2025 and in FY2024 are provided. Profitability, liquidity, efficiency, and gearing and investor return ratios are assessed by the analysis of the audited financial statements. This section is aimed at the summarisation of the most significant performance trends and financial development that have been identified in Part 1 of the report. The results are used to point out areas of strength, areas of emerging risk and issues that need to be addressed by the Board strategically.</w:t>
      </w:r>
    </w:p>
    <w:p w14:paraId="4EC04746" w14:textId="0E5D1343" w:rsidR="004D2F6B" w:rsidRDefault="00950E50" w:rsidP="00396E7A">
      <w:pPr>
        <w:pStyle w:val="Heading3"/>
      </w:pPr>
      <w:bookmarkStart w:id="24" w:name="_Toc218268953"/>
      <w:bookmarkStart w:id="25" w:name="_Toc218269019"/>
      <w:bookmarkStart w:id="26" w:name="_Toc223379530"/>
      <w:bookmarkStart w:id="27" w:name="_Toc223379708"/>
      <w:bookmarkStart w:id="28" w:name="_Toc223379778"/>
      <w:bookmarkStart w:id="29" w:name="_Toc223379888"/>
      <w:bookmarkStart w:id="30" w:name="_Toc223380603"/>
      <w:bookmarkStart w:id="31" w:name="_Toc223729978"/>
      <w:r>
        <w:t>1.</w:t>
      </w:r>
      <w:r w:rsidR="00396E7A">
        <w:t>2</w:t>
      </w:r>
      <w:r w:rsidR="004D2F6B" w:rsidRPr="004D2F6B">
        <w:t>.</w:t>
      </w:r>
      <w:r w:rsidR="00396E7A">
        <w:t>1</w:t>
      </w:r>
      <w:r w:rsidR="004D2F6B" w:rsidRPr="004D2F6B">
        <w:t xml:space="preserve"> Financial ratio calculations</w:t>
      </w:r>
      <w:bookmarkEnd w:id="24"/>
      <w:bookmarkEnd w:id="25"/>
      <w:bookmarkEnd w:id="26"/>
      <w:bookmarkEnd w:id="27"/>
      <w:bookmarkEnd w:id="28"/>
      <w:bookmarkEnd w:id="29"/>
      <w:bookmarkEnd w:id="30"/>
      <w:bookmarkEnd w:id="31"/>
    </w:p>
    <w:p w14:paraId="71E043B7" w14:textId="03E6860E" w:rsidR="00A85157" w:rsidRPr="00A85157" w:rsidRDefault="00A85157" w:rsidP="00C139AE">
      <w:pPr>
        <w:pStyle w:val="Heading4"/>
      </w:pPr>
      <w:r w:rsidRPr="00C139AE">
        <w:t>Profitability</w:t>
      </w:r>
    </w:p>
    <w:p w14:paraId="26EDFE3C" w14:textId="4F1949E2" w:rsidR="00A60248" w:rsidRDefault="00A85157" w:rsidP="004D2F6B">
      <w:r w:rsidRPr="00A60248">
        <w:rPr>
          <w:b/>
          <w:bCs/>
        </w:rPr>
        <w:t>Gross margin</w:t>
      </w:r>
      <w:r w:rsidR="00A60248" w:rsidRPr="00A60248">
        <w:rPr>
          <w:b/>
          <w:bCs/>
        </w:rPr>
        <w:t>:</w:t>
      </w:r>
      <w:r w:rsidR="00A60248">
        <w:t xml:space="preserve"> </w:t>
      </w:r>
      <w:r w:rsidR="00090060" w:rsidRPr="00090060">
        <w:t>Gross margin is a measure that shows the ratio between the revenue left after the cost of sales. It shows the effectiveness of the company in managing purchasing cost and pricing strategy (Atrill, 201</w:t>
      </w:r>
      <w:r w:rsidR="00E06140">
        <w:t>9</w:t>
      </w:r>
      <w:r w:rsidR="00090060" w:rsidRPr="00090060">
        <w:t>)</w:t>
      </w:r>
      <w:r w:rsidR="00A60248" w:rsidRPr="00A60248">
        <w:t xml:space="preserve">. </w:t>
      </w:r>
    </w:p>
    <w:p w14:paraId="3EEAC395" w14:textId="51B39A57" w:rsidR="00A60248" w:rsidRDefault="00FF18F1" w:rsidP="004D2F6B">
      <w:r>
        <w:t xml:space="preserve">Formula </w:t>
      </w:r>
      <w:r w:rsidRPr="00FF18F1">
        <w:t>= Gross profit / Revenue</w:t>
      </w:r>
    </w:p>
    <w:p w14:paraId="798F923E" w14:textId="2D2D6BB2" w:rsidR="00090060" w:rsidRDefault="00361920" w:rsidP="00090060">
      <w:r>
        <w:rPr>
          <w:noProof/>
        </w:rPr>
        <w:drawing>
          <wp:inline distT="0" distB="0" distL="0" distR="0" wp14:anchorId="2909509D" wp14:editId="5BBDBB2F">
            <wp:extent cx="5943600" cy="12534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253490"/>
                    </a:xfrm>
                    <a:prstGeom prst="rect">
                      <a:avLst/>
                    </a:prstGeom>
                  </pic:spPr>
                </pic:pic>
              </a:graphicData>
            </a:graphic>
          </wp:inline>
        </w:drawing>
      </w:r>
      <w:r w:rsidR="00090060" w:rsidRPr="00090060">
        <w:t xml:space="preserve"> </w:t>
      </w:r>
      <w:r w:rsidR="00090060">
        <w:t>The gross margin of Tesco also rose to 7.22% in FY2025 against 7.11% in FY2024. This is a positive but minor improvement. It implies that Tesco ensured good cost control despite the inflationary forces and high prices in the UK grocery market. The growth signifies consistent supplier bargaining and restrained price making.</w:t>
      </w:r>
    </w:p>
    <w:p w14:paraId="7234DFEF" w14:textId="1BD8D28B" w:rsidR="00FF18F1" w:rsidRDefault="00090060" w:rsidP="00090060">
      <w:r>
        <w:t>However, the margin is still quite low</w:t>
      </w:r>
      <w:r w:rsidR="001C6466">
        <w:t>,</w:t>
      </w:r>
      <w:r>
        <w:t xml:space="preserve"> this is characteristic of the supermarket business where competition is intense and the power of buyers is not very strong. Any increment is huge since retail is a business with slim margins. Maintaining this level is significant to the long-term profitability.</w:t>
      </w:r>
    </w:p>
    <w:p w14:paraId="36853966" w14:textId="77CB4987" w:rsidR="00A85157" w:rsidRDefault="00A85157" w:rsidP="004D2F6B">
      <w:r w:rsidRPr="00A60248">
        <w:rPr>
          <w:b/>
          <w:bCs/>
        </w:rPr>
        <w:t>Operating margin</w:t>
      </w:r>
      <w:r w:rsidR="00A60248" w:rsidRPr="00A60248">
        <w:rPr>
          <w:b/>
          <w:bCs/>
        </w:rPr>
        <w:t>:</w:t>
      </w:r>
      <w:r w:rsidR="00A60248">
        <w:t xml:space="preserve"> </w:t>
      </w:r>
      <w:r w:rsidR="001C6466" w:rsidRPr="001C6466">
        <w:t>Operating margin is an indication of the percentage of revenue that is left after deduction of the operating expenses</w:t>
      </w:r>
      <w:r w:rsidR="00766D22">
        <w:t xml:space="preserve"> (</w:t>
      </w:r>
      <w:r w:rsidR="00766D22" w:rsidRPr="00B429A7">
        <w:t>Filer</w:t>
      </w:r>
      <w:r w:rsidR="00766D22">
        <w:t xml:space="preserve"> and </w:t>
      </w:r>
      <w:r w:rsidR="00766D22" w:rsidRPr="00B429A7">
        <w:t>Golbe, 2003)</w:t>
      </w:r>
      <w:r w:rsidR="001C6466" w:rsidRPr="001C6466">
        <w:t>. It indicates the efficiency of the business core activities less the interest and taxation.</w:t>
      </w:r>
    </w:p>
    <w:p w14:paraId="69FEFDE2" w14:textId="4E16E237" w:rsidR="00A60248" w:rsidRDefault="00361920" w:rsidP="001C6466">
      <w:r w:rsidRPr="00361920">
        <w:rPr>
          <w:noProof/>
        </w:rPr>
        <w:lastRenderedPageBreak/>
        <w:drawing>
          <wp:inline distT="0" distB="0" distL="0" distR="0" wp14:anchorId="0D06F7E1" wp14:editId="1BCCDFA7">
            <wp:extent cx="5943600" cy="1212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212850"/>
                    </a:xfrm>
                    <a:prstGeom prst="rect">
                      <a:avLst/>
                    </a:prstGeom>
                  </pic:spPr>
                </pic:pic>
              </a:graphicData>
            </a:graphic>
          </wp:inline>
        </w:drawing>
      </w:r>
      <w:r w:rsidR="001C6466" w:rsidRPr="001C6466">
        <w:t xml:space="preserve"> </w:t>
      </w:r>
      <w:r w:rsidR="001C6466">
        <w:t>The operating margin of Tesco dropped to 3.88 in FY2025 as compared to 4.14 in FY2024. This decrease implies that operating expenses were rising at a higher rate than the revenues. Despite a slight increase in the gross margin, increased administrative and distribution costs decreased operating efficiency. The decline implies the push of increasing wages, energy prices, logistics, and still competitive prices in the UK grocery market. Retail is a business of thin margins thus any slight cut would mean a lot. It lowers the buffer supply to absorb future shocks related to costs.</w:t>
      </w:r>
    </w:p>
    <w:p w14:paraId="1A0A28F5" w14:textId="4DAB417A" w:rsidR="00A85157" w:rsidRDefault="00A85157" w:rsidP="004D2F6B">
      <w:r w:rsidRPr="00A60248">
        <w:rPr>
          <w:b/>
          <w:bCs/>
        </w:rPr>
        <w:t>Net profit margin</w:t>
      </w:r>
      <w:r w:rsidR="00A60248" w:rsidRPr="00A60248">
        <w:rPr>
          <w:b/>
          <w:bCs/>
        </w:rPr>
        <w:t>:</w:t>
      </w:r>
      <w:r w:rsidR="00A60248">
        <w:t xml:space="preserve"> </w:t>
      </w:r>
      <w:r w:rsidR="001C6466" w:rsidRPr="001C6466">
        <w:t>Net profit margin is used to measure the ratio of the remaining part of the revenue after deduction of all expenses, interest and tax</w:t>
      </w:r>
      <w:r w:rsidR="00766D22">
        <w:t xml:space="preserve"> (</w:t>
      </w:r>
      <w:r w:rsidR="00766D22" w:rsidRPr="00B429A7">
        <w:t>Nariswari</w:t>
      </w:r>
      <w:r w:rsidR="00766D22">
        <w:t xml:space="preserve"> and</w:t>
      </w:r>
      <w:r w:rsidR="00766D22" w:rsidRPr="00B429A7">
        <w:t xml:space="preserve"> Nugraha, 2020)</w:t>
      </w:r>
      <w:r w:rsidR="00A60248" w:rsidRPr="00A60248">
        <w:t xml:space="preserve">. </w:t>
      </w:r>
    </w:p>
    <w:p w14:paraId="2B2822FF" w14:textId="44768A05" w:rsidR="00A60248" w:rsidRDefault="00361920" w:rsidP="001C6466">
      <w:r w:rsidRPr="00361920">
        <w:rPr>
          <w:noProof/>
        </w:rPr>
        <w:drawing>
          <wp:inline distT="0" distB="0" distL="0" distR="0" wp14:anchorId="7AF35B5A" wp14:editId="78A3AC2B">
            <wp:extent cx="5943600" cy="12185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218565"/>
                    </a:xfrm>
                    <a:prstGeom prst="rect">
                      <a:avLst/>
                    </a:prstGeom>
                  </pic:spPr>
                </pic:pic>
              </a:graphicData>
            </a:graphic>
          </wp:inline>
        </w:drawing>
      </w:r>
      <w:r w:rsidR="001C6466" w:rsidRPr="001C6466">
        <w:t xml:space="preserve"> </w:t>
      </w:r>
      <w:r w:rsidR="001C6466">
        <w:t xml:space="preserve">The net profit margin at Tesco went up to 2.33 in FY2025 as compared to 1.75 in FY2024. This enhancement exhibits better bottom-line performance. The growth indicates an improved control of finance costs and tax efficiency, although there is low operating margin. It reveals that the total income has increased at a higher pace than the revenue. The outcome is a high-quality profit and a high value of the shareholders. Even though the margins are not high, which is characteristic of retailing foods, the increasing trend is a positive indication of financial stability and increased overall profitability </w:t>
      </w:r>
      <w:r w:rsidR="00822922">
        <w:t>(</w:t>
      </w:r>
      <w:r w:rsidR="00822922" w:rsidRPr="005A7FB1">
        <w:t>Beladi</w:t>
      </w:r>
      <w:r w:rsidR="00822922">
        <w:t xml:space="preserve"> et al., 2021)</w:t>
      </w:r>
      <w:r w:rsidR="008E6BC9" w:rsidRPr="008E6BC9">
        <w:t xml:space="preserve">. </w:t>
      </w:r>
    </w:p>
    <w:p w14:paraId="218437F8" w14:textId="1924275D" w:rsidR="00A85157" w:rsidRDefault="00A85157" w:rsidP="004D2F6B">
      <w:r w:rsidRPr="00A60248">
        <w:rPr>
          <w:b/>
          <w:bCs/>
        </w:rPr>
        <w:t>ROE (simple)</w:t>
      </w:r>
      <w:r w:rsidR="00A60248" w:rsidRPr="00A60248">
        <w:rPr>
          <w:b/>
          <w:bCs/>
        </w:rPr>
        <w:t>:</w:t>
      </w:r>
      <w:r w:rsidR="00A60248">
        <w:t xml:space="preserve"> </w:t>
      </w:r>
      <w:r w:rsidR="001D713B" w:rsidRPr="001D713B">
        <w:t>Return on Equity is used to determine the effectiveness of a firm in utilising the funds of shareholders to achieve profit</w:t>
      </w:r>
      <w:r w:rsidR="00766D22">
        <w:t xml:space="preserve"> (</w:t>
      </w:r>
      <w:r w:rsidR="00766D22" w:rsidRPr="00B429A7">
        <w:t>Wilcox, 1984)</w:t>
      </w:r>
      <w:r w:rsidR="001D713B" w:rsidRPr="001D713B">
        <w:t>.</w:t>
      </w:r>
    </w:p>
    <w:p w14:paraId="6E58CDA7" w14:textId="3A90B057" w:rsidR="00A60248" w:rsidRDefault="00361920" w:rsidP="004D2F6B">
      <w:r>
        <w:rPr>
          <w:noProof/>
        </w:rPr>
        <w:lastRenderedPageBreak/>
        <w:drawing>
          <wp:inline distT="0" distB="0" distL="0" distR="0" wp14:anchorId="2B75B595" wp14:editId="65D5F0BE">
            <wp:extent cx="5943600" cy="12820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282065"/>
                    </a:xfrm>
                    <a:prstGeom prst="rect">
                      <a:avLst/>
                    </a:prstGeom>
                  </pic:spPr>
                </pic:pic>
              </a:graphicData>
            </a:graphic>
          </wp:inline>
        </w:drawing>
      </w:r>
      <w:r w:rsidR="001D713B" w:rsidRPr="001D713B">
        <w:t xml:space="preserve"> Tesco had an increase of ROE in 10.22 in FY2024 and 13.98 in FY2025. This is a strong improvement. It is a sign that the firm had better net profit margin as compared to the capital invested by shareholders. The growth was largely contributed by an increase in earnings within the year as opposed to a substantial growth in equity</w:t>
      </w:r>
      <w:r w:rsidR="008E6BC9" w:rsidRPr="008E6BC9">
        <w:t>.</w:t>
      </w:r>
    </w:p>
    <w:p w14:paraId="2B170E14" w14:textId="6B5D46E6" w:rsidR="00A85157" w:rsidRDefault="00A85157" w:rsidP="004D2F6B">
      <w:r w:rsidRPr="00A60248">
        <w:rPr>
          <w:b/>
          <w:bCs/>
        </w:rPr>
        <w:t>ROCE (proxy</w:t>
      </w:r>
      <w:r w:rsidR="00A60248" w:rsidRPr="00A60248">
        <w:rPr>
          <w:b/>
          <w:bCs/>
        </w:rPr>
        <w:t>):</w:t>
      </w:r>
      <w:r w:rsidR="00A60248">
        <w:t xml:space="preserve"> </w:t>
      </w:r>
      <w:r w:rsidR="001D713B" w:rsidRPr="001D713B">
        <w:t>ROCE is used to determine the efficiency of a company in terms of using long-term capital to earn operating profit</w:t>
      </w:r>
      <w:r w:rsidR="00766D22">
        <w:t xml:space="preserve"> (</w:t>
      </w:r>
      <w:r w:rsidR="00766D22" w:rsidRPr="00B429A7">
        <w:t>Singh</w:t>
      </w:r>
      <w:r w:rsidR="00766D22">
        <w:t xml:space="preserve"> and</w:t>
      </w:r>
      <w:r w:rsidR="00766D22" w:rsidRPr="00B429A7">
        <w:t xml:space="preserve"> Yadav, 2013)</w:t>
      </w:r>
      <w:r w:rsidR="001D713B" w:rsidRPr="001D713B">
        <w:t>.</w:t>
      </w:r>
    </w:p>
    <w:p w14:paraId="14AA21B0" w14:textId="17D9E99B" w:rsidR="00A85157" w:rsidRDefault="00361920" w:rsidP="001D713B">
      <w:r w:rsidRPr="00361920">
        <w:rPr>
          <w:noProof/>
        </w:rPr>
        <w:drawing>
          <wp:inline distT="0" distB="0" distL="0" distR="0" wp14:anchorId="07174B64" wp14:editId="34CFC398">
            <wp:extent cx="5943600" cy="1183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183640"/>
                    </a:xfrm>
                    <a:prstGeom prst="rect">
                      <a:avLst/>
                    </a:prstGeom>
                  </pic:spPr>
                </pic:pic>
              </a:graphicData>
            </a:graphic>
          </wp:inline>
        </w:drawing>
      </w:r>
      <w:r w:rsidR="001D713B" w:rsidRPr="001D713B">
        <w:t xml:space="preserve"> </w:t>
      </w:r>
      <w:r w:rsidR="001D713B">
        <w:t xml:space="preserve">The ROCE of Tesco fell marginally to 13.21% in FY2024 and 12.84% in FY2025. Such a fall shows that there is a minor decrease in capital efficiency. The decline is in line with the reduction in the operating margin in the year. Even though the profitability increased at net level, the rate at which the operating profit increased was low compared to the rate at which the total capital employed increased. The outcome can be the increased investment in assets or working capital which enlarged the capital base </w:t>
      </w:r>
      <w:r w:rsidR="00822922">
        <w:t>(</w:t>
      </w:r>
      <w:r w:rsidR="00822922" w:rsidRPr="005A7FB1">
        <w:t>Koller</w:t>
      </w:r>
      <w:r w:rsidR="00822922">
        <w:t xml:space="preserve"> et al., 2025)</w:t>
      </w:r>
      <w:r w:rsidR="008E6BC9">
        <w:t xml:space="preserve">. </w:t>
      </w:r>
    </w:p>
    <w:p w14:paraId="3BDD1878" w14:textId="3DB17026" w:rsidR="00A85157" w:rsidRPr="00A85157" w:rsidRDefault="00A85157" w:rsidP="001D713B">
      <w:pPr>
        <w:pStyle w:val="Heading4"/>
      </w:pPr>
      <w:r w:rsidRPr="00A85157">
        <w:t>Liquidity</w:t>
      </w:r>
    </w:p>
    <w:p w14:paraId="1E1C4A86" w14:textId="4C787BBE" w:rsidR="00A85157" w:rsidRDefault="00A85157" w:rsidP="004D2F6B">
      <w:r w:rsidRPr="00A60248">
        <w:rPr>
          <w:b/>
          <w:bCs/>
        </w:rPr>
        <w:t>Current ratio</w:t>
      </w:r>
      <w:r w:rsidR="00A60248" w:rsidRPr="00A60248">
        <w:rPr>
          <w:b/>
          <w:bCs/>
        </w:rPr>
        <w:t>:</w:t>
      </w:r>
      <w:r w:rsidR="00A60248">
        <w:t xml:space="preserve"> </w:t>
      </w:r>
      <w:r w:rsidR="00822264" w:rsidRPr="00822264">
        <w:t>The current ratio is the capacity of a company to respond to short-term liabilities through the utilisation of current assets</w:t>
      </w:r>
      <w:r w:rsidR="00766D22">
        <w:t xml:space="preserve"> (</w:t>
      </w:r>
      <w:r w:rsidR="00766D22" w:rsidRPr="00B429A7">
        <w:t>Husna</w:t>
      </w:r>
      <w:r w:rsidR="00766D22">
        <w:t xml:space="preserve"> and </w:t>
      </w:r>
      <w:r w:rsidR="00766D22" w:rsidRPr="00B429A7">
        <w:t>Satria, 2019)</w:t>
      </w:r>
      <w:r w:rsidR="00822264" w:rsidRPr="00822264">
        <w:t>.</w:t>
      </w:r>
    </w:p>
    <w:p w14:paraId="0DE710AF" w14:textId="77777777" w:rsidR="00822264" w:rsidRDefault="00361920" w:rsidP="00822264">
      <w:r w:rsidRPr="00361920">
        <w:rPr>
          <w:noProof/>
        </w:rPr>
        <w:drawing>
          <wp:inline distT="0" distB="0" distL="0" distR="0" wp14:anchorId="23C3049E" wp14:editId="443D86A6">
            <wp:extent cx="5943600" cy="1257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257300"/>
                    </a:xfrm>
                    <a:prstGeom prst="rect">
                      <a:avLst/>
                    </a:prstGeom>
                  </pic:spPr>
                </pic:pic>
              </a:graphicData>
            </a:graphic>
          </wp:inline>
        </w:drawing>
      </w:r>
    </w:p>
    <w:p w14:paraId="26B2B456" w14:textId="34344403" w:rsidR="00A60248" w:rsidRDefault="00822264" w:rsidP="00822264">
      <w:r>
        <w:lastRenderedPageBreak/>
        <w:t>The current ratio of Tesco declined to 0.64 in FY2025 as compared to 0.66 in FY2024. The ratio is less than 1, that is, the current liabilities are higher than the current assets. This can be weak, but this is common in the UK food retail industry where industry average is usually between 0.6 and 0.8 because of the high turnover of inventory and the high supplier credit terms. Tesco uses high stock turnover and long payment terms with its suppliers to facilitate liquidity.</w:t>
      </w:r>
    </w:p>
    <w:p w14:paraId="7EF90300" w14:textId="2A744F0A" w:rsidR="00A85157" w:rsidRDefault="00A85157" w:rsidP="004D2F6B">
      <w:r w:rsidRPr="00A60248">
        <w:rPr>
          <w:b/>
          <w:bCs/>
        </w:rPr>
        <w:t>Quick ratio</w:t>
      </w:r>
      <w:r w:rsidR="00A60248" w:rsidRPr="00A60248">
        <w:rPr>
          <w:b/>
          <w:bCs/>
        </w:rPr>
        <w:t>:</w:t>
      </w:r>
      <w:r w:rsidR="00A60248">
        <w:t xml:space="preserve"> </w:t>
      </w:r>
      <w:r w:rsidR="00822264" w:rsidRPr="00822264">
        <w:t>The quick ratio is the liquidity in the short term that does not include inventory</w:t>
      </w:r>
      <w:r w:rsidR="00573067">
        <w:t xml:space="preserve"> (</w:t>
      </w:r>
      <w:r w:rsidR="00573067" w:rsidRPr="0011653C">
        <w:t>Saleem</w:t>
      </w:r>
      <w:r w:rsidR="00573067">
        <w:t xml:space="preserve"> and</w:t>
      </w:r>
      <w:r w:rsidR="00573067" w:rsidRPr="0011653C">
        <w:t xml:space="preserve"> Rehman, 2011)</w:t>
      </w:r>
      <w:r w:rsidR="00822264" w:rsidRPr="00822264">
        <w:t>.</w:t>
      </w:r>
      <w:r w:rsidR="00A60248" w:rsidRPr="00A60248">
        <w:t xml:space="preserve"> </w:t>
      </w:r>
    </w:p>
    <w:p w14:paraId="60675D27" w14:textId="060CA473" w:rsidR="00A85157" w:rsidRPr="00A85157" w:rsidRDefault="00361920" w:rsidP="00822264">
      <w:r w:rsidRPr="00361920">
        <w:rPr>
          <w:noProof/>
        </w:rPr>
        <w:drawing>
          <wp:inline distT="0" distB="0" distL="0" distR="0" wp14:anchorId="265BC8D2" wp14:editId="3D7EEDAD">
            <wp:extent cx="5943600" cy="12211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221105"/>
                    </a:xfrm>
                    <a:prstGeom prst="rect">
                      <a:avLst/>
                    </a:prstGeom>
                  </pic:spPr>
                </pic:pic>
              </a:graphicData>
            </a:graphic>
          </wp:inline>
        </w:drawing>
      </w:r>
      <w:r w:rsidR="00822264" w:rsidRPr="00822264">
        <w:t xml:space="preserve"> </w:t>
      </w:r>
      <w:r w:rsidR="00822264">
        <w:t>The quick ratio of Tesco dropped to 0.44 as compared to 0.46, which was still far short of the traditional figure of 1.0. This validates low coverage of liquid assets by use of stock sales. Low quick ratios as it is common in food retail is however accompanied by the decreasing trend, indicating a greater scarcity of liquidity in the short term. Under normal trading condition liquidity position of Tesco is manageable but is exposed to unforeseen cash shocks of decreased supplier credit flexibility.</w:t>
      </w:r>
      <w:r w:rsidR="00822922">
        <w:t xml:space="preserve"> (</w:t>
      </w:r>
      <w:r w:rsidR="00822922" w:rsidRPr="005A7FB1">
        <w:t>Affes</w:t>
      </w:r>
      <w:r w:rsidR="00822922">
        <w:t xml:space="preserve"> and </w:t>
      </w:r>
      <w:r w:rsidR="00822922" w:rsidRPr="005A7FB1">
        <w:t>Jarboui, 2023)</w:t>
      </w:r>
      <w:r w:rsidR="008E6BC9" w:rsidRPr="008E6BC9">
        <w:t xml:space="preserve">. </w:t>
      </w:r>
    </w:p>
    <w:p w14:paraId="1ED7C214" w14:textId="5B283575" w:rsidR="00A85157" w:rsidRPr="00A85157" w:rsidRDefault="00A85157" w:rsidP="00451D82">
      <w:pPr>
        <w:pStyle w:val="Heading4"/>
      </w:pPr>
      <w:r w:rsidRPr="00A85157">
        <w:t>Gearing / solvency</w:t>
      </w:r>
    </w:p>
    <w:p w14:paraId="37AFA772" w14:textId="3D624B4D" w:rsidR="00A85157" w:rsidRDefault="00A85157" w:rsidP="004D2F6B">
      <w:r w:rsidRPr="00A60248">
        <w:rPr>
          <w:b/>
          <w:bCs/>
        </w:rPr>
        <w:t>Net debt / equity</w:t>
      </w:r>
      <w:r w:rsidR="00A60248" w:rsidRPr="00A60248">
        <w:rPr>
          <w:b/>
          <w:bCs/>
        </w:rPr>
        <w:t>:</w:t>
      </w:r>
      <w:r w:rsidR="00A60248">
        <w:t xml:space="preserve"> </w:t>
      </w:r>
      <w:r w:rsidR="0099105B" w:rsidRPr="0099105B">
        <w:t>The net debt to equity ratio indicates the degree of the financial leverage as well as the long-term financial risk</w:t>
      </w:r>
      <w:r w:rsidR="00573067">
        <w:t xml:space="preserve"> (</w:t>
      </w:r>
      <w:r w:rsidR="00573067" w:rsidRPr="0011653C">
        <w:t>Appiah</w:t>
      </w:r>
      <w:r w:rsidR="00573067">
        <w:t xml:space="preserve"> et al., 2020)</w:t>
      </w:r>
      <w:r w:rsidR="0099105B" w:rsidRPr="0099105B">
        <w:t>.</w:t>
      </w:r>
    </w:p>
    <w:p w14:paraId="584325C5" w14:textId="1FF9DC40" w:rsidR="0099105B" w:rsidRDefault="00361920" w:rsidP="0099105B">
      <w:r w:rsidRPr="00361920">
        <w:rPr>
          <w:noProof/>
        </w:rPr>
        <w:drawing>
          <wp:inline distT="0" distB="0" distL="0" distR="0" wp14:anchorId="5748ADB2" wp14:editId="7ADFB5A5">
            <wp:extent cx="5943600" cy="12534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253490"/>
                    </a:xfrm>
                    <a:prstGeom prst="rect">
                      <a:avLst/>
                    </a:prstGeom>
                  </pic:spPr>
                </pic:pic>
              </a:graphicData>
            </a:graphic>
          </wp:inline>
        </w:drawing>
      </w:r>
      <w:r w:rsidR="0099105B" w:rsidRPr="0099105B">
        <w:t xml:space="preserve"> </w:t>
      </w:r>
      <w:r w:rsidR="0099105B">
        <w:t>The ratio of Tesco was slightly reduced: it was 0.83 in FY2024 and 0.81 in FY2025. This shows that leverage has slightly decreased. The company has a moderate level of gearing with the ratio being less than 1.0 which implies that equity financing is more than net debt.</w:t>
      </w:r>
    </w:p>
    <w:p w14:paraId="230CDBB9" w14:textId="77777777" w:rsidR="0099105B" w:rsidRDefault="0099105B" w:rsidP="0099105B"/>
    <w:p w14:paraId="699C9F08" w14:textId="61E16C05" w:rsidR="00A60248" w:rsidRDefault="0099105B" w:rsidP="0099105B">
      <w:r>
        <w:t xml:space="preserve">Gearing of between 0.5 and 1.0 is typical in the UK retail industry because cash flows are stable. The position of Tesco is in this range. The minimal decrease is an indicator of strong balance sheet and lower financial risk although the dependence on borrowing is very high. </w:t>
      </w:r>
      <w:r w:rsidR="00822922">
        <w:t>(</w:t>
      </w:r>
      <w:r w:rsidR="00822922" w:rsidRPr="005A7FB1">
        <w:t>Sureshchandar, 2023)</w:t>
      </w:r>
      <w:r w:rsidR="008E6BC9" w:rsidRPr="008E6BC9">
        <w:t>.</w:t>
      </w:r>
    </w:p>
    <w:p w14:paraId="0C093570" w14:textId="7A49228D" w:rsidR="00A85157" w:rsidRDefault="00A85157" w:rsidP="004D2F6B">
      <w:r w:rsidRPr="00A60248">
        <w:rPr>
          <w:b/>
          <w:bCs/>
        </w:rPr>
        <w:t>Interest cover</w:t>
      </w:r>
      <w:r w:rsidR="00A60248" w:rsidRPr="00A60248">
        <w:rPr>
          <w:b/>
          <w:bCs/>
        </w:rPr>
        <w:t>:</w:t>
      </w:r>
      <w:r w:rsidR="00A60248">
        <w:t xml:space="preserve"> </w:t>
      </w:r>
      <w:r w:rsidR="0099105B" w:rsidRPr="0099105B">
        <w:t>Interest cover ratios of interest coverage determine the ease of operating profit to cover interest payments</w:t>
      </w:r>
      <w:r w:rsidR="00A60248" w:rsidRPr="00A60248">
        <w:t>.</w:t>
      </w:r>
    </w:p>
    <w:p w14:paraId="2CB74ED1" w14:textId="0C547FA6" w:rsidR="00A85157" w:rsidRDefault="00361920" w:rsidP="0099105B">
      <w:r w:rsidRPr="00361920">
        <w:rPr>
          <w:noProof/>
        </w:rPr>
        <w:drawing>
          <wp:inline distT="0" distB="0" distL="0" distR="0" wp14:anchorId="16452911" wp14:editId="7A63C2F1">
            <wp:extent cx="5943600" cy="12426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242695"/>
                    </a:xfrm>
                    <a:prstGeom prst="rect">
                      <a:avLst/>
                    </a:prstGeom>
                  </pic:spPr>
                </pic:pic>
              </a:graphicData>
            </a:graphic>
          </wp:inline>
        </w:drawing>
      </w:r>
      <w:r w:rsidR="0099105B">
        <w:t>The interest coverage of Tesco increased to 3.63 times. It implies that operating profit bears the interest costs thrice. The growth is an indication of better earnings compared to finance costs. Any benchmark of over 3 times is usually considered reasonable in the retail industry. Tesco achieves this threshold though the safety margin is average. The financial resilience would be improved with further enhancement of short-term solvency risk, which is managed</w:t>
      </w:r>
      <w:r w:rsidR="008E6BC9" w:rsidRPr="008E6BC9">
        <w:t>.</w:t>
      </w:r>
    </w:p>
    <w:p w14:paraId="035FC329" w14:textId="3097A751" w:rsidR="00A85157" w:rsidRPr="009C10FA" w:rsidRDefault="00A85157" w:rsidP="00451D82">
      <w:pPr>
        <w:pStyle w:val="Heading4"/>
      </w:pPr>
      <w:r w:rsidRPr="009C10FA">
        <w:t>Efficiency</w:t>
      </w:r>
    </w:p>
    <w:p w14:paraId="5D0F97D7" w14:textId="5520AEA7" w:rsidR="00A85157" w:rsidRDefault="009C10FA" w:rsidP="004D2F6B">
      <w:r w:rsidRPr="00A60248">
        <w:rPr>
          <w:b/>
          <w:bCs/>
        </w:rPr>
        <w:t>Inventory days</w:t>
      </w:r>
      <w:r w:rsidR="00A60248" w:rsidRPr="00A60248">
        <w:rPr>
          <w:b/>
          <w:bCs/>
        </w:rPr>
        <w:t>:</w:t>
      </w:r>
      <w:r w:rsidR="00A60248">
        <w:t xml:space="preserve"> </w:t>
      </w:r>
      <w:r w:rsidR="00451D82" w:rsidRPr="00451D82">
        <w:t>Inventory days are used to measure stock holding period</w:t>
      </w:r>
      <w:r w:rsidR="00573067">
        <w:t xml:space="preserve"> (</w:t>
      </w:r>
      <w:r w:rsidR="00573067" w:rsidRPr="0011653C">
        <w:t>Yamazaki</w:t>
      </w:r>
      <w:r w:rsidR="00573067">
        <w:t xml:space="preserve"> et al., 2016)</w:t>
      </w:r>
      <w:r w:rsidR="00451D82" w:rsidRPr="00451D82">
        <w:t>.</w:t>
      </w:r>
    </w:p>
    <w:p w14:paraId="226612AC" w14:textId="603A8193" w:rsidR="00C11206" w:rsidRDefault="00C11206" w:rsidP="004D2F6B">
      <w:r>
        <w:t xml:space="preserve">Formula: </w:t>
      </w:r>
      <w:r w:rsidRPr="00C11206">
        <w:t>(Inventories / Cost of sales) × 365</w:t>
      </w:r>
    </w:p>
    <w:p w14:paraId="2C58300B" w14:textId="0D74AD40" w:rsidR="00A60248" w:rsidRDefault="00361920" w:rsidP="00451D82">
      <w:r w:rsidRPr="00361920">
        <w:rPr>
          <w:noProof/>
        </w:rPr>
        <w:drawing>
          <wp:inline distT="0" distB="0" distL="0" distR="0" wp14:anchorId="0E267945" wp14:editId="516E390D">
            <wp:extent cx="5943600" cy="11785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178560"/>
                    </a:xfrm>
                    <a:prstGeom prst="rect">
                      <a:avLst/>
                    </a:prstGeom>
                  </pic:spPr>
                </pic:pic>
              </a:graphicData>
            </a:graphic>
          </wp:inline>
        </w:drawing>
      </w:r>
      <w:r w:rsidR="00451D82" w:rsidRPr="00451D82">
        <w:t xml:space="preserve"> </w:t>
      </w:r>
      <w:r w:rsidR="00451D82">
        <w:t xml:space="preserve">The inventory days of Tesco went slightly up to 15.31 days to 15.74 days. This implies that stock spend longer time in stores. Though the growth is negligible, a lower turnover will raise holding costs and spoilage risk. In the UK food retailing industry, the inventory days are usually 14 to 18 </w:t>
      </w:r>
      <w:r w:rsidR="00451D82">
        <w:lastRenderedPageBreak/>
        <w:t xml:space="preserve">days. Tesco is still in this benchmark range. Hence, the management of stock is effective, but the increase in the trend needs to be tracked to prevent a strain on margins </w:t>
      </w:r>
      <w:r w:rsidR="00822922">
        <w:t>(</w:t>
      </w:r>
      <w:r w:rsidR="00822922" w:rsidRPr="005A7FB1">
        <w:t>Parrino</w:t>
      </w:r>
      <w:r w:rsidR="00822922">
        <w:t xml:space="preserve"> et al., 2025)</w:t>
      </w:r>
      <w:r w:rsidR="008E6BC9" w:rsidRPr="008E6BC9">
        <w:t>.</w:t>
      </w:r>
    </w:p>
    <w:p w14:paraId="4519A330" w14:textId="71F76717" w:rsidR="009C10FA" w:rsidRDefault="009C10FA" w:rsidP="004D2F6B">
      <w:r w:rsidRPr="00A60248">
        <w:rPr>
          <w:b/>
          <w:bCs/>
        </w:rPr>
        <w:t>Receivable’s days (proxy)</w:t>
      </w:r>
      <w:r w:rsidR="00A60248" w:rsidRPr="00A60248">
        <w:rPr>
          <w:b/>
          <w:bCs/>
        </w:rPr>
        <w:t>:</w:t>
      </w:r>
      <w:r w:rsidR="00A60248">
        <w:t xml:space="preserve"> </w:t>
      </w:r>
      <w:r w:rsidR="00451D82" w:rsidRPr="00451D82">
        <w:t>The days outstanding receivables are used to measure the speed of payment</w:t>
      </w:r>
      <w:r w:rsidR="00573067">
        <w:t xml:space="preserve"> (</w:t>
      </w:r>
      <w:r w:rsidR="00573067" w:rsidRPr="0011653C">
        <w:t>Siekelova</w:t>
      </w:r>
      <w:r w:rsidR="00573067">
        <w:t xml:space="preserve"> et al.,2017)</w:t>
      </w:r>
      <w:r w:rsidR="00A60248" w:rsidRPr="00A60248">
        <w:t>.</w:t>
      </w:r>
    </w:p>
    <w:p w14:paraId="34B0A6B2" w14:textId="7934D6B7" w:rsidR="00C11206" w:rsidRDefault="00C11206" w:rsidP="004D2F6B">
      <w:r>
        <w:t xml:space="preserve">Formula: </w:t>
      </w:r>
      <w:r w:rsidRPr="00C11206">
        <w:t>(Trade receivables / Revenue) × 365</w:t>
      </w:r>
    </w:p>
    <w:p w14:paraId="0A662D4A" w14:textId="753AD887" w:rsidR="00A60248" w:rsidRDefault="00361920" w:rsidP="00451D82">
      <w:r w:rsidRPr="00361920">
        <w:rPr>
          <w:noProof/>
        </w:rPr>
        <w:drawing>
          <wp:inline distT="0" distB="0" distL="0" distR="0" wp14:anchorId="33BCD2F4" wp14:editId="48A6C92E">
            <wp:extent cx="5943600" cy="1228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228725"/>
                    </a:xfrm>
                    <a:prstGeom prst="rect">
                      <a:avLst/>
                    </a:prstGeom>
                  </pic:spPr>
                </pic:pic>
              </a:graphicData>
            </a:graphic>
          </wp:inline>
        </w:drawing>
      </w:r>
      <w:r w:rsidR="00451D82" w:rsidRPr="00451D82">
        <w:t xml:space="preserve"> </w:t>
      </w:r>
      <w:r w:rsidR="00451D82">
        <w:t xml:space="preserve">Tesco reduced the number of the days of receivables to 6.32 days. This indicates quicker cash receipt. The enhancement enhances liquidity and assists in the management of working capital. The retail industry standards are usually not more than 10 days since the majority of the sales are in cash or cards. Tesco is doing well in this range, which shows that they have an efficient process of billing and settlement </w:t>
      </w:r>
      <w:r w:rsidR="00822922">
        <w:t>(</w:t>
      </w:r>
      <w:r w:rsidR="00822922" w:rsidRPr="005A7FB1">
        <w:t>Fraser</w:t>
      </w:r>
      <w:r w:rsidR="00822922">
        <w:t xml:space="preserve"> et al., 2016)</w:t>
      </w:r>
      <w:r w:rsidR="008E6BC9" w:rsidRPr="008E6BC9">
        <w:t>.</w:t>
      </w:r>
    </w:p>
    <w:p w14:paraId="6270C4A6" w14:textId="23363709" w:rsidR="009C10FA" w:rsidRDefault="009C10FA" w:rsidP="004D2F6B">
      <w:r w:rsidRPr="00A60248">
        <w:rPr>
          <w:b/>
          <w:bCs/>
        </w:rPr>
        <w:t>Payable’s days (proxy)</w:t>
      </w:r>
      <w:r w:rsidR="00A60248" w:rsidRPr="00A60248">
        <w:rPr>
          <w:b/>
          <w:bCs/>
        </w:rPr>
        <w:t>:</w:t>
      </w:r>
      <w:r w:rsidR="00A60248">
        <w:t xml:space="preserve"> </w:t>
      </w:r>
      <w:r w:rsidR="00451D82" w:rsidRPr="00451D82">
        <w:t>Payable’s days calculate the time required by the company to pay the suppliers</w:t>
      </w:r>
      <w:r w:rsidR="00573067">
        <w:t xml:space="preserve"> (</w:t>
      </w:r>
      <w:r w:rsidR="00573067" w:rsidRPr="0011653C">
        <w:t>Burnie</w:t>
      </w:r>
      <w:r w:rsidR="00573067">
        <w:t xml:space="preserve"> and </w:t>
      </w:r>
      <w:r w:rsidR="00573067" w:rsidRPr="0011653C">
        <w:t>Ridder, 2023)</w:t>
      </w:r>
      <w:r w:rsidR="00A60248" w:rsidRPr="00A60248">
        <w:t xml:space="preserve">. </w:t>
      </w:r>
    </w:p>
    <w:p w14:paraId="4E577957" w14:textId="13FDF4D9" w:rsidR="00C11206" w:rsidRDefault="00C11206" w:rsidP="004D2F6B">
      <w:r>
        <w:t xml:space="preserve">Formula: </w:t>
      </w:r>
      <w:r w:rsidRPr="00C11206">
        <w:t>(Trade payables / Cost of sales) × 365</w:t>
      </w:r>
    </w:p>
    <w:p w14:paraId="146494D2" w14:textId="77777777" w:rsidR="00451D82" w:rsidRDefault="00361920" w:rsidP="00451D82">
      <w:r w:rsidRPr="00361920">
        <w:rPr>
          <w:noProof/>
        </w:rPr>
        <w:drawing>
          <wp:inline distT="0" distB="0" distL="0" distR="0" wp14:anchorId="1EFFE40D" wp14:editId="15A01C5F">
            <wp:extent cx="5943600" cy="12852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285240"/>
                    </a:xfrm>
                    <a:prstGeom prst="rect">
                      <a:avLst/>
                    </a:prstGeom>
                  </pic:spPr>
                </pic:pic>
              </a:graphicData>
            </a:graphic>
          </wp:inline>
        </w:drawing>
      </w:r>
    </w:p>
    <w:p w14:paraId="184F7BCD" w14:textId="079B9CAD" w:rsidR="009C10FA" w:rsidRDefault="00451D82" w:rsidP="00451D82">
      <w:r>
        <w:t xml:space="preserve">Payable days of Tesco reduced marginally to 58.92 days as compared to 59.62 days. This implies that suppliers were given payments slightly quicker. Although this can enhance supplier relationships, it decreases the flexibility of the working capital. The average payables in the food retail extend to 50-65 days. Tesco is still in this yardstick. Nevertheless, the shorter terms of </w:t>
      </w:r>
      <w:r>
        <w:lastRenderedPageBreak/>
        <w:t>payment can discourage short term cash benefits unless it is compensated by a good performance in terms of sales.</w:t>
      </w:r>
    </w:p>
    <w:p w14:paraId="5CF9EC2B" w14:textId="3C4D2FB4" w:rsidR="009C10FA" w:rsidRPr="00451D82" w:rsidRDefault="009C10FA" w:rsidP="004D2F6B">
      <w:pPr>
        <w:rPr>
          <w:b/>
          <w:bCs/>
        </w:rPr>
      </w:pPr>
      <w:r w:rsidRPr="00451D82">
        <w:rPr>
          <w:b/>
          <w:bCs/>
        </w:rPr>
        <w:t>Investor indicators (directly evidenced)</w:t>
      </w:r>
    </w:p>
    <w:p w14:paraId="637B36B0" w14:textId="7E1A776E" w:rsidR="00A60248" w:rsidRDefault="009C10FA" w:rsidP="004D2F6B">
      <w:r w:rsidRPr="00A60248">
        <w:rPr>
          <w:b/>
          <w:bCs/>
        </w:rPr>
        <w:t>Dividend per share (DPS):</w:t>
      </w:r>
      <w:r w:rsidRPr="009C10FA">
        <w:t xml:space="preserve"> </w:t>
      </w:r>
      <w:r w:rsidR="00A60248" w:rsidRPr="00A60248">
        <w:t>DPS presents the amount of cash dividend paid to the shareholders per share</w:t>
      </w:r>
      <w:r w:rsidR="00D47441">
        <w:t xml:space="preserve"> (</w:t>
      </w:r>
      <w:r w:rsidR="00D47441" w:rsidRPr="00543482">
        <w:t>Sunaryo, 2020)</w:t>
      </w:r>
      <w:r w:rsidR="00A60248" w:rsidRPr="00A60248">
        <w:t xml:space="preserve">. </w:t>
      </w:r>
    </w:p>
    <w:tbl>
      <w:tblPr>
        <w:tblStyle w:val="GridTable1Light-Accent5"/>
        <w:tblW w:w="9366" w:type="dxa"/>
        <w:tblLook w:val="04A0" w:firstRow="1" w:lastRow="0" w:firstColumn="1" w:lastColumn="0" w:noHBand="0" w:noVBand="1"/>
      </w:tblPr>
      <w:tblGrid>
        <w:gridCol w:w="4682"/>
        <w:gridCol w:w="4684"/>
      </w:tblGrid>
      <w:tr w:rsidR="00D73B10" w14:paraId="51425AD5" w14:textId="77777777" w:rsidTr="00451D82">
        <w:trPr>
          <w:cnfStyle w:val="100000000000" w:firstRow="1" w:lastRow="0" w:firstColumn="0" w:lastColumn="0" w:oddVBand="0" w:evenVBand="0" w:oddHBand="0" w:evenHBand="0" w:firstRowFirstColumn="0" w:firstRowLastColumn="0" w:lastRowFirstColumn="0" w:lastRowLastColumn="0"/>
          <w:trHeight w:val="842"/>
        </w:trPr>
        <w:tc>
          <w:tcPr>
            <w:cnfStyle w:val="001000000000" w:firstRow="0" w:lastRow="0" w:firstColumn="1" w:lastColumn="0" w:oddVBand="0" w:evenVBand="0" w:oddHBand="0" w:evenHBand="0" w:firstRowFirstColumn="0" w:firstRowLastColumn="0" w:lastRowFirstColumn="0" w:lastRowLastColumn="0"/>
            <w:tcW w:w="4682" w:type="dxa"/>
          </w:tcPr>
          <w:p w14:paraId="18D85918" w14:textId="77777777" w:rsidR="00D73B10" w:rsidRDefault="00D73B10" w:rsidP="00DE20A4">
            <w:pPr>
              <w:jc w:val="center"/>
            </w:pPr>
            <w:r w:rsidRPr="00FF18F1">
              <w:t>FY2025</w:t>
            </w:r>
          </w:p>
        </w:tc>
        <w:tc>
          <w:tcPr>
            <w:tcW w:w="4684" w:type="dxa"/>
          </w:tcPr>
          <w:p w14:paraId="3EDEBA12" w14:textId="7CD362C3" w:rsidR="00D73B10" w:rsidRPr="00C11206" w:rsidRDefault="00D73B10" w:rsidP="00DE20A4">
            <w:pPr>
              <w:jc w:val="center"/>
              <w:cnfStyle w:val="100000000000" w:firstRow="1" w:lastRow="0" w:firstColumn="0" w:lastColumn="0" w:oddVBand="0" w:evenVBand="0" w:oddHBand="0" w:evenHBand="0" w:firstRowFirstColumn="0" w:firstRowLastColumn="0" w:lastRowFirstColumn="0" w:lastRowLastColumn="0"/>
              <w:rPr>
                <w:b w:val="0"/>
                <w:bCs w:val="0"/>
              </w:rPr>
            </w:pPr>
            <w:r w:rsidRPr="00D73B10">
              <w:rPr>
                <w:b w:val="0"/>
                <w:bCs w:val="0"/>
              </w:rPr>
              <w:t>13.70p</w:t>
            </w:r>
          </w:p>
        </w:tc>
      </w:tr>
      <w:tr w:rsidR="00D73B10" w14:paraId="5081E2AE" w14:textId="77777777" w:rsidTr="00451D82">
        <w:trPr>
          <w:trHeight w:val="877"/>
        </w:trPr>
        <w:tc>
          <w:tcPr>
            <w:cnfStyle w:val="001000000000" w:firstRow="0" w:lastRow="0" w:firstColumn="1" w:lastColumn="0" w:oddVBand="0" w:evenVBand="0" w:oddHBand="0" w:evenHBand="0" w:firstRowFirstColumn="0" w:firstRowLastColumn="0" w:lastRowFirstColumn="0" w:lastRowLastColumn="0"/>
            <w:tcW w:w="4682" w:type="dxa"/>
          </w:tcPr>
          <w:p w14:paraId="79A374E5" w14:textId="77777777" w:rsidR="00D73B10" w:rsidRDefault="00D73B10" w:rsidP="00DE20A4">
            <w:pPr>
              <w:jc w:val="center"/>
            </w:pPr>
            <w:r w:rsidRPr="00FF18F1">
              <w:t>FY2024</w:t>
            </w:r>
          </w:p>
        </w:tc>
        <w:tc>
          <w:tcPr>
            <w:tcW w:w="4684" w:type="dxa"/>
          </w:tcPr>
          <w:p w14:paraId="0EC8607E" w14:textId="30E7BB68" w:rsidR="00D73B10" w:rsidRDefault="00D73B10" w:rsidP="00DE20A4">
            <w:pPr>
              <w:jc w:val="center"/>
              <w:cnfStyle w:val="000000000000" w:firstRow="0" w:lastRow="0" w:firstColumn="0" w:lastColumn="0" w:oddVBand="0" w:evenVBand="0" w:oddHBand="0" w:evenHBand="0" w:firstRowFirstColumn="0" w:firstRowLastColumn="0" w:lastRowFirstColumn="0" w:lastRowLastColumn="0"/>
            </w:pPr>
            <w:r w:rsidRPr="00D73B10">
              <w:t xml:space="preserve">12.10p </w:t>
            </w:r>
          </w:p>
        </w:tc>
      </w:tr>
    </w:tbl>
    <w:p w14:paraId="74C7320F" w14:textId="046D8837" w:rsidR="00FF18F1" w:rsidRDefault="00F03ABA" w:rsidP="00451D82">
      <w:r w:rsidRPr="00F03ABA">
        <w:t>DPS has gone up to 13.70p upholding enhanced cash distributions to shareholders as compared to 12.10p</w:t>
      </w:r>
      <w:r>
        <w:t xml:space="preserve"> ((</w:t>
      </w:r>
      <w:r w:rsidRPr="005A7FB1">
        <w:t>Babalola</w:t>
      </w:r>
      <w:r>
        <w:t xml:space="preserve"> and </w:t>
      </w:r>
      <w:r w:rsidRPr="005A7FB1">
        <w:t>Abiola, 2013)</w:t>
      </w:r>
      <w:r w:rsidRPr="00F03ABA">
        <w:t>. This is an indication that the management believes there is stability in the cash flow. Nevertheless, as EPS decreases, increased dividend increases put pressure on pay-out. On the one hand, it is appealing to investors, but on the other hand, it decreases retained earnings, and internal funds that can be used to reinvest and expand the company in the future</w:t>
      </w:r>
      <w:r w:rsidR="00451D82">
        <w:t xml:space="preserve">. </w:t>
      </w:r>
    </w:p>
    <w:p w14:paraId="69A397CF" w14:textId="004D81B2" w:rsidR="00A60248" w:rsidRDefault="009C10FA" w:rsidP="004D2F6B">
      <w:r w:rsidRPr="00A60248">
        <w:rPr>
          <w:b/>
          <w:bCs/>
        </w:rPr>
        <w:t>EPS (continuing operations, basic):</w:t>
      </w:r>
      <w:r w:rsidRPr="009C10FA">
        <w:t xml:space="preserve"> </w:t>
      </w:r>
      <w:r w:rsidR="00A60248" w:rsidRPr="00A60248">
        <w:t>EPS explains the profit earned per share of ordinary stock</w:t>
      </w:r>
      <w:r w:rsidR="00D47441">
        <w:t xml:space="preserve"> (</w:t>
      </w:r>
      <w:r w:rsidR="00D47441" w:rsidRPr="00543482">
        <w:t>Ohlson</w:t>
      </w:r>
      <w:r w:rsidR="00D47441">
        <w:t xml:space="preserve"> and </w:t>
      </w:r>
      <w:r w:rsidR="00D47441" w:rsidRPr="00543482">
        <w:t>Juettner, 2005)</w:t>
      </w:r>
      <w:r w:rsidR="00A60248" w:rsidRPr="00A60248">
        <w:t xml:space="preserve">. </w:t>
      </w:r>
    </w:p>
    <w:tbl>
      <w:tblPr>
        <w:tblStyle w:val="GridTable1Light-Accent5"/>
        <w:tblW w:w="9226" w:type="dxa"/>
        <w:tblLook w:val="04A0" w:firstRow="1" w:lastRow="0" w:firstColumn="1" w:lastColumn="0" w:noHBand="0" w:noVBand="1"/>
      </w:tblPr>
      <w:tblGrid>
        <w:gridCol w:w="4612"/>
        <w:gridCol w:w="4614"/>
      </w:tblGrid>
      <w:tr w:rsidR="00D73B10" w14:paraId="494EC93D" w14:textId="77777777" w:rsidTr="00451D82">
        <w:trPr>
          <w:cnfStyle w:val="100000000000" w:firstRow="1" w:lastRow="0" w:firstColumn="0" w:lastColumn="0" w:oddVBand="0" w:evenVBand="0" w:oddHBand="0" w:evenHBand="0" w:firstRowFirstColumn="0" w:firstRowLastColumn="0" w:lastRowFirstColumn="0" w:lastRowLastColumn="0"/>
          <w:trHeight w:val="918"/>
        </w:trPr>
        <w:tc>
          <w:tcPr>
            <w:cnfStyle w:val="001000000000" w:firstRow="0" w:lastRow="0" w:firstColumn="1" w:lastColumn="0" w:oddVBand="0" w:evenVBand="0" w:oddHBand="0" w:evenHBand="0" w:firstRowFirstColumn="0" w:firstRowLastColumn="0" w:lastRowFirstColumn="0" w:lastRowLastColumn="0"/>
            <w:tcW w:w="4612" w:type="dxa"/>
          </w:tcPr>
          <w:p w14:paraId="4B59E49C" w14:textId="77777777" w:rsidR="00D73B10" w:rsidRDefault="00D73B10" w:rsidP="00DE20A4">
            <w:pPr>
              <w:jc w:val="center"/>
            </w:pPr>
            <w:r w:rsidRPr="00FF18F1">
              <w:t>FY2025</w:t>
            </w:r>
          </w:p>
        </w:tc>
        <w:tc>
          <w:tcPr>
            <w:tcW w:w="4614" w:type="dxa"/>
          </w:tcPr>
          <w:p w14:paraId="52A42417" w14:textId="2F59F5DA" w:rsidR="00D73B10" w:rsidRPr="00D73B10" w:rsidRDefault="00D73B10" w:rsidP="00DE20A4">
            <w:pPr>
              <w:jc w:val="center"/>
              <w:cnfStyle w:val="100000000000" w:firstRow="1" w:lastRow="0" w:firstColumn="0" w:lastColumn="0" w:oddVBand="0" w:evenVBand="0" w:oddHBand="0" w:evenHBand="0" w:firstRowFirstColumn="0" w:firstRowLastColumn="0" w:lastRowFirstColumn="0" w:lastRowLastColumn="0"/>
              <w:rPr>
                <w:b w:val="0"/>
                <w:bCs w:val="0"/>
              </w:rPr>
            </w:pPr>
            <w:r w:rsidRPr="00D73B10">
              <w:rPr>
                <w:b w:val="0"/>
                <w:bCs w:val="0"/>
              </w:rPr>
              <w:t>23.41p</w:t>
            </w:r>
          </w:p>
        </w:tc>
      </w:tr>
      <w:tr w:rsidR="00D73B10" w14:paraId="72565FB9" w14:textId="77777777" w:rsidTr="00451D82">
        <w:trPr>
          <w:trHeight w:val="956"/>
        </w:trPr>
        <w:tc>
          <w:tcPr>
            <w:cnfStyle w:val="001000000000" w:firstRow="0" w:lastRow="0" w:firstColumn="1" w:lastColumn="0" w:oddVBand="0" w:evenVBand="0" w:oddHBand="0" w:evenHBand="0" w:firstRowFirstColumn="0" w:firstRowLastColumn="0" w:lastRowFirstColumn="0" w:lastRowLastColumn="0"/>
            <w:tcW w:w="4612" w:type="dxa"/>
          </w:tcPr>
          <w:p w14:paraId="6E8B16A1" w14:textId="77777777" w:rsidR="00D73B10" w:rsidRDefault="00D73B10" w:rsidP="00DE20A4">
            <w:pPr>
              <w:jc w:val="center"/>
            </w:pPr>
            <w:r w:rsidRPr="00FF18F1">
              <w:t>FY2024</w:t>
            </w:r>
          </w:p>
        </w:tc>
        <w:tc>
          <w:tcPr>
            <w:tcW w:w="4614" w:type="dxa"/>
          </w:tcPr>
          <w:p w14:paraId="68F006C9" w14:textId="763993CE" w:rsidR="00D73B10" w:rsidRDefault="00D73B10" w:rsidP="00DE20A4">
            <w:pPr>
              <w:jc w:val="center"/>
              <w:cnfStyle w:val="000000000000" w:firstRow="0" w:lastRow="0" w:firstColumn="0" w:lastColumn="0" w:oddVBand="0" w:evenVBand="0" w:oddHBand="0" w:evenHBand="0" w:firstRowFirstColumn="0" w:firstRowLastColumn="0" w:lastRowFirstColumn="0" w:lastRowLastColumn="0"/>
            </w:pPr>
            <w:r w:rsidRPr="00D73B10">
              <w:t>24.80p</w:t>
            </w:r>
          </w:p>
        </w:tc>
      </w:tr>
    </w:tbl>
    <w:p w14:paraId="68CCFF8B" w14:textId="4212C280" w:rsidR="009C6CF3" w:rsidRDefault="00F03ABA" w:rsidP="00F03ABA">
      <w:r>
        <w:t>Simple EPS decreased by 24.80p to 23.41p although there was an increase in statutory profit. This implies a lower per share earnings attribution (</w:t>
      </w:r>
      <w:r w:rsidRPr="005906B5">
        <w:t>Bhimani, 2022)</w:t>
      </w:r>
      <w:r>
        <w:t>. The decrease can be due to cost pressure or alteration of the number of shares. Stable EPS in mature retailers is a natural phenomenon thus this decrease somewhat dilutes perceived earnings quality and shareholder value</w:t>
      </w:r>
      <w:r w:rsidR="00332B72">
        <w:t xml:space="preserve">. </w:t>
      </w:r>
    </w:p>
    <w:p w14:paraId="12BA26EC" w14:textId="76A32C5F" w:rsidR="009C10FA" w:rsidRPr="00332B72" w:rsidRDefault="009C10FA" w:rsidP="004D2F6B">
      <w:pPr>
        <w:rPr>
          <w:b/>
          <w:bCs/>
        </w:rPr>
      </w:pPr>
      <w:r w:rsidRPr="00332B72">
        <w:rPr>
          <w:b/>
          <w:bCs/>
        </w:rPr>
        <w:t>Dividend cover (proxy) = EPS / DPS</w:t>
      </w:r>
    </w:p>
    <w:p w14:paraId="76675F54" w14:textId="3283685F" w:rsidR="009C10FA" w:rsidRDefault="00810837" w:rsidP="00332B72">
      <w:r w:rsidRPr="00810837">
        <w:rPr>
          <w:noProof/>
        </w:rPr>
        <w:lastRenderedPageBreak/>
        <w:drawing>
          <wp:inline distT="0" distB="0" distL="0" distR="0" wp14:anchorId="0E92B01B" wp14:editId="0DA07537">
            <wp:extent cx="5943600" cy="12477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247775"/>
                    </a:xfrm>
                    <a:prstGeom prst="rect">
                      <a:avLst/>
                    </a:prstGeom>
                  </pic:spPr>
                </pic:pic>
              </a:graphicData>
            </a:graphic>
          </wp:inline>
        </w:drawing>
      </w:r>
      <w:r w:rsidR="00332B72" w:rsidRPr="00332B72">
        <w:t xml:space="preserve"> </w:t>
      </w:r>
      <w:r w:rsidR="00F03ABA" w:rsidRPr="00F03ABA">
        <w:t>The dividend cover has gone down to 1.71 times and Tesco is on the lower part of the UK retail covering range between 1.5 and 2.5 times. The reduced buffer still makes pay-out risk, but this risk is reduced</w:t>
      </w:r>
      <w:r w:rsidR="00D47441">
        <w:t xml:space="preserve"> (</w:t>
      </w:r>
      <w:r w:rsidR="00D47441" w:rsidRPr="00543482">
        <w:t>Sunaryo, 2020)</w:t>
      </w:r>
      <w:r w:rsidR="00F03ABA" w:rsidRPr="00F03ABA">
        <w:t>. In case of reduced profits, Tesco might be under pressure to maintain the dividends without raising leverage</w:t>
      </w:r>
      <w:r w:rsidR="00332B72">
        <w:t>.</w:t>
      </w:r>
    </w:p>
    <w:p w14:paraId="3D0B0C92" w14:textId="5BB7B12C" w:rsidR="009C10FA" w:rsidRDefault="00950E50" w:rsidP="00392463">
      <w:pPr>
        <w:pStyle w:val="Heading2"/>
      </w:pPr>
      <w:bookmarkStart w:id="32" w:name="_Toc218268956"/>
      <w:bookmarkStart w:id="33" w:name="_Toc218269022"/>
      <w:bookmarkStart w:id="34" w:name="_Toc223379531"/>
      <w:bookmarkStart w:id="35" w:name="_Toc223379709"/>
      <w:bookmarkStart w:id="36" w:name="_Toc223379779"/>
      <w:bookmarkStart w:id="37" w:name="_Toc223379889"/>
      <w:bookmarkStart w:id="38" w:name="_Toc223380604"/>
      <w:bookmarkStart w:id="39" w:name="_Toc223729979"/>
      <w:r>
        <w:t>1.</w:t>
      </w:r>
      <w:r w:rsidR="00FB2448">
        <w:t>3</w:t>
      </w:r>
      <w:r w:rsidR="009C10FA" w:rsidRPr="009C10FA">
        <w:t xml:space="preserve"> Critical evaluation of ratio movements</w:t>
      </w:r>
      <w:bookmarkEnd w:id="32"/>
      <w:bookmarkEnd w:id="33"/>
      <w:bookmarkEnd w:id="34"/>
      <w:bookmarkEnd w:id="35"/>
      <w:bookmarkEnd w:id="36"/>
      <w:bookmarkEnd w:id="37"/>
      <w:bookmarkEnd w:id="38"/>
      <w:bookmarkEnd w:id="39"/>
    </w:p>
    <w:p w14:paraId="4EC5A2C9" w14:textId="0525A81A" w:rsidR="00D93500" w:rsidRDefault="00950E50" w:rsidP="00392463">
      <w:pPr>
        <w:pStyle w:val="Heading3"/>
      </w:pPr>
      <w:bookmarkStart w:id="40" w:name="_Toc218268957"/>
      <w:bookmarkStart w:id="41" w:name="_Toc218269023"/>
      <w:bookmarkStart w:id="42" w:name="_Toc223379532"/>
      <w:bookmarkStart w:id="43" w:name="_Toc223379710"/>
      <w:bookmarkStart w:id="44" w:name="_Toc223379780"/>
      <w:bookmarkStart w:id="45" w:name="_Toc223379890"/>
      <w:bookmarkStart w:id="46" w:name="_Toc223380605"/>
      <w:bookmarkStart w:id="47" w:name="_Toc223729980"/>
      <w:r>
        <w:t>1.</w:t>
      </w:r>
      <w:r w:rsidR="00FB2448">
        <w:t>3</w:t>
      </w:r>
      <w:r w:rsidR="00D93500" w:rsidRPr="00392463">
        <w:t>.1 Profitability</w:t>
      </w:r>
      <w:bookmarkEnd w:id="40"/>
      <w:bookmarkEnd w:id="41"/>
      <w:bookmarkEnd w:id="42"/>
      <w:bookmarkEnd w:id="43"/>
      <w:bookmarkEnd w:id="44"/>
      <w:bookmarkEnd w:id="45"/>
      <w:bookmarkEnd w:id="46"/>
      <w:bookmarkEnd w:id="47"/>
    </w:p>
    <w:p w14:paraId="36B8889E" w14:textId="385FE5C2" w:rsidR="00CC384A" w:rsidRDefault="00CC384A" w:rsidP="00CC384A">
      <w:r>
        <w:t>The gross margin of Tesco increased marginally which means that pricing policy and discussions with the suppliers were effective even amidst inflationary pressure. This implies that the firm was competitive in the grocery market on product level profitability. Comparing to the food retail industry in the UK, in which margin is usually low, the performance of Tesco indicates the maintenance of costs control at the purchasing level. Nevertheless, operating margin decreased despite an increase in revenue</w:t>
      </w:r>
      <w:r w:rsidR="00D47441">
        <w:t xml:space="preserve"> (</w:t>
      </w:r>
      <w:r w:rsidR="00D47441" w:rsidRPr="00543482">
        <w:t>Drury, 2020)</w:t>
      </w:r>
      <w:r>
        <w:t>. This shows that the operating expenses, in terms of wages, energy, logistics and store costs increased at a higher rate than sales. Tesco is operationally competitive, as it is still within the UK industry range, which is around 2-4%. However, the fall in trend is an indicator of pressure on cost that the management should keep a close eye on.</w:t>
      </w:r>
    </w:p>
    <w:p w14:paraId="041B5D16" w14:textId="65645B4D" w:rsidR="00CC384A" w:rsidRPr="00CC384A" w:rsidRDefault="00CC384A" w:rsidP="00CC384A">
      <w:r>
        <w:t>Net margin was also improved which implies that items which were below the operating like the finance costs or the tax effects had a positive impact on final profitability</w:t>
      </w:r>
      <w:r w:rsidR="00D47441">
        <w:t xml:space="preserve"> (</w:t>
      </w:r>
      <w:r w:rsidR="00D47441" w:rsidRPr="00543482">
        <w:t>Kersten</w:t>
      </w:r>
      <w:r w:rsidR="00D47441">
        <w:t xml:space="preserve"> et al., 2017)</w:t>
      </w:r>
      <w:r>
        <w:t>. This points out the need to analyse the operating and post-operating performance. It must be noted also that organisations establish internal benchmarks in the form of the organisation own cost structures, scale and the accounting policies. Thus, the purpose of industry comparison is welcome, but the performance of Tesco should be also assessed concerning its strategic goals, and operational model.</w:t>
      </w:r>
    </w:p>
    <w:p w14:paraId="0C9D44F7" w14:textId="175D4407" w:rsidR="00D93500" w:rsidRDefault="00950E50" w:rsidP="00392463">
      <w:pPr>
        <w:pStyle w:val="Heading3"/>
      </w:pPr>
      <w:bookmarkStart w:id="48" w:name="_Toc218268958"/>
      <w:bookmarkStart w:id="49" w:name="_Toc218269024"/>
      <w:bookmarkStart w:id="50" w:name="_Toc223379533"/>
      <w:bookmarkStart w:id="51" w:name="_Toc223379711"/>
      <w:bookmarkStart w:id="52" w:name="_Toc223379781"/>
      <w:bookmarkStart w:id="53" w:name="_Toc223379891"/>
      <w:bookmarkStart w:id="54" w:name="_Toc223380606"/>
      <w:bookmarkStart w:id="55" w:name="_Toc223729981"/>
      <w:r>
        <w:lastRenderedPageBreak/>
        <w:t>1.</w:t>
      </w:r>
      <w:r w:rsidR="00FB2448">
        <w:t>3</w:t>
      </w:r>
      <w:r w:rsidR="00D93500" w:rsidRPr="00D93500">
        <w:t>.2 Liquidity</w:t>
      </w:r>
      <w:bookmarkEnd w:id="48"/>
      <w:bookmarkEnd w:id="49"/>
      <w:bookmarkEnd w:id="50"/>
      <w:bookmarkEnd w:id="51"/>
      <w:bookmarkEnd w:id="52"/>
      <w:bookmarkEnd w:id="53"/>
      <w:bookmarkEnd w:id="54"/>
      <w:bookmarkEnd w:id="55"/>
    </w:p>
    <w:p w14:paraId="188E6D5E" w14:textId="1191B512" w:rsidR="00CC384A" w:rsidRDefault="00CC384A" w:rsidP="00CC384A">
      <w:r>
        <w:t>Current ratio and quick ratio of Tesco are less than 1 in both the years, a trend typical of the grocery industry in the UK. Grocers are under a negative working capital since they get the money in form of customers before compensating suppliers. The current ratio decreased slightly to 0.64 due to the decline in the current ratio by 0.66 to 0.64, and the quick ratio also decreased by 0.46 to 0.44. This indicates slight loss of short-term liquidity</w:t>
      </w:r>
      <w:r w:rsidR="00D47441">
        <w:t xml:space="preserve"> (</w:t>
      </w:r>
      <w:r w:rsidR="00D47441" w:rsidRPr="00032136">
        <w:t>Lipson</w:t>
      </w:r>
      <w:r w:rsidR="00D47441">
        <w:t xml:space="preserve"> and </w:t>
      </w:r>
      <w:r w:rsidR="00D47441" w:rsidRPr="00032136">
        <w:t>Mortal, 2009)</w:t>
      </w:r>
      <w:r>
        <w:t>. Nevertheless, the ratios are within the industry standards, with most supermarkets that are huge reporting ratios that are lower than 1. Thus, this does not imply economic stress.</w:t>
      </w:r>
      <w:r w:rsidR="00A82064">
        <w:t xml:space="preserve"> </w:t>
      </w:r>
      <w:r>
        <w:t>However, the low quick ratio implies that Tesco is more susceptible to supplier terms change, unexpected cost alterations or demand fluctuations.</w:t>
      </w:r>
    </w:p>
    <w:p w14:paraId="1CC09598" w14:textId="700CD05D" w:rsidR="00D93500" w:rsidRDefault="00CC384A" w:rsidP="00CC384A">
      <w:r w:rsidRPr="00CC384A">
        <w:rPr>
          <w:b/>
          <w:bCs/>
        </w:rPr>
        <w:t>Management implication:</w:t>
      </w:r>
      <w:r>
        <w:t xml:space="preserve"> </w:t>
      </w:r>
      <w:r w:rsidR="00A82064">
        <w:t>Its g</w:t>
      </w:r>
      <w:r>
        <w:t>ood cash control, proper forecasting and stable relationships with suppliers are needed in order to ensure that liquidity is constantly maintained.</w:t>
      </w:r>
    </w:p>
    <w:p w14:paraId="29688761" w14:textId="62A1EE31" w:rsidR="00D93500" w:rsidRDefault="00950E50" w:rsidP="00392463">
      <w:pPr>
        <w:pStyle w:val="Heading3"/>
      </w:pPr>
      <w:bookmarkStart w:id="56" w:name="_Toc218268959"/>
      <w:bookmarkStart w:id="57" w:name="_Toc218269025"/>
      <w:bookmarkStart w:id="58" w:name="_Toc223379534"/>
      <w:bookmarkStart w:id="59" w:name="_Toc223379712"/>
      <w:bookmarkStart w:id="60" w:name="_Toc223379782"/>
      <w:bookmarkStart w:id="61" w:name="_Toc223379892"/>
      <w:bookmarkStart w:id="62" w:name="_Toc223380607"/>
      <w:bookmarkStart w:id="63" w:name="_Toc223729982"/>
      <w:r>
        <w:t>1.</w:t>
      </w:r>
      <w:r w:rsidR="00D93500" w:rsidRPr="00D93500">
        <w:t>4.3 Efficiency</w:t>
      </w:r>
      <w:bookmarkEnd w:id="56"/>
      <w:bookmarkEnd w:id="57"/>
      <w:bookmarkEnd w:id="58"/>
      <w:bookmarkEnd w:id="59"/>
      <w:bookmarkEnd w:id="60"/>
      <w:bookmarkEnd w:id="61"/>
      <w:bookmarkEnd w:id="62"/>
      <w:bookmarkEnd w:id="63"/>
    </w:p>
    <w:p w14:paraId="2510F4CF" w14:textId="3234F5AB" w:rsidR="00A82064" w:rsidRDefault="00A82064" w:rsidP="00A82064">
      <w:r>
        <w:t>The working-capital cycle of Tesco is efficient. The payables have a turnover of approximately 59 days whereas the receivables stand at approximately 6-7 days. This implies that Tesco gathers cash at a significantly high speed compared to the suppliers. Consequently, supplier credit is used to fund operations to a large extent (</w:t>
      </w:r>
      <w:r w:rsidRPr="005906B5">
        <w:t>Seth</w:t>
      </w:r>
      <w:r>
        <w:t xml:space="preserve"> et al., 2020). This is commonplace in the UK grocery sector where the payables are usually between 50 and 65 days. Tesco also occupies the same position with its major competitors like Sainsbury. The days receivables fell to 6.32 as compared to 7.22 days. This reflects on better cash collection and helps with liquidity.</w:t>
      </w:r>
    </w:p>
    <w:p w14:paraId="70EC516D" w14:textId="287436BD" w:rsidR="00D93500" w:rsidRDefault="00A82064" w:rsidP="00A82064">
      <w:r>
        <w:t>The inventory days rose by a little margin and totalled 15.31 to 15.74 days. This indicates that there is a slower pace of stock. Though it is a slight change, still within the industry standards, it must be tracked in order to contain holding costs and minimise the risk of waste</w:t>
      </w:r>
      <w:r w:rsidR="00420FED">
        <w:t>.</w:t>
      </w:r>
    </w:p>
    <w:p w14:paraId="63ACA043" w14:textId="6C0E520D" w:rsidR="00D93500" w:rsidRDefault="00950E50" w:rsidP="00392463">
      <w:pPr>
        <w:pStyle w:val="Heading3"/>
      </w:pPr>
      <w:bookmarkStart w:id="64" w:name="_Toc218268960"/>
      <w:bookmarkStart w:id="65" w:name="_Toc218269026"/>
      <w:bookmarkStart w:id="66" w:name="_Toc223379535"/>
      <w:bookmarkStart w:id="67" w:name="_Toc223379713"/>
      <w:bookmarkStart w:id="68" w:name="_Toc223379783"/>
      <w:bookmarkStart w:id="69" w:name="_Toc223379893"/>
      <w:bookmarkStart w:id="70" w:name="_Toc223380608"/>
      <w:bookmarkStart w:id="71" w:name="_Toc223729983"/>
      <w:r>
        <w:t>1.</w:t>
      </w:r>
      <w:r w:rsidR="00FB2448">
        <w:t>3</w:t>
      </w:r>
      <w:r w:rsidR="00D93500" w:rsidRPr="00D93500">
        <w:t>.4 Gearing</w:t>
      </w:r>
      <w:bookmarkEnd w:id="64"/>
      <w:bookmarkEnd w:id="65"/>
      <w:bookmarkEnd w:id="66"/>
      <w:bookmarkEnd w:id="67"/>
      <w:bookmarkEnd w:id="68"/>
      <w:bookmarkEnd w:id="69"/>
      <w:bookmarkEnd w:id="70"/>
      <w:bookmarkEnd w:id="71"/>
    </w:p>
    <w:p w14:paraId="72C7E059" w14:textId="75AB4233" w:rsidR="00617250" w:rsidRDefault="00617250" w:rsidP="00617250">
      <w:r>
        <w:t xml:space="preserve">The net debt of Tesco reduced to </w:t>
      </w:r>
      <w:r w:rsidR="00420FED" w:rsidRPr="00420FED">
        <w:t>£</w:t>
      </w:r>
      <w:r>
        <w:t xml:space="preserve">9.454bn as compared to </w:t>
      </w:r>
      <w:r w:rsidR="00420FED" w:rsidRPr="00420FED">
        <w:t>£</w:t>
      </w:r>
      <w:r>
        <w:t>9.684bn. This indicates that it has a minor improvement in its financial position and reduced dependence on borrowing. The figure is a small increase, but it shows that the company managed its debts in the year. The interest cover improved to 3.63 times as compared to 3.50 times. This implies that operating profit is able to pay interest at a comfortable rate unlike last year. Generally, a cover of interest of more than 3 times is acceptable in a retail sector. Thus, the position of Tesco is not very strong but stable.</w:t>
      </w:r>
    </w:p>
    <w:p w14:paraId="1307A4C2" w14:textId="2787F4E7" w:rsidR="00E222B9" w:rsidRDefault="00617250" w:rsidP="00617250">
      <w:r>
        <w:lastRenderedPageBreak/>
        <w:t xml:space="preserve">Its net debt-to-equity ratio is approximately 0.81. The level is common amongst the giant UK grocery stores because of the capital investment and lease obligation. It indicates moderate financial leverage, and it is not over extensive risk </w:t>
      </w:r>
      <w:r w:rsidR="00E572C0">
        <w:t>(</w:t>
      </w:r>
      <w:r w:rsidR="00E572C0" w:rsidRPr="005906B5">
        <w:t>Siyanbola</w:t>
      </w:r>
      <w:r w:rsidR="00E572C0">
        <w:t xml:space="preserve"> et al., 2015)</w:t>
      </w:r>
      <w:r w:rsidR="00E222B9">
        <w:t>.</w:t>
      </w:r>
    </w:p>
    <w:p w14:paraId="65724F3F" w14:textId="1621D8D0" w:rsidR="00394441" w:rsidRDefault="00394441" w:rsidP="00394441">
      <w:r>
        <w:rPr>
          <w:noProof/>
        </w:rPr>
        <w:drawing>
          <wp:inline distT="0" distB="0" distL="0" distR="0" wp14:anchorId="481DB4B4" wp14:editId="6CE5A449">
            <wp:extent cx="5943600" cy="17964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796415"/>
                    </a:xfrm>
                    <a:prstGeom prst="rect">
                      <a:avLst/>
                    </a:prstGeom>
                  </pic:spPr>
                </pic:pic>
              </a:graphicData>
            </a:graphic>
          </wp:inline>
        </w:drawing>
      </w:r>
      <w:r w:rsidR="00617250" w:rsidRPr="00617250">
        <w:t>Comparative analysis of the operating margin of Tesco indicates that it has a 3.9% operating margin which is in the range of 2-4% of the UK grocery industry and higher than the Sainsbury operating margin of 3.0. This proves the argument that Tesco has a competitive financial position and manages the gearing levels</w:t>
      </w:r>
      <w:r w:rsidR="00617250">
        <w:t xml:space="preserve"> </w:t>
      </w:r>
      <w:r>
        <w:t>(</w:t>
      </w:r>
      <w:r w:rsidR="00596B27" w:rsidRPr="00596B27">
        <w:t>J Sainsbury plc, 2024; IBISWorld, 2024; Tesco PLC, 2025</w:t>
      </w:r>
      <w:r>
        <w:t>).</w:t>
      </w:r>
    </w:p>
    <w:p w14:paraId="4720EDD6" w14:textId="3CC33F55" w:rsidR="009C10FA" w:rsidRDefault="00950E50" w:rsidP="009C6CF3">
      <w:pPr>
        <w:pStyle w:val="Heading2"/>
      </w:pPr>
      <w:bookmarkStart w:id="72" w:name="_Toc218268961"/>
      <w:bookmarkStart w:id="73" w:name="_Toc218269027"/>
      <w:bookmarkStart w:id="74" w:name="_Toc223379536"/>
      <w:bookmarkStart w:id="75" w:name="_Toc223379714"/>
      <w:bookmarkStart w:id="76" w:name="_Toc223379784"/>
      <w:bookmarkStart w:id="77" w:name="_Toc223379894"/>
      <w:bookmarkStart w:id="78" w:name="_Toc223380609"/>
      <w:bookmarkStart w:id="79" w:name="_Toc223729984"/>
      <w:r>
        <w:t>1.</w:t>
      </w:r>
      <w:r w:rsidR="00FB2448">
        <w:t>4</w:t>
      </w:r>
      <w:r w:rsidR="009C10FA" w:rsidRPr="009C10FA">
        <w:t xml:space="preserve"> Limitations of ratio analysis</w:t>
      </w:r>
      <w:bookmarkEnd w:id="72"/>
      <w:bookmarkEnd w:id="73"/>
      <w:bookmarkEnd w:id="74"/>
      <w:bookmarkEnd w:id="75"/>
      <w:bookmarkEnd w:id="76"/>
      <w:bookmarkEnd w:id="77"/>
      <w:bookmarkEnd w:id="78"/>
      <w:bookmarkEnd w:id="79"/>
    </w:p>
    <w:p w14:paraId="0946D2D1" w14:textId="1C7A399A" w:rsidR="008C495E" w:rsidRDefault="008C495E" w:rsidP="008C495E">
      <w:r w:rsidRPr="008C495E">
        <w:rPr>
          <w:b/>
          <w:bCs/>
        </w:rPr>
        <w:t>Effects on accounting policies:</w:t>
      </w:r>
      <w:r>
        <w:t xml:space="preserve"> IFRS lease accounting inflates assets and liabilities, leverage ratios may appear poor compared to periods before the IFRS 16 (comparability issue). This hinders comparability between years and between firms which employ varied lease and property strategies</w:t>
      </w:r>
      <w:r w:rsidR="00032136">
        <w:t xml:space="preserve"> (</w:t>
      </w:r>
      <w:r w:rsidR="00032136" w:rsidRPr="005A7FB1">
        <w:t>IFRS Foundation</w:t>
      </w:r>
      <w:r w:rsidR="00032136">
        <w:t xml:space="preserve">, </w:t>
      </w:r>
      <w:r w:rsidR="00032136" w:rsidRPr="005A7FB1">
        <w:t>2021)</w:t>
      </w:r>
      <w:r w:rsidR="00032136">
        <w:t>.</w:t>
      </w:r>
    </w:p>
    <w:p w14:paraId="407D4B1C" w14:textId="7B6BEF3D" w:rsidR="008C495E" w:rsidRDefault="008C495E" w:rsidP="008C495E">
      <w:r w:rsidRPr="008C495E">
        <w:rPr>
          <w:b/>
          <w:bCs/>
        </w:rPr>
        <w:t>Discontinued/held-for-sale distortion:</w:t>
      </w:r>
      <w:r>
        <w:t xml:space="preserve"> </w:t>
      </w:r>
      <w:r w:rsidRPr="00392463">
        <w:rPr>
          <w:color w:val="000000" w:themeColor="text1"/>
        </w:rPr>
        <w:t>FY2024 has disposal-group line items which distort asset-based ratios and turnover comparisons</w:t>
      </w:r>
      <w:r w:rsidR="00C139AE">
        <w:rPr>
          <w:color w:val="000000" w:themeColor="text1"/>
        </w:rPr>
        <w:t xml:space="preserve"> (</w:t>
      </w:r>
      <w:r w:rsidR="00C139AE" w:rsidRPr="003B5D41">
        <w:t>Penman</w:t>
      </w:r>
      <w:r w:rsidR="00C139AE">
        <w:t xml:space="preserve"> and </w:t>
      </w:r>
      <w:r w:rsidR="00C139AE" w:rsidRPr="003B5D41">
        <w:t>Penman, 2010)</w:t>
      </w:r>
      <w:r w:rsidRPr="00392463">
        <w:rPr>
          <w:color w:val="000000" w:themeColor="text1"/>
        </w:rPr>
        <w:t xml:space="preserve">. </w:t>
      </w:r>
      <w:r>
        <w:t>This implies that ratios can be an indication of change of classification and not actual performance of operations.</w:t>
      </w:r>
    </w:p>
    <w:p w14:paraId="10667C86" w14:textId="2CED5AF3" w:rsidR="008C495E" w:rsidRDefault="008C495E" w:rsidP="008C495E">
      <w:r w:rsidRPr="008C495E">
        <w:rPr>
          <w:b/>
          <w:bCs/>
        </w:rPr>
        <w:t>Timing &amp; seasonality:</w:t>
      </w:r>
      <w:r>
        <w:t xml:space="preserve"> Year-end working capital working in the retail business is seasonal (inventory, payables) and may fluctuate radically around holidays. One position at the end of the year cannot reflect usual trading conditions throughout the year.</w:t>
      </w:r>
    </w:p>
    <w:p w14:paraId="61869603" w14:textId="3E1267B5" w:rsidR="008C495E" w:rsidRDefault="008C495E" w:rsidP="008C495E">
      <w:r w:rsidRPr="008C495E">
        <w:rPr>
          <w:b/>
          <w:bCs/>
        </w:rPr>
        <w:t>Sector standards are significant:</w:t>
      </w:r>
      <w:r>
        <w:t xml:space="preserve"> Grocery has structurally low margins, low liquidity ratios; cross-sector comparison is usually illusory</w:t>
      </w:r>
      <w:r w:rsidR="00C139AE">
        <w:t xml:space="preserve"> (</w:t>
      </w:r>
      <w:r w:rsidR="00C139AE" w:rsidRPr="003B5D41">
        <w:t>Palepu</w:t>
      </w:r>
      <w:r w:rsidR="00C139AE">
        <w:t xml:space="preserve"> et al., 2020)</w:t>
      </w:r>
      <w:r>
        <w:t>. The benchmarks should be industry based and not business averages in order to prevent drawing a false conclusion.</w:t>
      </w:r>
    </w:p>
    <w:p w14:paraId="61F1C356" w14:textId="412FB0A4" w:rsidR="009C10FA" w:rsidRDefault="008C495E" w:rsidP="008C495E">
      <w:r w:rsidRPr="008C495E">
        <w:rPr>
          <w:b/>
          <w:bCs/>
        </w:rPr>
        <w:lastRenderedPageBreak/>
        <w:t>No causality:</w:t>
      </w:r>
      <w:r>
        <w:t xml:space="preserve"> Ratios indicate the symptoms but not the cause of the symptoms without a detailed view of operations (pricing, category mix, shrink, wage inflation</w:t>
      </w:r>
      <w:r w:rsidR="00617250">
        <w:t xml:space="preserve">). </w:t>
      </w:r>
      <w:r>
        <w:t>Qualitative explanation and management information should therefore support ratio analysis</w:t>
      </w:r>
      <w:r w:rsidR="00FB2448">
        <w:t>.</w:t>
      </w:r>
    </w:p>
    <w:p w14:paraId="2B81FEC7" w14:textId="1998EFC3" w:rsidR="009C10FA" w:rsidRDefault="00950E50" w:rsidP="00392463">
      <w:pPr>
        <w:pStyle w:val="Heading2"/>
      </w:pPr>
      <w:bookmarkStart w:id="80" w:name="_Toc218268962"/>
      <w:bookmarkStart w:id="81" w:name="_Toc218269028"/>
      <w:bookmarkStart w:id="82" w:name="_Toc223379537"/>
      <w:bookmarkStart w:id="83" w:name="_Toc223379715"/>
      <w:bookmarkStart w:id="84" w:name="_Toc223379785"/>
      <w:bookmarkStart w:id="85" w:name="_Toc223379895"/>
      <w:bookmarkStart w:id="86" w:name="_Toc223380610"/>
      <w:bookmarkStart w:id="87" w:name="_Toc223729985"/>
      <w:r>
        <w:t>1.</w:t>
      </w:r>
      <w:r w:rsidR="00FB2448">
        <w:t>5</w:t>
      </w:r>
      <w:r w:rsidR="009C10FA" w:rsidRPr="009C10FA">
        <w:t xml:space="preserve"> Recommendations to improve Tesco’s financial management</w:t>
      </w:r>
      <w:bookmarkEnd w:id="80"/>
      <w:bookmarkEnd w:id="81"/>
      <w:bookmarkEnd w:id="82"/>
      <w:bookmarkEnd w:id="83"/>
      <w:bookmarkEnd w:id="84"/>
      <w:bookmarkEnd w:id="85"/>
      <w:bookmarkEnd w:id="86"/>
      <w:bookmarkEnd w:id="87"/>
    </w:p>
    <w:p w14:paraId="0309F4C9" w14:textId="23EB3182" w:rsidR="00234BC0" w:rsidRPr="00234BC0" w:rsidRDefault="00234BC0" w:rsidP="00234BC0">
      <w:pPr>
        <w:rPr>
          <w:b/>
          <w:bCs/>
        </w:rPr>
      </w:pPr>
      <w:r w:rsidRPr="00234BC0">
        <w:rPr>
          <w:b/>
          <w:bCs/>
        </w:rPr>
        <w:t>Recommendation 1: Protect operating margin</w:t>
      </w:r>
    </w:p>
    <w:p w14:paraId="1F585A96" w14:textId="31363313" w:rsidR="00234BC0" w:rsidRDefault="005224EB" w:rsidP="00234BC0">
      <w:r w:rsidRPr="005224EB">
        <w:t>Tesco needs to intensify the cost-to-serve analysis of store format and online platforms to determine low-margin activities. It should eliminate wastage and decrease in size by predictive analytics and partnering with suppliers. The improved forecasting and pricing discipline will preserve margins at the same time as being a competitive player in an industry that is price-sensitive</w:t>
      </w:r>
      <w:r>
        <w:t xml:space="preserve"> </w:t>
      </w:r>
      <w:r w:rsidR="00032136">
        <w:t>(</w:t>
      </w:r>
      <w:r w:rsidR="00032136" w:rsidRPr="00512817">
        <w:t>Fortune, 2000)</w:t>
      </w:r>
      <w:r w:rsidR="00234BC0">
        <w:t xml:space="preserve">. </w:t>
      </w:r>
    </w:p>
    <w:p w14:paraId="2E410A34" w14:textId="2F4FD7A3" w:rsidR="00234BC0" w:rsidRPr="00234BC0" w:rsidRDefault="00234BC0" w:rsidP="00234BC0">
      <w:pPr>
        <w:rPr>
          <w:b/>
          <w:bCs/>
        </w:rPr>
      </w:pPr>
      <w:r w:rsidRPr="00234BC0">
        <w:rPr>
          <w:b/>
          <w:bCs/>
        </w:rPr>
        <w:t>Recommendation 2: Improve cash resilience</w:t>
      </w:r>
    </w:p>
    <w:p w14:paraId="4CEC2BAF" w14:textId="13A743D2" w:rsidR="00234BC0" w:rsidRDefault="005224EB" w:rsidP="00234BC0">
      <w:r w:rsidRPr="005224EB">
        <w:t>Tesco ought to keep its negative working-capital model but increase liquidity buffers by having and doing strong short-term cash forecasts, and stress testing supplier terms</w:t>
      </w:r>
      <w:r>
        <w:t xml:space="preserve"> (</w:t>
      </w:r>
      <w:r w:rsidRPr="00512817">
        <w:t>Agrawal</w:t>
      </w:r>
      <w:r>
        <w:t xml:space="preserve"> et al., 2020)</w:t>
      </w:r>
      <w:r w:rsidRPr="005224EB">
        <w:t>. A variety of sources of funds and adequate headroom will mitigate the risk of refinancing and cushioning operations in times of economic turbulence</w:t>
      </w:r>
      <w:r>
        <w:t>.</w:t>
      </w:r>
    </w:p>
    <w:p w14:paraId="1B83FBBA" w14:textId="5AC2B990" w:rsidR="00234BC0" w:rsidRPr="00234BC0" w:rsidRDefault="00234BC0" w:rsidP="00234BC0">
      <w:pPr>
        <w:rPr>
          <w:b/>
          <w:bCs/>
        </w:rPr>
      </w:pPr>
      <w:r w:rsidRPr="00234BC0">
        <w:rPr>
          <w:b/>
          <w:bCs/>
        </w:rPr>
        <w:t>Recommendation 3: Strengthen investment control</w:t>
      </w:r>
    </w:p>
    <w:p w14:paraId="4E3F7B86" w14:textId="5A1E77AA" w:rsidR="00234BC0" w:rsidRDefault="00F03ABA" w:rsidP="00234BC0">
      <w:r w:rsidRPr="00F03ABA">
        <w:t>Tesco is supposed to utilise stringent NPV and IRR requirements on capital projects and post-investment audits. When forecast and actual returns are compared, it will enhance discipline in capital allocation. This guarantees sustainable ROCE, and minimises destruction of value and increases long term shareholder wealth creation</w:t>
      </w:r>
      <w:r w:rsidR="00596B27">
        <w:t xml:space="preserve"> (</w:t>
      </w:r>
      <w:r w:rsidR="00596B27" w:rsidRPr="006B0F2D">
        <w:t>Bhasin</w:t>
      </w:r>
      <w:r w:rsidR="00596B27">
        <w:t xml:space="preserve"> and </w:t>
      </w:r>
      <w:r w:rsidR="00596B27" w:rsidRPr="006B0F2D">
        <w:t>Shaikh, 2013)</w:t>
      </w:r>
      <w:r w:rsidR="00234BC0">
        <w:t>.</w:t>
      </w:r>
    </w:p>
    <w:p w14:paraId="6B6DF05C" w14:textId="584737B9" w:rsidR="00234BC0" w:rsidRPr="00392463" w:rsidRDefault="00234BC0" w:rsidP="00234BC0">
      <w:pPr>
        <w:rPr>
          <w:b/>
          <w:bCs/>
        </w:rPr>
      </w:pPr>
      <w:r w:rsidRPr="00392463">
        <w:rPr>
          <w:b/>
          <w:bCs/>
        </w:rPr>
        <w:t>Recommendation 4: Align shareholder returns</w:t>
      </w:r>
    </w:p>
    <w:p w14:paraId="7D6B3DBD" w14:textId="72E965FB" w:rsidR="009C10FA" w:rsidRDefault="00F03ABA" w:rsidP="00234BC0">
      <w:r w:rsidRPr="00F03ABA">
        <w:t>Dividend policy must be synonymous with the existence of free cash flow, debt obligations and future investments requirements. Financial flexibility will be safeguarded by having a reasonable dividend cover. Capital distribution will be balanced, which will not weaken liquidity or raise leverage risk</w:t>
      </w:r>
      <w:r w:rsidR="00596B27">
        <w:t xml:space="preserve"> (</w:t>
      </w:r>
      <w:r w:rsidR="00596B27" w:rsidRPr="006B0F2D">
        <w:t>Adrian</w:t>
      </w:r>
      <w:r w:rsidR="00596B27">
        <w:t xml:space="preserve"> and </w:t>
      </w:r>
      <w:r w:rsidR="00596B27" w:rsidRPr="006B0F2D">
        <w:t>Shin, 2010)</w:t>
      </w:r>
      <w:r w:rsidR="00234BC0">
        <w:t>.</w:t>
      </w:r>
    </w:p>
    <w:p w14:paraId="1A45017B" w14:textId="46109CCE" w:rsidR="002C2F6C" w:rsidRDefault="002C2F6C">
      <w:r w:rsidRPr="002C2F6C">
        <w:t>Conclusively, Tesco has a mixed financial performance</w:t>
      </w:r>
      <w:r w:rsidR="00032136">
        <w:t xml:space="preserve"> (</w:t>
      </w:r>
      <w:r w:rsidR="00032136" w:rsidRPr="00512817">
        <w:t>Moore</w:t>
      </w:r>
      <w:r w:rsidR="00032136">
        <w:t xml:space="preserve"> and </w:t>
      </w:r>
      <w:r w:rsidR="00032136" w:rsidRPr="00512817">
        <w:t>Robson, 2002)</w:t>
      </w:r>
      <w:r w:rsidRPr="002C2F6C">
        <w:t xml:space="preserve">. The operating level weakened its profitability and the total earnings were improved. Liquidity is structurally low but suitable to the retail industry. Productivity and leverage are widely stable. Tesco needs to </w:t>
      </w:r>
      <w:r w:rsidRPr="002C2F6C">
        <w:lastRenderedPageBreak/>
        <w:t>safeguard operating margins, enhance cash discipline, implement a stringent investment appraisal and match shareholder returns with long-term financial stability to maintain performance.</w:t>
      </w:r>
      <w:r>
        <w:br w:type="page"/>
      </w:r>
    </w:p>
    <w:p w14:paraId="285F8D4E" w14:textId="0B48295D" w:rsidR="00A85157" w:rsidRDefault="00330A37" w:rsidP="004D66BE">
      <w:pPr>
        <w:pStyle w:val="Heading1"/>
      </w:pPr>
      <w:bookmarkStart w:id="88" w:name="_Toc218268964"/>
      <w:bookmarkStart w:id="89" w:name="_Toc218269030"/>
      <w:bookmarkStart w:id="90" w:name="_Toc223379538"/>
      <w:bookmarkStart w:id="91" w:name="_Toc223379716"/>
      <w:bookmarkStart w:id="92" w:name="_Toc223379786"/>
      <w:bookmarkStart w:id="93" w:name="_Toc223379896"/>
      <w:bookmarkStart w:id="94" w:name="_Toc223380611"/>
      <w:bookmarkStart w:id="95" w:name="_Toc223729986"/>
      <w:r w:rsidRPr="00330A37">
        <w:lastRenderedPageBreak/>
        <w:t>PART 2 — Westward Plc investment appraisal report</w:t>
      </w:r>
      <w:bookmarkEnd w:id="88"/>
      <w:bookmarkEnd w:id="89"/>
      <w:bookmarkEnd w:id="90"/>
      <w:bookmarkEnd w:id="91"/>
      <w:bookmarkEnd w:id="92"/>
      <w:bookmarkEnd w:id="93"/>
      <w:bookmarkEnd w:id="94"/>
      <w:bookmarkEnd w:id="95"/>
    </w:p>
    <w:p w14:paraId="6A6786FC" w14:textId="5BB750C6" w:rsidR="00330A37" w:rsidRDefault="00861F83" w:rsidP="00861F83">
      <w:pPr>
        <w:pStyle w:val="Heading2"/>
      </w:pPr>
      <w:bookmarkStart w:id="96" w:name="_Toc218268965"/>
      <w:bookmarkStart w:id="97" w:name="_Toc218269031"/>
      <w:bookmarkStart w:id="98" w:name="_Toc223379539"/>
      <w:bookmarkStart w:id="99" w:name="_Toc223379717"/>
      <w:bookmarkStart w:id="100" w:name="_Toc223379787"/>
      <w:bookmarkStart w:id="101" w:name="_Toc223379897"/>
      <w:bookmarkStart w:id="102" w:name="_Toc223380612"/>
      <w:bookmarkStart w:id="103" w:name="_Toc223729987"/>
      <w:r>
        <w:t xml:space="preserve">2.1 </w:t>
      </w:r>
      <w:r w:rsidR="005B184E" w:rsidRPr="005B184E">
        <w:t xml:space="preserve">Project Data and Tax </w:t>
      </w:r>
      <w:r w:rsidR="005B184E" w:rsidRPr="00861F83">
        <w:t>Treatment</w:t>
      </w:r>
      <w:bookmarkEnd w:id="96"/>
      <w:bookmarkEnd w:id="97"/>
      <w:bookmarkEnd w:id="98"/>
      <w:bookmarkEnd w:id="99"/>
      <w:bookmarkEnd w:id="100"/>
      <w:bookmarkEnd w:id="101"/>
      <w:bookmarkEnd w:id="102"/>
      <w:bookmarkEnd w:id="103"/>
    </w:p>
    <w:p w14:paraId="5C213516" w14:textId="5FDB427B" w:rsidR="005B184E" w:rsidRPr="003D76DA" w:rsidRDefault="005B184E" w:rsidP="004D66BE">
      <w:pPr>
        <w:rPr>
          <w:b/>
          <w:bCs/>
        </w:rPr>
      </w:pPr>
      <w:r w:rsidRPr="003D76DA">
        <w:rPr>
          <w:b/>
          <w:bCs/>
        </w:rPr>
        <w:t>Initial Outlays and Forecast Cash Flows</w:t>
      </w:r>
    </w:p>
    <w:p w14:paraId="79925387" w14:textId="7354FFDF" w:rsidR="00E1550F" w:rsidRDefault="00E1550F" w:rsidP="004D66BE">
      <w:r w:rsidRPr="00E1550F">
        <w:t>Westward Plc has three investment opportunities, which have various initial investments and predicts cash inflows after four year</w:t>
      </w:r>
      <w:r w:rsidR="004D66BE">
        <w:t>s.</w:t>
      </w:r>
    </w:p>
    <w:tbl>
      <w:tblPr>
        <w:tblStyle w:val="GridTable1Light-Accent4"/>
        <w:tblW w:w="9932" w:type="dxa"/>
        <w:tblLook w:val="04A0" w:firstRow="1" w:lastRow="0" w:firstColumn="1" w:lastColumn="0" w:noHBand="0" w:noVBand="1"/>
      </w:tblPr>
      <w:tblGrid>
        <w:gridCol w:w="925"/>
        <w:gridCol w:w="2809"/>
        <w:gridCol w:w="1603"/>
        <w:gridCol w:w="1131"/>
        <w:gridCol w:w="1131"/>
        <w:gridCol w:w="1131"/>
        <w:gridCol w:w="1202"/>
      </w:tblGrid>
      <w:tr w:rsidR="005B184E" w:rsidRPr="005B184E" w14:paraId="6C38270A" w14:textId="77777777" w:rsidTr="005B184E">
        <w:trPr>
          <w:cnfStyle w:val="100000000000" w:firstRow="1" w:lastRow="0" w:firstColumn="0" w:lastColumn="0" w:oddVBand="0" w:evenVBand="0" w:oddHBand="0" w:evenHBand="0" w:firstRowFirstColumn="0" w:firstRowLastColumn="0" w:lastRowFirstColumn="0" w:lastRowLastColumn="0"/>
          <w:trHeight w:val="1328"/>
        </w:trPr>
        <w:tc>
          <w:tcPr>
            <w:cnfStyle w:val="001000000000" w:firstRow="0" w:lastRow="0" w:firstColumn="1" w:lastColumn="0" w:oddVBand="0" w:evenVBand="0" w:oddHBand="0" w:evenHBand="0" w:firstRowFirstColumn="0" w:firstRowLastColumn="0" w:lastRowFirstColumn="0" w:lastRowLastColumn="0"/>
            <w:tcW w:w="0" w:type="auto"/>
            <w:hideMark/>
          </w:tcPr>
          <w:p w14:paraId="2B3E7DC5" w14:textId="77777777" w:rsidR="005B184E" w:rsidRPr="005B184E" w:rsidRDefault="005B184E" w:rsidP="002C4242">
            <w:pPr>
              <w:rPr>
                <w:lang w:eastAsia="en-GB"/>
              </w:rPr>
            </w:pPr>
            <w:r w:rsidRPr="005B184E">
              <w:rPr>
                <w:lang w:eastAsia="en-GB"/>
              </w:rPr>
              <w:t>Option</w:t>
            </w:r>
          </w:p>
        </w:tc>
        <w:tc>
          <w:tcPr>
            <w:tcW w:w="0" w:type="auto"/>
            <w:hideMark/>
          </w:tcPr>
          <w:p w14:paraId="176BAF75"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Project Description</w:t>
            </w:r>
          </w:p>
        </w:tc>
        <w:tc>
          <w:tcPr>
            <w:tcW w:w="0" w:type="auto"/>
            <w:hideMark/>
          </w:tcPr>
          <w:p w14:paraId="1936DA85"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Initial Outlay (£)</w:t>
            </w:r>
          </w:p>
        </w:tc>
        <w:tc>
          <w:tcPr>
            <w:tcW w:w="0" w:type="auto"/>
            <w:hideMark/>
          </w:tcPr>
          <w:p w14:paraId="6869F0F0"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1 (£)</w:t>
            </w:r>
          </w:p>
        </w:tc>
        <w:tc>
          <w:tcPr>
            <w:tcW w:w="0" w:type="auto"/>
            <w:hideMark/>
          </w:tcPr>
          <w:p w14:paraId="434D121C"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2 (£)</w:t>
            </w:r>
          </w:p>
        </w:tc>
        <w:tc>
          <w:tcPr>
            <w:tcW w:w="0" w:type="auto"/>
            <w:hideMark/>
          </w:tcPr>
          <w:p w14:paraId="7EBC9DBA"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3 (£)</w:t>
            </w:r>
          </w:p>
        </w:tc>
        <w:tc>
          <w:tcPr>
            <w:tcW w:w="0" w:type="auto"/>
            <w:hideMark/>
          </w:tcPr>
          <w:p w14:paraId="24FBD571"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4 (£)</w:t>
            </w:r>
          </w:p>
        </w:tc>
      </w:tr>
      <w:tr w:rsidR="005B184E" w:rsidRPr="005B184E" w14:paraId="6F2F607F" w14:textId="77777777" w:rsidTr="005B184E">
        <w:trPr>
          <w:trHeight w:val="1001"/>
        </w:trPr>
        <w:tc>
          <w:tcPr>
            <w:cnfStyle w:val="001000000000" w:firstRow="0" w:lastRow="0" w:firstColumn="1" w:lastColumn="0" w:oddVBand="0" w:evenVBand="0" w:oddHBand="0" w:evenHBand="0" w:firstRowFirstColumn="0" w:firstRowLastColumn="0" w:lastRowFirstColumn="0" w:lastRowLastColumn="0"/>
            <w:tcW w:w="0" w:type="auto"/>
            <w:hideMark/>
          </w:tcPr>
          <w:p w14:paraId="413EA66A" w14:textId="77777777" w:rsidR="005B184E" w:rsidRPr="005B184E" w:rsidRDefault="005B184E" w:rsidP="002C4242">
            <w:pPr>
              <w:rPr>
                <w:lang w:eastAsia="en-GB"/>
              </w:rPr>
            </w:pPr>
            <w:r w:rsidRPr="005B184E">
              <w:rPr>
                <w:lang w:eastAsia="en-GB"/>
              </w:rPr>
              <w:t>A</w:t>
            </w:r>
          </w:p>
        </w:tc>
        <w:tc>
          <w:tcPr>
            <w:tcW w:w="0" w:type="auto"/>
            <w:hideMark/>
          </w:tcPr>
          <w:p w14:paraId="1B830D0C"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Expand retail outlet</w:t>
            </w:r>
          </w:p>
        </w:tc>
        <w:tc>
          <w:tcPr>
            <w:tcW w:w="0" w:type="auto"/>
            <w:hideMark/>
          </w:tcPr>
          <w:p w14:paraId="0D98455A"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600,000</w:t>
            </w:r>
          </w:p>
        </w:tc>
        <w:tc>
          <w:tcPr>
            <w:tcW w:w="0" w:type="auto"/>
            <w:hideMark/>
          </w:tcPr>
          <w:p w14:paraId="25A945D2"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200,000</w:t>
            </w:r>
          </w:p>
        </w:tc>
        <w:tc>
          <w:tcPr>
            <w:tcW w:w="0" w:type="auto"/>
            <w:hideMark/>
          </w:tcPr>
          <w:p w14:paraId="69E83EA3"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400,000</w:t>
            </w:r>
          </w:p>
        </w:tc>
        <w:tc>
          <w:tcPr>
            <w:tcW w:w="0" w:type="auto"/>
            <w:hideMark/>
          </w:tcPr>
          <w:p w14:paraId="0DB7D9A5"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500,000</w:t>
            </w:r>
          </w:p>
        </w:tc>
        <w:tc>
          <w:tcPr>
            <w:tcW w:w="0" w:type="auto"/>
            <w:hideMark/>
          </w:tcPr>
          <w:p w14:paraId="61254E08"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700,000</w:t>
            </w:r>
          </w:p>
        </w:tc>
      </w:tr>
      <w:tr w:rsidR="005B184E" w:rsidRPr="005B184E" w14:paraId="73F968CF" w14:textId="77777777" w:rsidTr="005B184E">
        <w:trPr>
          <w:trHeight w:val="936"/>
        </w:trPr>
        <w:tc>
          <w:tcPr>
            <w:cnfStyle w:val="001000000000" w:firstRow="0" w:lastRow="0" w:firstColumn="1" w:lastColumn="0" w:oddVBand="0" w:evenVBand="0" w:oddHBand="0" w:evenHBand="0" w:firstRowFirstColumn="0" w:firstRowLastColumn="0" w:lastRowFirstColumn="0" w:lastRowLastColumn="0"/>
            <w:tcW w:w="0" w:type="auto"/>
            <w:hideMark/>
          </w:tcPr>
          <w:p w14:paraId="0795CEF1" w14:textId="77777777" w:rsidR="005B184E" w:rsidRPr="005B184E" w:rsidRDefault="005B184E" w:rsidP="002C4242">
            <w:pPr>
              <w:rPr>
                <w:lang w:eastAsia="en-GB"/>
              </w:rPr>
            </w:pPr>
            <w:r w:rsidRPr="005B184E">
              <w:rPr>
                <w:lang w:eastAsia="en-GB"/>
              </w:rPr>
              <w:t>B</w:t>
            </w:r>
          </w:p>
        </w:tc>
        <w:tc>
          <w:tcPr>
            <w:tcW w:w="0" w:type="auto"/>
            <w:hideMark/>
          </w:tcPr>
          <w:p w14:paraId="1930AF1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Develop into internet sales</w:t>
            </w:r>
          </w:p>
        </w:tc>
        <w:tc>
          <w:tcPr>
            <w:tcW w:w="0" w:type="auto"/>
            <w:hideMark/>
          </w:tcPr>
          <w:p w14:paraId="7BBAFB3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1,000,000</w:t>
            </w:r>
          </w:p>
        </w:tc>
        <w:tc>
          <w:tcPr>
            <w:tcW w:w="0" w:type="auto"/>
            <w:hideMark/>
          </w:tcPr>
          <w:p w14:paraId="4F458890"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400,000</w:t>
            </w:r>
          </w:p>
        </w:tc>
        <w:tc>
          <w:tcPr>
            <w:tcW w:w="0" w:type="auto"/>
            <w:hideMark/>
          </w:tcPr>
          <w:p w14:paraId="3994CCB6"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450,000</w:t>
            </w:r>
          </w:p>
        </w:tc>
        <w:tc>
          <w:tcPr>
            <w:tcW w:w="0" w:type="auto"/>
            <w:hideMark/>
          </w:tcPr>
          <w:p w14:paraId="1C7E3823"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720,000</w:t>
            </w:r>
          </w:p>
        </w:tc>
        <w:tc>
          <w:tcPr>
            <w:tcW w:w="0" w:type="auto"/>
            <w:hideMark/>
          </w:tcPr>
          <w:p w14:paraId="313C5E46"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980,000</w:t>
            </w:r>
          </w:p>
        </w:tc>
      </w:tr>
      <w:tr w:rsidR="005B184E" w:rsidRPr="005B184E" w14:paraId="4AF7861C" w14:textId="77777777" w:rsidTr="005B184E">
        <w:trPr>
          <w:trHeight w:val="1328"/>
        </w:trPr>
        <w:tc>
          <w:tcPr>
            <w:cnfStyle w:val="001000000000" w:firstRow="0" w:lastRow="0" w:firstColumn="1" w:lastColumn="0" w:oddVBand="0" w:evenVBand="0" w:oddHBand="0" w:evenHBand="0" w:firstRowFirstColumn="0" w:firstRowLastColumn="0" w:lastRowFirstColumn="0" w:lastRowLastColumn="0"/>
            <w:tcW w:w="0" w:type="auto"/>
            <w:hideMark/>
          </w:tcPr>
          <w:p w14:paraId="4236D50B" w14:textId="77777777" w:rsidR="005B184E" w:rsidRPr="005B184E" w:rsidRDefault="005B184E" w:rsidP="002C4242">
            <w:pPr>
              <w:rPr>
                <w:lang w:eastAsia="en-GB"/>
              </w:rPr>
            </w:pPr>
            <w:r w:rsidRPr="005B184E">
              <w:rPr>
                <w:lang w:eastAsia="en-GB"/>
              </w:rPr>
              <w:t>C</w:t>
            </w:r>
          </w:p>
        </w:tc>
        <w:tc>
          <w:tcPr>
            <w:tcW w:w="0" w:type="auto"/>
            <w:hideMark/>
          </w:tcPr>
          <w:p w14:paraId="4C97ECF9"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Produce wooden and Roman blinds</w:t>
            </w:r>
          </w:p>
        </w:tc>
        <w:tc>
          <w:tcPr>
            <w:tcW w:w="0" w:type="auto"/>
            <w:hideMark/>
          </w:tcPr>
          <w:p w14:paraId="7B6AEE76"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1,600,000</w:t>
            </w:r>
          </w:p>
        </w:tc>
        <w:tc>
          <w:tcPr>
            <w:tcW w:w="0" w:type="auto"/>
            <w:hideMark/>
          </w:tcPr>
          <w:p w14:paraId="504B152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450,000</w:t>
            </w:r>
          </w:p>
        </w:tc>
        <w:tc>
          <w:tcPr>
            <w:tcW w:w="0" w:type="auto"/>
            <w:hideMark/>
          </w:tcPr>
          <w:p w14:paraId="6B7890B3"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700,000</w:t>
            </w:r>
          </w:p>
        </w:tc>
        <w:tc>
          <w:tcPr>
            <w:tcW w:w="0" w:type="auto"/>
            <w:hideMark/>
          </w:tcPr>
          <w:p w14:paraId="0B54210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900,000</w:t>
            </w:r>
          </w:p>
        </w:tc>
        <w:tc>
          <w:tcPr>
            <w:tcW w:w="0" w:type="auto"/>
            <w:hideMark/>
          </w:tcPr>
          <w:p w14:paraId="35850402"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1,200,000</w:t>
            </w:r>
          </w:p>
        </w:tc>
      </w:tr>
    </w:tbl>
    <w:p w14:paraId="42DBA041" w14:textId="656561BF" w:rsidR="005B184E" w:rsidRDefault="005B184E" w:rsidP="005B184E">
      <w:r>
        <w:t>Tax Assumptions</w:t>
      </w:r>
    </w:p>
    <w:p w14:paraId="50143166" w14:textId="7D63BE17" w:rsidR="005B184E" w:rsidRDefault="005B184E" w:rsidP="005B184E">
      <w:pPr>
        <w:pStyle w:val="ListParagraph"/>
        <w:numPr>
          <w:ilvl w:val="0"/>
          <w:numId w:val="6"/>
        </w:numPr>
      </w:pPr>
      <w:r>
        <w:t>Corporation tax = 25%</w:t>
      </w:r>
    </w:p>
    <w:p w14:paraId="7949EC8C" w14:textId="76807329" w:rsidR="005B184E" w:rsidRDefault="005B184E" w:rsidP="005B184E">
      <w:pPr>
        <w:pStyle w:val="ListParagraph"/>
        <w:numPr>
          <w:ilvl w:val="0"/>
          <w:numId w:val="6"/>
        </w:numPr>
      </w:pPr>
      <w:r>
        <w:t>Capital allowances = 20% straight-line per annum on the initial cost (i.e., 4 years = 100% of initial outlay)</w:t>
      </w:r>
    </w:p>
    <w:p w14:paraId="378137AD" w14:textId="2404C0CE" w:rsidR="005B184E" w:rsidRDefault="005B184E" w:rsidP="005B184E">
      <w:pPr>
        <w:pStyle w:val="ListParagraph"/>
        <w:numPr>
          <w:ilvl w:val="0"/>
          <w:numId w:val="6"/>
        </w:numPr>
      </w:pPr>
      <w:r>
        <w:t>Discount rate (cost of capital) = 6%</w:t>
      </w:r>
    </w:p>
    <w:p w14:paraId="341D3A54" w14:textId="692EDD4D" w:rsidR="00A85157" w:rsidRPr="00861F83" w:rsidRDefault="005B184E" w:rsidP="004D2F6B">
      <w:pPr>
        <w:rPr>
          <w:b/>
          <w:bCs/>
        </w:rPr>
      </w:pPr>
      <w:r w:rsidRPr="00861F83">
        <w:rPr>
          <w:b/>
          <w:bCs/>
        </w:rPr>
        <w:t>After-Tax Cash Flow Formula</w:t>
      </w:r>
    </w:p>
    <w:p w14:paraId="45ECC1DE" w14:textId="3528A636" w:rsidR="005B184E" w:rsidRDefault="005B184E" w:rsidP="005B184E">
      <w:pPr>
        <w:jc w:val="center"/>
      </w:pPr>
      <w:r>
        <w:rPr>
          <w:rStyle w:val="mord"/>
        </w:rPr>
        <w:t>After-tax CF</w:t>
      </w:r>
      <w:r>
        <w:rPr>
          <w:rStyle w:val="mrel"/>
        </w:rPr>
        <w:t xml:space="preserve">= </w:t>
      </w:r>
      <w:r>
        <w:rPr>
          <w:rStyle w:val="mord"/>
        </w:rPr>
        <w:t>CF</w:t>
      </w:r>
      <w:r>
        <w:rPr>
          <w:rStyle w:val="mbin"/>
        </w:rPr>
        <w:t>−</w:t>
      </w:r>
      <w:r>
        <w:rPr>
          <w:rStyle w:val="mord"/>
        </w:rPr>
        <w:t>Tax</w:t>
      </w:r>
      <w:r>
        <w:rPr>
          <w:rStyle w:val="mrel"/>
        </w:rPr>
        <w:t>= {</w:t>
      </w:r>
      <w:r>
        <w:rPr>
          <w:rStyle w:val="mord"/>
        </w:rPr>
        <w:t>CF</w:t>
      </w:r>
      <w:r>
        <w:rPr>
          <w:rStyle w:val="mbin"/>
        </w:rPr>
        <w:t>−</w:t>
      </w:r>
      <w:r>
        <w:rPr>
          <w:rStyle w:val="mord"/>
        </w:rPr>
        <w:t>0.25</w:t>
      </w:r>
      <w:r>
        <w:rPr>
          <w:rStyle w:val="mbin"/>
        </w:rPr>
        <w:t>×</w:t>
      </w:r>
      <w:r>
        <w:rPr>
          <w:rStyle w:val="mopen"/>
        </w:rPr>
        <w:t>(</w:t>
      </w:r>
      <w:r>
        <w:rPr>
          <w:rStyle w:val="mord"/>
        </w:rPr>
        <w:t>CF</w:t>
      </w:r>
      <w:r>
        <w:rPr>
          <w:rStyle w:val="mbin"/>
        </w:rPr>
        <w:t>−</w:t>
      </w:r>
      <w:r>
        <w:rPr>
          <w:rStyle w:val="mord"/>
        </w:rPr>
        <w:t>Allowance</w:t>
      </w:r>
      <w:r>
        <w:rPr>
          <w:rStyle w:val="mclose"/>
        </w:rPr>
        <w:t>)}</w:t>
      </w:r>
    </w:p>
    <w:p w14:paraId="3D6A4261" w14:textId="3F3AEDE8" w:rsidR="000D7794" w:rsidRDefault="002C4242" w:rsidP="000D7794">
      <w:r w:rsidRPr="002C4242">
        <w:t>Allowance per Year (20% of Initial Outlay)</w:t>
      </w:r>
    </w:p>
    <w:tbl>
      <w:tblPr>
        <w:tblStyle w:val="GridTable1Light-Accent5"/>
        <w:tblW w:w="9593" w:type="dxa"/>
        <w:tblLook w:val="04A0" w:firstRow="1" w:lastRow="0" w:firstColumn="1" w:lastColumn="0" w:noHBand="0" w:noVBand="1"/>
      </w:tblPr>
      <w:tblGrid>
        <w:gridCol w:w="1654"/>
        <w:gridCol w:w="3336"/>
        <w:gridCol w:w="4603"/>
      </w:tblGrid>
      <w:tr w:rsidR="002C4242" w:rsidRPr="002C4242" w14:paraId="6F4B38A6" w14:textId="77777777" w:rsidTr="002C4242">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0" w:type="auto"/>
            <w:hideMark/>
          </w:tcPr>
          <w:p w14:paraId="7F1A5778" w14:textId="77777777" w:rsidR="002C4242" w:rsidRPr="002C4242" w:rsidRDefault="002C4242" w:rsidP="002C4242">
            <w:pPr>
              <w:rPr>
                <w:lang w:eastAsia="en-GB"/>
              </w:rPr>
            </w:pPr>
            <w:r w:rsidRPr="002C4242">
              <w:rPr>
                <w:lang w:eastAsia="en-GB"/>
              </w:rPr>
              <w:t>Option</w:t>
            </w:r>
          </w:p>
        </w:tc>
        <w:tc>
          <w:tcPr>
            <w:tcW w:w="0" w:type="auto"/>
            <w:hideMark/>
          </w:tcPr>
          <w:p w14:paraId="309A9F1D"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Initial Outlay (£)</w:t>
            </w:r>
          </w:p>
        </w:tc>
        <w:tc>
          <w:tcPr>
            <w:tcW w:w="0" w:type="auto"/>
            <w:hideMark/>
          </w:tcPr>
          <w:p w14:paraId="36D6F394"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Allowance per Year (£)</w:t>
            </w:r>
          </w:p>
        </w:tc>
      </w:tr>
      <w:tr w:rsidR="002C4242" w:rsidRPr="002C4242" w14:paraId="4A7FC304" w14:textId="77777777" w:rsidTr="002C4242">
        <w:trPr>
          <w:trHeight w:val="667"/>
        </w:trPr>
        <w:tc>
          <w:tcPr>
            <w:cnfStyle w:val="001000000000" w:firstRow="0" w:lastRow="0" w:firstColumn="1" w:lastColumn="0" w:oddVBand="0" w:evenVBand="0" w:oddHBand="0" w:evenHBand="0" w:firstRowFirstColumn="0" w:firstRowLastColumn="0" w:lastRowFirstColumn="0" w:lastRowLastColumn="0"/>
            <w:tcW w:w="0" w:type="auto"/>
            <w:hideMark/>
          </w:tcPr>
          <w:p w14:paraId="33C927E0" w14:textId="77777777" w:rsidR="002C4242" w:rsidRPr="002C4242" w:rsidRDefault="002C4242" w:rsidP="002C4242">
            <w:pPr>
              <w:rPr>
                <w:lang w:eastAsia="en-GB"/>
              </w:rPr>
            </w:pPr>
            <w:r w:rsidRPr="002C4242">
              <w:rPr>
                <w:lang w:eastAsia="en-GB"/>
              </w:rPr>
              <w:lastRenderedPageBreak/>
              <w:t>A</w:t>
            </w:r>
          </w:p>
        </w:tc>
        <w:tc>
          <w:tcPr>
            <w:tcW w:w="0" w:type="auto"/>
            <w:hideMark/>
          </w:tcPr>
          <w:p w14:paraId="470B81A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600,000</w:t>
            </w:r>
          </w:p>
        </w:tc>
        <w:tc>
          <w:tcPr>
            <w:tcW w:w="0" w:type="auto"/>
            <w:hideMark/>
          </w:tcPr>
          <w:p w14:paraId="1F7AF117"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120,000</w:t>
            </w:r>
          </w:p>
        </w:tc>
      </w:tr>
      <w:tr w:rsidR="002C4242" w:rsidRPr="002C4242" w14:paraId="285EB94C" w14:textId="77777777" w:rsidTr="002C4242">
        <w:trPr>
          <w:trHeight w:val="692"/>
        </w:trPr>
        <w:tc>
          <w:tcPr>
            <w:cnfStyle w:val="001000000000" w:firstRow="0" w:lastRow="0" w:firstColumn="1" w:lastColumn="0" w:oddVBand="0" w:evenVBand="0" w:oddHBand="0" w:evenHBand="0" w:firstRowFirstColumn="0" w:firstRowLastColumn="0" w:lastRowFirstColumn="0" w:lastRowLastColumn="0"/>
            <w:tcW w:w="0" w:type="auto"/>
            <w:hideMark/>
          </w:tcPr>
          <w:p w14:paraId="22694B1E" w14:textId="77777777" w:rsidR="002C4242" w:rsidRPr="002C4242" w:rsidRDefault="002C4242" w:rsidP="002C4242">
            <w:pPr>
              <w:rPr>
                <w:lang w:eastAsia="en-GB"/>
              </w:rPr>
            </w:pPr>
            <w:r w:rsidRPr="002C4242">
              <w:rPr>
                <w:lang w:eastAsia="en-GB"/>
              </w:rPr>
              <w:t>B</w:t>
            </w:r>
          </w:p>
        </w:tc>
        <w:tc>
          <w:tcPr>
            <w:tcW w:w="0" w:type="auto"/>
            <w:hideMark/>
          </w:tcPr>
          <w:p w14:paraId="3C738F7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1,000,000</w:t>
            </w:r>
          </w:p>
        </w:tc>
        <w:tc>
          <w:tcPr>
            <w:tcW w:w="0" w:type="auto"/>
            <w:hideMark/>
          </w:tcPr>
          <w:p w14:paraId="3854CD8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200,000</w:t>
            </w:r>
          </w:p>
        </w:tc>
      </w:tr>
      <w:tr w:rsidR="002C4242" w:rsidRPr="002C4242" w14:paraId="0CACD8B7" w14:textId="77777777" w:rsidTr="002C4242">
        <w:trPr>
          <w:trHeight w:val="667"/>
        </w:trPr>
        <w:tc>
          <w:tcPr>
            <w:cnfStyle w:val="001000000000" w:firstRow="0" w:lastRow="0" w:firstColumn="1" w:lastColumn="0" w:oddVBand="0" w:evenVBand="0" w:oddHBand="0" w:evenHBand="0" w:firstRowFirstColumn="0" w:firstRowLastColumn="0" w:lastRowFirstColumn="0" w:lastRowLastColumn="0"/>
            <w:tcW w:w="0" w:type="auto"/>
            <w:hideMark/>
          </w:tcPr>
          <w:p w14:paraId="54F763FC" w14:textId="77777777" w:rsidR="002C4242" w:rsidRPr="002C4242" w:rsidRDefault="002C4242" w:rsidP="002C4242">
            <w:pPr>
              <w:rPr>
                <w:lang w:eastAsia="en-GB"/>
              </w:rPr>
            </w:pPr>
            <w:r w:rsidRPr="002C4242">
              <w:rPr>
                <w:lang w:eastAsia="en-GB"/>
              </w:rPr>
              <w:t>C</w:t>
            </w:r>
          </w:p>
        </w:tc>
        <w:tc>
          <w:tcPr>
            <w:tcW w:w="0" w:type="auto"/>
            <w:hideMark/>
          </w:tcPr>
          <w:p w14:paraId="31C3B069"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1,600,000</w:t>
            </w:r>
          </w:p>
        </w:tc>
        <w:tc>
          <w:tcPr>
            <w:tcW w:w="0" w:type="auto"/>
            <w:hideMark/>
          </w:tcPr>
          <w:p w14:paraId="3B537B4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320,000</w:t>
            </w:r>
          </w:p>
        </w:tc>
      </w:tr>
    </w:tbl>
    <w:p w14:paraId="52C5C50E" w14:textId="38AFF53D" w:rsidR="002C4242" w:rsidRDefault="002C4242" w:rsidP="000D7794">
      <w:r w:rsidRPr="002C4242">
        <w:t>After-Tax Cash Flows (£)</w:t>
      </w:r>
    </w:p>
    <w:p w14:paraId="5160066B" w14:textId="65168DAE" w:rsidR="002C4242" w:rsidRPr="002C4242" w:rsidRDefault="002C4242" w:rsidP="000D7794">
      <w:pPr>
        <w:rPr>
          <w:b/>
          <w:bCs/>
        </w:rPr>
      </w:pPr>
      <w:r w:rsidRPr="002C4242">
        <w:rPr>
          <w:b/>
          <w:bCs/>
        </w:rPr>
        <w:t>Option A – Expand Retail Outlet</w:t>
      </w:r>
    </w:p>
    <w:tbl>
      <w:tblPr>
        <w:tblStyle w:val="GridTable1Light-Accent2"/>
        <w:tblW w:w="9570" w:type="dxa"/>
        <w:tblLook w:val="04A0" w:firstRow="1" w:lastRow="0" w:firstColumn="1" w:lastColumn="0" w:noHBand="0" w:noVBand="1"/>
      </w:tblPr>
      <w:tblGrid>
        <w:gridCol w:w="1556"/>
        <w:gridCol w:w="3829"/>
        <w:gridCol w:w="4185"/>
      </w:tblGrid>
      <w:tr w:rsidR="002C4242" w:rsidRPr="002C4242" w14:paraId="2311A8CB" w14:textId="77777777" w:rsidTr="002C4242">
        <w:trPr>
          <w:cnfStyle w:val="100000000000" w:firstRow="1" w:lastRow="0" w:firstColumn="0" w:lastColumn="0" w:oddVBand="0" w:evenVBand="0" w:oddHBand="0"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09F4719B" w14:textId="77777777" w:rsidR="002C4242" w:rsidRPr="002C4242" w:rsidRDefault="002C4242" w:rsidP="002C4242">
            <w:pPr>
              <w:rPr>
                <w:lang w:eastAsia="en-GB"/>
              </w:rPr>
            </w:pPr>
            <w:r w:rsidRPr="002C4242">
              <w:rPr>
                <w:lang w:eastAsia="en-GB"/>
              </w:rPr>
              <w:t>Year</w:t>
            </w:r>
          </w:p>
        </w:tc>
        <w:tc>
          <w:tcPr>
            <w:tcW w:w="0" w:type="auto"/>
            <w:hideMark/>
          </w:tcPr>
          <w:p w14:paraId="01B703A1"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Pre-Tax CF (£)</w:t>
            </w:r>
          </w:p>
        </w:tc>
        <w:tc>
          <w:tcPr>
            <w:tcW w:w="0" w:type="auto"/>
            <w:hideMark/>
          </w:tcPr>
          <w:p w14:paraId="6512F36E"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After-Tax CF (£)</w:t>
            </w:r>
          </w:p>
        </w:tc>
      </w:tr>
      <w:tr w:rsidR="002C4242" w:rsidRPr="002C4242" w14:paraId="28F6965A" w14:textId="77777777" w:rsidTr="002C4242">
        <w:trPr>
          <w:trHeight w:val="590"/>
        </w:trPr>
        <w:tc>
          <w:tcPr>
            <w:cnfStyle w:val="001000000000" w:firstRow="0" w:lastRow="0" w:firstColumn="1" w:lastColumn="0" w:oddVBand="0" w:evenVBand="0" w:oddHBand="0" w:evenHBand="0" w:firstRowFirstColumn="0" w:firstRowLastColumn="0" w:lastRowFirstColumn="0" w:lastRowLastColumn="0"/>
            <w:tcW w:w="0" w:type="auto"/>
            <w:hideMark/>
          </w:tcPr>
          <w:p w14:paraId="77853874" w14:textId="77777777" w:rsidR="002C4242" w:rsidRPr="002C4242" w:rsidRDefault="002C4242" w:rsidP="002C4242">
            <w:pPr>
              <w:rPr>
                <w:lang w:eastAsia="en-GB"/>
              </w:rPr>
            </w:pPr>
            <w:r w:rsidRPr="002C4242">
              <w:rPr>
                <w:lang w:eastAsia="en-GB"/>
              </w:rPr>
              <w:t>1</w:t>
            </w:r>
          </w:p>
        </w:tc>
        <w:tc>
          <w:tcPr>
            <w:tcW w:w="0" w:type="auto"/>
            <w:hideMark/>
          </w:tcPr>
          <w:p w14:paraId="4CD3A9A2"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200,000</w:t>
            </w:r>
          </w:p>
        </w:tc>
        <w:tc>
          <w:tcPr>
            <w:tcW w:w="0" w:type="auto"/>
            <w:hideMark/>
          </w:tcPr>
          <w:p w14:paraId="6F1F907A"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180,000</w:t>
            </w:r>
          </w:p>
        </w:tc>
      </w:tr>
      <w:tr w:rsidR="002C4242" w:rsidRPr="002C4242" w14:paraId="7324F8DF" w14:textId="77777777" w:rsidTr="002C4242">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16F2C241" w14:textId="77777777" w:rsidR="002C4242" w:rsidRPr="002C4242" w:rsidRDefault="002C4242" w:rsidP="002C4242">
            <w:pPr>
              <w:rPr>
                <w:lang w:eastAsia="en-GB"/>
              </w:rPr>
            </w:pPr>
            <w:r w:rsidRPr="002C4242">
              <w:rPr>
                <w:lang w:eastAsia="en-GB"/>
              </w:rPr>
              <w:t>2</w:t>
            </w:r>
          </w:p>
        </w:tc>
        <w:tc>
          <w:tcPr>
            <w:tcW w:w="0" w:type="auto"/>
            <w:hideMark/>
          </w:tcPr>
          <w:p w14:paraId="7A12FCFE"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400,000</w:t>
            </w:r>
          </w:p>
        </w:tc>
        <w:tc>
          <w:tcPr>
            <w:tcW w:w="0" w:type="auto"/>
            <w:hideMark/>
          </w:tcPr>
          <w:p w14:paraId="4580A41E"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330,000</w:t>
            </w:r>
          </w:p>
        </w:tc>
      </w:tr>
      <w:tr w:rsidR="002C4242" w:rsidRPr="002C4242" w14:paraId="5CA4C9A5" w14:textId="77777777" w:rsidTr="002C4242">
        <w:trPr>
          <w:trHeight w:val="590"/>
        </w:trPr>
        <w:tc>
          <w:tcPr>
            <w:cnfStyle w:val="001000000000" w:firstRow="0" w:lastRow="0" w:firstColumn="1" w:lastColumn="0" w:oddVBand="0" w:evenVBand="0" w:oddHBand="0" w:evenHBand="0" w:firstRowFirstColumn="0" w:firstRowLastColumn="0" w:lastRowFirstColumn="0" w:lastRowLastColumn="0"/>
            <w:tcW w:w="0" w:type="auto"/>
            <w:hideMark/>
          </w:tcPr>
          <w:p w14:paraId="6C6C8B61" w14:textId="77777777" w:rsidR="002C4242" w:rsidRPr="002C4242" w:rsidRDefault="002C4242" w:rsidP="002C4242">
            <w:pPr>
              <w:rPr>
                <w:lang w:eastAsia="en-GB"/>
              </w:rPr>
            </w:pPr>
            <w:r w:rsidRPr="002C4242">
              <w:rPr>
                <w:lang w:eastAsia="en-GB"/>
              </w:rPr>
              <w:t>3</w:t>
            </w:r>
          </w:p>
        </w:tc>
        <w:tc>
          <w:tcPr>
            <w:tcW w:w="0" w:type="auto"/>
            <w:hideMark/>
          </w:tcPr>
          <w:p w14:paraId="1B2BF88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500,000</w:t>
            </w:r>
          </w:p>
        </w:tc>
        <w:tc>
          <w:tcPr>
            <w:tcW w:w="0" w:type="auto"/>
            <w:hideMark/>
          </w:tcPr>
          <w:p w14:paraId="00EB4438"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405,000</w:t>
            </w:r>
          </w:p>
        </w:tc>
      </w:tr>
      <w:tr w:rsidR="002C4242" w:rsidRPr="002C4242" w14:paraId="4BFD16B7" w14:textId="77777777" w:rsidTr="002C4242">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38D8ACB7" w14:textId="77777777" w:rsidR="002C4242" w:rsidRPr="002C4242" w:rsidRDefault="002C4242" w:rsidP="002C4242">
            <w:pPr>
              <w:rPr>
                <w:lang w:eastAsia="en-GB"/>
              </w:rPr>
            </w:pPr>
            <w:r w:rsidRPr="002C4242">
              <w:rPr>
                <w:lang w:eastAsia="en-GB"/>
              </w:rPr>
              <w:t>4</w:t>
            </w:r>
          </w:p>
        </w:tc>
        <w:tc>
          <w:tcPr>
            <w:tcW w:w="0" w:type="auto"/>
            <w:hideMark/>
          </w:tcPr>
          <w:p w14:paraId="6B66AB64"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700,000</w:t>
            </w:r>
          </w:p>
        </w:tc>
        <w:tc>
          <w:tcPr>
            <w:tcW w:w="0" w:type="auto"/>
            <w:hideMark/>
          </w:tcPr>
          <w:p w14:paraId="5CC9FD08"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555,000</w:t>
            </w:r>
          </w:p>
        </w:tc>
      </w:tr>
    </w:tbl>
    <w:p w14:paraId="2D464A04" w14:textId="719786D9" w:rsidR="002C4242" w:rsidRPr="002C4242" w:rsidRDefault="002C4242" w:rsidP="000D7794">
      <w:pPr>
        <w:rPr>
          <w:b/>
          <w:bCs/>
        </w:rPr>
      </w:pPr>
      <w:r w:rsidRPr="002C4242">
        <w:rPr>
          <w:b/>
          <w:bCs/>
        </w:rPr>
        <w:t>Option B – Develop into Internet Sales</w:t>
      </w:r>
    </w:p>
    <w:tbl>
      <w:tblPr>
        <w:tblStyle w:val="GridTable1Light-Accent6"/>
        <w:tblW w:w="9600" w:type="dxa"/>
        <w:tblLook w:val="04A0" w:firstRow="1" w:lastRow="0" w:firstColumn="1" w:lastColumn="0" w:noHBand="0" w:noVBand="1"/>
      </w:tblPr>
      <w:tblGrid>
        <w:gridCol w:w="1561"/>
        <w:gridCol w:w="3841"/>
        <w:gridCol w:w="4198"/>
      </w:tblGrid>
      <w:tr w:rsidR="002C4242" w:rsidRPr="002C4242" w14:paraId="3EDBE4C5" w14:textId="77777777" w:rsidTr="002C4242">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683A1666" w14:textId="77777777" w:rsidR="002C4242" w:rsidRPr="002C4242" w:rsidRDefault="002C4242" w:rsidP="002C4242">
            <w:pPr>
              <w:rPr>
                <w:lang w:eastAsia="en-GB"/>
              </w:rPr>
            </w:pPr>
            <w:r w:rsidRPr="002C4242">
              <w:rPr>
                <w:lang w:eastAsia="en-GB"/>
              </w:rPr>
              <w:t>Year</w:t>
            </w:r>
          </w:p>
        </w:tc>
        <w:tc>
          <w:tcPr>
            <w:tcW w:w="0" w:type="auto"/>
            <w:hideMark/>
          </w:tcPr>
          <w:p w14:paraId="177A410A"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Pre-Tax CF (£)</w:t>
            </w:r>
          </w:p>
        </w:tc>
        <w:tc>
          <w:tcPr>
            <w:tcW w:w="0" w:type="auto"/>
            <w:hideMark/>
          </w:tcPr>
          <w:p w14:paraId="481DEB62"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After-Tax CF (£)</w:t>
            </w:r>
          </w:p>
        </w:tc>
      </w:tr>
      <w:tr w:rsidR="002C4242" w:rsidRPr="002C4242" w14:paraId="063950E0" w14:textId="77777777" w:rsidTr="002C4242">
        <w:trPr>
          <w:trHeight w:val="591"/>
        </w:trPr>
        <w:tc>
          <w:tcPr>
            <w:cnfStyle w:val="001000000000" w:firstRow="0" w:lastRow="0" w:firstColumn="1" w:lastColumn="0" w:oddVBand="0" w:evenVBand="0" w:oddHBand="0" w:evenHBand="0" w:firstRowFirstColumn="0" w:firstRowLastColumn="0" w:lastRowFirstColumn="0" w:lastRowLastColumn="0"/>
            <w:tcW w:w="0" w:type="auto"/>
            <w:hideMark/>
          </w:tcPr>
          <w:p w14:paraId="14E42F10" w14:textId="77777777" w:rsidR="002C4242" w:rsidRPr="002C4242" w:rsidRDefault="002C4242" w:rsidP="002C4242">
            <w:pPr>
              <w:rPr>
                <w:lang w:eastAsia="en-GB"/>
              </w:rPr>
            </w:pPr>
            <w:r w:rsidRPr="002C4242">
              <w:rPr>
                <w:lang w:eastAsia="en-GB"/>
              </w:rPr>
              <w:t>1</w:t>
            </w:r>
          </w:p>
        </w:tc>
        <w:tc>
          <w:tcPr>
            <w:tcW w:w="0" w:type="auto"/>
            <w:hideMark/>
          </w:tcPr>
          <w:p w14:paraId="10EE35F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400,000</w:t>
            </w:r>
          </w:p>
        </w:tc>
        <w:tc>
          <w:tcPr>
            <w:tcW w:w="0" w:type="auto"/>
            <w:hideMark/>
          </w:tcPr>
          <w:p w14:paraId="1D98B3E0"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350,000</w:t>
            </w:r>
          </w:p>
        </w:tc>
      </w:tr>
      <w:tr w:rsidR="002C4242" w:rsidRPr="002C4242" w14:paraId="56F84F65" w14:textId="77777777" w:rsidTr="002C4242">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5FE05333" w14:textId="77777777" w:rsidR="002C4242" w:rsidRPr="002C4242" w:rsidRDefault="002C4242" w:rsidP="002C4242">
            <w:pPr>
              <w:rPr>
                <w:lang w:eastAsia="en-GB"/>
              </w:rPr>
            </w:pPr>
            <w:r w:rsidRPr="002C4242">
              <w:rPr>
                <w:lang w:eastAsia="en-GB"/>
              </w:rPr>
              <w:t>2</w:t>
            </w:r>
          </w:p>
        </w:tc>
        <w:tc>
          <w:tcPr>
            <w:tcW w:w="0" w:type="auto"/>
            <w:hideMark/>
          </w:tcPr>
          <w:p w14:paraId="3BE4C3B7"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450,000</w:t>
            </w:r>
          </w:p>
        </w:tc>
        <w:tc>
          <w:tcPr>
            <w:tcW w:w="0" w:type="auto"/>
            <w:hideMark/>
          </w:tcPr>
          <w:p w14:paraId="52350471"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387,500</w:t>
            </w:r>
          </w:p>
        </w:tc>
      </w:tr>
      <w:tr w:rsidR="002C4242" w:rsidRPr="002C4242" w14:paraId="552D8CFB" w14:textId="77777777" w:rsidTr="002C4242">
        <w:trPr>
          <w:trHeight w:val="591"/>
        </w:trPr>
        <w:tc>
          <w:tcPr>
            <w:cnfStyle w:val="001000000000" w:firstRow="0" w:lastRow="0" w:firstColumn="1" w:lastColumn="0" w:oddVBand="0" w:evenVBand="0" w:oddHBand="0" w:evenHBand="0" w:firstRowFirstColumn="0" w:firstRowLastColumn="0" w:lastRowFirstColumn="0" w:lastRowLastColumn="0"/>
            <w:tcW w:w="0" w:type="auto"/>
            <w:hideMark/>
          </w:tcPr>
          <w:p w14:paraId="0F0AC88F" w14:textId="77777777" w:rsidR="002C4242" w:rsidRPr="002C4242" w:rsidRDefault="002C4242" w:rsidP="002C4242">
            <w:pPr>
              <w:rPr>
                <w:lang w:eastAsia="en-GB"/>
              </w:rPr>
            </w:pPr>
            <w:r w:rsidRPr="002C4242">
              <w:rPr>
                <w:lang w:eastAsia="en-GB"/>
              </w:rPr>
              <w:t>3</w:t>
            </w:r>
          </w:p>
        </w:tc>
        <w:tc>
          <w:tcPr>
            <w:tcW w:w="0" w:type="auto"/>
            <w:hideMark/>
          </w:tcPr>
          <w:p w14:paraId="2BBCDAE3"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720,000</w:t>
            </w:r>
          </w:p>
        </w:tc>
        <w:tc>
          <w:tcPr>
            <w:tcW w:w="0" w:type="auto"/>
            <w:hideMark/>
          </w:tcPr>
          <w:p w14:paraId="0725EE24"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590,000</w:t>
            </w:r>
          </w:p>
        </w:tc>
      </w:tr>
      <w:tr w:rsidR="002C4242" w:rsidRPr="002C4242" w14:paraId="5C6F27F4" w14:textId="77777777" w:rsidTr="002C4242">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4F8651F9" w14:textId="77777777" w:rsidR="002C4242" w:rsidRPr="002C4242" w:rsidRDefault="002C4242" w:rsidP="002C4242">
            <w:pPr>
              <w:rPr>
                <w:lang w:eastAsia="en-GB"/>
              </w:rPr>
            </w:pPr>
            <w:r w:rsidRPr="002C4242">
              <w:rPr>
                <w:lang w:eastAsia="en-GB"/>
              </w:rPr>
              <w:t>4</w:t>
            </w:r>
          </w:p>
        </w:tc>
        <w:tc>
          <w:tcPr>
            <w:tcW w:w="0" w:type="auto"/>
            <w:hideMark/>
          </w:tcPr>
          <w:p w14:paraId="6F03A0A9"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980,000</w:t>
            </w:r>
          </w:p>
        </w:tc>
        <w:tc>
          <w:tcPr>
            <w:tcW w:w="0" w:type="auto"/>
            <w:hideMark/>
          </w:tcPr>
          <w:p w14:paraId="7937601D"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785,000</w:t>
            </w:r>
          </w:p>
        </w:tc>
      </w:tr>
    </w:tbl>
    <w:p w14:paraId="5D1D3355" w14:textId="2FB537B8" w:rsidR="002C4242" w:rsidRPr="002C4242" w:rsidRDefault="002C4242" w:rsidP="000D7794">
      <w:pPr>
        <w:rPr>
          <w:b/>
          <w:bCs/>
        </w:rPr>
      </w:pPr>
      <w:r w:rsidRPr="002C4242">
        <w:rPr>
          <w:b/>
          <w:bCs/>
        </w:rPr>
        <w:t>Option C – Produce Wooden and Roman Blinds</w:t>
      </w:r>
    </w:p>
    <w:tbl>
      <w:tblPr>
        <w:tblStyle w:val="GridTable1Light-Accent4"/>
        <w:tblW w:w="9540" w:type="dxa"/>
        <w:tblLook w:val="04A0" w:firstRow="1" w:lastRow="0" w:firstColumn="1" w:lastColumn="0" w:noHBand="0" w:noVBand="1"/>
      </w:tblPr>
      <w:tblGrid>
        <w:gridCol w:w="1551"/>
        <w:gridCol w:w="3817"/>
        <w:gridCol w:w="4172"/>
      </w:tblGrid>
      <w:tr w:rsidR="002C4242" w:rsidRPr="002C4242" w14:paraId="404BE94B" w14:textId="77777777" w:rsidTr="002C4242">
        <w:trPr>
          <w:cnfStyle w:val="100000000000" w:firstRow="1" w:lastRow="0" w:firstColumn="0" w:lastColumn="0" w:oddVBand="0" w:evenVBand="0" w:oddHBand="0"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0" w:type="auto"/>
            <w:hideMark/>
          </w:tcPr>
          <w:p w14:paraId="4ACBD786" w14:textId="77777777" w:rsidR="002C4242" w:rsidRPr="002C4242" w:rsidRDefault="002C4242" w:rsidP="002C4242">
            <w:pPr>
              <w:rPr>
                <w:lang w:eastAsia="en-GB"/>
              </w:rPr>
            </w:pPr>
            <w:r w:rsidRPr="002C4242">
              <w:rPr>
                <w:lang w:eastAsia="en-GB"/>
              </w:rPr>
              <w:t>Year</w:t>
            </w:r>
          </w:p>
        </w:tc>
        <w:tc>
          <w:tcPr>
            <w:tcW w:w="0" w:type="auto"/>
            <w:hideMark/>
          </w:tcPr>
          <w:p w14:paraId="0918173C"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Pre-Tax CF (£)</w:t>
            </w:r>
          </w:p>
        </w:tc>
        <w:tc>
          <w:tcPr>
            <w:tcW w:w="0" w:type="auto"/>
            <w:hideMark/>
          </w:tcPr>
          <w:p w14:paraId="7C400D51"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After-Tax CF (£)</w:t>
            </w:r>
          </w:p>
        </w:tc>
      </w:tr>
      <w:tr w:rsidR="002C4242" w:rsidRPr="002C4242" w14:paraId="00D66281" w14:textId="77777777" w:rsidTr="002C4242">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3B41A84E" w14:textId="77777777" w:rsidR="002C4242" w:rsidRPr="002C4242" w:rsidRDefault="002C4242" w:rsidP="002C4242">
            <w:pPr>
              <w:rPr>
                <w:lang w:eastAsia="en-GB"/>
              </w:rPr>
            </w:pPr>
            <w:r w:rsidRPr="002C4242">
              <w:rPr>
                <w:lang w:eastAsia="en-GB"/>
              </w:rPr>
              <w:t>1</w:t>
            </w:r>
          </w:p>
        </w:tc>
        <w:tc>
          <w:tcPr>
            <w:tcW w:w="0" w:type="auto"/>
            <w:hideMark/>
          </w:tcPr>
          <w:p w14:paraId="60E28BCE"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450,000</w:t>
            </w:r>
          </w:p>
        </w:tc>
        <w:tc>
          <w:tcPr>
            <w:tcW w:w="0" w:type="auto"/>
            <w:hideMark/>
          </w:tcPr>
          <w:p w14:paraId="6E1A4502"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417,500</w:t>
            </w:r>
          </w:p>
        </w:tc>
      </w:tr>
      <w:tr w:rsidR="002C4242" w:rsidRPr="002C4242" w14:paraId="29ECDDBA" w14:textId="77777777" w:rsidTr="002C4242">
        <w:trPr>
          <w:trHeight w:val="494"/>
        </w:trPr>
        <w:tc>
          <w:tcPr>
            <w:cnfStyle w:val="001000000000" w:firstRow="0" w:lastRow="0" w:firstColumn="1" w:lastColumn="0" w:oddVBand="0" w:evenVBand="0" w:oddHBand="0" w:evenHBand="0" w:firstRowFirstColumn="0" w:firstRowLastColumn="0" w:lastRowFirstColumn="0" w:lastRowLastColumn="0"/>
            <w:tcW w:w="0" w:type="auto"/>
            <w:hideMark/>
          </w:tcPr>
          <w:p w14:paraId="3B8D9D3F" w14:textId="77777777" w:rsidR="002C4242" w:rsidRPr="002C4242" w:rsidRDefault="002C4242" w:rsidP="002C4242">
            <w:pPr>
              <w:rPr>
                <w:lang w:eastAsia="en-GB"/>
              </w:rPr>
            </w:pPr>
            <w:r w:rsidRPr="002C4242">
              <w:rPr>
                <w:lang w:eastAsia="en-GB"/>
              </w:rPr>
              <w:t>2</w:t>
            </w:r>
          </w:p>
        </w:tc>
        <w:tc>
          <w:tcPr>
            <w:tcW w:w="0" w:type="auto"/>
            <w:hideMark/>
          </w:tcPr>
          <w:p w14:paraId="42D63E13"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700,000</w:t>
            </w:r>
          </w:p>
        </w:tc>
        <w:tc>
          <w:tcPr>
            <w:tcW w:w="0" w:type="auto"/>
            <w:hideMark/>
          </w:tcPr>
          <w:p w14:paraId="3018291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605,000</w:t>
            </w:r>
          </w:p>
        </w:tc>
      </w:tr>
      <w:tr w:rsidR="002C4242" w:rsidRPr="002C4242" w14:paraId="611E4553" w14:textId="77777777" w:rsidTr="002C4242">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7F02ECE7" w14:textId="77777777" w:rsidR="002C4242" w:rsidRPr="002C4242" w:rsidRDefault="002C4242" w:rsidP="002C4242">
            <w:pPr>
              <w:rPr>
                <w:lang w:eastAsia="en-GB"/>
              </w:rPr>
            </w:pPr>
            <w:r w:rsidRPr="002C4242">
              <w:rPr>
                <w:lang w:eastAsia="en-GB"/>
              </w:rPr>
              <w:lastRenderedPageBreak/>
              <w:t>3</w:t>
            </w:r>
          </w:p>
        </w:tc>
        <w:tc>
          <w:tcPr>
            <w:tcW w:w="0" w:type="auto"/>
            <w:hideMark/>
          </w:tcPr>
          <w:p w14:paraId="2E474CE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900,000</w:t>
            </w:r>
          </w:p>
        </w:tc>
        <w:tc>
          <w:tcPr>
            <w:tcW w:w="0" w:type="auto"/>
            <w:hideMark/>
          </w:tcPr>
          <w:p w14:paraId="005F3FC6"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755,000</w:t>
            </w:r>
          </w:p>
        </w:tc>
      </w:tr>
      <w:tr w:rsidR="002C4242" w:rsidRPr="002C4242" w14:paraId="0F109801" w14:textId="77777777" w:rsidTr="002C4242">
        <w:trPr>
          <w:trHeight w:val="494"/>
        </w:trPr>
        <w:tc>
          <w:tcPr>
            <w:cnfStyle w:val="001000000000" w:firstRow="0" w:lastRow="0" w:firstColumn="1" w:lastColumn="0" w:oddVBand="0" w:evenVBand="0" w:oddHBand="0" w:evenHBand="0" w:firstRowFirstColumn="0" w:firstRowLastColumn="0" w:lastRowFirstColumn="0" w:lastRowLastColumn="0"/>
            <w:tcW w:w="0" w:type="auto"/>
            <w:hideMark/>
          </w:tcPr>
          <w:p w14:paraId="61567C69" w14:textId="77777777" w:rsidR="002C4242" w:rsidRPr="002C4242" w:rsidRDefault="002C4242" w:rsidP="002C4242">
            <w:pPr>
              <w:rPr>
                <w:lang w:eastAsia="en-GB"/>
              </w:rPr>
            </w:pPr>
            <w:r w:rsidRPr="002C4242">
              <w:rPr>
                <w:lang w:eastAsia="en-GB"/>
              </w:rPr>
              <w:t>4</w:t>
            </w:r>
          </w:p>
        </w:tc>
        <w:tc>
          <w:tcPr>
            <w:tcW w:w="0" w:type="auto"/>
            <w:hideMark/>
          </w:tcPr>
          <w:p w14:paraId="4DEFA8A7"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1,200,000</w:t>
            </w:r>
          </w:p>
        </w:tc>
        <w:tc>
          <w:tcPr>
            <w:tcW w:w="0" w:type="auto"/>
            <w:hideMark/>
          </w:tcPr>
          <w:p w14:paraId="7E25E6B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980,000</w:t>
            </w:r>
          </w:p>
        </w:tc>
      </w:tr>
    </w:tbl>
    <w:p w14:paraId="562762E3" w14:textId="3F17E55A" w:rsidR="002C4242" w:rsidRPr="002C4242" w:rsidRDefault="002C4242" w:rsidP="000D7794">
      <w:pPr>
        <w:rPr>
          <w:b/>
          <w:bCs/>
        </w:rPr>
      </w:pPr>
      <w:r w:rsidRPr="002C4242">
        <w:rPr>
          <w:b/>
          <w:bCs/>
        </w:rPr>
        <w:t>Discount Factors at 6% (Cost of Capital)</w:t>
      </w:r>
    </w:p>
    <w:tbl>
      <w:tblPr>
        <w:tblStyle w:val="GridTable1Light-Accent1"/>
        <w:tblW w:w="8947" w:type="dxa"/>
        <w:jc w:val="center"/>
        <w:tblLook w:val="04A0" w:firstRow="1" w:lastRow="0" w:firstColumn="1" w:lastColumn="0" w:noHBand="0" w:noVBand="1"/>
      </w:tblPr>
      <w:tblGrid>
        <w:gridCol w:w="2110"/>
        <w:gridCol w:w="6837"/>
      </w:tblGrid>
      <w:tr w:rsidR="002C4242" w:rsidRPr="002C4242" w14:paraId="78765CC5" w14:textId="77777777" w:rsidTr="00861F83">
        <w:trPr>
          <w:cnfStyle w:val="100000000000" w:firstRow="1" w:lastRow="0" w:firstColumn="0" w:lastColumn="0" w:oddVBand="0" w:evenVBand="0" w:oddHBand="0" w:evenHBand="0" w:firstRowFirstColumn="0" w:firstRowLastColumn="0" w:lastRowFirstColumn="0" w:lastRowLastColumn="0"/>
          <w:trHeight w:val="518"/>
          <w:jc w:val="center"/>
        </w:trPr>
        <w:tc>
          <w:tcPr>
            <w:cnfStyle w:val="001000000000" w:firstRow="0" w:lastRow="0" w:firstColumn="1" w:lastColumn="0" w:oddVBand="0" w:evenVBand="0" w:oddHBand="0" w:evenHBand="0" w:firstRowFirstColumn="0" w:firstRowLastColumn="0" w:lastRowFirstColumn="0" w:lastRowLastColumn="0"/>
            <w:tcW w:w="2110" w:type="dxa"/>
            <w:hideMark/>
          </w:tcPr>
          <w:p w14:paraId="29A978EB" w14:textId="77777777" w:rsidR="002C4242" w:rsidRPr="002C4242" w:rsidRDefault="002C4242" w:rsidP="002C4242">
            <w:pPr>
              <w:jc w:val="center"/>
              <w:rPr>
                <w:lang w:eastAsia="en-GB"/>
              </w:rPr>
            </w:pPr>
            <w:r w:rsidRPr="002C4242">
              <w:rPr>
                <w:lang w:eastAsia="en-GB"/>
              </w:rPr>
              <w:t>Year</w:t>
            </w:r>
          </w:p>
        </w:tc>
        <w:tc>
          <w:tcPr>
            <w:tcW w:w="0" w:type="auto"/>
            <w:hideMark/>
          </w:tcPr>
          <w:p w14:paraId="6590A0D1" w14:textId="77777777" w:rsidR="002C4242" w:rsidRPr="002C4242" w:rsidRDefault="002C4242" w:rsidP="002C4242">
            <w:pPr>
              <w:jc w:val="cente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Discount Factor (6%)</w:t>
            </w:r>
          </w:p>
        </w:tc>
      </w:tr>
      <w:tr w:rsidR="002C4242" w:rsidRPr="002C4242" w14:paraId="2AE7D467" w14:textId="77777777" w:rsidTr="00861F83">
        <w:trPr>
          <w:trHeight w:val="500"/>
          <w:jc w:val="center"/>
        </w:trPr>
        <w:tc>
          <w:tcPr>
            <w:cnfStyle w:val="001000000000" w:firstRow="0" w:lastRow="0" w:firstColumn="1" w:lastColumn="0" w:oddVBand="0" w:evenVBand="0" w:oddHBand="0" w:evenHBand="0" w:firstRowFirstColumn="0" w:firstRowLastColumn="0" w:lastRowFirstColumn="0" w:lastRowLastColumn="0"/>
            <w:tcW w:w="2110" w:type="dxa"/>
            <w:hideMark/>
          </w:tcPr>
          <w:p w14:paraId="6FD1F284" w14:textId="77777777" w:rsidR="002C4242" w:rsidRPr="002C4242" w:rsidRDefault="002C4242" w:rsidP="002C4242">
            <w:pPr>
              <w:jc w:val="center"/>
              <w:rPr>
                <w:lang w:eastAsia="en-GB"/>
              </w:rPr>
            </w:pPr>
            <w:r w:rsidRPr="002C4242">
              <w:rPr>
                <w:lang w:eastAsia="en-GB"/>
              </w:rPr>
              <w:t>1</w:t>
            </w:r>
          </w:p>
        </w:tc>
        <w:tc>
          <w:tcPr>
            <w:tcW w:w="0" w:type="auto"/>
            <w:hideMark/>
          </w:tcPr>
          <w:p w14:paraId="6451A305"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0.9434</w:t>
            </w:r>
          </w:p>
        </w:tc>
      </w:tr>
      <w:tr w:rsidR="002C4242" w:rsidRPr="002C4242" w14:paraId="47173905" w14:textId="77777777" w:rsidTr="00861F83">
        <w:trPr>
          <w:trHeight w:val="518"/>
          <w:jc w:val="center"/>
        </w:trPr>
        <w:tc>
          <w:tcPr>
            <w:cnfStyle w:val="001000000000" w:firstRow="0" w:lastRow="0" w:firstColumn="1" w:lastColumn="0" w:oddVBand="0" w:evenVBand="0" w:oddHBand="0" w:evenHBand="0" w:firstRowFirstColumn="0" w:firstRowLastColumn="0" w:lastRowFirstColumn="0" w:lastRowLastColumn="0"/>
            <w:tcW w:w="2110" w:type="dxa"/>
            <w:hideMark/>
          </w:tcPr>
          <w:p w14:paraId="1ACC483D" w14:textId="77777777" w:rsidR="002C4242" w:rsidRPr="002C4242" w:rsidRDefault="002C4242" w:rsidP="002C4242">
            <w:pPr>
              <w:jc w:val="center"/>
              <w:rPr>
                <w:lang w:eastAsia="en-GB"/>
              </w:rPr>
            </w:pPr>
            <w:r w:rsidRPr="002C4242">
              <w:rPr>
                <w:lang w:eastAsia="en-GB"/>
              </w:rPr>
              <w:t>2</w:t>
            </w:r>
          </w:p>
        </w:tc>
        <w:tc>
          <w:tcPr>
            <w:tcW w:w="0" w:type="auto"/>
            <w:hideMark/>
          </w:tcPr>
          <w:p w14:paraId="29FC1751"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0.8900</w:t>
            </w:r>
          </w:p>
        </w:tc>
      </w:tr>
      <w:tr w:rsidR="002C4242" w:rsidRPr="002C4242" w14:paraId="07547061" w14:textId="77777777" w:rsidTr="00861F83">
        <w:trPr>
          <w:trHeight w:val="500"/>
          <w:jc w:val="center"/>
        </w:trPr>
        <w:tc>
          <w:tcPr>
            <w:cnfStyle w:val="001000000000" w:firstRow="0" w:lastRow="0" w:firstColumn="1" w:lastColumn="0" w:oddVBand="0" w:evenVBand="0" w:oddHBand="0" w:evenHBand="0" w:firstRowFirstColumn="0" w:firstRowLastColumn="0" w:lastRowFirstColumn="0" w:lastRowLastColumn="0"/>
            <w:tcW w:w="2110" w:type="dxa"/>
            <w:hideMark/>
          </w:tcPr>
          <w:p w14:paraId="60F3504D" w14:textId="77777777" w:rsidR="002C4242" w:rsidRPr="002C4242" w:rsidRDefault="002C4242" w:rsidP="002C4242">
            <w:pPr>
              <w:jc w:val="center"/>
              <w:rPr>
                <w:lang w:eastAsia="en-GB"/>
              </w:rPr>
            </w:pPr>
            <w:r w:rsidRPr="002C4242">
              <w:rPr>
                <w:lang w:eastAsia="en-GB"/>
              </w:rPr>
              <w:t>3</w:t>
            </w:r>
          </w:p>
        </w:tc>
        <w:tc>
          <w:tcPr>
            <w:tcW w:w="0" w:type="auto"/>
            <w:hideMark/>
          </w:tcPr>
          <w:p w14:paraId="715C91DB"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0.8396</w:t>
            </w:r>
          </w:p>
        </w:tc>
      </w:tr>
      <w:tr w:rsidR="002C4242" w:rsidRPr="002C4242" w14:paraId="119F505F" w14:textId="77777777" w:rsidTr="00861F83">
        <w:trPr>
          <w:trHeight w:val="518"/>
          <w:jc w:val="center"/>
        </w:trPr>
        <w:tc>
          <w:tcPr>
            <w:cnfStyle w:val="001000000000" w:firstRow="0" w:lastRow="0" w:firstColumn="1" w:lastColumn="0" w:oddVBand="0" w:evenVBand="0" w:oddHBand="0" w:evenHBand="0" w:firstRowFirstColumn="0" w:firstRowLastColumn="0" w:lastRowFirstColumn="0" w:lastRowLastColumn="0"/>
            <w:tcW w:w="2110" w:type="dxa"/>
            <w:hideMark/>
          </w:tcPr>
          <w:p w14:paraId="4D67E96B" w14:textId="77777777" w:rsidR="002C4242" w:rsidRPr="002C4242" w:rsidRDefault="002C4242" w:rsidP="002C4242">
            <w:pPr>
              <w:jc w:val="center"/>
              <w:rPr>
                <w:lang w:eastAsia="en-GB"/>
              </w:rPr>
            </w:pPr>
            <w:r w:rsidRPr="002C4242">
              <w:rPr>
                <w:lang w:eastAsia="en-GB"/>
              </w:rPr>
              <w:t>4</w:t>
            </w:r>
          </w:p>
        </w:tc>
        <w:tc>
          <w:tcPr>
            <w:tcW w:w="0" w:type="auto"/>
            <w:hideMark/>
          </w:tcPr>
          <w:p w14:paraId="26727FD8"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0.7921</w:t>
            </w:r>
          </w:p>
        </w:tc>
      </w:tr>
    </w:tbl>
    <w:p w14:paraId="12C6788D" w14:textId="3BBD8026" w:rsidR="002C4242" w:rsidRDefault="002C4242" w:rsidP="00861F83">
      <w:pPr>
        <w:pStyle w:val="Heading2"/>
      </w:pPr>
      <w:bookmarkStart w:id="104" w:name="_Toc218268966"/>
      <w:bookmarkStart w:id="105" w:name="_Toc218269032"/>
      <w:bookmarkStart w:id="106" w:name="_Toc223379540"/>
      <w:bookmarkStart w:id="107" w:name="_Toc223379718"/>
      <w:bookmarkStart w:id="108" w:name="_Toc223379788"/>
      <w:bookmarkStart w:id="109" w:name="_Toc223379898"/>
      <w:bookmarkStart w:id="110" w:name="_Toc223380613"/>
      <w:bookmarkStart w:id="111" w:name="_Toc223729988"/>
      <w:r w:rsidRPr="002C4242">
        <w:t>2.</w:t>
      </w:r>
      <w:r w:rsidR="00861F83">
        <w:t xml:space="preserve">2 </w:t>
      </w:r>
      <w:r w:rsidRPr="002C4242">
        <w:t xml:space="preserve">Net Present Value (NPV) and </w:t>
      </w:r>
      <w:r w:rsidRPr="00861F83">
        <w:t>Recommendation</w:t>
      </w:r>
      <w:bookmarkEnd w:id="104"/>
      <w:bookmarkEnd w:id="105"/>
      <w:bookmarkEnd w:id="106"/>
      <w:bookmarkEnd w:id="107"/>
      <w:bookmarkEnd w:id="108"/>
      <w:bookmarkEnd w:id="109"/>
      <w:bookmarkEnd w:id="110"/>
      <w:bookmarkEnd w:id="111"/>
    </w:p>
    <w:p w14:paraId="3173862F" w14:textId="0E97FBCA" w:rsidR="00E1550F" w:rsidRPr="004D66BE" w:rsidRDefault="00A231E8" w:rsidP="004D66BE">
      <w:pPr>
        <w:rPr>
          <w:b/>
          <w:bCs/>
        </w:rPr>
      </w:pPr>
      <w:r w:rsidRPr="00A231E8">
        <w:rPr>
          <w:b/>
          <w:bCs/>
        </w:rPr>
        <w:t>NPV Calculation</w:t>
      </w:r>
    </w:p>
    <w:tbl>
      <w:tblPr>
        <w:tblStyle w:val="GridTable4-Accent5"/>
        <w:tblW w:w="10025" w:type="dxa"/>
        <w:tblLook w:val="04A0" w:firstRow="1" w:lastRow="0" w:firstColumn="1" w:lastColumn="0" w:noHBand="0" w:noVBand="1"/>
      </w:tblPr>
      <w:tblGrid>
        <w:gridCol w:w="926"/>
        <w:gridCol w:w="1484"/>
        <w:gridCol w:w="1484"/>
        <w:gridCol w:w="1484"/>
        <w:gridCol w:w="1484"/>
        <w:gridCol w:w="1392"/>
        <w:gridCol w:w="1771"/>
      </w:tblGrid>
      <w:tr w:rsidR="00A231E8" w:rsidRPr="00A231E8" w14:paraId="34C5FB59" w14:textId="77777777" w:rsidTr="00A231E8">
        <w:trPr>
          <w:cnfStyle w:val="100000000000" w:firstRow="1" w:lastRow="0" w:firstColumn="0" w:lastColumn="0" w:oddVBand="0" w:evenVBand="0" w:oddHBand="0" w:evenHBand="0" w:firstRowFirstColumn="0" w:firstRowLastColumn="0" w:lastRowFirstColumn="0" w:lastRowLastColumn="0"/>
          <w:trHeight w:val="807"/>
        </w:trPr>
        <w:tc>
          <w:tcPr>
            <w:cnfStyle w:val="001000000000" w:firstRow="0" w:lastRow="0" w:firstColumn="1" w:lastColumn="0" w:oddVBand="0" w:evenVBand="0" w:oddHBand="0" w:evenHBand="0" w:firstRowFirstColumn="0" w:firstRowLastColumn="0" w:lastRowFirstColumn="0" w:lastRowLastColumn="0"/>
            <w:tcW w:w="0" w:type="auto"/>
            <w:hideMark/>
          </w:tcPr>
          <w:p w14:paraId="37A079D3" w14:textId="77777777" w:rsidR="00A231E8" w:rsidRPr="00A231E8" w:rsidRDefault="00A231E8" w:rsidP="00A231E8">
            <w:pPr>
              <w:rPr>
                <w:lang w:eastAsia="en-GB"/>
              </w:rPr>
            </w:pPr>
            <w:r w:rsidRPr="00A231E8">
              <w:rPr>
                <w:lang w:eastAsia="en-GB"/>
              </w:rPr>
              <w:t>Option</w:t>
            </w:r>
          </w:p>
        </w:tc>
        <w:tc>
          <w:tcPr>
            <w:tcW w:w="0" w:type="auto"/>
            <w:hideMark/>
          </w:tcPr>
          <w:p w14:paraId="226E6780"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1</w:t>
            </w:r>
          </w:p>
        </w:tc>
        <w:tc>
          <w:tcPr>
            <w:tcW w:w="0" w:type="auto"/>
            <w:hideMark/>
          </w:tcPr>
          <w:p w14:paraId="008556CC"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2</w:t>
            </w:r>
          </w:p>
        </w:tc>
        <w:tc>
          <w:tcPr>
            <w:tcW w:w="0" w:type="auto"/>
            <w:hideMark/>
          </w:tcPr>
          <w:p w14:paraId="165F738E"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3</w:t>
            </w:r>
          </w:p>
        </w:tc>
        <w:tc>
          <w:tcPr>
            <w:tcW w:w="0" w:type="auto"/>
            <w:hideMark/>
          </w:tcPr>
          <w:p w14:paraId="66E0BED7"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4</w:t>
            </w:r>
          </w:p>
        </w:tc>
        <w:tc>
          <w:tcPr>
            <w:tcW w:w="0" w:type="auto"/>
            <w:hideMark/>
          </w:tcPr>
          <w:p w14:paraId="5706228C"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Total PV Inflows</w:t>
            </w:r>
          </w:p>
        </w:tc>
        <w:tc>
          <w:tcPr>
            <w:tcW w:w="0" w:type="auto"/>
            <w:hideMark/>
          </w:tcPr>
          <w:p w14:paraId="21682E53"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NPV</w:t>
            </w:r>
          </w:p>
        </w:tc>
      </w:tr>
      <w:tr w:rsidR="00A231E8" w:rsidRPr="00A231E8" w14:paraId="095D6BB4" w14:textId="77777777" w:rsidTr="00A231E8">
        <w:trPr>
          <w:cnfStyle w:val="000000100000" w:firstRow="0" w:lastRow="0" w:firstColumn="0" w:lastColumn="0" w:oddVBand="0" w:evenVBand="0" w:oddHBand="1"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0" w:type="auto"/>
            <w:hideMark/>
          </w:tcPr>
          <w:p w14:paraId="2A484CF7" w14:textId="77777777" w:rsidR="00A231E8" w:rsidRPr="00A231E8" w:rsidRDefault="00A231E8" w:rsidP="00A231E8">
            <w:pPr>
              <w:rPr>
                <w:lang w:eastAsia="en-GB"/>
              </w:rPr>
            </w:pPr>
            <w:r w:rsidRPr="00A231E8">
              <w:rPr>
                <w:lang w:eastAsia="en-GB"/>
              </w:rPr>
              <w:t>A</w:t>
            </w:r>
          </w:p>
        </w:tc>
        <w:tc>
          <w:tcPr>
            <w:tcW w:w="0" w:type="auto"/>
            <w:hideMark/>
          </w:tcPr>
          <w:p w14:paraId="32BD6C15"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180,000 × 0.9434 = 169.8</w:t>
            </w:r>
          </w:p>
        </w:tc>
        <w:tc>
          <w:tcPr>
            <w:tcW w:w="0" w:type="auto"/>
            <w:hideMark/>
          </w:tcPr>
          <w:p w14:paraId="27E83EFE"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330,000 × 0.8900 = 293.7</w:t>
            </w:r>
          </w:p>
        </w:tc>
        <w:tc>
          <w:tcPr>
            <w:tcW w:w="0" w:type="auto"/>
            <w:hideMark/>
          </w:tcPr>
          <w:p w14:paraId="13C55631"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405,000 × 0.8396 = 340.0</w:t>
            </w:r>
          </w:p>
        </w:tc>
        <w:tc>
          <w:tcPr>
            <w:tcW w:w="0" w:type="auto"/>
            <w:hideMark/>
          </w:tcPr>
          <w:p w14:paraId="148846F5"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555,000 × 0.7921 = 439.7</w:t>
            </w:r>
          </w:p>
        </w:tc>
        <w:tc>
          <w:tcPr>
            <w:tcW w:w="0" w:type="auto"/>
            <w:hideMark/>
          </w:tcPr>
          <w:p w14:paraId="4B16DE79" w14:textId="221D8719"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1,243</w:t>
            </w:r>
            <w:r w:rsidR="00446C6A">
              <w:rPr>
                <w:lang w:eastAsia="en-GB"/>
              </w:rPr>
              <w:t>,200</w:t>
            </w:r>
          </w:p>
        </w:tc>
        <w:tc>
          <w:tcPr>
            <w:tcW w:w="0" w:type="auto"/>
            <w:hideMark/>
          </w:tcPr>
          <w:p w14:paraId="4761AE02" w14:textId="45CFCA4A"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1,243.2 - 600,000 = +643</w:t>
            </w:r>
            <w:r w:rsidR="00446C6A">
              <w:rPr>
                <w:lang w:eastAsia="en-GB"/>
              </w:rPr>
              <w:t>,</w:t>
            </w:r>
            <w:r w:rsidRPr="00A231E8">
              <w:rPr>
                <w:lang w:eastAsia="en-GB"/>
              </w:rPr>
              <w:t>2</w:t>
            </w:r>
            <w:r w:rsidR="00446C6A">
              <w:rPr>
                <w:lang w:eastAsia="en-GB"/>
              </w:rPr>
              <w:t>00</w:t>
            </w:r>
          </w:p>
        </w:tc>
      </w:tr>
      <w:tr w:rsidR="00A231E8" w:rsidRPr="00A231E8" w14:paraId="12051F14" w14:textId="77777777" w:rsidTr="00A231E8">
        <w:trPr>
          <w:trHeight w:val="1127"/>
        </w:trPr>
        <w:tc>
          <w:tcPr>
            <w:cnfStyle w:val="001000000000" w:firstRow="0" w:lastRow="0" w:firstColumn="1" w:lastColumn="0" w:oddVBand="0" w:evenVBand="0" w:oddHBand="0" w:evenHBand="0" w:firstRowFirstColumn="0" w:firstRowLastColumn="0" w:lastRowFirstColumn="0" w:lastRowLastColumn="0"/>
            <w:tcW w:w="0" w:type="auto"/>
            <w:hideMark/>
          </w:tcPr>
          <w:p w14:paraId="5FF99E39" w14:textId="77777777" w:rsidR="00A231E8" w:rsidRPr="00A231E8" w:rsidRDefault="00A231E8" w:rsidP="00A231E8">
            <w:pPr>
              <w:rPr>
                <w:lang w:eastAsia="en-GB"/>
              </w:rPr>
            </w:pPr>
            <w:r w:rsidRPr="00A231E8">
              <w:rPr>
                <w:lang w:eastAsia="en-GB"/>
              </w:rPr>
              <w:t>B</w:t>
            </w:r>
          </w:p>
        </w:tc>
        <w:tc>
          <w:tcPr>
            <w:tcW w:w="0" w:type="auto"/>
            <w:hideMark/>
          </w:tcPr>
          <w:p w14:paraId="0637D5A4"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350,000 × 0.9434 = 330.2</w:t>
            </w:r>
          </w:p>
        </w:tc>
        <w:tc>
          <w:tcPr>
            <w:tcW w:w="0" w:type="auto"/>
            <w:hideMark/>
          </w:tcPr>
          <w:p w14:paraId="270B9B65"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387,500 × 0.8900 = 344.9</w:t>
            </w:r>
          </w:p>
        </w:tc>
        <w:tc>
          <w:tcPr>
            <w:tcW w:w="0" w:type="auto"/>
            <w:hideMark/>
          </w:tcPr>
          <w:p w14:paraId="0355289E"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590,000 × 0.8396 = 495.4</w:t>
            </w:r>
          </w:p>
        </w:tc>
        <w:tc>
          <w:tcPr>
            <w:tcW w:w="0" w:type="auto"/>
            <w:hideMark/>
          </w:tcPr>
          <w:p w14:paraId="7503EE57"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785,000 × 0.7921 = 621.7</w:t>
            </w:r>
          </w:p>
        </w:tc>
        <w:tc>
          <w:tcPr>
            <w:tcW w:w="0" w:type="auto"/>
            <w:hideMark/>
          </w:tcPr>
          <w:p w14:paraId="32DB819C" w14:textId="66CC95A4"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1,792</w:t>
            </w:r>
            <w:r w:rsidR="00446C6A">
              <w:rPr>
                <w:lang w:eastAsia="en-GB"/>
              </w:rPr>
              <w:t>,</w:t>
            </w:r>
            <w:r w:rsidRPr="00A231E8">
              <w:rPr>
                <w:lang w:eastAsia="en-GB"/>
              </w:rPr>
              <w:t>2</w:t>
            </w:r>
            <w:r w:rsidR="00446C6A">
              <w:rPr>
                <w:lang w:eastAsia="en-GB"/>
              </w:rPr>
              <w:t>00</w:t>
            </w:r>
          </w:p>
        </w:tc>
        <w:tc>
          <w:tcPr>
            <w:tcW w:w="0" w:type="auto"/>
            <w:hideMark/>
          </w:tcPr>
          <w:p w14:paraId="2A080DC6" w14:textId="477E0D16"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1,792.2 - 1,000,000 = +792</w:t>
            </w:r>
            <w:r w:rsidR="00446C6A">
              <w:rPr>
                <w:lang w:eastAsia="en-GB"/>
              </w:rPr>
              <w:t>,</w:t>
            </w:r>
            <w:r w:rsidRPr="00A231E8">
              <w:rPr>
                <w:lang w:eastAsia="en-GB"/>
              </w:rPr>
              <w:t>2</w:t>
            </w:r>
            <w:r w:rsidR="00446C6A">
              <w:rPr>
                <w:lang w:eastAsia="en-GB"/>
              </w:rPr>
              <w:t>00</w:t>
            </w:r>
          </w:p>
        </w:tc>
      </w:tr>
      <w:tr w:rsidR="00A231E8" w:rsidRPr="00A231E8" w14:paraId="1C508195" w14:textId="77777777" w:rsidTr="00A231E8">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0" w:type="auto"/>
            <w:hideMark/>
          </w:tcPr>
          <w:p w14:paraId="6985F3F1" w14:textId="77777777" w:rsidR="00A231E8" w:rsidRPr="00A231E8" w:rsidRDefault="00A231E8" w:rsidP="00A231E8">
            <w:pPr>
              <w:rPr>
                <w:lang w:eastAsia="en-GB"/>
              </w:rPr>
            </w:pPr>
            <w:r w:rsidRPr="00A231E8">
              <w:rPr>
                <w:lang w:eastAsia="en-GB"/>
              </w:rPr>
              <w:t>C</w:t>
            </w:r>
          </w:p>
        </w:tc>
        <w:tc>
          <w:tcPr>
            <w:tcW w:w="0" w:type="auto"/>
            <w:hideMark/>
          </w:tcPr>
          <w:p w14:paraId="52EC4ECC"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417,500 × 0.9434 = 393.9</w:t>
            </w:r>
          </w:p>
        </w:tc>
        <w:tc>
          <w:tcPr>
            <w:tcW w:w="0" w:type="auto"/>
            <w:hideMark/>
          </w:tcPr>
          <w:p w14:paraId="4E97D7AD"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605,000 × 0.8900 = 538.5</w:t>
            </w:r>
          </w:p>
        </w:tc>
        <w:tc>
          <w:tcPr>
            <w:tcW w:w="0" w:type="auto"/>
            <w:hideMark/>
          </w:tcPr>
          <w:p w14:paraId="3239F372"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755,000 × 0.8396 = 633.4</w:t>
            </w:r>
          </w:p>
        </w:tc>
        <w:tc>
          <w:tcPr>
            <w:tcW w:w="0" w:type="auto"/>
            <w:hideMark/>
          </w:tcPr>
          <w:p w14:paraId="743D2FF5"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980,000 × 0.7921 = 777.3</w:t>
            </w:r>
          </w:p>
        </w:tc>
        <w:tc>
          <w:tcPr>
            <w:tcW w:w="0" w:type="auto"/>
            <w:hideMark/>
          </w:tcPr>
          <w:p w14:paraId="6A65B825" w14:textId="2569FA88"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2,342</w:t>
            </w:r>
            <w:r w:rsidR="00446C6A">
              <w:rPr>
                <w:lang w:eastAsia="en-GB"/>
              </w:rPr>
              <w:t>,</w:t>
            </w:r>
            <w:r w:rsidRPr="00A231E8">
              <w:rPr>
                <w:lang w:eastAsia="en-GB"/>
              </w:rPr>
              <w:t>5</w:t>
            </w:r>
            <w:r w:rsidR="00446C6A">
              <w:rPr>
                <w:lang w:eastAsia="en-GB"/>
              </w:rPr>
              <w:t>00</w:t>
            </w:r>
          </w:p>
        </w:tc>
        <w:tc>
          <w:tcPr>
            <w:tcW w:w="0" w:type="auto"/>
            <w:hideMark/>
          </w:tcPr>
          <w:p w14:paraId="5B56643E" w14:textId="43A8CC5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2,342.5 - 1,600,000 = +742</w:t>
            </w:r>
            <w:r w:rsidR="00446C6A">
              <w:rPr>
                <w:lang w:eastAsia="en-GB"/>
              </w:rPr>
              <w:t>,</w:t>
            </w:r>
            <w:r w:rsidRPr="00A231E8">
              <w:rPr>
                <w:lang w:eastAsia="en-GB"/>
              </w:rPr>
              <w:t>5</w:t>
            </w:r>
            <w:r w:rsidR="00446C6A">
              <w:rPr>
                <w:lang w:eastAsia="en-GB"/>
              </w:rPr>
              <w:t>00</w:t>
            </w:r>
          </w:p>
        </w:tc>
      </w:tr>
    </w:tbl>
    <w:p w14:paraId="27DD80FC" w14:textId="5141B768" w:rsidR="00A231E8" w:rsidRPr="00861F83" w:rsidRDefault="00A231E8" w:rsidP="00861F83">
      <w:pPr>
        <w:rPr>
          <w:b/>
          <w:bCs/>
        </w:rPr>
      </w:pPr>
      <w:bookmarkStart w:id="112" w:name="_Toc218268967"/>
      <w:bookmarkStart w:id="113" w:name="_Toc218269033"/>
      <w:r w:rsidRPr="00861F83">
        <w:rPr>
          <w:b/>
          <w:bCs/>
        </w:rPr>
        <w:t>Recommendation</w:t>
      </w:r>
      <w:bookmarkEnd w:id="112"/>
      <w:bookmarkEnd w:id="113"/>
    </w:p>
    <w:p w14:paraId="002ACD69" w14:textId="08C5E000" w:rsidR="00A231E8" w:rsidRDefault="0067513C" w:rsidP="0067513C">
      <w:r>
        <w:t xml:space="preserve">The option B (internet sales) is the most financially attractive alternative that seems to be appealing to Westward Plc. It produces a maximum NPV of </w:t>
      </w:r>
      <w:r w:rsidRPr="0067513C">
        <w:t>£</w:t>
      </w:r>
      <w:r>
        <w:t xml:space="preserve">792,200, this indicates that it can produce a high shareholder value than the other alternatives. Conversely, the NPV of the option C is </w:t>
      </w:r>
      <w:r w:rsidRPr="0067513C">
        <w:t>£</w:t>
      </w:r>
      <w:r>
        <w:t xml:space="preserve">742,500 but has a large initial outlay. In terms of NPV as compared to the extent of investment, the level of investment might place a better yield per pound invested in option B. On financial grounds, the lowest NPV is </w:t>
      </w:r>
      <w:r w:rsidRPr="0067513C">
        <w:t>£</w:t>
      </w:r>
      <w:r>
        <w:t xml:space="preserve">643,200 in option A hence it does not look appealing. Option </w:t>
      </w:r>
      <w:r>
        <w:lastRenderedPageBreak/>
        <w:t xml:space="preserve">B is also in line with the current trends in the market which is inclined to online shopping. This should enable the firm to expand on a moderate initial capital of </w:t>
      </w:r>
      <w:r w:rsidRPr="0067513C">
        <w:t>£</w:t>
      </w:r>
      <w:r>
        <w:t xml:space="preserve">1,000,000. Results however, are pegged on demand growth and implementation. On the whole, Option B may offer a compromise between the returns and risk, but the final performance level will be determined by the market conditions and the effectiveness of the management </w:t>
      </w:r>
      <w:r w:rsidR="00D0225A">
        <w:t>(</w:t>
      </w:r>
      <w:r w:rsidR="00D0225A" w:rsidRPr="005A7FB1">
        <w:t>Alqam</w:t>
      </w:r>
      <w:r w:rsidR="00D0225A">
        <w:t xml:space="preserve"> et al., 2021)</w:t>
      </w:r>
      <w:r w:rsidR="00E1550F">
        <w:t>.</w:t>
      </w:r>
    </w:p>
    <w:p w14:paraId="557A6AEF" w14:textId="18377910" w:rsidR="00E1550F" w:rsidRDefault="00861F83" w:rsidP="003D76DA">
      <w:pPr>
        <w:pStyle w:val="Heading2"/>
      </w:pPr>
      <w:bookmarkStart w:id="114" w:name="_Toc223379541"/>
      <w:bookmarkStart w:id="115" w:name="_Toc223379719"/>
      <w:bookmarkStart w:id="116" w:name="_Toc223379789"/>
      <w:bookmarkStart w:id="117" w:name="_Toc223379899"/>
      <w:bookmarkStart w:id="118" w:name="_Toc223380614"/>
      <w:bookmarkStart w:id="119" w:name="_Toc223729989"/>
      <w:bookmarkStart w:id="120" w:name="_Toc218268968"/>
      <w:bookmarkStart w:id="121" w:name="_Toc218269034"/>
      <w:r>
        <w:t>2.</w:t>
      </w:r>
      <w:r w:rsidR="00E1550F" w:rsidRPr="00E1550F">
        <w:t>3 Approximate Internal Rate of Return (IRR)</w:t>
      </w:r>
      <w:bookmarkEnd w:id="114"/>
      <w:bookmarkEnd w:id="115"/>
      <w:bookmarkEnd w:id="116"/>
      <w:bookmarkEnd w:id="117"/>
      <w:bookmarkEnd w:id="118"/>
      <w:bookmarkEnd w:id="119"/>
      <w:r w:rsidR="00E1550F" w:rsidRPr="00E1550F">
        <w:t xml:space="preserve"> </w:t>
      </w:r>
      <w:bookmarkEnd w:id="120"/>
      <w:bookmarkEnd w:id="121"/>
    </w:p>
    <w:tbl>
      <w:tblPr>
        <w:tblStyle w:val="GridTable1Light-Accent2"/>
        <w:tblW w:w="7644" w:type="dxa"/>
        <w:jc w:val="center"/>
        <w:tblLook w:val="04A0" w:firstRow="1" w:lastRow="0" w:firstColumn="1" w:lastColumn="0" w:noHBand="0" w:noVBand="1"/>
      </w:tblPr>
      <w:tblGrid>
        <w:gridCol w:w="1959"/>
        <w:gridCol w:w="5685"/>
      </w:tblGrid>
      <w:tr w:rsidR="00E1550F" w:rsidRPr="00E1550F" w14:paraId="4F09D7E6" w14:textId="77777777" w:rsidTr="00E1550F">
        <w:trPr>
          <w:cnfStyle w:val="100000000000" w:firstRow="1" w:lastRow="0" w:firstColumn="0" w:lastColumn="0" w:oddVBand="0" w:evenVBand="0" w:oddHBand="0" w:evenHBand="0" w:firstRowFirstColumn="0" w:firstRowLastColumn="0" w:lastRowFirstColumn="0" w:lastRowLastColumn="0"/>
          <w:trHeight w:val="2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4B333C" w14:textId="77777777" w:rsidR="00E1550F" w:rsidRPr="00E1550F" w:rsidRDefault="00E1550F" w:rsidP="00E1550F">
            <w:pPr>
              <w:jc w:val="center"/>
              <w:rPr>
                <w:lang w:eastAsia="en-GB"/>
              </w:rPr>
            </w:pPr>
            <w:r w:rsidRPr="00E1550F">
              <w:rPr>
                <w:lang w:eastAsia="en-GB"/>
              </w:rPr>
              <w:t>Year</w:t>
            </w:r>
          </w:p>
        </w:tc>
        <w:tc>
          <w:tcPr>
            <w:tcW w:w="0" w:type="auto"/>
            <w:hideMark/>
          </w:tcPr>
          <w:p w14:paraId="43F9539F" w14:textId="77777777" w:rsidR="00E1550F" w:rsidRPr="00E1550F" w:rsidRDefault="00E1550F" w:rsidP="00E1550F">
            <w:pPr>
              <w:jc w:val="center"/>
              <w:cnfStyle w:val="100000000000" w:firstRow="1" w:lastRow="0" w:firstColumn="0" w:lastColumn="0" w:oddVBand="0" w:evenVBand="0" w:oddHBand="0" w:evenHBand="0" w:firstRowFirstColumn="0" w:firstRowLastColumn="0" w:lastRowFirstColumn="0" w:lastRowLastColumn="0"/>
              <w:rPr>
                <w:lang w:eastAsia="en-GB"/>
              </w:rPr>
            </w:pPr>
            <w:r w:rsidRPr="00E1550F">
              <w:rPr>
                <w:lang w:eastAsia="en-GB"/>
              </w:rPr>
              <w:t>Cash Flow (£000)</w:t>
            </w:r>
          </w:p>
        </w:tc>
      </w:tr>
      <w:tr w:rsidR="00E1550F" w:rsidRPr="00E1550F" w14:paraId="13827B88" w14:textId="77777777" w:rsidTr="00E1550F">
        <w:trPr>
          <w:trHeight w:val="24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AC63ED" w14:textId="22FD5CB7" w:rsidR="00E1550F" w:rsidRPr="00E1550F" w:rsidRDefault="00E1550F" w:rsidP="00E1550F">
            <w:pPr>
              <w:jc w:val="center"/>
              <w:rPr>
                <w:lang w:eastAsia="en-GB"/>
              </w:rPr>
            </w:pPr>
            <w:r w:rsidRPr="00E1550F">
              <w:rPr>
                <w:lang w:eastAsia="en-GB"/>
              </w:rPr>
              <w:t>0</w:t>
            </w:r>
          </w:p>
        </w:tc>
        <w:tc>
          <w:tcPr>
            <w:tcW w:w="0" w:type="auto"/>
            <w:hideMark/>
          </w:tcPr>
          <w:p w14:paraId="3B825EFA"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−1,000</w:t>
            </w:r>
          </w:p>
        </w:tc>
      </w:tr>
      <w:tr w:rsidR="00E1550F" w:rsidRPr="00E1550F" w14:paraId="3418F215" w14:textId="77777777" w:rsidTr="00E1550F">
        <w:trPr>
          <w:trHeight w:val="2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C9DAAA" w14:textId="0449EC5D" w:rsidR="00E1550F" w:rsidRPr="00E1550F" w:rsidRDefault="00E1550F" w:rsidP="00E1550F">
            <w:pPr>
              <w:jc w:val="center"/>
              <w:rPr>
                <w:lang w:eastAsia="en-GB"/>
              </w:rPr>
            </w:pPr>
            <w:r w:rsidRPr="00E1550F">
              <w:rPr>
                <w:lang w:eastAsia="en-GB"/>
              </w:rPr>
              <w:t>1</w:t>
            </w:r>
          </w:p>
        </w:tc>
        <w:tc>
          <w:tcPr>
            <w:tcW w:w="0" w:type="auto"/>
            <w:hideMark/>
          </w:tcPr>
          <w:p w14:paraId="4DD65F75"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350</w:t>
            </w:r>
          </w:p>
        </w:tc>
      </w:tr>
      <w:tr w:rsidR="00E1550F" w:rsidRPr="00E1550F" w14:paraId="260BB8CB" w14:textId="77777777" w:rsidTr="00E1550F">
        <w:trPr>
          <w:trHeight w:val="24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0BDCA8" w14:textId="6CDAA368" w:rsidR="00E1550F" w:rsidRPr="00E1550F" w:rsidRDefault="00E1550F" w:rsidP="00E1550F">
            <w:pPr>
              <w:jc w:val="center"/>
              <w:rPr>
                <w:lang w:eastAsia="en-GB"/>
              </w:rPr>
            </w:pPr>
            <w:r w:rsidRPr="00E1550F">
              <w:rPr>
                <w:lang w:eastAsia="en-GB"/>
              </w:rPr>
              <w:t>2</w:t>
            </w:r>
          </w:p>
        </w:tc>
        <w:tc>
          <w:tcPr>
            <w:tcW w:w="0" w:type="auto"/>
            <w:hideMark/>
          </w:tcPr>
          <w:p w14:paraId="2E1CE862"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387.5</w:t>
            </w:r>
          </w:p>
        </w:tc>
      </w:tr>
      <w:tr w:rsidR="00E1550F" w:rsidRPr="00E1550F" w14:paraId="7F188818" w14:textId="77777777" w:rsidTr="00E1550F">
        <w:trPr>
          <w:trHeight w:val="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BCF846" w14:textId="1ABBBF33" w:rsidR="00E1550F" w:rsidRPr="00E1550F" w:rsidRDefault="00E1550F" w:rsidP="00E1550F">
            <w:pPr>
              <w:jc w:val="center"/>
              <w:rPr>
                <w:lang w:eastAsia="en-GB"/>
              </w:rPr>
            </w:pPr>
            <w:r w:rsidRPr="00E1550F">
              <w:rPr>
                <w:lang w:eastAsia="en-GB"/>
              </w:rPr>
              <w:t>3</w:t>
            </w:r>
          </w:p>
        </w:tc>
        <w:tc>
          <w:tcPr>
            <w:tcW w:w="0" w:type="auto"/>
            <w:hideMark/>
          </w:tcPr>
          <w:p w14:paraId="2E8D5592"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590</w:t>
            </w:r>
          </w:p>
        </w:tc>
      </w:tr>
      <w:tr w:rsidR="00E1550F" w:rsidRPr="00E1550F" w14:paraId="2B361948" w14:textId="77777777" w:rsidTr="00E1550F">
        <w:trPr>
          <w:trHeight w:val="2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29FA8D" w14:textId="2FA2C917" w:rsidR="00E1550F" w:rsidRPr="00E1550F" w:rsidRDefault="00E1550F" w:rsidP="00E1550F">
            <w:pPr>
              <w:jc w:val="center"/>
              <w:rPr>
                <w:lang w:eastAsia="en-GB"/>
              </w:rPr>
            </w:pPr>
            <w:r w:rsidRPr="00E1550F">
              <w:rPr>
                <w:lang w:eastAsia="en-GB"/>
              </w:rPr>
              <w:t>4</w:t>
            </w:r>
          </w:p>
        </w:tc>
        <w:tc>
          <w:tcPr>
            <w:tcW w:w="0" w:type="auto"/>
            <w:hideMark/>
          </w:tcPr>
          <w:p w14:paraId="447DDA8D"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785</w:t>
            </w:r>
          </w:p>
        </w:tc>
      </w:tr>
    </w:tbl>
    <w:p w14:paraId="63CE26B0" w14:textId="412792D6" w:rsidR="00E1550F" w:rsidRPr="003D76DA" w:rsidRDefault="00E1550F" w:rsidP="00E1550F">
      <w:pPr>
        <w:rPr>
          <w:b/>
          <w:bCs/>
        </w:rPr>
      </w:pPr>
      <w:r w:rsidRPr="003D76DA">
        <w:rPr>
          <w:b/>
          <w:bCs/>
        </w:rPr>
        <w:t>Calculate NPV at two discount rates</w:t>
      </w:r>
      <w:r w:rsidR="00861F83">
        <w:rPr>
          <w:b/>
          <w:bCs/>
        </w:rPr>
        <w:t xml:space="preserve"> </w:t>
      </w:r>
      <w:r w:rsidR="00861F83" w:rsidRPr="00861F83">
        <w:rPr>
          <w:b/>
          <w:bCs/>
        </w:rPr>
        <w:t>for Option B</w:t>
      </w:r>
      <w:r w:rsidRPr="003D76DA">
        <w:rPr>
          <w:b/>
          <w:bCs/>
        </w:rPr>
        <w:t>:</w:t>
      </w:r>
    </w:p>
    <w:p w14:paraId="5CC80623" w14:textId="0E804CBE" w:rsidR="00E1550F" w:rsidRDefault="00E1550F" w:rsidP="00E1550F">
      <w:pPr>
        <w:rPr>
          <w:rStyle w:val="Strong"/>
        </w:rPr>
      </w:pPr>
      <w:r>
        <w:rPr>
          <w:rFonts w:hAnsi="Symbol"/>
        </w:rPr>
        <w:t></w:t>
      </w:r>
      <w:r>
        <w:t xml:space="preserve"> At</w:t>
      </w:r>
      <w:r>
        <w:rPr>
          <w:rStyle w:val="Strong"/>
        </w:rPr>
        <w:t xml:space="preserve"> 30%:</w:t>
      </w:r>
    </w:p>
    <w:p w14:paraId="33B1507E" w14:textId="703EEC52" w:rsidR="00E1550F" w:rsidRDefault="00E1550F" w:rsidP="00E1550F">
      <w:r>
        <w:t>NPV = (350 × 0.7692) + (387.5 × 0.5914) + (590 × 0.4545) + (785 × 0.3490)</w:t>
      </w:r>
      <w:r>
        <w:br/>
        <w:t>NPV   = 41.9 (positive)</w:t>
      </w:r>
    </w:p>
    <w:p w14:paraId="3C067BAD" w14:textId="77777777" w:rsidR="00E1550F" w:rsidRDefault="00E1550F" w:rsidP="00E1550F">
      <w:pPr>
        <w:rPr>
          <w:rStyle w:val="Strong"/>
        </w:rPr>
      </w:pPr>
      <w:r>
        <w:rPr>
          <w:rFonts w:hAnsi="Symbol"/>
        </w:rPr>
        <w:t></w:t>
      </w:r>
      <w:r>
        <w:t xml:space="preserve"> At</w:t>
      </w:r>
      <w:r>
        <w:rPr>
          <w:rStyle w:val="Strong"/>
        </w:rPr>
        <w:t xml:space="preserve"> 35%:</w:t>
      </w:r>
    </w:p>
    <w:p w14:paraId="3469AF4A" w14:textId="3DC8A496" w:rsidR="00E1550F" w:rsidRDefault="00E1550F" w:rsidP="00E1550F">
      <w:r>
        <w:t>NPV = (350 × 0.7407) + (387.5 × 0.5480) + (590 × 0.4045) + (785 × 0.3007)</w:t>
      </w:r>
      <w:r>
        <w:br/>
        <w:t>NPV   = −52.0 (negative)</w:t>
      </w:r>
    </w:p>
    <w:p w14:paraId="555EEC4D" w14:textId="77777777" w:rsidR="00E1550F" w:rsidRDefault="00E1550F" w:rsidP="00E1550F"/>
    <w:p w14:paraId="4A38348F" w14:textId="4A5F876F" w:rsidR="00E1550F" w:rsidRPr="006406B2" w:rsidRDefault="00E1550F" w:rsidP="00E1550F">
      <w:pPr>
        <w:rPr>
          <w:b/>
          <w:bCs/>
        </w:rPr>
      </w:pPr>
      <w:r w:rsidRPr="006406B2">
        <w:rPr>
          <w:b/>
          <w:bCs/>
        </w:rPr>
        <w:t>Calculation of IRR</w:t>
      </w:r>
    </w:p>
    <w:p w14:paraId="4DDB801F" w14:textId="3E215730" w:rsidR="00E1550F" w:rsidRDefault="006406B2" w:rsidP="00E1550F">
      <w:r>
        <w:rPr>
          <w:noProof/>
        </w:rPr>
        <w:drawing>
          <wp:inline distT="0" distB="0" distL="0" distR="0" wp14:anchorId="591110FD" wp14:editId="097DE75C">
            <wp:extent cx="5943600" cy="7137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713740"/>
                    </a:xfrm>
                    <a:prstGeom prst="rect">
                      <a:avLst/>
                    </a:prstGeom>
                  </pic:spPr>
                </pic:pic>
              </a:graphicData>
            </a:graphic>
          </wp:inline>
        </w:drawing>
      </w:r>
    </w:p>
    <w:p w14:paraId="201AB112" w14:textId="0523AFDB" w:rsidR="006406B2" w:rsidRDefault="006406B2" w:rsidP="00E1550F">
      <w:r w:rsidRPr="006406B2">
        <w:t>The IRR of the option B is of 32.2% which is quite high as compared to the cost of capital of the company of 6 percent meaning that the investment will lead to high returns</w:t>
      </w:r>
      <w:r w:rsidR="00D0225A">
        <w:t xml:space="preserve"> (</w:t>
      </w:r>
      <w:r w:rsidR="00D0225A" w:rsidRPr="005A7FB1">
        <w:t>Olayinka, 2022)</w:t>
      </w:r>
      <w:r w:rsidRPr="006406B2">
        <w:t xml:space="preserve">. This implies that the opportunity of Option B is a very appealing one, since the internal rate of return </w:t>
      </w:r>
      <w:r w:rsidRPr="006406B2">
        <w:lastRenderedPageBreak/>
        <w:t>is comfortably higher than the required rate of return. Furthermore, the profitability of this project is also supported by the positive NPV of 30% discount rate</w:t>
      </w:r>
      <w:r w:rsidR="00D0225A">
        <w:t xml:space="preserve"> (</w:t>
      </w:r>
      <w:r w:rsidR="00D0225A" w:rsidRPr="005A7FB1">
        <w:t>Sureka</w:t>
      </w:r>
      <w:r w:rsidR="00D0225A">
        <w:t xml:space="preserve"> et al., 2022)</w:t>
      </w:r>
      <w:r w:rsidRPr="006406B2">
        <w:t>. The result of the use of linear interpolation to estimate IRR is the correct one since it provides a better estimate in the event when the NPV is negative at two discount rates, furthering the validity of the strength of Option B as a viable investment.</w:t>
      </w:r>
    </w:p>
    <w:p w14:paraId="2D229F85" w14:textId="0BB9BF59" w:rsidR="006406B2" w:rsidRDefault="00861F83" w:rsidP="003D76DA">
      <w:pPr>
        <w:pStyle w:val="Heading2"/>
      </w:pPr>
      <w:bookmarkStart w:id="122" w:name="_Toc218268969"/>
      <w:bookmarkStart w:id="123" w:name="_Toc218269035"/>
      <w:bookmarkStart w:id="124" w:name="_Toc223379542"/>
      <w:bookmarkStart w:id="125" w:name="_Toc223379720"/>
      <w:bookmarkStart w:id="126" w:name="_Toc223379790"/>
      <w:bookmarkStart w:id="127" w:name="_Toc223379900"/>
      <w:bookmarkStart w:id="128" w:name="_Toc223380615"/>
      <w:bookmarkStart w:id="129" w:name="_Toc223729990"/>
      <w:r>
        <w:t>2.</w:t>
      </w:r>
      <w:r w:rsidR="006406B2" w:rsidRPr="006406B2">
        <w:t>4</w:t>
      </w:r>
      <w:r>
        <w:t xml:space="preserve"> </w:t>
      </w:r>
      <w:r w:rsidR="006406B2" w:rsidRPr="006406B2">
        <w:t>Interpretation for Management</w:t>
      </w:r>
      <w:bookmarkEnd w:id="122"/>
      <w:bookmarkEnd w:id="123"/>
      <w:bookmarkEnd w:id="124"/>
      <w:bookmarkEnd w:id="125"/>
      <w:bookmarkEnd w:id="126"/>
      <w:bookmarkEnd w:id="127"/>
      <w:bookmarkEnd w:id="128"/>
      <w:bookmarkEnd w:id="129"/>
    </w:p>
    <w:p w14:paraId="0D6EDD09" w14:textId="17F90D1B" w:rsidR="006406B2" w:rsidRPr="003D76DA" w:rsidRDefault="00A32B2C" w:rsidP="003D76DA">
      <w:pPr>
        <w:rPr>
          <w:b/>
          <w:bCs/>
        </w:rPr>
      </w:pPr>
      <w:r w:rsidRPr="003D76DA">
        <w:rPr>
          <w:b/>
          <w:bCs/>
        </w:rPr>
        <w:t>(i) NPV is Theoretically “Best”</w:t>
      </w:r>
    </w:p>
    <w:p w14:paraId="2DC80841" w14:textId="06DB3390" w:rsidR="00A32B2C" w:rsidRDefault="00A32B2C" w:rsidP="00A32B2C">
      <w:r>
        <w:t>The most popular form of investment appraisal is the Net Present Value (NPV) because this method of evaluating an investment directly relates to wealth maximisation of the shareholders</w:t>
      </w:r>
      <w:r w:rsidR="00C46647">
        <w:t xml:space="preserve"> (</w:t>
      </w:r>
      <w:r w:rsidR="00C46647" w:rsidRPr="00893F13">
        <w:t>Brealey</w:t>
      </w:r>
      <w:r w:rsidR="00C46647">
        <w:t xml:space="preserve"> et al., 2011)</w:t>
      </w:r>
      <w:r>
        <w:t>. NPV gives a clear idea of the amount of value that a project will bring in monetary terms by determining the present value of future cash flows and deductions of the initial investment</w:t>
      </w:r>
      <w:r w:rsidR="00D0225A">
        <w:t xml:space="preserve"> (</w:t>
      </w:r>
      <w:r w:rsidR="00D0225A" w:rsidRPr="005A7FB1">
        <w:t>Damodaran, 2024)</w:t>
      </w:r>
      <w:r>
        <w:t>. This is important as any business investment aims at adding value to the company to its shareholders. NPV also considers the time value of money, that is, the future cash flows have less value at the present time because of various reasons such as inflation, opportunity cost, and risk</w:t>
      </w:r>
      <w:r w:rsidR="00C46647">
        <w:t xml:space="preserve"> (</w:t>
      </w:r>
      <w:r w:rsidR="00C46647" w:rsidRPr="00893F13">
        <w:t>Fernandez, 2002)</w:t>
      </w:r>
      <w:r>
        <w:t>. NPV guarantees that only projects that have a higher rate of returns than the cost of capital are undertaken by discounting cash inflows that are occurring in the future</w:t>
      </w:r>
      <w:r w:rsidR="00C46647">
        <w:t xml:space="preserve"> (</w:t>
      </w:r>
      <w:r w:rsidR="00C46647" w:rsidRPr="00893F13">
        <w:t>Berk</w:t>
      </w:r>
      <w:r w:rsidR="00C46647">
        <w:t xml:space="preserve"> and </w:t>
      </w:r>
      <w:r w:rsidR="00C46647" w:rsidRPr="00893F13">
        <w:t>DeMarzo, 2019)</w:t>
      </w:r>
      <w:r>
        <w:t>. It renders it a powerful instrument of evaluating the actual economic gain of an investment. There is also the discount rate applied in calculating NPV, which is a risk factor of investments because it is based on the cost of capital. Increased discount implies increased perceived risk and it lowers the present value of future cash flows</w:t>
      </w:r>
      <w:r w:rsidR="00D0225A">
        <w:t xml:space="preserve"> (</w:t>
      </w:r>
      <w:r w:rsidR="00D0225A" w:rsidRPr="005A7FB1">
        <w:t>Basiru</w:t>
      </w:r>
      <w:r w:rsidR="00D0225A">
        <w:t xml:space="preserve"> et al., 2023)</w:t>
      </w:r>
      <w:r>
        <w:t>. Such an in-built system will guarantee that the company will only undertake projects that are within its risk tolerance.</w:t>
      </w:r>
    </w:p>
    <w:p w14:paraId="487892A9" w14:textId="2BEC92CA" w:rsidR="00A32B2C" w:rsidRDefault="00A32B2C" w:rsidP="00A32B2C">
      <w:r>
        <w:t>Lastly, NPV is based on rational corporate finance theory which pays emphasis on value maximisation. It also makes objective financial outcomes the basis of decision making taking into account both profitability and time value of money hence it is the most appropriate one in strategic investment decision making.</w:t>
      </w:r>
    </w:p>
    <w:p w14:paraId="79817CB3" w14:textId="5A88A27C" w:rsidR="00A32B2C" w:rsidRPr="003D76DA" w:rsidRDefault="00A32B2C" w:rsidP="003D76DA">
      <w:pPr>
        <w:rPr>
          <w:b/>
          <w:bCs/>
        </w:rPr>
      </w:pPr>
      <w:r w:rsidRPr="003D76DA">
        <w:rPr>
          <w:b/>
          <w:bCs/>
        </w:rPr>
        <w:t>(ii) Non-Discounting Methods Remain Popular</w:t>
      </w:r>
    </w:p>
    <w:p w14:paraId="15EC95C7" w14:textId="1AD368E0" w:rsidR="00A32B2C" w:rsidRDefault="00A32B2C" w:rsidP="00A32B2C">
      <w:r>
        <w:t>Although NPV is better in theory, non-discounting approaches such as payback period and Accounting Rate of Return (ARR) find favour among managers due to a number of reasons that are practical.</w:t>
      </w:r>
    </w:p>
    <w:p w14:paraId="2AB5B27B" w14:textId="6286F022" w:rsidR="00A32B2C" w:rsidRDefault="00A32B2C" w:rsidP="00A32B2C">
      <w:r>
        <w:lastRenderedPageBreak/>
        <w:t>To begin with, non-discounting methods have a great advantage of simplicity</w:t>
      </w:r>
      <w:r w:rsidR="00D0225A">
        <w:t xml:space="preserve"> (</w:t>
      </w:r>
      <w:r w:rsidR="00D0225A" w:rsidRPr="005A7FB1">
        <w:t>Bhimani</w:t>
      </w:r>
      <w:r w:rsidR="00D0225A">
        <w:t xml:space="preserve"> et al., 2023)</w:t>
      </w:r>
      <w:r>
        <w:t>. Payback period and ARR are simple and easy to compute and thus available to managers who might not be well trained in finance. They enable decisions to be made in a short time and this is very handy when time is of the essence. Besides, liquidity is a major concern of companies, particularly tight cash flows and this is the focus of the non-discounting methods</w:t>
      </w:r>
      <w:r w:rsidR="00E34017">
        <w:t xml:space="preserve"> (</w:t>
      </w:r>
      <w:r w:rsidR="00E34017" w:rsidRPr="004638B5">
        <w:t>Atrill</w:t>
      </w:r>
      <w:r w:rsidR="00E34017">
        <w:t xml:space="preserve"> and</w:t>
      </w:r>
      <w:r w:rsidR="00E34017" w:rsidRPr="004638B5">
        <w:t xml:space="preserve"> McLaney, 2006)</w:t>
      </w:r>
      <w:r>
        <w:t>. One such approach is the payback period method which focuses on the speed at which an investment is able to pay back its starting cost</w:t>
      </w:r>
      <w:r w:rsidR="00D0225A">
        <w:t xml:space="preserve"> (</w:t>
      </w:r>
      <w:r w:rsidR="00D0225A" w:rsidRPr="005A7FB1">
        <w:t>Dai</w:t>
      </w:r>
      <w:r w:rsidR="00D0225A">
        <w:t xml:space="preserve"> et al., 2022)</w:t>
      </w:r>
      <w:r>
        <w:t>. This is essential during periods of financial uncertainty or when a business is required to be certain that it is able to raise sufficient cash to pay its short-term liabilities.</w:t>
      </w:r>
    </w:p>
    <w:p w14:paraId="1C7148A0" w14:textId="5F54F02B" w:rsidR="00A32B2C" w:rsidRDefault="00A32B2C" w:rsidP="00A32B2C">
      <w:r>
        <w:t>Further, such practises are usually pegged on financial goals. Payback and ARR are often utilised by companies as a way of achieving internal performance goals or bonuses. In as much as these methods are not complex and directly related to cash flows, they are less complex to be related to such financial objectives as profitability and return on capital</w:t>
      </w:r>
      <w:r w:rsidR="00D0225A">
        <w:t xml:space="preserve"> (</w:t>
      </w:r>
      <w:r w:rsidR="00D0225A" w:rsidRPr="005A7FB1">
        <w:t>Ball</w:t>
      </w:r>
      <w:r w:rsidR="00D0225A">
        <w:t xml:space="preserve"> and </w:t>
      </w:r>
      <w:r w:rsidR="00D0225A" w:rsidRPr="005A7FB1">
        <w:t>Nikolaev, 2022)</w:t>
      </w:r>
      <w:r>
        <w:t>. Finally, non-discounting approaches are more favourable in unpredictable settings in the short-term. It is hard to predict long term cash flows particularly in extremely dynamic markets. Non-discounting techniques which emphasise on positive recovery at either the immediate or near future situations are considered to be a safer alternative in the face of uncertainties.</w:t>
      </w:r>
    </w:p>
    <w:p w14:paraId="31410C6A" w14:textId="2489AEB0" w:rsidR="00A32B2C" w:rsidRPr="003D76DA" w:rsidRDefault="00A32B2C" w:rsidP="003D76DA">
      <w:pPr>
        <w:rPr>
          <w:b/>
          <w:bCs/>
        </w:rPr>
      </w:pPr>
      <w:r w:rsidRPr="003D76DA">
        <w:rPr>
          <w:b/>
          <w:bCs/>
        </w:rPr>
        <w:t>(iii) Other Factors Before Investment Approval</w:t>
      </w:r>
    </w:p>
    <w:p w14:paraId="6455F397" w14:textId="632CE95F" w:rsidR="00B67D22" w:rsidRDefault="00B67D22" w:rsidP="00B67D22">
      <w:r>
        <w:t>The management should also put into consideration various non-financial factors before undergoing any kind of investment to make the project successful. Strategic fit is crucial. The management ought to analyse the compatibility of the project and the long-term brand and market positioning of the firm</w:t>
      </w:r>
      <w:r w:rsidR="00D0225A">
        <w:t xml:space="preserve"> (</w:t>
      </w:r>
      <w:r w:rsidR="00D0225A" w:rsidRPr="005A7FB1">
        <w:t>Shou, 2022,)</w:t>
      </w:r>
      <w:r>
        <w:t>. Any project can provide good financial incentives but when it cannot fit in the values of the company, its customer base or competitive strategy, the project might not provide long term gains to the company. Another consideration is the operational capacity. The management should determine the availability of the necessary logistics, IT infrastructure, and human resources needed to execute the project. Lack of operational capability may result to delays, high costs or even missing targets</w:t>
      </w:r>
      <w:r w:rsidR="00D0225A">
        <w:t xml:space="preserve"> (</w:t>
      </w:r>
      <w:r w:rsidR="00D0225A" w:rsidRPr="005A7FB1">
        <w:t>Hazen</w:t>
      </w:r>
      <w:r w:rsidR="00D0225A">
        <w:t xml:space="preserve"> and </w:t>
      </w:r>
      <w:r w:rsidR="00D0225A" w:rsidRPr="005A7FB1">
        <w:t>Magni, 2021)</w:t>
      </w:r>
      <w:r>
        <w:t xml:space="preserve">. One more important piece of information to be received is the analysis of scenario sensitivity to be able to realise how the project will handle itself in various circumstances, including poorer sales than anticipated, increased expenditures, or a shift in the market. This assists in the identification of the possible risks as well as equipping the business with situations. In case of online sales projects, compliance with the regulations is even more important. Companies should make sure </w:t>
      </w:r>
      <w:r>
        <w:lastRenderedPageBreak/>
        <w:t>they do not violate data protection laws, consumer rights, and other industry regulations so as to avoid any problems with the law and undesirable reputation.</w:t>
      </w:r>
    </w:p>
    <w:p w14:paraId="3C803DFE" w14:textId="70936ED4" w:rsidR="00B67D22" w:rsidRDefault="00B67D22" w:rsidP="00B67D22">
      <w:r>
        <w:t>Lastly, the management must establish post completion audit with key performance indicators (KPIs) to monitor the progress of the project</w:t>
      </w:r>
      <w:r w:rsidR="00D0225A">
        <w:t xml:space="preserve"> (</w:t>
      </w:r>
      <w:r w:rsidR="00D0225A" w:rsidRPr="005A7FB1">
        <w:t>Zhang</w:t>
      </w:r>
      <w:r w:rsidR="00D0225A">
        <w:t xml:space="preserve"> et al., 2022)</w:t>
      </w:r>
      <w:r>
        <w:t>. This will enable the business to track the progress of the investment and do corrections where it is required so that the project will yield the desired returns in the long run.</w:t>
      </w:r>
    </w:p>
    <w:p w14:paraId="0FB7C479" w14:textId="4A8ED579" w:rsidR="00A32B2C" w:rsidRDefault="00861F83" w:rsidP="003D76DA">
      <w:pPr>
        <w:pStyle w:val="Heading2"/>
      </w:pPr>
      <w:bookmarkStart w:id="130" w:name="_Toc218268970"/>
      <w:bookmarkStart w:id="131" w:name="_Toc218269036"/>
      <w:bookmarkStart w:id="132" w:name="_Toc223379543"/>
      <w:bookmarkStart w:id="133" w:name="_Toc223379721"/>
      <w:bookmarkStart w:id="134" w:name="_Toc223379791"/>
      <w:bookmarkStart w:id="135" w:name="_Toc223379901"/>
      <w:bookmarkStart w:id="136" w:name="_Toc223380616"/>
      <w:bookmarkStart w:id="137" w:name="_Toc223729991"/>
      <w:r>
        <w:t>2.</w:t>
      </w:r>
      <w:r w:rsidR="00B67D22" w:rsidRPr="00B67D22">
        <w:t>5 Capital Rationing: Optimal Investment Policy</w:t>
      </w:r>
      <w:bookmarkEnd w:id="130"/>
      <w:bookmarkEnd w:id="131"/>
      <w:bookmarkEnd w:id="132"/>
      <w:bookmarkEnd w:id="133"/>
      <w:bookmarkEnd w:id="134"/>
      <w:bookmarkEnd w:id="135"/>
      <w:bookmarkEnd w:id="136"/>
      <w:bookmarkEnd w:id="137"/>
    </w:p>
    <w:p w14:paraId="2058D114" w14:textId="4692CD97" w:rsidR="00B67D22" w:rsidRDefault="00B67D22" w:rsidP="00E1550F">
      <w:r w:rsidRPr="00B67D22">
        <w:t xml:space="preserve">The available budget is </w:t>
      </w:r>
      <w:r>
        <w:t>£</w:t>
      </w:r>
      <w:r w:rsidRPr="00B67D22">
        <w:t>2,500,000</w:t>
      </w:r>
      <w:r>
        <w:t xml:space="preserve"> </w:t>
      </w:r>
      <w:r w:rsidRPr="00B67D22">
        <w:t>and the proportion of the allocation is based on profitability index (PI), which is computed as follows:</w:t>
      </w:r>
    </w:p>
    <w:p w14:paraId="08E5F4BF" w14:textId="65DAA4A7" w:rsidR="00B67D22" w:rsidRDefault="00B67D22" w:rsidP="00B67D22">
      <w:pPr>
        <w:jc w:val="center"/>
      </w:pPr>
      <w:r>
        <w:rPr>
          <w:noProof/>
        </w:rPr>
        <w:drawing>
          <wp:inline distT="0" distB="0" distL="0" distR="0" wp14:anchorId="28BE3FCF" wp14:editId="5079A5CE">
            <wp:extent cx="2501900" cy="969157"/>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511518" cy="972883"/>
                    </a:xfrm>
                    <a:prstGeom prst="rect">
                      <a:avLst/>
                    </a:prstGeom>
                  </pic:spPr>
                </pic:pic>
              </a:graphicData>
            </a:graphic>
          </wp:inline>
        </w:drawing>
      </w:r>
    </w:p>
    <w:p w14:paraId="0FEB8C30" w14:textId="42760E80" w:rsidR="00B67D22" w:rsidRPr="00764765" w:rsidRDefault="00764765" w:rsidP="00B67D22">
      <w:pPr>
        <w:rPr>
          <w:b/>
          <w:bCs/>
        </w:rPr>
      </w:pPr>
      <w:r w:rsidRPr="00764765">
        <w:rPr>
          <w:b/>
          <w:bCs/>
        </w:rPr>
        <w:t>Profitability Index (PI) and Ranking:</w:t>
      </w:r>
    </w:p>
    <w:tbl>
      <w:tblPr>
        <w:tblStyle w:val="GridTable1Light-Accent5"/>
        <w:tblW w:w="9498" w:type="dxa"/>
        <w:tblLook w:val="04A0" w:firstRow="1" w:lastRow="0" w:firstColumn="1" w:lastColumn="0" w:noHBand="0" w:noVBand="1"/>
      </w:tblPr>
      <w:tblGrid>
        <w:gridCol w:w="926"/>
        <w:gridCol w:w="3517"/>
        <w:gridCol w:w="2027"/>
        <w:gridCol w:w="2274"/>
        <w:gridCol w:w="754"/>
      </w:tblGrid>
      <w:tr w:rsidR="00764765" w:rsidRPr="00764765" w14:paraId="56DEAD9E" w14:textId="77777777" w:rsidTr="00764765">
        <w:trPr>
          <w:cnfStyle w:val="100000000000" w:firstRow="1" w:lastRow="0" w:firstColumn="0" w:lastColumn="0" w:oddVBand="0" w:evenVBand="0" w:oddHBand="0"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0" w:type="auto"/>
            <w:hideMark/>
          </w:tcPr>
          <w:p w14:paraId="5B5E3B27" w14:textId="77777777" w:rsidR="00764765" w:rsidRPr="00764765" w:rsidRDefault="00764765" w:rsidP="00764765">
            <w:pPr>
              <w:rPr>
                <w:lang w:eastAsia="en-GB"/>
              </w:rPr>
            </w:pPr>
            <w:r w:rsidRPr="00764765">
              <w:rPr>
                <w:lang w:eastAsia="en-GB"/>
              </w:rPr>
              <w:t>Option</w:t>
            </w:r>
          </w:p>
        </w:tc>
        <w:tc>
          <w:tcPr>
            <w:tcW w:w="0" w:type="auto"/>
            <w:hideMark/>
          </w:tcPr>
          <w:p w14:paraId="49101D69"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Present Value of Cash Inflows (£’000)</w:t>
            </w:r>
          </w:p>
        </w:tc>
        <w:tc>
          <w:tcPr>
            <w:tcW w:w="0" w:type="auto"/>
            <w:hideMark/>
          </w:tcPr>
          <w:p w14:paraId="0A45219C"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Initial Outlay (£’000)</w:t>
            </w:r>
          </w:p>
        </w:tc>
        <w:tc>
          <w:tcPr>
            <w:tcW w:w="0" w:type="auto"/>
            <w:hideMark/>
          </w:tcPr>
          <w:p w14:paraId="192716B2"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Profitability Index (PI)</w:t>
            </w:r>
          </w:p>
        </w:tc>
        <w:tc>
          <w:tcPr>
            <w:tcW w:w="0" w:type="auto"/>
            <w:hideMark/>
          </w:tcPr>
          <w:p w14:paraId="0B9E66E9"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Rank</w:t>
            </w:r>
          </w:p>
        </w:tc>
      </w:tr>
      <w:tr w:rsidR="00764765" w:rsidRPr="00764765" w14:paraId="51250A5C" w14:textId="77777777" w:rsidTr="00764765">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37B77059" w14:textId="77777777" w:rsidR="00764765" w:rsidRPr="00764765" w:rsidRDefault="00764765" w:rsidP="00764765">
            <w:pPr>
              <w:rPr>
                <w:lang w:eastAsia="en-GB"/>
              </w:rPr>
            </w:pPr>
            <w:r w:rsidRPr="00764765">
              <w:rPr>
                <w:lang w:eastAsia="en-GB"/>
              </w:rPr>
              <w:t>A</w:t>
            </w:r>
          </w:p>
        </w:tc>
        <w:tc>
          <w:tcPr>
            <w:tcW w:w="0" w:type="auto"/>
            <w:hideMark/>
          </w:tcPr>
          <w:p w14:paraId="135DDA08"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1,243.2</w:t>
            </w:r>
          </w:p>
        </w:tc>
        <w:tc>
          <w:tcPr>
            <w:tcW w:w="0" w:type="auto"/>
            <w:hideMark/>
          </w:tcPr>
          <w:p w14:paraId="12821444"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600</w:t>
            </w:r>
          </w:p>
        </w:tc>
        <w:tc>
          <w:tcPr>
            <w:tcW w:w="0" w:type="auto"/>
            <w:hideMark/>
          </w:tcPr>
          <w:p w14:paraId="23502063"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2.072</w:t>
            </w:r>
          </w:p>
        </w:tc>
        <w:tc>
          <w:tcPr>
            <w:tcW w:w="0" w:type="auto"/>
            <w:hideMark/>
          </w:tcPr>
          <w:p w14:paraId="53F74BD5"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w:t>
            </w:r>
          </w:p>
        </w:tc>
      </w:tr>
      <w:tr w:rsidR="00764765" w:rsidRPr="00764765" w14:paraId="462B3208" w14:textId="77777777" w:rsidTr="00764765">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50B5F6A" w14:textId="77777777" w:rsidR="00764765" w:rsidRPr="00764765" w:rsidRDefault="00764765" w:rsidP="00764765">
            <w:pPr>
              <w:rPr>
                <w:lang w:eastAsia="en-GB"/>
              </w:rPr>
            </w:pPr>
            <w:r w:rsidRPr="00764765">
              <w:rPr>
                <w:lang w:eastAsia="en-GB"/>
              </w:rPr>
              <w:t>B</w:t>
            </w:r>
          </w:p>
        </w:tc>
        <w:tc>
          <w:tcPr>
            <w:tcW w:w="0" w:type="auto"/>
            <w:hideMark/>
          </w:tcPr>
          <w:p w14:paraId="70581FE0"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1,792.2</w:t>
            </w:r>
          </w:p>
        </w:tc>
        <w:tc>
          <w:tcPr>
            <w:tcW w:w="0" w:type="auto"/>
            <w:hideMark/>
          </w:tcPr>
          <w:p w14:paraId="7FCBC151"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1,000</w:t>
            </w:r>
          </w:p>
        </w:tc>
        <w:tc>
          <w:tcPr>
            <w:tcW w:w="0" w:type="auto"/>
            <w:hideMark/>
          </w:tcPr>
          <w:p w14:paraId="46C444D3"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1.792</w:t>
            </w:r>
          </w:p>
        </w:tc>
        <w:tc>
          <w:tcPr>
            <w:tcW w:w="0" w:type="auto"/>
            <w:hideMark/>
          </w:tcPr>
          <w:p w14:paraId="72912AFD"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2</w:t>
            </w:r>
          </w:p>
        </w:tc>
      </w:tr>
      <w:tr w:rsidR="00764765" w:rsidRPr="00764765" w14:paraId="6B97B586" w14:textId="77777777" w:rsidTr="00764765">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22B3C25" w14:textId="77777777" w:rsidR="00764765" w:rsidRPr="00764765" w:rsidRDefault="00764765" w:rsidP="00764765">
            <w:pPr>
              <w:rPr>
                <w:lang w:eastAsia="en-GB"/>
              </w:rPr>
            </w:pPr>
            <w:r w:rsidRPr="00764765">
              <w:rPr>
                <w:lang w:eastAsia="en-GB"/>
              </w:rPr>
              <w:t>C</w:t>
            </w:r>
          </w:p>
        </w:tc>
        <w:tc>
          <w:tcPr>
            <w:tcW w:w="0" w:type="auto"/>
            <w:hideMark/>
          </w:tcPr>
          <w:p w14:paraId="4FAF05BF"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2,342.5</w:t>
            </w:r>
          </w:p>
        </w:tc>
        <w:tc>
          <w:tcPr>
            <w:tcW w:w="0" w:type="auto"/>
            <w:hideMark/>
          </w:tcPr>
          <w:p w14:paraId="087C53F9"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1,600</w:t>
            </w:r>
          </w:p>
        </w:tc>
        <w:tc>
          <w:tcPr>
            <w:tcW w:w="0" w:type="auto"/>
            <w:hideMark/>
          </w:tcPr>
          <w:p w14:paraId="24AE2AEF"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1.464</w:t>
            </w:r>
          </w:p>
        </w:tc>
        <w:tc>
          <w:tcPr>
            <w:tcW w:w="0" w:type="auto"/>
            <w:hideMark/>
          </w:tcPr>
          <w:p w14:paraId="48B1E47F"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3</w:t>
            </w:r>
          </w:p>
        </w:tc>
      </w:tr>
    </w:tbl>
    <w:p w14:paraId="181E121C" w14:textId="2D58A8C0" w:rsidR="006E42AD" w:rsidRDefault="006E42AD" w:rsidP="00B67D22">
      <w:r w:rsidRPr="006E42AD">
        <w:t>The most appealing investment is option A because it is the most PI, which implies the highest value generated per pound invested.</w:t>
      </w:r>
    </w:p>
    <w:p w14:paraId="7D3A5905" w14:textId="56691381" w:rsidR="00764765" w:rsidRPr="006E42AD" w:rsidRDefault="00764765" w:rsidP="00B67D22">
      <w:pPr>
        <w:rPr>
          <w:b/>
          <w:bCs/>
        </w:rPr>
      </w:pPr>
      <w:r w:rsidRPr="006E42AD">
        <w:rPr>
          <w:b/>
          <w:bCs/>
        </w:rPr>
        <w:t>Optimal Investment Allocation:</w:t>
      </w:r>
    </w:p>
    <w:p w14:paraId="0D2C1576" w14:textId="300DA761" w:rsidR="00764765" w:rsidRDefault="00764765" w:rsidP="00764765">
      <w:pPr>
        <w:pStyle w:val="ListParagraph"/>
        <w:numPr>
          <w:ilvl w:val="0"/>
          <w:numId w:val="8"/>
        </w:numPr>
      </w:pPr>
      <w:r>
        <w:t>Fund Option A fully (initial investment of £600,000)</w:t>
      </w:r>
    </w:p>
    <w:p w14:paraId="6F4019F8" w14:textId="15CE1FCA" w:rsidR="00764765" w:rsidRDefault="00764765" w:rsidP="00764765">
      <w:pPr>
        <w:pStyle w:val="ListParagraph"/>
        <w:numPr>
          <w:ilvl w:val="0"/>
          <w:numId w:val="8"/>
        </w:numPr>
      </w:pPr>
      <w:r>
        <w:t>Fully finance Fund B (initial investment of £1,000,000).</w:t>
      </w:r>
    </w:p>
    <w:p w14:paraId="3F480FF3" w14:textId="4A14F980" w:rsidR="00764765" w:rsidRDefault="00764765" w:rsidP="00764765">
      <w:pPr>
        <w:pStyle w:val="ListParagraph"/>
        <w:numPr>
          <w:ilvl w:val="0"/>
          <w:numId w:val="8"/>
        </w:numPr>
      </w:pPr>
      <w:r>
        <w:t>Remaining budget = £2,500,000</w:t>
      </w:r>
      <w:r w:rsidR="006E42AD">
        <w:t xml:space="preserve"> −</w:t>
      </w:r>
      <w:r>
        <w:t xml:space="preserve"> £1,600,000 = £900,000</w:t>
      </w:r>
    </w:p>
    <w:p w14:paraId="64869B37" w14:textId="1EE2A10E" w:rsidR="00764765" w:rsidRDefault="00764765" w:rsidP="00764765">
      <w:pPr>
        <w:pStyle w:val="ListParagraph"/>
        <w:numPr>
          <w:ilvl w:val="0"/>
          <w:numId w:val="8"/>
        </w:numPr>
      </w:pPr>
      <w:r>
        <w:t xml:space="preserve">Allocate 56.25% of Option C (0.5625 x </w:t>
      </w:r>
      <w:r w:rsidR="006E42AD">
        <w:t>£</w:t>
      </w:r>
      <w:r>
        <w:t xml:space="preserve">1,600,000) = </w:t>
      </w:r>
      <w:r w:rsidR="006E42AD">
        <w:t>£</w:t>
      </w:r>
      <w:r>
        <w:t>900,000</w:t>
      </w:r>
    </w:p>
    <w:p w14:paraId="65171756" w14:textId="5DAD82FA" w:rsidR="00764765" w:rsidRPr="006E42AD" w:rsidRDefault="00764765" w:rsidP="00764765">
      <w:pPr>
        <w:rPr>
          <w:b/>
          <w:bCs/>
        </w:rPr>
      </w:pPr>
      <w:r w:rsidRPr="006E42AD">
        <w:rPr>
          <w:b/>
          <w:bCs/>
        </w:rPr>
        <w:lastRenderedPageBreak/>
        <w:t>Total NPV under optimal policy:</w:t>
      </w:r>
    </w:p>
    <w:p w14:paraId="73E19114" w14:textId="7E6D6FDA" w:rsidR="00764765" w:rsidRDefault="00764765" w:rsidP="00764765">
      <w:r>
        <w:rPr>
          <w:noProof/>
        </w:rPr>
        <w:drawing>
          <wp:inline distT="0" distB="0" distL="0" distR="0" wp14:anchorId="38C281D1" wp14:editId="5ED7232D">
            <wp:extent cx="5943600" cy="4343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34340"/>
                    </a:xfrm>
                    <a:prstGeom prst="rect">
                      <a:avLst/>
                    </a:prstGeom>
                  </pic:spPr>
                </pic:pic>
              </a:graphicData>
            </a:graphic>
          </wp:inline>
        </w:drawing>
      </w:r>
    </w:p>
    <w:p w14:paraId="4768FDB9" w14:textId="3AC2FA14" w:rsidR="00764765" w:rsidRDefault="00764765" w:rsidP="00764765">
      <w:r w:rsidRPr="006E42AD">
        <w:rPr>
          <w:b/>
          <w:bCs/>
          <w:i/>
          <w:iCs/>
        </w:rPr>
        <w:t xml:space="preserve"> </w:t>
      </w:r>
      <w:r w:rsidR="006E42AD" w:rsidRPr="006E42AD">
        <w:rPr>
          <w:b/>
          <w:bCs/>
          <w:i/>
          <w:iCs/>
        </w:rPr>
        <w:t>Optimal Policy:</w:t>
      </w:r>
      <w:r w:rsidR="006E42AD">
        <w:t xml:space="preserve"> </w:t>
      </w:r>
      <w:r w:rsidR="006E42AD" w:rsidRPr="006E42AD">
        <w:t>Fund Option A 100</w:t>
      </w:r>
      <w:r w:rsidR="006E42AD">
        <w:t>%</w:t>
      </w:r>
      <w:r w:rsidR="006E42AD" w:rsidRPr="006E42AD">
        <w:t xml:space="preserve">, </w:t>
      </w:r>
      <w:r w:rsidR="006E42AD">
        <w:t xml:space="preserve">Option </w:t>
      </w:r>
      <w:r w:rsidR="006E42AD" w:rsidRPr="006E42AD">
        <w:t>B 100</w:t>
      </w:r>
      <w:r w:rsidR="006E42AD">
        <w:t>%</w:t>
      </w:r>
      <w:r w:rsidR="006E42AD" w:rsidRPr="006E42AD">
        <w:t xml:space="preserve">, </w:t>
      </w:r>
      <w:r w:rsidR="006E42AD">
        <w:t xml:space="preserve">Option </w:t>
      </w:r>
      <w:r w:rsidR="006E42AD" w:rsidRPr="006E42AD">
        <w:t>C 56.25</w:t>
      </w:r>
      <w:r w:rsidR="006E42AD">
        <w:t>%</w:t>
      </w:r>
      <w:r w:rsidR="006E42AD" w:rsidRPr="006E42AD">
        <w:t xml:space="preserve"> - Total NPV </w:t>
      </w:r>
      <w:r w:rsidR="006E42AD">
        <w:t>= £</w:t>
      </w:r>
      <w:r w:rsidR="006E42AD" w:rsidRPr="006E42AD">
        <w:t>1,853,000</w:t>
      </w:r>
    </w:p>
    <w:p w14:paraId="4F0FEE41" w14:textId="4FEE6CBB" w:rsidR="006E42AD" w:rsidRDefault="00950E50" w:rsidP="00E1202E">
      <w:pPr>
        <w:pStyle w:val="Heading2"/>
      </w:pPr>
      <w:bookmarkStart w:id="138" w:name="_Toc223379544"/>
      <w:bookmarkStart w:id="139" w:name="_Toc223379722"/>
      <w:bookmarkStart w:id="140" w:name="_Toc223379792"/>
      <w:bookmarkStart w:id="141" w:name="_Toc223379902"/>
      <w:bookmarkStart w:id="142" w:name="_Toc223380617"/>
      <w:bookmarkStart w:id="143" w:name="_Toc223729992"/>
      <w:r>
        <w:t>2.</w:t>
      </w:r>
      <w:r w:rsidR="00E1202E">
        <w:t xml:space="preserve">6 </w:t>
      </w:r>
      <w:r w:rsidR="006E42AD" w:rsidRPr="006E42AD">
        <w:t>Financing Options</w:t>
      </w:r>
      <w:bookmarkEnd w:id="138"/>
      <w:bookmarkEnd w:id="139"/>
      <w:bookmarkEnd w:id="140"/>
      <w:r w:rsidR="00BA1A48">
        <w:t xml:space="preserve"> and Recommendation</w:t>
      </w:r>
      <w:bookmarkEnd w:id="141"/>
      <w:bookmarkEnd w:id="142"/>
      <w:bookmarkEnd w:id="143"/>
    </w:p>
    <w:p w14:paraId="29A6AD67" w14:textId="20BD1D47" w:rsidR="00036385" w:rsidRPr="00036385" w:rsidRDefault="00036385" w:rsidP="00036385">
      <w:pPr>
        <w:rPr>
          <w:b/>
          <w:bCs/>
        </w:rPr>
      </w:pPr>
      <w:r w:rsidRPr="00036385">
        <w:rPr>
          <w:b/>
          <w:bCs/>
        </w:rPr>
        <w:t>Retained Earnings / Internal Cash</w:t>
      </w:r>
    </w:p>
    <w:p w14:paraId="7B76B365" w14:textId="730789AD" w:rsidR="00036385" w:rsidRDefault="007E4EE8" w:rsidP="007E4EE8">
      <w:r w:rsidRPr="007E4EE8">
        <w:t>Retained earnings have a tendency to be the most cost-effective source of finance, as it does not involve payment of interest or dilution of the shareholders. It allows making investment decisions quickly and maintain the control. It, however, lowers the level of liquidity reserves as well as can restrict the ability to pay dividends or other investments, which can restrict the ability to be flexible in relation to financial situations in the case of unexpected downturns</w:t>
      </w:r>
      <w:r>
        <w:t xml:space="preserve"> </w:t>
      </w:r>
      <w:r w:rsidR="009D02B9">
        <w:t>(</w:t>
      </w:r>
      <w:r w:rsidR="009D02B9" w:rsidRPr="005A7FB1">
        <w:t>Coelho</w:t>
      </w:r>
      <w:r w:rsidR="009D02B9">
        <w:t xml:space="preserve"> et al., 2023)</w:t>
      </w:r>
      <w:r w:rsidR="00036385">
        <w:t xml:space="preserve">. </w:t>
      </w:r>
    </w:p>
    <w:p w14:paraId="7C32AED3" w14:textId="77777777" w:rsidR="00036385" w:rsidRPr="00036385" w:rsidRDefault="00036385" w:rsidP="00036385">
      <w:pPr>
        <w:rPr>
          <w:b/>
          <w:bCs/>
        </w:rPr>
      </w:pPr>
      <w:r w:rsidRPr="00036385">
        <w:rPr>
          <w:b/>
          <w:bCs/>
        </w:rPr>
        <w:t>Bank Debt (Term Loan / Revolving Credit)</w:t>
      </w:r>
    </w:p>
    <w:p w14:paraId="670863C8" w14:textId="4A61467D" w:rsidR="00036385" w:rsidRDefault="007E4EE8" w:rsidP="007E4EE8">
      <w:r w:rsidRPr="007E4EE8">
        <w:t>Bank debt is structured financing that does not dilute ownership and also has tax benefits because the interest is deductible. It is capable of increasing returns when it is handled wisely. Nevertheless, debt exposes the company to financial risk in terms of covenant requirements, refinancing vulnerability, and change in interest rates that can strain cash flows in the face of unfavourable economic situations</w:t>
      </w:r>
      <w:r w:rsidR="009D02B9">
        <w:t xml:space="preserve"> (</w:t>
      </w:r>
      <w:r w:rsidR="009D02B9" w:rsidRPr="005A7FB1">
        <w:t>Dahmash</w:t>
      </w:r>
      <w:r w:rsidR="009D02B9">
        <w:t xml:space="preserve"> et al., 2023)</w:t>
      </w:r>
      <w:r w:rsidR="00036385">
        <w:t xml:space="preserve">. </w:t>
      </w:r>
    </w:p>
    <w:p w14:paraId="39958232" w14:textId="77777777" w:rsidR="00036385" w:rsidRPr="00036385" w:rsidRDefault="00036385" w:rsidP="00036385">
      <w:pPr>
        <w:rPr>
          <w:b/>
          <w:bCs/>
        </w:rPr>
      </w:pPr>
      <w:r w:rsidRPr="00036385">
        <w:rPr>
          <w:b/>
          <w:bCs/>
        </w:rPr>
        <w:t>Leasing / Asset Finance</w:t>
      </w:r>
    </w:p>
    <w:p w14:paraId="149F183D" w14:textId="6F01D81D" w:rsidR="007E4EE8" w:rsidRDefault="007E4EE8" w:rsidP="007E4EE8">
      <w:r w:rsidRPr="007E4EE8">
        <w:t>Leasing will help companies to gain access to strategic resources without compromising current cash flow and substantial initial capital expenditure. It promotes its operational growth in a flexible way</w:t>
      </w:r>
      <w:r>
        <w:t xml:space="preserve"> (</w:t>
      </w:r>
      <w:r w:rsidRPr="00321B31">
        <w:t>Boobyer, 2003)</w:t>
      </w:r>
      <w:r w:rsidRPr="007E4EE8">
        <w:t>. However, the cost of long-term lease agreements can be more costly than outright purchase and bring about rigid financial effects that limit the operational flexibility in the future.</w:t>
      </w:r>
    </w:p>
    <w:p w14:paraId="2C3C4D8E" w14:textId="77777777" w:rsidR="007E4EE8" w:rsidRDefault="00036385" w:rsidP="007E4EE8">
      <w:pPr>
        <w:rPr>
          <w:b/>
          <w:bCs/>
        </w:rPr>
      </w:pPr>
      <w:r w:rsidRPr="00036385">
        <w:rPr>
          <w:b/>
          <w:bCs/>
        </w:rPr>
        <w:t>Equity Financing (New Shares / Investors)</w:t>
      </w:r>
    </w:p>
    <w:p w14:paraId="01D12BDB" w14:textId="4B02246D" w:rsidR="00036385" w:rsidRPr="007E4EE8" w:rsidRDefault="007E4EE8" w:rsidP="007E4EE8">
      <w:pPr>
        <w:rPr>
          <w:b/>
          <w:bCs/>
        </w:rPr>
      </w:pPr>
      <w:r w:rsidRPr="007E4EE8">
        <w:t xml:space="preserve">The equity financing empowers the balance sheet through the increase of permanent capital without necessarily needing repayment. It enhances the long-term solvency and decreases </w:t>
      </w:r>
      <w:r w:rsidRPr="007E4EE8">
        <w:lastRenderedPageBreak/>
        <w:t>leverage risk. Issuing new shares however dilutes existing ownership and control and the issuance is expensive and has regulatory issues and can be signalling to the market</w:t>
      </w:r>
      <w:r w:rsidR="009D02B9">
        <w:t xml:space="preserve"> (</w:t>
      </w:r>
      <w:r w:rsidR="009D02B9" w:rsidRPr="005A7FB1">
        <w:t>Hasan, 2022)</w:t>
      </w:r>
      <w:r w:rsidR="00036385">
        <w:t xml:space="preserve">. </w:t>
      </w:r>
    </w:p>
    <w:p w14:paraId="0C61E312" w14:textId="77777777" w:rsidR="00036385" w:rsidRPr="00036385" w:rsidRDefault="00036385" w:rsidP="00036385">
      <w:pPr>
        <w:rPr>
          <w:b/>
          <w:bCs/>
        </w:rPr>
      </w:pPr>
      <w:r w:rsidRPr="00036385">
        <w:rPr>
          <w:b/>
          <w:bCs/>
        </w:rPr>
        <w:t>Hybrid Financing</w:t>
      </w:r>
    </w:p>
    <w:p w14:paraId="6B78DD6F" w14:textId="16B0EF6C" w:rsidR="007E4EE8" w:rsidRDefault="007E4EE8" w:rsidP="007E4EE8">
      <w:pPr>
        <w:rPr>
          <w:b/>
        </w:rPr>
      </w:pPr>
      <w:bookmarkStart w:id="144" w:name="_Toc218269038"/>
      <w:r w:rsidRPr="007E4EE8">
        <w:t>To balance risk and cost of capital, Hybrid financing involves the combination of debt and equity. It provides strategic flexibility and could be used to improve capital structure effectiveness</w:t>
      </w:r>
      <w:r w:rsidR="00E06140">
        <w:t xml:space="preserve"> (</w:t>
      </w:r>
      <w:r w:rsidR="00E06140" w:rsidRPr="00321B31">
        <w:t>Martin,</w:t>
      </w:r>
      <w:r w:rsidR="00E06140">
        <w:t xml:space="preserve"> </w:t>
      </w:r>
      <w:r w:rsidR="00E06140" w:rsidRPr="00321B31">
        <w:t>2015)</w:t>
      </w:r>
      <w:r w:rsidRPr="007E4EE8">
        <w:t>. Nevertheless, these arrangements may be complicated and expensive, whereby adequate structuring is necessary in order to make risk-sharing benefits more advantageous than administrative or financial costs.</w:t>
      </w:r>
    </w:p>
    <w:p w14:paraId="217934E6" w14:textId="74152D54" w:rsidR="00036385" w:rsidRPr="00861F83" w:rsidRDefault="00036385" w:rsidP="00861F83">
      <w:pPr>
        <w:rPr>
          <w:b/>
          <w:bCs/>
        </w:rPr>
      </w:pPr>
      <w:r w:rsidRPr="00861F83">
        <w:rPr>
          <w:b/>
          <w:bCs/>
        </w:rPr>
        <w:t>Recommendation</w:t>
      </w:r>
      <w:bookmarkEnd w:id="144"/>
    </w:p>
    <w:p w14:paraId="30EC3877" w14:textId="719E2D96" w:rsidR="00036385" w:rsidRDefault="00A41747" w:rsidP="00036385">
      <w:r w:rsidRPr="00A41747">
        <w:t>It is advisable to finance the programme in a balanced manner. The equity part of the funding would be done through retained earnings, so that the cost will be reduced and the dilution of ownership will be avoided as bank debt or leasing can be used to obtain the flexibility to purchase assets</w:t>
      </w:r>
      <w:r w:rsidR="009D02B9">
        <w:t xml:space="preserve"> (</w:t>
      </w:r>
      <w:r w:rsidR="009D02B9" w:rsidRPr="005A7FB1">
        <w:t>Xiang</w:t>
      </w:r>
      <w:r w:rsidR="009D02B9">
        <w:t xml:space="preserve"> et al., 2022)</w:t>
      </w:r>
      <w:r w:rsidRPr="00A41747">
        <w:t xml:space="preserve">. The equity financing can be an option in case of </w:t>
      </w:r>
      <w:r w:rsidR="009D02B9" w:rsidRPr="00A41747">
        <w:t>large-scale</w:t>
      </w:r>
      <w:r w:rsidRPr="00A41747">
        <w:t xml:space="preserve"> expansions where necessary but this must not be done unless it is absolutely necessary to maintain the value of shareholders. The company will be in good liquidity standing and will keep a close cheque on the debt levels lest the company becomes strained on long term basis.</w:t>
      </w:r>
    </w:p>
    <w:p w14:paraId="518565B8" w14:textId="59A788CA" w:rsidR="007E4EE8" w:rsidRDefault="00950E50" w:rsidP="00861F83">
      <w:pPr>
        <w:pStyle w:val="Heading2"/>
      </w:pPr>
      <w:bookmarkStart w:id="145" w:name="_Toc223379545"/>
      <w:bookmarkStart w:id="146" w:name="_Toc223379723"/>
      <w:bookmarkStart w:id="147" w:name="_Toc223379793"/>
      <w:bookmarkStart w:id="148" w:name="_Toc223379903"/>
      <w:bookmarkStart w:id="149" w:name="_Toc223380618"/>
      <w:bookmarkStart w:id="150" w:name="_Toc223729993"/>
      <w:r>
        <w:t>2.</w:t>
      </w:r>
      <w:r w:rsidR="007E4EE8">
        <w:t xml:space="preserve">7 </w:t>
      </w:r>
      <w:r w:rsidR="007E4EE8" w:rsidRPr="00861F83">
        <w:t>Conclusion</w:t>
      </w:r>
      <w:bookmarkEnd w:id="145"/>
      <w:bookmarkEnd w:id="146"/>
      <w:bookmarkEnd w:id="147"/>
      <w:bookmarkEnd w:id="148"/>
      <w:bookmarkEnd w:id="149"/>
      <w:bookmarkEnd w:id="150"/>
      <w:r>
        <w:t xml:space="preserve"> </w:t>
      </w:r>
    </w:p>
    <w:p w14:paraId="761DE09C" w14:textId="091BD728" w:rsidR="007E4EE8" w:rsidRDefault="007E4EE8">
      <w:r w:rsidRPr="007E4EE8">
        <w:t>Finally, the investment appraisal has suggested that Option B can be the most appropriate balance between value creation and the exposure to risk. Net Present Value analysis indicates that it has a potential of producing the greatest shareholder wealth compared to invested capital, and at the same time be on track with the current market trends</w:t>
      </w:r>
      <w:r w:rsidR="00E06140">
        <w:t xml:space="preserve"> (</w:t>
      </w:r>
      <w:r w:rsidR="00E06140" w:rsidRPr="00321B31">
        <w:t>Savvides, 1994)</w:t>
      </w:r>
      <w:r w:rsidRPr="007E4EE8">
        <w:t>. Other alternatives yield positive NPV, but they are associated with a lower payoff or capital intensity. The IRR and risk assessment also gave more reasons on why Option B is considered a possible strategic option. Nonetheless, the sensitivity analysis, funding structure, and operational execution should also be a factor of final decisions. All in all, prudent financial appraisal enhances long-term value maximisation goals.</w:t>
      </w:r>
    </w:p>
    <w:p w14:paraId="37706D79" w14:textId="38954503" w:rsidR="00A41747" w:rsidRDefault="00A41747">
      <w:r>
        <w:br w:type="page"/>
      </w:r>
    </w:p>
    <w:p w14:paraId="6975C764" w14:textId="7B1845F5" w:rsidR="00A41747" w:rsidRDefault="00A41747" w:rsidP="003D76DA">
      <w:pPr>
        <w:pStyle w:val="Heading1"/>
      </w:pPr>
      <w:bookmarkStart w:id="151" w:name="_Toc218268972"/>
      <w:bookmarkStart w:id="152" w:name="_Toc218269039"/>
      <w:bookmarkStart w:id="153" w:name="_Toc223379546"/>
      <w:bookmarkStart w:id="154" w:name="_Toc223379724"/>
      <w:bookmarkStart w:id="155" w:name="_Toc223379794"/>
      <w:bookmarkStart w:id="156" w:name="_Toc223379904"/>
      <w:bookmarkStart w:id="157" w:name="_Toc223380619"/>
      <w:bookmarkStart w:id="158" w:name="_Toc223729994"/>
      <w:r>
        <w:lastRenderedPageBreak/>
        <w:t>References</w:t>
      </w:r>
      <w:bookmarkEnd w:id="151"/>
      <w:bookmarkEnd w:id="152"/>
      <w:bookmarkEnd w:id="153"/>
      <w:bookmarkEnd w:id="154"/>
      <w:bookmarkEnd w:id="155"/>
      <w:bookmarkEnd w:id="156"/>
      <w:bookmarkEnd w:id="157"/>
      <w:bookmarkEnd w:id="158"/>
      <w:r>
        <w:t xml:space="preserve"> </w:t>
      </w:r>
    </w:p>
    <w:p w14:paraId="3B76C146" w14:textId="77777777" w:rsidR="00C139AE" w:rsidRPr="00C139AE" w:rsidRDefault="00C139AE" w:rsidP="00C139AE">
      <w:bookmarkStart w:id="159" w:name="_Hlk223379134"/>
      <w:r w:rsidRPr="00C139AE">
        <w:t>Adrian, T., &amp; Shin, H. S. (2010)</w:t>
      </w:r>
      <w:bookmarkEnd w:id="159"/>
      <w:r w:rsidRPr="00C139AE">
        <w:t>. Liquidity and leverage. </w:t>
      </w:r>
      <w:r w:rsidRPr="00C139AE">
        <w:rPr>
          <w:i/>
          <w:iCs/>
        </w:rPr>
        <w:t>Journal of financial intermediation</w:t>
      </w:r>
      <w:r w:rsidRPr="00C139AE">
        <w:t>, </w:t>
      </w:r>
      <w:r w:rsidRPr="00C139AE">
        <w:rPr>
          <w:i/>
          <w:iCs/>
        </w:rPr>
        <w:t>19</w:t>
      </w:r>
      <w:r w:rsidRPr="00C139AE">
        <w:t>(3), 418-437.</w:t>
      </w:r>
    </w:p>
    <w:p w14:paraId="55E165CE" w14:textId="77777777" w:rsidR="00C139AE" w:rsidRPr="00032136" w:rsidRDefault="00C139AE" w:rsidP="00032136">
      <w:bookmarkStart w:id="160" w:name="_Hlk218266986"/>
      <w:r w:rsidRPr="00032136">
        <w:t>Affes, W., &amp; Jarboui, A. (2023)</w:t>
      </w:r>
      <w:bookmarkEnd w:id="160"/>
      <w:r w:rsidRPr="00032136">
        <w:t>. The impact of corporate governance on financial performance: a cross-sector study. </w:t>
      </w:r>
      <w:r w:rsidRPr="00032136">
        <w:rPr>
          <w:i/>
          <w:iCs/>
        </w:rPr>
        <w:t>International Journal of Disclosure and Governance</w:t>
      </w:r>
      <w:r w:rsidRPr="00032136">
        <w:t>, 1.</w:t>
      </w:r>
    </w:p>
    <w:p w14:paraId="430B85B3" w14:textId="77777777" w:rsidR="00C139AE" w:rsidRPr="00032136" w:rsidRDefault="00C139AE" w:rsidP="00032136">
      <w:bookmarkStart w:id="161" w:name="_Hlk218267573"/>
      <w:r w:rsidRPr="00032136">
        <w:t>Agrawal</w:t>
      </w:r>
      <w:bookmarkEnd w:id="161"/>
      <w:r w:rsidRPr="00032136">
        <w:t>, A., Kaur, N., Shakya, C., &amp; Norton, A. (2020). Social assistance programs and climate resilience: reducing vulnerability through cash transfers. </w:t>
      </w:r>
      <w:r w:rsidRPr="00032136">
        <w:rPr>
          <w:i/>
          <w:iCs/>
        </w:rPr>
        <w:t>Current Opinion in Environmental Sustainability</w:t>
      </w:r>
      <w:r w:rsidRPr="00032136">
        <w:t>, </w:t>
      </w:r>
      <w:r w:rsidRPr="00032136">
        <w:rPr>
          <w:i/>
          <w:iCs/>
        </w:rPr>
        <w:t>44</w:t>
      </w:r>
      <w:r w:rsidRPr="00032136">
        <w:t xml:space="preserve">, 113-123. </w:t>
      </w:r>
    </w:p>
    <w:p w14:paraId="2C14F327" w14:textId="77777777" w:rsidR="00C139AE" w:rsidRPr="009D02B9" w:rsidRDefault="00C139AE" w:rsidP="009D02B9">
      <w:bookmarkStart w:id="162" w:name="_Hlk218268468"/>
      <w:r w:rsidRPr="00E06140">
        <w:t>Alqam</w:t>
      </w:r>
      <w:bookmarkEnd w:id="162"/>
      <w:r w:rsidRPr="00E06140">
        <w:t>,</w:t>
      </w:r>
      <w:r w:rsidRPr="009D02B9">
        <w:t xml:space="preserve"> M. A., Ali, H. Y., &amp; Hamshari, Y. M. (2021). The relative importance of financial ratios in making investment and credit decisions in Jordan. </w:t>
      </w:r>
      <w:r w:rsidRPr="009D02B9">
        <w:rPr>
          <w:i/>
          <w:iCs/>
        </w:rPr>
        <w:t>International Journal of Financial Research</w:t>
      </w:r>
      <w:r w:rsidRPr="009D02B9">
        <w:t>, </w:t>
      </w:r>
      <w:r w:rsidRPr="009D02B9">
        <w:rPr>
          <w:i/>
          <w:iCs/>
        </w:rPr>
        <w:t>12</w:t>
      </w:r>
      <w:r w:rsidRPr="009D02B9">
        <w:t>(2), 284-293.</w:t>
      </w:r>
    </w:p>
    <w:p w14:paraId="3AC0F1D1" w14:textId="77777777" w:rsidR="00C139AE" w:rsidRPr="00C139AE" w:rsidRDefault="00C139AE" w:rsidP="00C139AE">
      <w:bookmarkStart w:id="163" w:name="_Hlk223378397"/>
      <w:r w:rsidRPr="00C139AE">
        <w:t>Appiah</w:t>
      </w:r>
      <w:bookmarkEnd w:id="163"/>
      <w:r w:rsidRPr="00C139AE">
        <w:t>, K. O., Gyimah, P., &amp; Abdul-Razak, Y. (2020). Financial leverage and corporate performance: do the duration of the debt ratio matters? </w:t>
      </w:r>
      <w:r w:rsidRPr="00C139AE">
        <w:rPr>
          <w:i/>
          <w:iCs/>
        </w:rPr>
        <w:t>International Journal of Business and Emerging Markets</w:t>
      </w:r>
      <w:r w:rsidRPr="00C139AE">
        <w:t>, </w:t>
      </w:r>
      <w:r w:rsidRPr="00C139AE">
        <w:rPr>
          <w:i/>
          <w:iCs/>
        </w:rPr>
        <w:t>12</w:t>
      </w:r>
      <w:r w:rsidRPr="00C139AE">
        <w:t>(1), 31-45.</w:t>
      </w:r>
    </w:p>
    <w:p w14:paraId="17099FD1" w14:textId="77777777" w:rsidR="00C139AE" w:rsidRPr="00032136" w:rsidRDefault="00C139AE" w:rsidP="00032136">
      <w:r w:rsidRPr="00E06140">
        <w:t xml:space="preserve">Atrill, P. (2019) </w:t>
      </w:r>
      <w:r w:rsidRPr="00E06140">
        <w:rPr>
          <w:i/>
        </w:rPr>
        <w:t>Financial Management for Decision Makers</w:t>
      </w:r>
      <w:r w:rsidRPr="00E06140">
        <w:t xml:space="preserve">. 9th </w:t>
      </w:r>
      <w:r w:rsidRPr="00E06140">
        <w:rPr>
          <w:bCs/>
        </w:rPr>
        <w:t>edn.</w:t>
      </w:r>
      <w:r w:rsidRPr="00E06140">
        <w:t xml:space="preserve"> Pearson</w:t>
      </w:r>
      <w:r w:rsidRPr="00032136">
        <w:t>.</w:t>
      </w:r>
    </w:p>
    <w:p w14:paraId="6744D3F0" w14:textId="77777777" w:rsidR="00C139AE" w:rsidRPr="00F22607" w:rsidRDefault="00C139AE" w:rsidP="00F22607">
      <w:bookmarkStart w:id="164" w:name="_Hlk223375626"/>
      <w:r w:rsidRPr="00F22607">
        <w:t>Atrill, P., &amp; McLaney, E. J. (2006)</w:t>
      </w:r>
      <w:bookmarkEnd w:id="164"/>
      <w:r w:rsidRPr="00F22607">
        <w:t>. </w:t>
      </w:r>
      <w:r w:rsidRPr="00F22607">
        <w:rPr>
          <w:i/>
          <w:iCs/>
        </w:rPr>
        <w:t>Accounting and finance for non-specialists</w:t>
      </w:r>
      <w:r w:rsidRPr="00F22607">
        <w:t>. Pearson Education.</w:t>
      </w:r>
    </w:p>
    <w:p w14:paraId="5683952C" w14:textId="77777777" w:rsidR="00C139AE" w:rsidRPr="00032136" w:rsidRDefault="00C139AE" w:rsidP="00032136">
      <w:bookmarkStart w:id="165" w:name="_Hlk218267088"/>
      <w:r w:rsidRPr="00032136">
        <w:t>Babalola, Y. A., &amp; Abiola, F. R. (2013)</w:t>
      </w:r>
      <w:bookmarkEnd w:id="165"/>
      <w:r w:rsidRPr="00032136">
        <w:t>. Financial ratio analysis of firms: A tool for decision making. </w:t>
      </w:r>
      <w:r w:rsidRPr="00032136">
        <w:rPr>
          <w:i/>
          <w:iCs/>
        </w:rPr>
        <w:t>International journal of management sciences</w:t>
      </w:r>
      <w:r w:rsidRPr="00032136">
        <w:t>, </w:t>
      </w:r>
      <w:r w:rsidRPr="00032136">
        <w:rPr>
          <w:i/>
          <w:iCs/>
        </w:rPr>
        <w:t>1</w:t>
      </w:r>
      <w:r w:rsidRPr="00032136">
        <w:t>(4), 132-137.</w:t>
      </w:r>
    </w:p>
    <w:p w14:paraId="10FEA3E9" w14:textId="77777777" w:rsidR="00C139AE" w:rsidRPr="009D02B9" w:rsidRDefault="00C139AE" w:rsidP="009D02B9">
      <w:bookmarkStart w:id="166" w:name="_Hlk218268684"/>
      <w:r w:rsidRPr="009D02B9">
        <w:t>Ball, R., &amp; Nikolaev, V. V. (2022)</w:t>
      </w:r>
      <w:bookmarkEnd w:id="166"/>
      <w:r w:rsidRPr="009D02B9">
        <w:t>. On earnings and cash flows as predictors of future cash flows. </w:t>
      </w:r>
      <w:r w:rsidRPr="009D02B9">
        <w:rPr>
          <w:i/>
          <w:iCs/>
        </w:rPr>
        <w:t>Journal of Accounting and Economics</w:t>
      </w:r>
      <w:r w:rsidRPr="009D02B9">
        <w:t>, </w:t>
      </w:r>
      <w:r w:rsidRPr="009D02B9">
        <w:rPr>
          <w:i/>
          <w:iCs/>
        </w:rPr>
        <w:t>73</w:t>
      </w:r>
      <w:r w:rsidRPr="009D02B9">
        <w:t>(1), 101430.</w:t>
      </w:r>
    </w:p>
    <w:p w14:paraId="13E2DCD7" w14:textId="77777777" w:rsidR="00C139AE" w:rsidRPr="009D02B9" w:rsidRDefault="00C139AE" w:rsidP="009D02B9">
      <w:bookmarkStart w:id="167" w:name="_Hlk218268632"/>
      <w:r w:rsidRPr="009D02B9">
        <w:t>Basiru</w:t>
      </w:r>
      <w:bookmarkEnd w:id="167"/>
      <w:r w:rsidRPr="009D02B9">
        <w:t>, J. O., Ejiofor, C. L., Onukwulu, E. C., &amp; Attah, R. U. (2023). Financial management strategies in emerging markets: A review of theoretical models and practical applications. </w:t>
      </w:r>
      <w:r w:rsidRPr="009D02B9">
        <w:rPr>
          <w:i/>
          <w:iCs/>
        </w:rPr>
        <w:t>Magna Scientia Advanced Research and Reviews</w:t>
      </w:r>
      <w:r w:rsidRPr="009D02B9">
        <w:t>, </w:t>
      </w:r>
      <w:r w:rsidRPr="009D02B9">
        <w:rPr>
          <w:i/>
          <w:iCs/>
        </w:rPr>
        <w:t>7</w:t>
      </w:r>
      <w:r w:rsidRPr="009D02B9">
        <w:t>(2), 123-140.</w:t>
      </w:r>
    </w:p>
    <w:p w14:paraId="013EEA9E" w14:textId="77777777" w:rsidR="00C139AE" w:rsidRPr="00032136" w:rsidRDefault="00C139AE" w:rsidP="00032136">
      <w:bookmarkStart w:id="168" w:name="_Hlk218266943"/>
      <w:r w:rsidRPr="00032136">
        <w:t>Beladi</w:t>
      </w:r>
      <w:bookmarkEnd w:id="168"/>
      <w:r w:rsidRPr="00032136">
        <w:t>, H., Deng, J., &amp; Hu, M. (2021). Cash flow uncertainty, financial constraints and R&amp;D investment. </w:t>
      </w:r>
      <w:r w:rsidRPr="00032136">
        <w:rPr>
          <w:i/>
          <w:iCs/>
        </w:rPr>
        <w:t>International Review of Financial Analysis</w:t>
      </w:r>
      <w:r w:rsidRPr="00032136">
        <w:t>, </w:t>
      </w:r>
      <w:r w:rsidRPr="00032136">
        <w:rPr>
          <w:i/>
          <w:iCs/>
        </w:rPr>
        <w:t>76</w:t>
      </w:r>
      <w:r w:rsidRPr="00032136">
        <w:t>, 101785.</w:t>
      </w:r>
    </w:p>
    <w:p w14:paraId="65BB5FF3" w14:textId="77777777" w:rsidR="00C139AE" w:rsidRPr="00F22607" w:rsidRDefault="00C139AE" w:rsidP="00F22607">
      <w:bookmarkStart w:id="169" w:name="_Hlk223374863"/>
      <w:r w:rsidRPr="00F22607">
        <w:lastRenderedPageBreak/>
        <w:t>Berk, J., &amp; DeMarzo, P. (2019)</w:t>
      </w:r>
      <w:bookmarkEnd w:id="169"/>
      <w:r w:rsidRPr="00F22607">
        <w:t>. Corporate Finance (5th Global Edition). </w:t>
      </w:r>
      <w:r w:rsidRPr="00F22607">
        <w:rPr>
          <w:i/>
          <w:iCs/>
        </w:rPr>
        <w:t>E-Learning with e-book, MyLab Finance</w:t>
      </w:r>
      <w:r w:rsidRPr="00F22607">
        <w:t>.</w:t>
      </w:r>
    </w:p>
    <w:p w14:paraId="605CE217" w14:textId="77777777" w:rsidR="00C139AE" w:rsidRPr="00C139AE" w:rsidRDefault="00C139AE" w:rsidP="00C139AE">
      <w:bookmarkStart w:id="170" w:name="_Hlk223379169"/>
      <w:r w:rsidRPr="00C139AE">
        <w:t>Bhasin, M. L., &amp; Shaikh, J. M. (2013)</w:t>
      </w:r>
      <w:bookmarkEnd w:id="170"/>
      <w:r w:rsidRPr="00C139AE">
        <w:t>. Economic value added and shareholders’ wealth creation: the portrait of a developing Asian country. </w:t>
      </w:r>
      <w:r w:rsidRPr="00C139AE">
        <w:rPr>
          <w:i/>
          <w:iCs/>
        </w:rPr>
        <w:t>International Journal of Managerial and Financial Accounting</w:t>
      </w:r>
      <w:r w:rsidRPr="00C139AE">
        <w:t>, </w:t>
      </w:r>
      <w:r w:rsidRPr="00C139AE">
        <w:rPr>
          <w:i/>
          <w:iCs/>
        </w:rPr>
        <w:t>5</w:t>
      </w:r>
      <w:r w:rsidRPr="00C139AE">
        <w:t>(2), 107-137.</w:t>
      </w:r>
    </w:p>
    <w:p w14:paraId="665A787A" w14:textId="77777777" w:rsidR="00C139AE" w:rsidRPr="00032136" w:rsidRDefault="00C139AE" w:rsidP="00032136">
      <w:bookmarkStart w:id="171" w:name="_Hlk218267210"/>
      <w:r w:rsidRPr="00032136">
        <w:t xml:space="preserve">Bhimani, A. (2022) </w:t>
      </w:r>
      <w:bookmarkEnd w:id="171"/>
      <w:r w:rsidRPr="00032136">
        <w:rPr>
          <w:i/>
        </w:rPr>
        <w:t>Financial Management for technology Start-ups: A Handbook for Growth</w:t>
      </w:r>
      <w:r w:rsidRPr="00032136">
        <w:t>. 2</w:t>
      </w:r>
      <w:r w:rsidRPr="00032136">
        <w:rPr>
          <w:vertAlign w:val="superscript"/>
        </w:rPr>
        <w:t>nd</w:t>
      </w:r>
      <w:r w:rsidRPr="00032136">
        <w:t xml:space="preserve"> Edition Kogan Page.</w:t>
      </w:r>
    </w:p>
    <w:p w14:paraId="37CCBE48" w14:textId="77777777" w:rsidR="00C139AE" w:rsidRPr="009D02B9" w:rsidRDefault="00C139AE" w:rsidP="009D02B9">
      <w:bookmarkStart w:id="172" w:name="_Hlk218268665"/>
      <w:r w:rsidRPr="009D02B9">
        <w:t>Bhimani</w:t>
      </w:r>
      <w:bookmarkEnd w:id="172"/>
      <w:r w:rsidRPr="009D02B9">
        <w:t>, A., Datar, S. M., Horngren, C., &amp; Rajan, M. V. (2023). </w:t>
      </w:r>
      <w:r w:rsidRPr="009D02B9">
        <w:rPr>
          <w:i/>
          <w:iCs/>
        </w:rPr>
        <w:t>Management and cost accounting</w:t>
      </w:r>
      <w:r w:rsidRPr="009D02B9">
        <w:t>. BoD–Books on Demand.</w:t>
      </w:r>
    </w:p>
    <w:p w14:paraId="44ACA174" w14:textId="77777777" w:rsidR="00C139AE" w:rsidRPr="00F22607" w:rsidRDefault="00C139AE" w:rsidP="00F22607">
      <w:bookmarkStart w:id="173" w:name="_Hlk223376724"/>
      <w:r w:rsidRPr="00F22607">
        <w:t>Boobyer, C. (Ed.). (2003)</w:t>
      </w:r>
      <w:bookmarkEnd w:id="173"/>
      <w:r w:rsidRPr="00F22607">
        <w:t>. </w:t>
      </w:r>
      <w:r w:rsidRPr="00F22607">
        <w:rPr>
          <w:i/>
          <w:iCs/>
        </w:rPr>
        <w:t>Leasing and asset finance: the comprehensive guide for practitioners</w:t>
      </w:r>
      <w:r w:rsidRPr="00F22607">
        <w:t>. Euromoney Books.</w:t>
      </w:r>
    </w:p>
    <w:p w14:paraId="2DBABC0E" w14:textId="77777777" w:rsidR="00C139AE" w:rsidRPr="00F22607" w:rsidRDefault="00C139AE" w:rsidP="00F22607">
      <w:bookmarkStart w:id="174" w:name="_Hlk223374763"/>
      <w:r w:rsidRPr="00F22607">
        <w:t>Brealey</w:t>
      </w:r>
      <w:bookmarkEnd w:id="174"/>
      <w:r w:rsidRPr="00F22607">
        <w:t>, R. A., Myers, S. C., &amp; Allen, F. (2011). </w:t>
      </w:r>
      <w:r w:rsidRPr="00F22607">
        <w:rPr>
          <w:i/>
          <w:iCs/>
        </w:rPr>
        <w:t>Principles of corporate finance</w:t>
      </w:r>
      <w:r w:rsidRPr="00F22607">
        <w:t>. McGraw-Hill Education.</w:t>
      </w:r>
    </w:p>
    <w:p w14:paraId="6FCD218D" w14:textId="77777777" w:rsidR="00C139AE" w:rsidRPr="00C139AE" w:rsidRDefault="00C139AE" w:rsidP="00C139AE">
      <w:bookmarkStart w:id="175" w:name="_Hlk223378596"/>
      <w:r w:rsidRPr="00C139AE">
        <w:t>Burnie, D. A., &amp; Ridder, A. D. (2023)</w:t>
      </w:r>
      <w:bookmarkEnd w:id="175"/>
      <w:r w:rsidRPr="00C139AE">
        <w:t>. Accounts payable management. In </w:t>
      </w:r>
      <w:r w:rsidRPr="00C139AE">
        <w:rPr>
          <w:i/>
          <w:iCs/>
        </w:rPr>
        <w:t>Working capital management: Concepts and strategies</w:t>
      </w:r>
      <w:r w:rsidRPr="00C139AE">
        <w:t> (pp. 283-307).</w:t>
      </w:r>
    </w:p>
    <w:p w14:paraId="2B8D0E78" w14:textId="77777777" w:rsidR="00C139AE" w:rsidRPr="009D02B9" w:rsidRDefault="00C139AE" w:rsidP="009D02B9">
      <w:bookmarkStart w:id="176" w:name="_Hlk218268776"/>
      <w:r w:rsidRPr="009D02B9">
        <w:t>Coelho</w:t>
      </w:r>
      <w:bookmarkEnd w:id="176"/>
      <w:r w:rsidRPr="009D02B9">
        <w:t>, R., Jayantilal, S., &amp; Ferreira, J. J. (2023). The impact of social responsibility on corporate financial performance: A systematic literature review. </w:t>
      </w:r>
      <w:r w:rsidRPr="009D02B9">
        <w:rPr>
          <w:i/>
          <w:iCs/>
        </w:rPr>
        <w:t>Corporate Social Responsibility and Environmental Management</w:t>
      </w:r>
      <w:r w:rsidRPr="009D02B9">
        <w:t>, </w:t>
      </w:r>
      <w:r w:rsidRPr="009D02B9">
        <w:rPr>
          <w:i/>
          <w:iCs/>
        </w:rPr>
        <w:t>30</w:t>
      </w:r>
      <w:r w:rsidRPr="009D02B9">
        <w:t>(4), 1535-1560.</w:t>
      </w:r>
    </w:p>
    <w:p w14:paraId="5D70C8F7" w14:textId="77777777" w:rsidR="00C139AE" w:rsidRPr="009D02B9" w:rsidRDefault="00C139AE" w:rsidP="009D02B9">
      <w:bookmarkStart w:id="177" w:name="_Hlk218268797"/>
      <w:r w:rsidRPr="009D02B9">
        <w:t>Dahmash</w:t>
      </w:r>
      <w:bookmarkEnd w:id="177"/>
      <w:r w:rsidRPr="009D02B9">
        <w:t>, F. N., Alshurafat, H., Hendawi, R., Alzoubi, A. B., &amp; Al Amosh, H. (2023). The retained earnings effect on the firm’s market value: evidence from Jordan. </w:t>
      </w:r>
      <w:r w:rsidRPr="009D02B9">
        <w:rPr>
          <w:i/>
          <w:iCs/>
        </w:rPr>
        <w:t>International Journal of Financial Studies</w:t>
      </w:r>
      <w:r w:rsidRPr="009D02B9">
        <w:t>, </w:t>
      </w:r>
      <w:r w:rsidRPr="009D02B9">
        <w:rPr>
          <w:i/>
          <w:iCs/>
        </w:rPr>
        <w:t>11</w:t>
      </w:r>
      <w:r w:rsidRPr="009D02B9">
        <w:t>(3), 89.</w:t>
      </w:r>
    </w:p>
    <w:p w14:paraId="4ADA8E7C" w14:textId="77777777" w:rsidR="00C139AE" w:rsidRPr="009D02B9" w:rsidRDefault="00C139AE" w:rsidP="009D02B9">
      <w:bookmarkStart w:id="178" w:name="_Hlk218268757"/>
      <w:r w:rsidRPr="009D02B9">
        <w:t>Dai</w:t>
      </w:r>
      <w:bookmarkEnd w:id="178"/>
      <w:r w:rsidRPr="009D02B9">
        <w:t>, H., Li, N., Wang, Y., &amp; Zhao, X. (2022, March). The analysis of three main investment criteria: NPV IRR and payback period. In </w:t>
      </w:r>
      <w:r w:rsidRPr="009D02B9">
        <w:rPr>
          <w:i/>
          <w:iCs/>
        </w:rPr>
        <w:t>2022 7th International Conference on Financial Innovation and Economic Development (ICFIED 2022)</w:t>
      </w:r>
      <w:r w:rsidRPr="009D02B9">
        <w:t> (pp. 185-189). Atlantis Press.</w:t>
      </w:r>
    </w:p>
    <w:p w14:paraId="3D991452" w14:textId="77777777" w:rsidR="00C139AE" w:rsidRPr="009D02B9" w:rsidRDefault="00C139AE" w:rsidP="009D02B9">
      <w:bookmarkStart w:id="179" w:name="_Hlk218268615"/>
      <w:r w:rsidRPr="009D02B9">
        <w:t>Damodaran, A. (2024)</w:t>
      </w:r>
      <w:bookmarkEnd w:id="179"/>
      <w:r w:rsidRPr="009D02B9">
        <w:t>. </w:t>
      </w:r>
      <w:r w:rsidRPr="009D02B9">
        <w:rPr>
          <w:i/>
          <w:iCs/>
        </w:rPr>
        <w:t>The little book of valuation: How to value a company, pick a stock, and profit</w:t>
      </w:r>
      <w:r w:rsidRPr="009D02B9">
        <w:t>. John Wiley &amp; Sons.</w:t>
      </w:r>
    </w:p>
    <w:p w14:paraId="34AD6F7F" w14:textId="77777777" w:rsidR="00C139AE" w:rsidRPr="00032136" w:rsidRDefault="00C139AE" w:rsidP="00032136">
      <w:bookmarkStart w:id="180" w:name="_Hlk218267234"/>
      <w:r w:rsidRPr="00032136">
        <w:t xml:space="preserve">Drury, C. (2020) </w:t>
      </w:r>
      <w:bookmarkEnd w:id="180"/>
      <w:r w:rsidRPr="00032136">
        <w:rPr>
          <w:i/>
        </w:rPr>
        <w:t>Management and Cost Accounting</w:t>
      </w:r>
      <w:r w:rsidRPr="00032136">
        <w:t xml:space="preserve">. 11th </w:t>
      </w:r>
      <w:r w:rsidRPr="00032136">
        <w:rPr>
          <w:bCs/>
        </w:rPr>
        <w:t>edn.</w:t>
      </w:r>
      <w:r w:rsidRPr="00032136">
        <w:t xml:space="preserve"> Cengage.</w:t>
      </w:r>
    </w:p>
    <w:p w14:paraId="7C9B2F94" w14:textId="77777777" w:rsidR="00C139AE" w:rsidRPr="00F22607" w:rsidRDefault="00C139AE" w:rsidP="00F22607">
      <w:bookmarkStart w:id="181" w:name="_Hlk223374827"/>
      <w:r w:rsidRPr="00F22607">
        <w:lastRenderedPageBreak/>
        <w:t>Fernandez, P. (2002)</w:t>
      </w:r>
      <w:bookmarkEnd w:id="181"/>
      <w:r w:rsidRPr="00F22607">
        <w:t>. </w:t>
      </w:r>
      <w:r w:rsidRPr="00F22607">
        <w:rPr>
          <w:i/>
          <w:iCs/>
        </w:rPr>
        <w:t>Valuation methods and shareholder value creation</w:t>
      </w:r>
      <w:r w:rsidRPr="00F22607">
        <w:t>. Elsevier.</w:t>
      </w:r>
    </w:p>
    <w:p w14:paraId="687D35CD" w14:textId="77777777" w:rsidR="00C139AE" w:rsidRPr="00C139AE" w:rsidRDefault="00C139AE" w:rsidP="00C139AE">
      <w:bookmarkStart w:id="182" w:name="_Hlk223378051"/>
      <w:r w:rsidRPr="00C139AE">
        <w:t>Filer, R. K., &amp; Golbe, D. L. (2003)</w:t>
      </w:r>
      <w:bookmarkEnd w:id="182"/>
      <w:r w:rsidRPr="00C139AE">
        <w:t>. Debt, operating margin, and investment in workplace safety. </w:t>
      </w:r>
      <w:r w:rsidRPr="00C139AE">
        <w:rPr>
          <w:i/>
          <w:iCs/>
        </w:rPr>
        <w:t>The Journal of Industrial Economics</w:t>
      </w:r>
      <w:r w:rsidRPr="00C139AE">
        <w:t>, </w:t>
      </w:r>
      <w:r w:rsidRPr="00C139AE">
        <w:rPr>
          <w:i/>
          <w:iCs/>
        </w:rPr>
        <w:t>51</w:t>
      </w:r>
      <w:r w:rsidRPr="00C139AE">
        <w:t>(3), 359-381.</w:t>
      </w:r>
    </w:p>
    <w:p w14:paraId="2685EF30" w14:textId="77777777" w:rsidR="00C139AE" w:rsidRPr="00032136" w:rsidRDefault="00C139AE" w:rsidP="00032136">
      <w:bookmarkStart w:id="183" w:name="_Hlk218267534"/>
      <w:r w:rsidRPr="00032136">
        <w:t>Fortune, P. (2000)</w:t>
      </w:r>
      <w:bookmarkEnd w:id="183"/>
      <w:r w:rsidRPr="00032136">
        <w:t>. Margin requirements, margin loans, and margin rates: Practice and principles. </w:t>
      </w:r>
      <w:r w:rsidRPr="00032136">
        <w:rPr>
          <w:i/>
          <w:iCs/>
        </w:rPr>
        <w:t>New England Economic Review</w:t>
      </w:r>
      <w:r w:rsidRPr="00032136">
        <w:t>, 19-44.</w:t>
      </w:r>
    </w:p>
    <w:p w14:paraId="7B35C59F" w14:textId="77777777" w:rsidR="00C139AE" w:rsidRPr="00032136" w:rsidRDefault="00C139AE" w:rsidP="00032136">
      <w:bookmarkStart w:id="184" w:name="_Hlk218267064"/>
      <w:r w:rsidRPr="00032136">
        <w:t>Fraser</w:t>
      </w:r>
      <w:bookmarkEnd w:id="184"/>
      <w:r w:rsidRPr="00032136">
        <w:t>, L. M., Ormiston, A., &amp; Mukherjee, A. K. (2016). </w:t>
      </w:r>
      <w:r w:rsidRPr="00032136">
        <w:rPr>
          <w:i/>
          <w:iCs/>
        </w:rPr>
        <w:t>Understanding financial statements</w:t>
      </w:r>
      <w:r w:rsidRPr="00032136">
        <w:t>. New York: Pearson.</w:t>
      </w:r>
    </w:p>
    <w:p w14:paraId="58EB6603" w14:textId="77777777" w:rsidR="00C139AE" w:rsidRPr="009D02B9" w:rsidRDefault="00C139AE" w:rsidP="009D02B9">
      <w:bookmarkStart w:id="185" w:name="_Hlk218268814"/>
      <w:r w:rsidRPr="009D02B9">
        <w:t>Hasan, M. M. (2022)</w:t>
      </w:r>
      <w:bookmarkEnd w:id="185"/>
      <w:r w:rsidRPr="009D02B9">
        <w:t>. Corporate culture and bank debt. </w:t>
      </w:r>
      <w:r w:rsidRPr="009D02B9">
        <w:rPr>
          <w:i/>
          <w:iCs/>
        </w:rPr>
        <w:t>Finance Research Letters</w:t>
      </w:r>
      <w:r w:rsidRPr="009D02B9">
        <w:t>, </w:t>
      </w:r>
      <w:r w:rsidRPr="009D02B9">
        <w:rPr>
          <w:i/>
          <w:iCs/>
        </w:rPr>
        <w:t>49</w:t>
      </w:r>
      <w:r w:rsidRPr="009D02B9">
        <w:t>, 103152.</w:t>
      </w:r>
    </w:p>
    <w:p w14:paraId="59B567AA" w14:textId="77777777" w:rsidR="00C139AE" w:rsidRPr="009D02B9" w:rsidRDefault="00C139AE" w:rsidP="009D02B9">
      <w:bookmarkStart w:id="186" w:name="_Hlk218268717"/>
      <w:r w:rsidRPr="009D02B9">
        <w:t>Hazen, G., &amp; Magni, C. A. (2021)</w:t>
      </w:r>
      <w:bookmarkEnd w:id="186"/>
      <w:r w:rsidRPr="009D02B9">
        <w:t>. Average internal rate of return for risky projects. </w:t>
      </w:r>
      <w:r w:rsidRPr="009D02B9">
        <w:rPr>
          <w:i/>
          <w:iCs/>
        </w:rPr>
        <w:t>The Engineering Economist</w:t>
      </w:r>
      <w:r w:rsidRPr="009D02B9">
        <w:t>, </w:t>
      </w:r>
      <w:r w:rsidRPr="009D02B9">
        <w:rPr>
          <w:i/>
          <w:iCs/>
        </w:rPr>
        <w:t>66</w:t>
      </w:r>
      <w:r w:rsidRPr="009D02B9">
        <w:t>(2), 90-120.</w:t>
      </w:r>
    </w:p>
    <w:p w14:paraId="1F56D826" w14:textId="77777777" w:rsidR="00C139AE" w:rsidRPr="00C139AE" w:rsidRDefault="00C139AE" w:rsidP="00C139AE">
      <w:bookmarkStart w:id="187" w:name="_Hlk223378306"/>
      <w:r w:rsidRPr="00C139AE">
        <w:t>Husna, A., &amp; Satria, I. (2019)</w:t>
      </w:r>
      <w:bookmarkEnd w:id="187"/>
      <w:r w:rsidRPr="00C139AE">
        <w:t>. Effects of return on asset, debt to asset ratio, current ratio, firm size, and dividend payout ratio on firm value. </w:t>
      </w:r>
      <w:r w:rsidRPr="00C139AE">
        <w:rPr>
          <w:i/>
          <w:iCs/>
        </w:rPr>
        <w:t>International journal of economics and financial issues</w:t>
      </w:r>
      <w:r w:rsidRPr="00C139AE">
        <w:t>, </w:t>
      </w:r>
      <w:r w:rsidRPr="00C139AE">
        <w:rPr>
          <w:i/>
          <w:iCs/>
        </w:rPr>
        <w:t>9</w:t>
      </w:r>
      <w:r w:rsidRPr="00C139AE">
        <w:t>(5), 50-54.</w:t>
      </w:r>
    </w:p>
    <w:p w14:paraId="61AEF927" w14:textId="77777777" w:rsidR="00C139AE" w:rsidRDefault="00C139AE" w:rsidP="00032136">
      <w:r w:rsidRPr="00F22607">
        <w:t xml:space="preserve">IFRS Foundation (2021) </w:t>
      </w:r>
      <w:r w:rsidRPr="00F22607">
        <w:rPr>
          <w:i/>
          <w:iCs/>
        </w:rPr>
        <w:t>IFRS 16: Leases</w:t>
      </w:r>
      <w:r w:rsidRPr="00F22607">
        <w:t xml:space="preserve">. Available at: </w:t>
      </w:r>
      <w:hyperlink r:id="rId26" w:tgtFrame="_new" w:history="1">
        <w:r w:rsidRPr="00F22607">
          <w:rPr>
            <w:rStyle w:val="Hyperlink"/>
          </w:rPr>
          <w:t>https://www.ifrs.org/issued-standards/list-of-standards/ifrs-16-leases/</w:t>
        </w:r>
      </w:hyperlink>
      <w:r w:rsidRPr="00F22607">
        <w:t xml:space="preserve"> (Accessed: </w:t>
      </w:r>
      <w:r w:rsidRPr="00F22607">
        <w:rPr>
          <w:b/>
          <w:bCs/>
        </w:rPr>
        <w:t>2 January 2026</w:t>
      </w:r>
      <w:r w:rsidRPr="00F22607">
        <w:t>).</w:t>
      </w:r>
    </w:p>
    <w:p w14:paraId="109934B9" w14:textId="77777777" w:rsidR="00C139AE" w:rsidRPr="00032136" w:rsidRDefault="00C139AE" w:rsidP="00032136">
      <w:bookmarkStart w:id="188" w:name="_Hlk223378777"/>
      <w:r w:rsidRPr="00F22607">
        <w:t xml:space="preserve">Kersten, R., Harms, J., Liket, K., &amp; Maas, K. (2017). </w:t>
      </w:r>
      <w:bookmarkEnd w:id="188"/>
      <w:r w:rsidRPr="00F22607">
        <w:t>Small Firms, large Impact? A systematic review of the SME Finance Literature. </w:t>
      </w:r>
      <w:r w:rsidRPr="00F22607">
        <w:rPr>
          <w:i/>
          <w:iCs/>
        </w:rPr>
        <w:t>World development</w:t>
      </w:r>
      <w:r w:rsidRPr="00F22607">
        <w:t>, </w:t>
      </w:r>
      <w:r w:rsidRPr="00F22607">
        <w:rPr>
          <w:i/>
          <w:iCs/>
        </w:rPr>
        <w:t>97</w:t>
      </w:r>
      <w:r w:rsidRPr="00F22607">
        <w:t>, 330-348.</w:t>
      </w:r>
    </w:p>
    <w:p w14:paraId="608851BB" w14:textId="77777777" w:rsidR="00C139AE" w:rsidRPr="00032136" w:rsidRDefault="00C139AE" w:rsidP="00032136">
      <w:bookmarkStart w:id="189" w:name="_Hlk218266963"/>
      <w:r w:rsidRPr="00032136">
        <w:t>Koller</w:t>
      </w:r>
      <w:bookmarkEnd w:id="189"/>
      <w:r w:rsidRPr="00032136">
        <w:t>, T., Goedhart, M., &amp; Wessels, D. (2025). </w:t>
      </w:r>
      <w:r w:rsidRPr="00032136">
        <w:rPr>
          <w:i/>
          <w:iCs/>
        </w:rPr>
        <w:t>Valuation: Measuring and managing the value of companies</w:t>
      </w:r>
      <w:r w:rsidRPr="00032136">
        <w:t>. John Wiley &amp; Sons.</w:t>
      </w:r>
    </w:p>
    <w:p w14:paraId="68B4596F" w14:textId="77777777" w:rsidR="00C139AE" w:rsidRPr="00032136" w:rsidRDefault="00C139AE" w:rsidP="00032136">
      <w:bookmarkStart w:id="190" w:name="_Hlk218267318"/>
      <w:r w:rsidRPr="00032136">
        <w:t>Lipson, M. L., &amp; Mortal, S. (2009)</w:t>
      </w:r>
      <w:bookmarkEnd w:id="190"/>
      <w:r w:rsidRPr="00032136">
        <w:t>. Liquidity and capital structure. </w:t>
      </w:r>
      <w:r w:rsidRPr="00032136">
        <w:rPr>
          <w:i/>
          <w:iCs/>
        </w:rPr>
        <w:t>Journal of financial markets</w:t>
      </w:r>
      <w:r w:rsidRPr="00032136">
        <w:t>, </w:t>
      </w:r>
      <w:r w:rsidRPr="00032136">
        <w:rPr>
          <w:i/>
          <w:iCs/>
        </w:rPr>
        <w:t>12</w:t>
      </w:r>
      <w:r w:rsidRPr="00032136">
        <w:t xml:space="preserve">(4), 611-644. </w:t>
      </w:r>
    </w:p>
    <w:p w14:paraId="69D7E3BE" w14:textId="77777777" w:rsidR="00C139AE" w:rsidRPr="00F22607" w:rsidRDefault="00C139AE" w:rsidP="00F22607">
      <w:bookmarkStart w:id="191" w:name="_Hlk223376781"/>
      <w:r w:rsidRPr="00F22607">
        <w:t>Martin, M. (2015)</w:t>
      </w:r>
      <w:bookmarkEnd w:id="191"/>
      <w:r w:rsidRPr="00F22607">
        <w:t>. Building impact businesses through hybrid financing. </w:t>
      </w:r>
      <w:r w:rsidRPr="00F22607">
        <w:rPr>
          <w:i/>
          <w:iCs/>
        </w:rPr>
        <w:t>Entrepreneurship Research Journal</w:t>
      </w:r>
      <w:r w:rsidRPr="00F22607">
        <w:t>, </w:t>
      </w:r>
      <w:r w:rsidRPr="00F22607">
        <w:rPr>
          <w:i/>
          <w:iCs/>
        </w:rPr>
        <w:t>5</w:t>
      </w:r>
      <w:r w:rsidRPr="00F22607">
        <w:t>(2), 109-126.</w:t>
      </w:r>
    </w:p>
    <w:p w14:paraId="1A48E9DC" w14:textId="77777777" w:rsidR="00C139AE" w:rsidRDefault="00C139AE" w:rsidP="00032136">
      <w:bookmarkStart w:id="192" w:name="_Hlk218267607"/>
      <w:r w:rsidRPr="00032136">
        <w:t>Moore, G., &amp; Robson, A. (2002)</w:t>
      </w:r>
      <w:bookmarkEnd w:id="192"/>
      <w:r w:rsidRPr="00032136">
        <w:t>. The UK supermarket industry: an analysis of corporate social and financial performance. </w:t>
      </w:r>
      <w:r w:rsidRPr="00032136">
        <w:rPr>
          <w:i/>
          <w:iCs/>
        </w:rPr>
        <w:t>Business Ethics: A European Review</w:t>
      </w:r>
      <w:r w:rsidRPr="00032136">
        <w:t>, </w:t>
      </w:r>
      <w:r w:rsidRPr="00032136">
        <w:rPr>
          <w:i/>
          <w:iCs/>
        </w:rPr>
        <w:t>11</w:t>
      </w:r>
      <w:r w:rsidRPr="00032136">
        <w:t xml:space="preserve">(1), 25-39. </w:t>
      </w:r>
    </w:p>
    <w:p w14:paraId="7A405DBB" w14:textId="77777777" w:rsidR="00C139AE" w:rsidRPr="00C139AE" w:rsidRDefault="00C139AE" w:rsidP="00C139AE">
      <w:bookmarkStart w:id="193" w:name="_Hlk223378149"/>
      <w:r w:rsidRPr="00C139AE">
        <w:lastRenderedPageBreak/>
        <w:t>Nariswari, T. N., &amp; Nugraha, N. M. (2020)</w:t>
      </w:r>
      <w:bookmarkEnd w:id="193"/>
      <w:r w:rsidRPr="00C139AE">
        <w:t>. Profit growth: Impact of net profit margin, gross profit margin and total assets turnover. </w:t>
      </w:r>
      <w:r w:rsidRPr="00C139AE">
        <w:rPr>
          <w:i/>
          <w:iCs/>
        </w:rPr>
        <w:t>International Journal of Finance &amp; Banking Studies</w:t>
      </w:r>
      <w:r w:rsidRPr="00C139AE">
        <w:t>, </w:t>
      </w:r>
      <w:r w:rsidRPr="00C139AE">
        <w:rPr>
          <w:i/>
          <w:iCs/>
        </w:rPr>
        <w:t>9</w:t>
      </w:r>
      <w:r w:rsidRPr="00C139AE">
        <w:t>(4), 87-96.</w:t>
      </w:r>
    </w:p>
    <w:p w14:paraId="1258D3B6" w14:textId="77777777" w:rsidR="00C139AE" w:rsidRPr="00C139AE" w:rsidRDefault="00C139AE" w:rsidP="00C139AE">
      <w:bookmarkStart w:id="194" w:name="_Hlk223378679"/>
      <w:r w:rsidRPr="00C139AE">
        <w:t>Ohlson, J. A., &amp; Juettner-Nauroth, B. E. (2005)</w:t>
      </w:r>
      <w:bookmarkEnd w:id="194"/>
      <w:r w:rsidRPr="00C139AE">
        <w:t>. Expected EPS and EPS growth as determinantsof value. </w:t>
      </w:r>
      <w:r w:rsidRPr="00C139AE">
        <w:rPr>
          <w:i/>
          <w:iCs/>
        </w:rPr>
        <w:t>Review of accounting studies</w:t>
      </w:r>
      <w:r w:rsidRPr="00C139AE">
        <w:t>, </w:t>
      </w:r>
      <w:r w:rsidRPr="00C139AE">
        <w:rPr>
          <w:i/>
          <w:iCs/>
        </w:rPr>
        <w:t>10</w:t>
      </w:r>
      <w:r w:rsidRPr="00C139AE">
        <w:t>(2), 349-365.</w:t>
      </w:r>
    </w:p>
    <w:p w14:paraId="74BE9B7F" w14:textId="77777777" w:rsidR="00C139AE" w:rsidRPr="009D02B9" w:rsidRDefault="00C139AE" w:rsidP="009D02B9">
      <w:bookmarkStart w:id="195" w:name="_Hlk218268582"/>
      <w:r w:rsidRPr="009D02B9">
        <w:t>Olayinka, A. A. (2022)</w:t>
      </w:r>
      <w:bookmarkEnd w:id="195"/>
      <w:r w:rsidRPr="009D02B9">
        <w:t>. Financial statement analysis as a tool for investment decisions and assessment of companies’ performance. </w:t>
      </w:r>
      <w:r w:rsidRPr="009D02B9">
        <w:rPr>
          <w:i/>
          <w:iCs/>
        </w:rPr>
        <w:t>International Journal of Financial, Accounting, and Management</w:t>
      </w:r>
      <w:r w:rsidRPr="009D02B9">
        <w:t>, </w:t>
      </w:r>
      <w:r w:rsidRPr="009D02B9">
        <w:rPr>
          <w:i/>
          <w:iCs/>
        </w:rPr>
        <w:t>4</w:t>
      </w:r>
      <w:r w:rsidRPr="009D02B9">
        <w:t>(1), 49-66.</w:t>
      </w:r>
    </w:p>
    <w:p w14:paraId="4F6041AF" w14:textId="77777777" w:rsidR="00C139AE" w:rsidRPr="009D02B9" w:rsidRDefault="00C139AE" w:rsidP="009D02B9">
      <w:bookmarkStart w:id="196" w:name="_Hlk218268335"/>
      <w:r w:rsidRPr="009D02B9">
        <w:t>Palepu</w:t>
      </w:r>
      <w:bookmarkEnd w:id="196"/>
      <w:r w:rsidRPr="009D02B9">
        <w:t>, K. G., Healy, P. M., Wright, S., Bradbury, M., &amp; Coulton, J. (2020). </w:t>
      </w:r>
      <w:r w:rsidRPr="009D02B9">
        <w:rPr>
          <w:i/>
          <w:iCs/>
        </w:rPr>
        <w:t>Business analysis and valuation: Using financial statements</w:t>
      </w:r>
      <w:r w:rsidRPr="009D02B9">
        <w:t>. Cengage AU.</w:t>
      </w:r>
    </w:p>
    <w:p w14:paraId="3AC4BBCE" w14:textId="77777777" w:rsidR="00C139AE" w:rsidRPr="00C139AE" w:rsidRDefault="00C139AE" w:rsidP="00C139AE">
      <w:bookmarkStart w:id="197" w:name="_Hlk223379346"/>
      <w:r w:rsidRPr="00C139AE">
        <w:t>Palepu</w:t>
      </w:r>
      <w:bookmarkEnd w:id="197"/>
      <w:r w:rsidRPr="00C139AE">
        <w:t>, K. G., Healy, P. M., Wright, S., Bradbury, M., &amp; Coulton, J. (2020). </w:t>
      </w:r>
      <w:r w:rsidRPr="00C139AE">
        <w:rPr>
          <w:i/>
          <w:iCs/>
        </w:rPr>
        <w:t>Business analysis and valuation: Using financial statements</w:t>
      </w:r>
      <w:r w:rsidRPr="00C139AE">
        <w:t>. Cengage AU.</w:t>
      </w:r>
    </w:p>
    <w:p w14:paraId="28659086" w14:textId="77777777" w:rsidR="00C139AE" w:rsidRPr="00032136" w:rsidRDefault="00C139AE" w:rsidP="00032136">
      <w:r w:rsidRPr="00032136">
        <w:t>Parrino, R., Bates, T. W., Gillan, S. L., &amp; Kidwell, D. S. (2025). </w:t>
      </w:r>
      <w:r w:rsidRPr="00032136">
        <w:rPr>
          <w:i/>
          <w:iCs/>
        </w:rPr>
        <w:t>Fundamentals of corporate finance</w:t>
      </w:r>
      <w:r w:rsidRPr="00032136">
        <w:t>. John Wiley &amp; Sons.</w:t>
      </w:r>
    </w:p>
    <w:p w14:paraId="5B66317B" w14:textId="77777777" w:rsidR="00C139AE" w:rsidRPr="00C139AE" w:rsidRDefault="00C139AE" w:rsidP="00C139AE">
      <w:bookmarkStart w:id="198" w:name="_Hlk223379276"/>
      <w:r w:rsidRPr="00C139AE">
        <w:t>Penman, S. H., &amp; Penman, S. H. (2010)</w:t>
      </w:r>
      <w:bookmarkEnd w:id="198"/>
      <w:r w:rsidRPr="00C139AE">
        <w:t>. </w:t>
      </w:r>
      <w:r w:rsidRPr="00C139AE">
        <w:rPr>
          <w:i/>
          <w:iCs/>
        </w:rPr>
        <w:t>Financial statement analysis and security valuation</w:t>
      </w:r>
      <w:r w:rsidRPr="00C139AE">
        <w:t>. New York: McGraw-Hill/Irwin.</w:t>
      </w:r>
    </w:p>
    <w:p w14:paraId="7A851C7D" w14:textId="77777777" w:rsidR="00C139AE" w:rsidRPr="00032136" w:rsidRDefault="00C139AE" w:rsidP="00032136">
      <w:bookmarkStart w:id="199" w:name="_Hlk218267115"/>
      <w:r w:rsidRPr="00032136">
        <w:t>Rashid, C. A. (2018)</w:t>
      </w:r>
      <w:bookmarkEnd w:id="199"/>
      <w:r w:rsidRPr="00032136">
        <w:t>. Efficiency of financial ratios analysis for evaluating companies’ liquidity. </w:t>
      </w:r>
      <w:r w:rsidRPr="00032136">
        <w:rPr>
          <w:i/>
          <w:iCs/>
        </w:rPr>
        <w:t>International journal of social sciences &amp; educational studies</w:t>
      </w:r>
      <w:r w:rsidRPr="00032136">
        <w:t>, </w:t>
      </w:r>
      <w:r w:rsidRPr="00032136">
        <w:rPr>
          <w:i/>
          <w:iCs/>
        </w:rPr>
        <w:t>4</w:t>
      </w:r>
      <w:r w:rsidRPr="00032136">
        <w:t>(4), 110-123.</w:t>
      </w:r>
    </w:p>
    <w:p w14:paraId="5FA2DB53" w14:textId="77777777" w:rsidR="00C139AE" w:rsidRPr="009D02B9" w:rsidRDefault="00C139AE" w:rsidP="009D02B9">
      <w:bookmarkStart w:id="200" w:name="_Hlk218267758"/>
      <w:r w:rsidRPr="009D02B9">
        <w:t>Ross, M. M. (2023)</w:t>
      </w:r>
      <w:bookmarkEnd w:id="200"/>
      <w:r w:rsidRPr="009D02B9">
        <w:t>. Graduate corporate finance: Are math skills an obstacle? </w:t>
      </w:r>
      <w:r w:rsidRPr="009D02B9">
        <w:rPr>
          <w:i/>
          <w:iCs/>
        </w:rPr>
        <w:t>Journal of Education for Business</w:t>
      </w:r>
      <w:r w:rsidRPr="009D02B9">
        <w:t>, </w:t>
      </w:r>
      <w:r w:rsidRPr="009D02B9">
        <w:rPr>
          <w:i/>
          <w:iCs/>
        </w:rPr>
        <w:t>98</w:t>
      </w:r>
      <w:r w:rsidRPr="009D02B9">
        <w:t>(3), 109-116.</w:t>
      </w:r>
    </w:p>
    <w:p w14:paraId="05C4D8FF" w14:textId="77777777" w:rsidR="00C139AE" w:rsidRPr="00C139AE" w:rsidRDefault="00C139AE" w:rsidP="00C139AE">
      <w:bookmarkStart w:id="201" w:name="_Hlk223378358"/>
      <w:r w:rsidRPr="00C139AE">
        <w:t>Saleem, Q., &amp; Rehman, R. U. (2011)</w:t>
      </w:r>
      <w:bookmarkEnd w:id="201"/>
      <w:r w:rsidRPr="00C139AE">
        <w:t>. Impacts of liquidity ratios on profitability. </w:t>
      </w:r>
      <w:r w:rsidRPr="00C139AE">
        <w:rPr>
          <w:i/>
          <w:iCs/>
        </w:rPr>
        <w:t>Interdisciplinary journal of research in business</w:t>
      </w:r>
      <w:r w:rsidRPr="00C139AE">
        <w:t>, </w:t>
      </w:r>
      <w:r w:rsidRPr="00C139AE">
        <w:rPr>
          <w:i/>
          <w:iCs/>
        </w:rPr>
        <w:t>1</w:t>
      </w:r>
      <w:r w:rsidRPr="00C139AE">
        <w:t>(7), 95-98.</w:t>
      </w:r>
    </w:p>
    <w:p w14:paraId="6BC559F1" w14:textId="77777777" w:rsidR="00F22607" w:rsidRPr="00F22607" w:rsidRDefault="00C139AE" w:rsidP="00F22607">
      <w:bookmarkStart w:id="202" w:name="_Hlk223376839"/>
      <w:r w:rsidRPr="00F22607">
        <w:t>Savvides, S. (1994)</w:t>
      </w:r>
      <w:bookmarkEnd w:id="202"/>
      <w:r w:rsidRPr="00F22607">
        <w:t>. Risk analysis in investment appraisal. </w:t>
      </w:r>
      <w:r w:rsidRPr="00F22607">
        <w:rPr>
          <w:i/>
          <w:iCs/>
        </w:rPr>
        <w:t>Project Appraisal</w:t>
      </w:r>
      <w:r w:rsidRPr="00F22607">
        <w:t>, </w:t>
      </w:r>
      <w:r w:rsidRPr="00F22607">
        <w:rPr>
          <w:i/>
          <w:iCs/>
        </w:rPr>
        <w:t>9</w:t>
      </w:r>
      <w:r w:rsidRPr="00F22607">
        <w:t>(1), 3-18.</w:t>
      </w:r>
    </w:p>
    <w:p w14:paraId="0D18724F" w14:textId="77777777" w:rsidR="00C139AE" w:rsidRPr="00032136" w:rsidRDefault="00C139AE" w:rsidP="00032136">
      <w:bookmarkStart w:id="203" w:name="_Hlk218266875"/>
      <w:r w:rsidRPr="00032136">
        <w:t>Segal, M., &amp; Naik, G. (2019)</w:t>
      </w:r>
      <w:bookmarkEnd w:id="203"/>
      <w:r w:rsidRPr="00032136">
        <w:t>. The expected impact of the implementation of International Financial Reporting Standard (IFRS) 16–Leases. </w:t>
      </w:r>
      <w:r w:rsidRPr="00032136">
        <w:rPr>
          <w:i/>
          <w:iCs/>
        </w:rPr>
        <w:t>Journal of Economic and Financial Sciences</w:t>
      </w:r>
      <w:r w:rsidRPr="00032136">
        <w:t>, </w:t>
      </w:r>
      <w:r w:rsidRPr="00032136">
        <w:rPr>
          <w:i/>
          <w:iCs/>
        </w:rPr>
        <w:t>12</w:t>
      </w:r>
      <w:r w:rsidRPr="00032136">
        <w:t>(1), 1-12.</w:t>
      </w:r>
    </w:p>
    <w:p w14:paraId="7DE5E8A2" w14:textId="77777777" w:rsidR="00C139AE" w:rsidRPr="00032136" w:rsidRDefault="00C139AE" w:rsidP="00032136">
      <w:bookmarkStart w:id="204" w:name="_Hlk218267368"/>
      <w:r w:rsidRPr="00032136">
        <w:lastRenderedPageBreak/>
        <w:t>Seth</w:t>
      </w:r>
      <w:bookmarkEnd w:id="204"/>
      <w:r w:rsidRPr="00032136">
        <w:t>, H., Chadha, S., &amp; Sharma, S. (2020). Redesigning the efficiency process analysis for working capital models: evidences from the determinants. </w:t>
      </w:r>
      <w:r w:rsidRPr="00032136">
        <w:rPr>
          <w:i/>
          <w:iCs/>
        </w:rPr>
        <w:t>Journal of Global Operations and Strategic Sourcing</w:t>
      </w:r>
      <w:r w:rsidRPr="00032136">
        <w:t>, </w:t>
      </w:r>
      <w:r w:rsidRPr="00032136">
        <w:rPr>
          <w:i/>
          <w:iCs/>
        </w:rPr>
        <w:t>13</w:t>
      </w:r>
      <w:r w:rsidRPr="00032136">
        <w:t xml:space="preserve">(1), 38-55. </w:t>
      </w:r>
    </w:p>
    <w:p w14:paraId="781A87EF" w14:textId="77777777" w:rsidR="00C139AE" w:rsidRPr="009D02B9" w:rsidRDefault="00C139AE" w:rsidP="009D02B9">
      <w:bookmarkStart w:id="205" w:name="_Hlk218268699"/>
      <w:r w:rsidRPr="009D02B9">
        <w:t>Shou, T. (2022, July)</w:t>
      </w:r>
      <w:bookmarkEnd w:id="205"/>
      <w:r w:rsidRPr="009D02B9">
        <w:t>. A literature review on the net present value (NPV) valuation method. In </w:t>
      </w:r>
      <w:r w:rsidRPr="009D02B9">
        <w:rPr>
          <w:i/>
          <w:iCs/>
        </w:rPr>
        <w:t>2022 2nd International Conference on Enterprise Management and Economic Development (ICEMED 2022)</w:t>
      </w:r>
      <w:r w:rsidRPr="009D02B9">
        <w:t> (pp. 826-830). Atlantis Press.</w:t>
      </w:r>
    </w:p>
    <w:p w14:paraId="2CDDCA0C" w14:textId="77777777" w:rsidR="00C139AE" w:rsidRPr="00C139AE" w:rsidRDefault="00C139AE" w:rsidP="00C139AE">
      <w:bookmarkStart w:id="206" w:name="_Hlk223378535"/>
      <w:r w:rsidRPr="00C139AE">
        <w:t>Siekelova</w:t>
      </w:r>
      <w:bookmarkEnd w:id="206"/>
      <w:r w:rsidRPr="00C139AE">
        <w:t>, A., Kliestik, T., Svabova, L., Androniceanu, A., &amp; Schonfeld, J. (2017). Receivables management: the importance of financial indicators in assessing the creditworthiness. </w:t>
      </w:r>
      <w:r w:rsidRPr="00C139AE">
        <w:rPr>
          <w:i/>
          <w:iCs/>
        </w:rPr>
        <w:t>Polish Journal of Management Studies</w:t>
      </w:r>
      <w:r w:rsidRPr="00C139AE">
        <w:t>, </w:t>
      </w:r>
      <w:r w:rsidRPr="00C139AE">
        <w:rPr>
          <w:i/>
          <w:iCs/>
        </w:rPr>
        <w:t>15</w:t>
      </w:r>
      <w:r w:rsidRPr="00C139AE">
        <w:t>(2), 217-228.</w:t>
      </w:r>
    </w:p>
    <w:p w14:paraId="539CE954" w14:textId="77777777" w:rsidR="00C139AE" w:rsidRPr="00C139AE" w:rsidRDefault="00C139AE" w:rsidP="00C139AE">
      <w:bookmarkStart w:id="207" w:name="_Hlk223378259"/>
      <w:r w:rsidRPr="00C139AE">
        <w:t>Singh, J., &amp; Yadav, P. (2013)</w:t>
      </w:r>
      <w:bookmarkEnd w:id="207"/>
      <w:r w:rsidRPr="00C139AE">
        <w:t>. Return on capital employed-A tool for analyzing profitability of companies. </w:t>
      </w:r>
      <w:r w:rsidRPr="00C139AE">
        <w:rPr>
          <w:i/>
          <w:iCs/>
        </w:rPr>
        <w:t>International Journal of Techno-Management Research</w:t>
      </w:r>
      <w:r w:rsidRPr="00C139AE">
        <w:t>, </w:t>
      </w:r>
      <w:r w:rsidRPr="00C139AE">
        <w:rPr>
          <w:i/>
          <w:iCs/>
        </w:rPr>
        <w:t>1</w:t>
      </w:r>
      <w:r w:rsidRPr="00C139AE">
        <w:t>(1), 1-13.</w:t>
      </w:r>
    </w:p>
    <w:p w14:paraId="45B0137B" w14:textId="77777777" w:rsidR="00C139AE" w:rsidRPr="00032136" w:rsidRDefault="00C139AE" w:rsidP="00032136">
      <w:bookmarkStart w:id="208" w:name="_Hlk218267423"/>
      <w:r w:rsidRPr="00032136">
        <w:t>Siyanbola</w:t>
      </w:r>
      <w:bookmarkEnd w:id="208"/>
      <w:r w:rsidRPr="00032136">
        <w:t>, T. T., Olaoye, S. A., &amp; Olurin, O. T. (2015). Impact of gearing on performance of companies. </w:t>
      </w:r>
      <w:r w:rsidRPr="00032136">
        <w:rPr>
          <w:i/>
          <w:iCs/>
        </w:rPr>
        <w:t>Arabian Journal of Business and Management Review (Nigerian Chapter)</w:t>
      </w:r>
      <w:r w:rsidRPr="00032136">
        <w:t>, </w:t>
      </w:r>
      <w:r w:rsidRPr="00032136">
        <w:rPr>
          <w:i/>
          <w:iCs/>
        </w:rPr>
        <w:t>3</w:t>
      </w:r>
      <w:r w:rsidRPr="00032136">
        <w:t xml:space="preserve">(1), 68-80. </w:t>
      </w:r>
    </w:p>
    <w:p w14:paraId="0EE838F8" w14:textId="77777777" w:rsidR="00C139AE" w:rsidRPr="00C139AE" w:rsidRDefault="00C139AE" w:rsidP="00C139AE">
      <w:bookmarkStart w:id="209" w:name="_Hlk223378717"/>
      <w:bookmarkStart w:id="210" w:name="_Hlk223378645"/>
      <w:r w:rsidRPr="00C139AE">
        <w:t>Sunaryo, D. (2020)</w:t>
      </w:r>
      <w:bookmarkEnd w:id="209"/>
      <w:r w:rsidRPr="00C139AE">
        <w:t>.</w:t>
      </w:r>
      <w:bookmarkEnd w:id="210"/>
      <w:r w:rsidRPr="00C139AE">
        <w:t xml:space="preserve"> The effect of earning per share (EPS) and dividend per share (DPS) on share prices. </w:t>
      </w:r>
      <w:r w:rsidRPr="00C139AE">
        <w:rPr>
          <w:i/>
          <w:iCs/>
        </w:rPr>
        <w:t>Journal of Research in Business, Economics, and Education</w:t>
      </w:r>
      <w:r w:rsidRPr="00C139AE">
        <w:t>, </w:t>
      </w:r>
      <w:r w:rsidRPr="00C139AE">
        <w:rPr>
          <w:i/>
          <w:iCs/>
        </w:rPr>
        <w:t>2</w:t>
      </w:r>
      <w:r w:rsidRPr="00C139AE">
        <w:t>(5), 1027-1038.</w:t>
      </w:r>
    </w:p>
    <w:p w14:paraId="7DDE290E" w14:textId="77777777" w:rsidR="00C139AE" w:rsidRPr="009D02B9" w:rsidRDefault="00C139AE" w:rsidP="009D02B9">
      <w:bookmarkStart w:id="211" w:name="_Hlk218268596"/>
      <w:r w:rsidRPr="009D02B9">
        <w:t>Sureka</w:t>
      </w:r>
      <w:bookmarkEnd w:id="211"/>
      <w:r w:rsidRPr="009D02B9">
        <w:t>, R., Kumar, S., Colombage, S., &amp; Abedin, M. Z. (2022). Five decades of research on capital budgeting–A systematic review and future research agenda. </w:t>
      </w:r>
      <w:r w:rsidRPr="009D02B9">
        <w:rPr>
          <w:i/>
          <w:iCs/>
        </w:rPr>
        <w:t>Research in International Business and Finance</w:t>
      </w:r>
      <w:r w:rsidRPr="009D02B9">
        <w:t>, </w:t>
      </w:r>
      <w:r w:rsidRPr="009D02B9">
        <w:rPr>
          <w:i/>
          <w:iCs/>
        </w:rPr>
        <w:t>60</w:t>
      </w:r>
      <w:r w:rsidRPr="009D02B9">
        <w:t>, 101609.</w:t>
      </w:r>
    </w:p>
    <w:p w14:paraId="4ED9E94F" w14:textId="77777777" w:rsidR="00C139AE" w:rsidRPr="00032136" w:rsidRDefault="00C139AE" w:rsidP="00032136">
      <w:bookmarkStart w:id="212" w:name="_Hlk218267025"/>
      <w:r w:rsidRPr="00032136">
        <w:t>Sureshchandar, G. S. (2023)</w:t>
      </w:r>
      <w:bookmarkEnd w:id="212"/>
      <w:r w:rsidRPr="00032136">
        <w:t>. Quality 4.0–a measurement model using the confirmatory factor analysis (CFA) approach. </w:t>
      </w:r>
      <w:r w:rsidRPr="00032136">
        <w:rPr>
          <w:i/>
          <w:iCs/>
        </w:rPr>
        <w:t>International Journal of Quality &amp; Reliability Management</w:t>
      </w:r>
      <w:r w:rsidRPr="00032136">
        <w:t>, </w:t>
      </w:r>
      <w:r w:rsidRPr="00032136">
        <w:rPr>
          <w:i/>
          <w:iCs/>
        </w:rPr>
        <w:t>40</w:t>
      </w:r>
      <w:r w:rsidRPr="00032136">
        <w:t>(1), 280-303.</w:t>
      </w:r>
    </w:p>
    <w:p w14:paraId="18D852D8" w14:textId="77777777" w:rsidR="00C139AE" w:rsidRPr="00032136" w:rsidRDefault="00C139AE" w:rsidP="00032136">
      <w:bookmarkStart w:id="213" w:name="_Hlk218266815"/>
      <w:r w:rsidRPr="00032136">
        <w:t xml:space="preserve">Tesco PLC (2025) </w:t>
      </w:r>
      <w:bookmarkEnd w:id="213"/>
      <w:r w:rsidRPr="00032136">
        <w:rPr>
          <w:i/>
          <w:iCs/>
        </w:rPr>
        <w:t>Annual Report and Financial Statements 2025 (FY2025 and FY2024 comparative statements).</w:t>
      </w:r>
      <w:r w:rsidRPr="00032136">
        <w:t xml:space="preserve"> Tesco PLC.</w:t>
      </w:r>
    </w:p>
    <w:p w14:paraId="3DEEE576" w14:textId="77777777" w:rsidR="00C139AE" w:rsidRPr="00C139AE" w:rsidRDefault="00C139AE" w:rsidP="00C139AE">
      <w:bookmarkStart w:id="214" w:name="_Hlk223378209"/>
      <w:r w:rsidRPr="00C139AE">
        <w:t>Wilcox, J. W. (1984)</w:t>
      </w:r>
      <w:bookmarkEnd w:id="214"/>
      <w:r w:rsidRPr="00C139AE">
        <w:t>. The P/B-roe valuation model. </w:t>
      </w:r>
      <w:r w:rsidRPr="00C139AE">
        <w:rPr>
          <w:i/>
          <w:iCs/>
        </w:rPr>
        <w:t>Financial Analysts Journal</w:t>
      </w:r>
      <w:r w:rsidRPr="00C139AE">
        <w:t>, </w:t>
      </w:r>
      <w:r w:rsidRPr="00C139AE">
        <w:rPr>
          <w:i/>
          <w:iCs/>
        </w:rPr>
        <w:t>40</w:t>
      </w:r>
      <w:r w:rsidRPr="00C139AE">
        <w:t>(1), 58-66.</w:t>
      </w:r>
    </w:p>
    <w:p w14:paraId="10E5B42A" w14:textId="77777777" w:rsidR="00C139AE" w:rsidRPr="009D02B9" w:rsidRDefault="00C139AE" w:rsidP="009D02B9">
      <w:bookmarkStart w:id="215" w:name="_Hlk218268831"/>
      <w:r w:rsidRPr="009D02B9">
        <w:t>Xiang</w:t>
      </w:r>
      <w:bookmarkEnd w:id="215"/>
      <w:r w:rsidRPr="009D02B9">
        <w:t>, X., Liu, C., &amp; Yang, M. (2022). Who is financing corporate green innovation? </w:t>
      </w:r>
      <w:r w:rsidRPr="009D02B9">
        <w:rPr>
          <w:i/>
          <w:iCs/>
        </w:rPr>
        <w:t>International Review of Economics &amp; Finance</w:t>
      </w:r>
      <w:r w:rsidRPr="009D02B9">
        <w:t>, </w:t>
      </w:r>
      <w:r w:rsidRPr="009D02B9">
        <w:rPr>
          <w:i/>
          <w:iCs/>
        </w:rPr>
        <w:t>78</w:t>
      </w:r>
      <w:r w:rsidRPr="009D02B9">
        <w:t>, 321-337.</w:t>
      </w:r>
    </w:p>
    <w:p w14:paraId="573D6FFF" w14:textId="77777777" w:rsidR="00C139AE" w:rsidRPr="00C139AE" w:rsidRDefault="00C139AE" w:rsidP="00C139AE">
      <w:bookmarkStart w:id="216" w:name="_Hlk223378491"/>
      <w:r w:rsidRPr="00C139AE">
        <w:lastRenderedPageBreak/>
        <w:t>Yamazaki</w:t>
      </w:r>
      <w:bookmarkEnd w:id="216"/>
      <w:r w:rsidRPr="00C139AE">
        <w:t>, T., Shida, K., &amp; Kanazawa, T. (2016). An approach to establishing a method for calculating inventory. </w:t>
      </w:r>
      <w:r w:rsidRPr="00C139AE">
        <w:rPr>
          <w:i/>
          <w:iCs/>
        </w:rPr>
        <w:t>International Journal of Production Research</w:t>
      </w:r>
      <w:r w:rsidRPr="00C139AE">
        <w:t>, </w:t>
      </w:r>
      <w:r w:rsidRPr="00C139AE">
        <w:rPr>
          <w:i/>
          <w:iCs/>
        </w:rPr>
        <w:t>54</w:t>
      </w:r>
      <w:r w:rsidRPr="00C139AE">
        <w:t>(8), 2320-2331.</w:t>
      </w:r>
    </w:p>
    <w:p w14:paraId="6AFE6113" w14:textId="77777777" w:rsidR="00C139AE" w:rsidRDefault="00C139AE" w:rsidP="009D02B9">
      <w:bookmarkStart w:id="217" w:name="_Hlk218268735"/>
      <w:r w:rsidRPr="009D02B9">
        <w:t>Zhang</w:t>
      </w:r>
      <w:bookmarkEnd w:id="217"/>
      <w:r w:rsidRPr="009D02B9">
        <w:t>, M., Tang, Y., Liu, L., &amp; Zhou, D. (2022). Optimal investment portfolio strategies for power enterprises under multi-policy scenarios of renewable energy. </w:t>
      </w:r>
      <w:r w:rsidRPr="009D02B9">
        <w:rPr>
          <w:i/>
          <w:iCs/>
        </w:rPr>
        <w:t>Renewable and Sustainable Energy Reviews</w:t>
      </w:r>
      <w:r w:rsidRPr="009D02B9">
        <w:t>, </w:t>
      </w:r>
      <w:r w:rsidRPr="009D02B9">
        <w:rPr>
          <w:i/>
          <w:iCs/>
        </w:rPr>
        <w:t>154</w:t>
      </w:r>
      <w:r w:rsidRPr="009D02B9">
        <w:t>, 111879.</w:t>
      </w:r>
    </w:p>
    <w:p w14:paraId="6E1D50E1" w14:textId="77777777" w:rsidR="00C139AE" w:rsidRPr="009D02B9" w:rsidRDefault="00C139AE" w:rsidP="009D02B9"/>
    <w:p w14:paraId="782BCCD6" w14:textId="20E91350" w:rsidR="0078691F" w:rsidRDefault="0078691F">
      <w:r>
        <w:br w:type="page"/>
      </w:r>
    </w:p>
    <w:p w14:paraId="2896A15B" w14:textId="5D632F12" w:rsidR="003D76DA" w:rsidRDefault="0078691F" w:rsidP="00C139AE">
      <w:pPr>
        <w:pStyle w:val="Heading1"/>
      </w:pPr>
      <w:bookmarkStart w:id="218" w:name="_Toc223379547"/>
      <w:bookmarkStart w:id="219" w:name="_Toc223379725"/>
      <w:bookmarkStart w:id="220" w:name="_Toc223379795"/>
      <w:bookmarkStart w:id="221" w:name="_Toc223379905"/>
      <w:bookmarkStart w:id="222" w:name="_Toc223380620"/>
      <w:bookmarkStart w:id="223" w:name="_Toc223729995"/>
      <w:r>
        <w:lastRenderedPageBreak/>
        <w:t>Appendices</w:t>
      </w:r>
      <w:bookmarkEnd w:id="218"/>
      <w:bookmarkEnd w:id="219"/>
      <w:bookmarkEnd w:id="220"/>
      <w:bookmarkEnd w:id="221"/>
      <w:bookmarkEnd w:id="222"/>
      <w:bookmarkEnd w:id="223"/>
    </w:p>
    <w:p w14:paraId="622435E8" w14:textId="77777777" w:rsidR="0078691F" w:rsidRPr="0078691F" w:rsidRDefault="0078691F" w:rsidP="0078691F">
      <w:r w:rsidRPr="0078691F">
        <w:rPr>
          <w:b/>
          <w:bCs/>
        </w:rPr>
        <w:t>Company:</w:t>
      </w:r>
      <w:r w:rsidRPr="0078691F">
        <w:t xml:space="preserve"> Tesco PLC (FTSE 100, London Stock Exchange).</w:t>
      </w:r>
    </w:p>
    <w:p w14:paraId="2234F048" w14:textId="77777777" w:rsidR="0078691F" w:rsidRPr="0078691F" w:rsidRDefault="0078691F" w:rsidP="0078691F">
      <w:r w:rsidRPr="0078691F">
        <w:rPr>
          <w:b/>
          <w:bCs/>
        </w:rPr>
        <w:t>Financial statement source:</w:t>
      </w:r>
      <w:r w:rsidRPr="0078691F">
        <w:t xml:space="preserve"> Tesco PLC Annual Report and Financial Statements 2025 (contains FY2025 and FY2024 comparative financial statements). </w:t>
      </w:r>
      <w:hyperlink r:id="rId27" w:history="1">
        <w:r w:rsidRPr="0078691F">
          <w:rPr>
            <w:rStyle w:val="Hyperlink"/>
          </w:rPr>
          <w:t>https://financialreports.eu/filings/tesco-plc/annual-report/2025/5894772/</w:t>
        </w:r>
      </w:hyperlink>
    </w:p>
    <w:p w14:paraId="154E117C" w14:textId="2ACFD10A" w:rsidR="00396E7A" w:rsidRPr="00392463" w:rsidRDefault="00396E7A" w:rsidP="00396E7A">
      <w:pPr>
        <w:rPr>
          <w:b/>
          <w:bCs/>
        </w:rPr>
      </w:pPr>
      <w:r w:rsidRPr="00392463">
        <w:rPr>
          <w:b/>
          <w:bCs/>
        </w:rPr>
        <w:t>Income statement</w:t>
      </w:r>
      <w:r>
        <w:rPr>
          <w:b/>
          <w:bCs/>
        </w:rPr>
        <w:t xml:space="preserve"> </w:t>
      </w:r>
    </w:p>
    <w:tbl>
      <w:tblPr>
        <w:tblStyle w:val="TableGrid"/>
        <w:tblW w:w="0" w:type="auto"/>
        <w:tblInd w:w="108" w:type="dxa"/>
        <w:tblLook w:val="04A0" w:firstRow="1" w:lastRow="0" w:firstColumn="1" w:lastColumn="0" w:noHBand="0" w:noVBand="1"/>
      </w:tblPr>
      <w:tblGrid>
        <w:gridCol w:w="2970"/>
        <w:gridCol w:w="3078"/>
        <w:gridCol w:w="3078"/>
      </w:tblGrid>
      <w:tr w:rsidR="00396E7A" w14:paraId="12E0A2C2" w14:textId="77777777" w:rsidTr="00454404">
        <w:trPr>
          <w:trHeight w:val="661"/>
        </w:trPr>
        <w:tc>
          <w:tcPr>
            <w:tcW w:w="2970" w:type="dxa"/>
          </w:tcPr>
          <w:p w14:paraId="6F0185B4" w14:textId="77777777" w:rsidR="00396E7A" w:rsidRPr="003276EF" w:rsidRDefault="00396E7A" w:rsidP="00454404"/>
        </w:tc>
        <w:tc>
          <w:tcPr>
            <w:tcW w:w="3078" w:type="dxa"/>
          </w:tcPr>
          <w:p w14:paraId="28734B6B" w14:textId="77777777" w:rsidR="00396E7A" w:rsidRPr="001D09D7" w:rsidRDefault="00396E7A" w:rsidP="00454404">
            <w:pPr>
              <w:rPr>
                <w:b/>
                <w:bCs/>
              </w:rPr>
            </w:pPr>
            <w:r w:rsidRPr="001D09D7">
              <w:rPr>
                <w:b/>
                <w:bCs/>
              </w:rPr>
              <w:t>FY2025</w:t>
            </w:r>
          </w:p>
        </w:tc>
        <w:tc>
          <w:tcPr>
            <w:tcW w:w="3078" w:type="dxa"/>
          </w:tcPr>
          <w:p w14:paraId="6A21199E" w14:textId="77777777" w:rsidR="00396E7A" w:rsidRPr="001D09D7" w:rsidRDefault="00396E7A" w:rsidP="00454404">
            <w:pPr>
              <w:rPr>
                <w:b/>
                <w:bCs/>
              </w:rPr>
            </w:pPr>
            <w:r w:rsidRPr="001D09D7">
              <w:rPr>
                <w:b/>
                <w:bCs/>
              </w:rPr>
              <w:t>FY2024</w:t>
            </w:r>
          </w:p>
        </w:tc>
      </w:tr>
      <w:tr w:rsidR="00396E7A" w14:paraId="0759989B" w14:textId="77777777" w:rsidTr="00966A24">
        <w:trPr>
          <w:trHeight w:val="187"/>
        </w:trPr>
        <w:tc>
          <w:tcPr>
            <w:tcW w:w="2970" w:type="dxa"/>
          </w:tcPr>
          <w:p w14:paraId="4ED0B694" w14:textId="77777777" w:rsidR="00396E7A" w:rsidRDefault="00396E7A" w:rsidP="00454404">
            <w:r w:rsidRPr="003276EF">
              <w:t>Revenue</w:t>
            </w:r>
          </w:p>
        </w:tc>
        <w:tc>
          <w:tcPr>
            <w:tcW w:w="3078" w:type="dxa"/>
          </w:tcPr>
          <w:p w14:paraId="6E5F53FD" w14:textId="77777777" w:rsidR="00396E7A" w:rsidRDefault="00396E7A" w:rsidP="00454404">
            <w:r w:rsidRPr="003276EF">
              <w:t>£69,916m</w:t>
            </w:r>
          </w:p>
          <w:p w14:paraId="37F93E42" w14:textId="178BEF12" w:rsidR="00F22607" w:rsidRDefault="00F22607" w:rsidP="00454404"/>
        </w:tc>
        <w:tc>
          <w:tcPr>
            <w:tcW w:w="3078" w:type="dxa"/>
          </w:tcPr>
          <w:p w14:paraId="6FD6326E" w14:textId="77777777" w:rsidR="00396E7A" w:rsidRDefault="00396E7A" w:rsidP="00454404">
            <w:r w:rsidRPr="003276EF">
              <w:t>£68,187m</w:t>
            </w:r>
          </w:p>
        </w:tc>
      </w:tr>
      <w:tr w:rsidR="00396E7A" w14:paraId="5380379A" w14:textId="77777777" w:rsidTr="00454404">
        <w:trPr>
          <w:trHeight w:val="688"/>
        </w:trPr>
        <w:tc>
          <w:tcPr>
            <w:tcW w:w="2970" w:type="dxa"/>
          </w:tcPr>
          <w:p w14:paraId="1340227E" w14:textId="77777777" w:rsidR="00396E7A" w:rsidRDefault="00396E7A" w:rsidP="00454404">
            <w:r w:rsidRPr="003276EF">
              <w:t>Cost of sales (total)</w:t>
            </w:r>
          </w:p>
        </w:tc>
        <w:tc>
          <w:tcPr>
            <w:tcW w:w="3078" w:type="dxa"/>
          </w:tcPr>
          <w:p w14:paraId="1E77E762" w14:textId="77777777" w:rsidR="00396E7A" w:rsidRDefault="00396E7A" w:rsidP="00454404">
            <w:r w:rsidRPr="003276EF">
              <w:t>£ (64,205) m</w:t>
            </w:r>
          </w:p>
        </w:tc>
        <w:tc>
          <w:tcPr>
            <w:tcW w:w="3078" w:type="dxa"/>
          </w:tcPr>
          <w:p w14:paraId="78F4697F" w14:textId="77777777" w:rsidR="00396E7A" w:rsidRDefault="00396E7A" w:rsidP="00454404">
            <w:r w:rsidRPr="003276EF">
              <w:t>£ (62,836) m</w:t>
            </w:r>
          </w:p>
        </w:tc>
      </w:tr>
      <w:tr w:rsidR="00396E7A" w14:paraId="68B05504" w14:textId="77777777" w:rsidTr="00454404">
        <w:trPr>
          <w:trHeight w:val="661"/>
        </w:trPr>
        <w:tc>
          <w:tcPr>
            <w:tcW w:w="2970" w:type="dxa"/>
          </w:tcPr>
          <w:p w14:paraId="78E2028E" w14:textId="77777777" w:rsidR="00396E7A" w:rsidRDefault="00396E7A" w:rsidP="00454404">
            <w:r w:rsidRPr="003276EF">
              <w:t>Gross profit</w:t>
            </w:r>
          </w:p>
        </w:tc>
        <w:tc>
          <w:tcPr>
            <w:tcW w:w="3078" w:type="dxa"/>
          </w:tcPr>
          <w:p w14:paraId="11890C35" w14:textId="77777777" w:rsidR="00396E7A" w:rsidRDefault="00396E7A" w:rsidP="00454404">
            <w:r w:rsidRPr="003276EF">
              <w:t>£5,051m</w:t>
            </w:r>
          </w:p>
        </w:tc>
        <w:tc>
          <w:tcPr>
            <w:tcW w:w="3078" w:type="dxa"/>
          </w:tcPr>
          <w:p w14:paraId="51A6023A" w14:textId="77777777" w:rsidR="00396E7A" w:rsidRDefault="00396E7A" w:rsidP="00454404">
            <w:r w:rsidRPr="003276EF">
              <w:t>£4,849m</w:t>
            </w:r>
          </w:p>
        </w:tc>
      </w:tr>
      <w:tr w:rsidR="00396E7A" w14:paraId="7EAB3040" w14:textId="77777777" w:rsidTr="00454404">
        <w:trPr>
          <w:trHeight w:val="661"/>
        </w:trPr>
        <w:tc>
          <w:tcPr>
            <w:tcW w:w="2970" w:type="dxa"/>
          </w:tcPr>
          <w:p w14:paraId="4FBA7483" w14:textId="77777777" w:rsidR="00396E7A" w:rsidRDefault="00396E7A" w:rsidP="00454404">
            <w:r w:rsidRPr="003276EF">
              <w:t>Operating profit</w:t>
            </w:r>
          </w:p>
        </w:tc>
        <w:tc>
          <w:tcPr>
            <w:tcW w:w="3078" w:type="dxa"/>
          </w:tcPr>
          <w:p w14:paraId="3F149B4F" w14:textId="77777777" w:rsidR="00396E7A" w:rsidRDefault="00396E7A" w:rsidP="00454404">
            <w:r>
              <w:t>£2,711m</w:t>
            </w:r>
          </w:p>
        </w:tc>
        <w:tc>
          <w:tcPr>
            <w:tcW w:w="3078" w:type="dxa"/>
          </w:tcPr>
          <w:p w14:paraId="1496F7C0" w14:textId="77777777" w:rsidR="00396E7A" w:rsidRDefault="00396E7A" w:rsidP="00454404">
            <w:r>
              <w:t>£2,821m</w:t>
            </w:r>
          </w:p>
        </w:tc>
      </w:tr>
      <w:tr w:rsidR="00396E7A" w14:paraId="0F571B63" w14:textId="77777777" w:rsidTr="00454404">
        <w:trPr>
          <w:trHeight w:val="661"/>
        </w:trPr>
        <w:tc>
          <w:tcPr>
            <w:tcW w:w="2970" w:type="dxa"/>
          </w:tcPr>
          <w:p w14:paraId="08670D9A" w14:textId="77777777" w:rsidR="00396E7A" w:rsidRDefault="00396E7A" w:rsidP="00454404">
            <w:r w:rsidRPr="003276EF">
              <w:t>Profit for the year</w:t>
            </w:r>
          </w:p>
        </w:tc>
        <w:tc>
          <w:tcPr>
            <w:tcW w:w="3078" w:type="dxa"/>
          </w:tcPr>
          <w:p w14:paraId="74817448" w14:textId="77777777" w:rsidR="00396E7A" w:rsidRDefault="00396E7A" w:rsidP="00454404">
            <w:r>
              <w:t>£1,630m</w:t>
            </w:r>
          </w:p>
        </w:tc>
        <w:tc>
          <w:tcPr>
            <w:tcW w:w="3078" w:type="dxa"/>
          </w:tcPr>
          <w:p w14:paraId="2556D5DC" w14:textId="77777777" w:rsidR="00396E7A" w:rsidRDefault="00396E7A" w:rsidP="00454404">
            <w:r>
              <w:t>£1,192m</w:t>
            </w:r>
          </w:p>
        </w:tc>
      </w:tr>
      <w:tr w:rsidR="00396E7A" w14:paraId="29CAB9C6" w14:textId="77777777" w:rsidTr="00454404">
        <w:trPr>
          <w:trHeight w:val="688"/>
        </w:trPr>
        <w:tc>
          <w:tcPr>
            <w:tcW w:w="2970" w:type="dxa"/>
          </w:tcPr>
          <w:p w14:paraId="1BC25CDD" w14:textId="77777777" w:rsidR="00396E7A" w:rsidRDefault="00396E7A" w:rsidP="00454404">
            <w:r w:rsidRPr="003276EF">
              <w:t>Finance costs</w:t>
            </w:r>
          </w:p>
        </w:tc>
        <w:tc>
          <w:tcPr>
            <w:tcW w:w="3078" w:type="dxa"/>
          </w:tcPr>
          <w:p w14:paraId="0A715119" w14:textId="77777777" w:rsidR="00396E7A" w:rsidRDefault="00396E7A" w:rsidP="00454404">
            <w:r>
              <w:t>£ (746) m</w:t>
            </w:r>
          </w:p>
        </w:tc>
        <w:tc>
          <w:tcPr>
            <w:tcW w:w="3078" w:type="dxa"/>
          </w:tcPr>
          <w:p w14:paraId="3840D225" w14:textId="77777777" w:rsidR="00396E7A" w:rsidRDefault="00396E7A" w:rsidP="00454404">
            <w:r w:rsidRPr="001D09D7">
              <w:t>£ (805) m</w:t>
            </w:r>
          </w:p>
        </w:tc>
      </w:tr>
    </w:tbl>
    <w:p w14:paraId="61459CB9" w14:textId="77777777" w:rsidR="00396E7A" w:rsidRPr="00392463" w:rsidRDefault="00396E7A" w:rsidP="00396E7A">
      <w:pPr>
        <w:rPr>
          <w:b/>
          <w:bCs/>
        </w:rPr>
      </w:pPr>
      <w:r w:rsidRPr="00392463">
        <w:rPr>
          <w:b/>
          <w:bCs/>
        </w:rPr>
        <w:t>Balance sheet</w:t>
      </w:r>
    </w:p>
    <w:tbl>
      <w:tblPr>
        <w:tblStyle w:val="TableGrid"/>
        <w:tblW w:w="0" w:type="auto"/>
        <w:tblInd w:w="108" w:type="dxa"/>
        <w:tblLook w:val="04A0" w:firstRow="1" w:lastRow="0" w:firstColumn="1" w:lastColumn="0" w:noHBand="0" w:noVBand="1"/>
      </w:tblPr>
      <w:tblGrid>
        <w:gridCol w:w="2970"/>
        <w:gridCol w:w="3078"/>
        <w:gridCol w:w="3078"/>
      </w:tblGrid>
      <w:tr w:rsidR="00396E7A" w14:paraId="6995B18F" w14:textId="77777777" w:rsidTr="00454404">
        <w:trPr>
          <w:trHeight w:val="661"/>
        </w:trPr>
        <w:tc>
          <w:tcPr>
            <w:tcW w:w="2970" w:type="dxa"/>
          </w:tcPr>
          <w:p w14:paraId="469A3D19" w14:textId="77777777" w:rsidR="00396E7A" w:rsidRPr="003276EF" w:rsidRDefault="00396E7A" w:rsidP="00454404"/>
        </w:tc>
        <w:tc>
          <w:tcPr>
            <w:tcW w:w="3078" w:type="dxa"/>
          </w:tcPr>
          <w:p w14:paraId="2626C465" w14:textId="77777777" w:rsidR="00396E7A" w:rsidRPr="001D09D7" w:rsidRDefault="00396E7A" w:rsidP="00454404">
            <w:pPr>
              <w:rPr>
                <w:b/>
                <w:bCs/>
              </w:rPr>
            </w:pPr>
            <w:r w:rsidRPr="001D09D7">
              <w:rPr>
                <w:b/>
                <w:bCs/>
              </w:rPr>
              <w:t>FY2025</w:t>
            </w:r>
          </w:p>
        </w:tc>
        <w:tc>
          <w:tcPr>
            <w:tcW w:w="3078" w:type="dxa"/>
          </w:tcPr>
          <w:p w14:paraId="38492824" w14:textId="77777777" w:rsidR="00396E7A" w:rsidRPr="001D09D7" w:rsidRDefault="00396E7A" w:rsidP="00454404">
            <w:pPr>
              <w:rPr>
                <w:b/>
                <w:bCs/>
              </w:rPr>
            </w:pPr>
            <w:r w:rsidRPr="001D09D7">
              <w:rPr>
                <w:b/>
                <w:bCs/>
              </w:rPr>
              <w:t>FY2024</w:t>
            </w:r>
          </w:p>
        </w:tc>
      </w:tr>
      <w:tr w:rsidR="00396E7A" w14:paraId="10747D65" w14:textId="77777777" w:rsidTr="00454404">
        <w:trPr>
          <w:trHeight w:val="661"/>
        </w:trPr>
        <w:tc>
          <w:tcPr>
            <w:tcW w:w="2970" w:type="dxa"/>
          </w:tcPr>
          <w:p w14:paraId="2EC9BBE7" w14:textId="77777777" w:rsidR="00396E7A" w:rsidRDefault="00396E7A" w:rsidP="00454404">
            <w:r>
              <w:t>Current assets</w:t>
            </w:r>
          </w:p>
        </w:tc>
        <w:tc>
          <w:tcPr>
            <w:tcW w:w="3078" w:type="dxa"/>
          </w:tcPr>
          <w:p w14:paraId="0C3A578D" w14:textId="77777777" w:rsidR="00396E7A" w:rsidRDefault="00396E7A" w:rsidP="00454404">
            <w:r>
              <w:t>£8,806m</w:t>
            </w:r>
          </w:p>
        </w:tc>
        <w:tc>
          <w:tcPr>
            <w:tcW w:w="3078" w:type="dxa"/>
          </w:tcPr>
          <w:p w14:paraId="353D6C67" w14:textId="77777777" w:rsidR="00396E7A" w:rsidRDefault="00396E7A" w:rsidP="00454404">
            <w:r>
              <w:t>£8,823m</w:t>
            </w:r>
          </w:p>
        </w:tc>
      </w:tr>
      <w:tr w:rsidR="00396E7A" w14:paraId="325A51D6" w14:textId="77777777" w:rsidTr="00454404">
        <w:trPr>
          <w:trHeight w:val="688"/>
        </w:trPr>
        <w:tc>
          <w:tcPr>
            <w:tcW w:w="2970" w:type="dxa"/>
          </w:tcPr>
          <w:p w14:paraId="5FFB343A" w14:textId="77777777" w:rsidR="00396E7A" w:rsidRDefault="00396E7A" w:rsidP="00454404">
            <w:r>
              <w:t>Inventories</w:t>
            </w:r>
          </w:p>
        </w:tc>
        <w:tc>
          <w:tcPr>
            <w:tcW w:w="3078" w:type="dxa"/>
          </w:tcPr>
          <w:p w14:paraId="430F792D" w14:textId="77777777" w:rsidR="00396E7A" w:rsidRDefault="00396E7A" w:rsidP="00454404">
            <w:r>
              <w:t>£2,768m</w:t>
            </w:r>
          </w:p>
        </w:tc>
        <w:tc>
          <w:tcPr>
            <w:tcW w:w="3078" w:type="dxa"/>
          </w:tcPr>
          <w:p w14:paraId="43A88099" w14:textId="77777777" w:rsidR="00396E7A" w:rsidRDefault="00396E7A" w:rsidP="00454404">
            <w:r>
              <w:t>£2,635m</w:t>
            </w:r>
          </w:p>
        </w:tc>
      </w:tr>
      <w:tr w:rsidR="00396E7A" w14:paraId="6B9A0228" w14:textId="77777777" w:rsidTr="00454404">
        <w:trPr>
          <w:trHeight w:val="661"/>
        </w:trPr>
        <w:tc>
          <w:tcPr>
            <w:tcW w:w="2970" w:type="dxa"/>
          </w:tcPr>
          <w:p w14:paraId="4E0259EE" w14:textId="77777777" w:rsidR="00396E7A" w:rsidRDefault="00396E7A" w:rsidP="00454404">
            <w:r>
              <w:t>Trade &amp; other receivables (current)</w:t>
            </w:r>
          </w:p>
        </w:tc>
        <w:tc>
          <w:tcPr>
            <w:tcW w:w="3078" w:type="dxa"/>
          </w:tcPr>
          <w:p w14:paraId="4B40DB79" w14:textId="77777777" w:rsidR="00396E7A" w:rsidRDefault="00396E7A" w:rsidP="00454404">
            <w:r>
              <w:t>£1,210m</w:t>
            </w:r>
          </w:p>
        </w:tc>
        <w:tc>
          <w:tcPr>
            <w:tcW w:w="3078" w:type="dxa"/>
          </w:tcPr>
          <w:p w14:paraId="12308CE6" w14:textId="77777777" w:rsidR="00396E7A" w:rsidRDefault="00396E7A" w:rsidP="00454404">
            <w:r>
              <w:t>£1,349m</w:t>
            </w:r>
          </w:p>
        </w:tc>
      </w:tr>
      <w:tr w:rsidR="00396E7A" w14:paraId="5657FF22" w14:textId="77777777" w:rsidTr="00454404">
        <w:trPr>
          <w:trHeight w:val="661"/>
        </w:trPr>
        <w:tc>
          <w:tcPr>
            <w:tcW w:w="2970" w:type="dxa"/>
          </w:tcPr>
          <w:p w14:paraId="0E51B7FD" w14:textId="77777777" w:rsidR="00396E7A" w:rsidRDefault="00396E7A" w:rsidP="00454404">
            <w:r>
              <w:t>Trade &amp; other payables (current)</w:t>
            </w:r>
          </w:p>
        </w:tc>
        <w:tc>
          <w:tcPr>
            <w:tcW w:w="3078" w:type="dxa"/>
          </w:tcPr>
          <w:p w14:paraId="700C1756" w14:textId="77777777" w:rsidR="00396E7A" w:rsidRDefault="00396E7A" w:rsidP="00454404">
            <w:r w:rsidRPr="00EE3DD6">
              <w:t>£ (10,364) m</w:t>
            </w:r>
          </w:p>
        </w:tc>
        <w:tc>
          <w:tcPr>
            <w:tcW w:w="3078" w:type="dxa"/>
          </w:tcPr>
          <w:p w14:paraId="1AE82173" w14:textId="77777777" w:rsidR="00396E7A" w:rsidRDefault="00396E7A" w:rsidP="00454404">
            <w:r w:rsidRPr="00EE3DD6">
              <w:t>£ (10,264) m</w:t>
            </w:r>
          </w:p>
        </w:tc>
      </w:tr>
      <w:tr w:rsidR="00396E7A" w14:paraId="451E57C0" w14:textId="77777777" w:rsidTr="00454404">
        <w:trPr>
          <w:trHeight w:val="661"/>
        </w:trPr>
        <w:tc>
          <w:tcPr>
            <w:tcW w:w="2970" w:type="dxa"/>
          </w:tcPr>
          <w:p w14:paraId="08E3AAB3" w14:textId="77777777" w:rsidR="00396E7A" w:rsidRDefault="00396E7A" w:rsidP="00454404">
            <w:r>
              <w:t>Current liabilities (total)</w:t>
            </w:r>
          </w:p>
        </w:tc>
        <w:tc>
          <w:tcPr>
            <w:tcW w:w="3078" w:type="dxa"/>
          </w:tcPr>
          <w:p w14:paraId="2118455C" w14:textId="77777777" w:rsidR="00396E7A" w:rsidRDefault="00396E7A" w:rsidP="00454404">
            <w:r w:rsidRPr="00EE3DD6">
              <w:t>£ (13,820) m</w:t>
            </w:r>
          </w:p>
        </w:tc>
        <w:tc>
          <w:tcPr>
            <w:tcW w:w="3078" w:type="dxa"/>
          </w:tcPr>
          <w:p w14:paraId="3B2993F8" w14:textId="77777777" w:rsidR="00396E7A" w:rsidRDefault="00396E7A" w:rsidP="00454404">
            <w:r w:rsidRPr="00EE3DD6">
              <w:t>£ (13,350) m</w:t>
            </w:r>
          </w:p>
        </w:tc>
      </w:tr>
      <w:tr w:rsidR="00396E7A" w14:paraId="67B8665B" w14:textId="77777777" w:rsidTr="00454404">
        <w:trPr>
          <w:trHeight w:val="688"/>
        </w:trPr>
        <w:tc>
          <w:tcPr>
            <w:tcW w:w="2970" w:type="dxa"/>
          </w:tcPr>
          <w:p w14:paraId="3819459B" w14:textId="77777777" w:rsidR="00396E7A" w:rsidRDefault="00396E7A" w:rsidP="00454404">
            <w:r>
              <w:lastRenderedPageBreak/>
              <w:t>Total equity</w:t>
            </w:r>
          </w:p>
        </w:tc>
        <w:tc>
          <w:tcPr>
            <w:tcW w:w="3078" w:type="dxa"/>
          </w:tcPr>
          <w:p w14:paraId="3C901184" w14:textId="77777777" w:rsidR="00396E7A" w:rsidRDefault="00396E7A" w:rsidP="00454404">
            <w:r w:rsidRPr="00EE3DD6">
              <w:t>£11,662m</w:t>
            </w:r>
          </w:p>
        </w:tc>
        <w:tc>
          <w:tcPr>
            <w:tcW w:w="3078" w:type="dxa"/>
          </w:tcPr>
          <w:p w14:paraId="7DFCD65B" w14:textId="77777777" w:rsidR="00396E7A" w:rsidRDefault="00396E7A" w:rsidP="00454404">
            <w:r w:rsidRPr="00EE3DD6">
              <w:t>£11,665m</w:t>
            </w:r>
          </w:p>
        </w:tc>
      </w:tr>
      <w:tr w:rsidR="00396E7A" w14:paraId="54E330B1" w14:textId="77777777" w:rsidTr="00454404">
        <w:trPr>
          <w:trHeight w:val="688"/>
        </w:trPr>
        <w:tc>
          <w:tcPr>
            <w:tcW w:w="2970" w:type="dxa"/>
          </w:tcPr>
          <w:p w14:paraId="283B904B" w14:textId="77777777" w:rsidR="00396E7A" w:rsidRDefault="00396E7A" w:rsidP="00454404">
            <w:r>
              <w:t>Net debt</w:t>
            </w:r>
          </w:p>
        </w:tc>
        <w:tc>
          <w:tcPr>
            <w:tcW w:w="3078" w:type="dxa"/>
          </w:tcPr>
          <w:p w14:paraId="101B61EB" w14:textId="77777777" w:rsidR="00396E7A" w:rsidRDefault="00396E7A" w:rsidP="00454404">
            <w:r w:rsidRPr="00A85157">
              <w:t>£ (9,454) m</w:t>
            </w:r>
          </w:p>
        </w:tc>
        <w:tc>
          <w:tcPr>
            <w:tcW w:w="3078" w:type="dxa"/>
          </w:tcPr>
          <w:p w14:paraId="05883197" w14:textId="77777777" w:rsidR="00396E7A" w:rsidRPr="001D09D7" w:rsidRDefault="00396E7A" w:rsidP="00454404">
            <w:r w:rsidRPr="00A85157">
              <w:t>£ (9,684) m</w:t>
            </w:r>
          </w:p>
        </w:tc>
      </w:tr>
    </w:tbl>
    <w:p w14:paraId="4111A765" w14:textId="77777777" w:rsidR="0078691F" w:rsidRPr="003D76DA" w:rsidRDefault="0078691F" w:rsidP="00032136"/>
    <w:sectPr w:rsidR="0078691F" w:rsidRPr="003D76DA">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4DA41" w14:textId="77777777" w:rsidR="00F42DB1" w:rsidRDefault="00F42DB1" w:rsidP="00A11DE9">
      <w:pPr>
        <w:spacing w:before="0" w:after="0" w:line="240" w:lineRule="auto"/>
      </w:pPr>
      <w:r>
        <w:separator/>
      </w:r>
    </w:p>
  </w:endnote>
  <w:endnote w:type="continuationSeparator" w:id="0">
    <w:p w14:paraId="51AD4A75" w14:textId="77777777" w:rsidR="00F42DB1" w:rsidRDefault="00F42DB1" w:rsidP="00A11DE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7289412"/>
      <w:docPartObj>
        <w:docPartGallery w:val="Page Numbers (Bottom of Page)"/>
        <w:docPartUnique/>
      </w:docPartObj>
    </w:sdtPr>
    <w:sdtEndPr>
      <w:rPr>
        <w:noProof/>
      </w:rPr>
    </w:sdtEndPr>
    <w:sdtContent>
      <w:p w14:paraId="2190A40A" w14:textId="707D6CBB" w:rsidR="00A11DE9" w:rsidRDefault="00A11DE9">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3D033F15" w14:textId="77777777" w:rsidR="00A11DE9" w:rsidRDefault="00A11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28F1F" w14:textId="77777777" w:rsidR="00F42DB1" w:rsidRDefault="00F42DB1" w:rsidP="00A11DE9">
      <w:pPr>
        <w:spacing w:before="0" w:after="0" w:line="240" w:lineRule="auto"/>
      </w:pPr>
      <w:r>
        <w:separator/>
      </w:r>
    </w:p>
  </w:footnote>
  <w:footnote w:type="continuationSeparator" w:id="0">
    <w:p w14:paraId="3464FBB4" w14:textId="77777777" w:rsidR="00F42DB1" w:rsidRDefault="00F42DB1" w:rsidP="00A11DE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5403F"/>
    <w:multiLevelType w:val="hybridMultilevel"/>
    <w:tmpl w:val="CEDEC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E7431"/>
    <w:multiLevelType w:val="hybridMultilevel"/>
    <w:tmpl w:val="BBAE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5477A"/>
    <w:multiLevelType w:val="hybridMultilevel"/>
    <w:tmpl w:val="8A32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E7399"/>
    <w:multiLevelType w:val="hybridMultilevel"/>
    <w:tmpl w:val="2F1CC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82488"/>
    <w:multiLevelType w:val="hybridMultilevel"/>
    <w:tmpl w:val="37A4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21A94"/>
    <w:multiLevelType w:val="hybridMultilevel"/>
    <w:tmpl w:val="CD7C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E940A2"/>
    <w:multiLevelType w:val="hybridMultilevel"/>
    <w:tmpl w:val="9B64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7F2E8B"/>
    <w:multiLevelType w:val="hybridMultilevel"/>
    <w:tmpl w:val="9F38A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A657DF"/>
    <w:multiLevelType w:val="hybridMultilevel"/>
    <w:tmpl w:val="86F27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45BF2"/>
    <w:multiLevelType w:val="hybridMultilevel"/>
    <w:tmpl w:val="555C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1D52E0"/>
    <w:multiLevelType w:val="hybridMultilevel"/>
    <w:tmpl w:val="41EC8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4D0E6F"/>
    <w:multiLevelType w:val="hybridMultilevel"/>
    <w:tmpl w:val="C7C6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782268"/>
    <w:multiLevelType w:val="hybridMultilevel"/>
    <w:tmpl w:val="572CA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4871874">
    <w:abstractNumId w:val="7"/>
  </w:num>
  <w:num w:numId="2" w16cid:durableId="984314678">
    <w:abstractNumId w:val="6"/>
  </w:num>
  <w:num w:numId="3" w16cid:durableId="576281536">
    <w:abstractNumId w:val="5"/>
  </w:num>
  <w:num w:numId="4" w16cid:durableId="628242374">
    <w:abstractNumId w:val="2"/>
  </w:num>
  <w:num w:numId="5" w16cid:durableId="812529307">
    <w:abstractNumId w:val="8"/>
  </w:num>
  <w:num w:numId="6" w16cid:durableId="2122917198">
    <w:abstractNumId w:val="3"/>
  </w:num>
  <w:num w:numId="7" w16cid:durableId="1570112319">
    <w:abstractNumId w:val="0"/>
  </w:num>
  <w:num w:numId="8" w16cid:durableId="269430969">
    <w:abstractNumId w:val="11"/>
  </w:num>
  <w:num w:numId="9" w16cid:durableId="571543196">
    <w:abstractNumId w:val="9"/>
  </w:num>
  <w:num w:numId="10" w16cid:durableId="2045015003">
    <w:abstractNumId w:val="12"/>
  </w:num>
  <w:num w:numId="11" w16cid:durableId="872350646">
    <w:abstractNumId w:val="4"/>
  </w:num>
  <w:num w:numId="12" w16cid:durableId="2106415907">
    <w:abstractNumId w:val="10"/>
  </w:num>
  <w:num w:numId="13" w16cid:durableId="135606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569"/>
    <w:rsid w:val="00032136"/>
    <w:rsid w:val="00036385"/>
    <w:rsid w:val="000511E3"/>
    <w:rsid w:val="00090060"/>
    <w:rsid w:val="000D7794"/>
    <w:rsid w:val="00112319"/>
    <w:rsid w:val="00137015"/>
    <w:rsid w:val="001637EA"/>
    <w:rsid w:val="001C6466"/>
    <w:rsid w:val="001D09D7"/>
    <w:rsid w:val="001D713B"/>
    <w:rsid w:val="00205526"/>
    <w:rsid w:val="00234BC0"/>
    <w:rsid w:val="002871D0"/>
    <w:rsid w:val="00295EC0"/>
    <w:rsid w:val="002C2F6C"/>
    <w:rsid w:val="002C4242"/>
    <w:rsid w:val="002F7D7B"/>
    <w:rsid w:val="00311D27"/>
    <w:rsid w:val="003276EF"/>
    <w:rsid w:val="00330A37"/>
    <w:rsid w:val="00332B72"/>
    <w:rsid w:val="00361920"/>
    <w:rsid w:val="00392463"/>
    <w:rsid w:val="00394441"/>
    <w:rsid w:val="00396E7A"/>
    <w:rsid w:val="003D76DA"/>
    <w:rsid w:val="003F474F"/>
    <w:rsid w:val="00406EC3"/>
    <w:rsid w:val="00420FED"/>
    <w:rsid w:val="00446C6A"/>
    <w:rsid w:val="00450466"/>
    <w:rsid w:val="00451D82"/>
    <w:rsid w:val="00466636"/>
    <w:rsid w:val="0049573E"/>
    <w:rsid w:val="004C5813"/>
    <w:rsid w:val="004D2F6B"/>
    <w:rsid w:val="004D66BE"/>
    <w:rsid w:val="00504569"/>
    <w:rsid w:val="005224EB"/>
    <w:rsid w:val="00573067"/>
    <w:rsid w:val="00596B27"/>
    <w:rsid w:val="005B184E"/>
    <w:rsid w:val="005D6E41"/>
    <w:rsid w:val="00617250"/>
    <w:rsid w:val="006406B2"/>
    <w:rsid w:val="00640B45"/>
    <w:rsid w:val="0067513C"/>
    <w:rsid w:val="006E42AD"/>
    <w:rsid w:val="00764765"/>
    <w:rsid w:val="00766D22"/>
    <w:rsid w:val="0078691F"/>
    <w:rsid w:val="00786B13"/>
    <w:rsid w:val="007962EF"/>
    <w:rsid w:val="007C0F32"/>
    <w:rsid w:val="007C34CC"/>
    <w:rsid w:val="007E4EE8"/>
    <w:rsid w:val="00810837"/>
    <w:rsid w:val="00822264"/>
    <w:rsid w:val="00822922"/>
    <w:rsid w:val="00861F83"/>
    <w:rsid w:val="00870215"/>
    <w:rsid w:val="008B65C3"/>
    <w:rsid w:val="008C495E"/>
    <w:rsid w:val="008E6BC9"/>
    <w:rsid w:val="00950E50"/>
    <w:rsid w:val="00966A24"/>
    <w:rsid w:val="0099105B"/>
    <w:rsid w:val="009C10FA"/>
    <w:rsid w:val="009C6CF3"/>
    <w:rsid w:val="009D02B9"/>
    <w:rsid w:val="009D1666"/>
    <w:rsid w:val="00A11DE9"/>
    <w:rsid w:val="00A231E8"/>
    <w:rsid w:val="00A32B2C"/>
    <w:rsid w:val="00A41747"/>
    <w:rsid w:val="00A60248"/>
    <w:rsid w:val="00A82064"/>
    <w:rsid w:val="00A85157"/>
    <w:rsid w:val="00AB0F88"/>
    <w:rsid w:val="00AE6C1E"/>
    <w:rsid w:val="00B574AE"/>
    <w:rsid w:val="00B67D22"/>
    <w:rsid w:val="00BA1A48"/>
    <w:rsid w:val="00BE60D2"/>
    <w:rsid w:val="00C11206"/>
    <w:rsid w:val="00C139AE"/>
    <w:rsid w:val="00C46647"/>
    <w:rsid w:val="00C808B2"/>
    <w:rsid w:val="00CC384A"/>
    <w:rsid w:val="00D0225A"/>
    <w:rsid w:val="00D47441"/>
    <w:rsid w:val="00D50A50"/>
    <w:rsid w:val="00D73B10"/>
    <w:rsid w:val="00D93500"/>
    <w:rsid w:val="00DE54DF"/>
    <w:rsid w:val="00E06140"/>
    <w:rsid w:val="00E1202E"/>
    <w:rsid w:val="00E1550F"/>
    <w:rsid w:val="00E222B9"/>
    <w:rsid w:val="00E34017"/>
    <w:rsid w:val="00E572C0"/>
    <w:rsid w:val="00E72B96"/>
    <w:rsid w:val="00EB4C8C"/>
    <w:rsid w:val="00EE3DD6"/>
    <w:rsid w:val="00F03ABA"/>
    <w:rsid w:val="00F22607"/>
    <w:rsid w:val="00F42DB1"/>
    <w:rsid w:val="00FB2448"/>
    <w:rsid w:val="00FF18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C2CC"/>
  <w15:chartTrackingRefBased/>
  <w15:docId w15:val="{8CA9F9A5-FAFE-4C02-BB25-D2633BAE0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4"/>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92463"/>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92463"/>
    <w:pPr>
      <w:keepNext/>
      <w:keepLines/>
      <w:spacing w:before="40" w:after="0"/>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C139AE"/>
    <w:pPr>
      <w:keepNext/>
      <w:keepLines/>
      <w:spacing w:before="40" w:after="0"/>
      <w:outlineLvl w:val="2"/>
    </w:pPr>
    <w:rPr>
      <w:rFonts w:ascii="Times New Roman" w:eastAsiaTheme="majorEastAsia" w:hAnsi="Times New Roman" w:cstheme="majorBidi"/>
      <w:b/>
      <w:color w:val="000000" w:themeColor="text1"/>
      <w:sz w:val="24"/>
    </w:rPr>
  </w:style>
  <w:style w:type="paragraph" w:styleId="Heading4">
    <w:name w:val="heading 4"/>
    <w:basedOn w:val="Normal"/>
    <w:next w:val="Normal"/>
    <w:link w:val="Heading4Char"/>
    <w:uiPriority w:val="9"/>
    <w:unhideWhenUsed/>
    <w:qFormat/>
    <w:rsid w:val="00C139AE"/>
    <w:pPr>
      <w:keepNext/>
      <w:keepLines/>
      <w:spacing w:before="40" w:after="0"/>
      <w:outlineLvl w:val="3"/>
    </w:pPr>
    <w:rPr>
      <w:rFonts w:ascii="Times New Roman" w:eastAsiaTheme="majorEastAsia" w:hAnsi="Times New Roman" w:cstheme="majorBidi"/>
      <w:b/>
      <w:iCs/>
      <w:color w:val="4472C4"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DE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11DE9"/>
  </w:style>
  <w:style w:type="paragraph" w:styleId="Footer">
    <w:name w:val="footer"/>
    <w:basedOn w:val="Normal"/>
    <w:link w:val="FooterChar"/>
    <w:uiPriority w:val="99"/>
    <w:unhideWhenUsed/>
    <w:rsid w:val="00A11DE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11DE9"/>
  </w:style>
  <w:style w:type="paragraph" w:styleId="ListParagraph">
    <w:name w:val="List Paragraph"/>
    <w:basedOn w:val="Normal"/>
    <w:uiPriority w:val="34"/>
    <w:qFormat/>
    <w:rsid w:val="000D7794"/>
    <w:pPr>
      <w:ind w:left="720"/>
      <w:contextualSpacing/>
    </w:pPr>
  </w:style>
  <w:style w:type="character" w:styleId="Hyperlink">
    <w:name w:val="Hyperlink"/>
    <w:basedOn w:val="DefaultParagraphFont"/>
    <w:uiPriority w:val="99"/>
    <w:unhideWhenUsed/>
    <w:rsid w:val="000D7794"/>
    <w:rPr>
      <w:color w:val="0563C1" w:themeColor="hyperlink"/>
      <w:u w:val="single"/>
    </w:rPr>
  </w:style>
  <w:style w:type="character" w:styleId="UnresolvedMention">
    <w:name w:val="Unresolved Mention"/>
    <w:basedOn w:val="DefaultParagraphFont"/>
    <w:uiPriority w:val="99"/>
    <w:semiHidden/>
    <w:unhideWhenUsed/>
    <w:rsid w:val="000D7794"/>
    <w:rPr>
      <w:color w:val="605E5C"/>
      <w:shd w:val="clear" w:color="auto" w:fill="E1DFDD"/>
    </w:rPr>
  </w:style>
  <w:style w:type="character" w:styleId="FollowedHyperlink">
    <w:name w:val="FollowedHyperlink"/>
    <w:basedOn w:val="DefaultParagraphFont"/>
    <w:uiPriority w:val="99"/>
    <w:semiHidden/>
    <w:unhideWhenUsed/>
    <w:rsid w:val="000D7794"/>
    <w:rPr>
      <w:color w:val="954F72" w:themeColor="followedHyperlink"/>
      <w:u w:val="single"/>
    </w:rPr>
  </w:style>
  <w:style w:type="table" w:styleId="TableGrid">
    <w:name w:val="Table Grid"/>
    <w:basedOn w:val="TableNormal"/>
    <w:uiPriority w:val="39"/>
    <w:rsid w:val="003276E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C10FA"/>
    <w:pPr>
      <w:spacing w:before="100" w:beforeAutospacing="1" w:after="100" w:afterAutospacing="1" w:line="240" w:lineRule="auto"/>
      <w:jc w:val="left"/>
    </w:pPr>
    <w:rPr>
      <w:rFonts w:ascii="Times New Roman" w:eastAsia="Times New Roman" w:hAnsi="Times New Roman" w:cs="Times New Roman"/>
      <w:sz w:val="24"/>
      <w:lang w:eastAsia="en-GB"/>
    </w:rPr>
  </w:style>
  <w:style w:type="character" w:styleId="Strong">
    <w:name w:val="Strong"/>
    <w:basedOn w:val="DefaultParagraphFont"/>
    <w:uiPriority w:val="22"/>
    <w:qFormat/>
    <w:rsid w:val="009C10FA"/>
    <w:rPr>
      <w:b/>
      <w:bCs/>
    </w:rPr>
  </w:style>
  <w:style w:type="table" w:styleId="GridTable4-Accent6">
    <w:name w:val="Grid Table 4 Accent 6"/>
    <w:basedOn w:val="TableNormal"/>
    <w:uiPriority w:val="49"/>
    <w:rsid w:val="00FF18F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5">
    <w:name w:val="Grid Table 1 Light Accent 5"/>
    <w:basedOn w:val="TableNormal"/>
    <w:uiPriority w:val="46"/>
    <w:rsid w:val="00FF18F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B184E"/>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mord">
    <w:name w:val="mord"/>
    <w:basedOn w:val="DefaultParagraphFont"/>
    <w:rsid w:val="005B184E"/>
  </w:style>
  <w:style w:type="character" w:customStyle="1" w:styleId="mrel">
    <w:name w:val="mrel"/>
    <w:basedOn w:val="DefaultParagraphFont"/>
    <w:rsid w:val="005B184E"/>
  </w:style>
  <w:style w:type="character" w:customStyle="1" w:styleId="mbin">
    <w:name w:val="mbin"/>
    <w:basedOn w:val="DefaultParagraphFont"/>
    <w:rsid w:val="005B184E"/>
  </w:style>
  <w:style w:type="character" w:customStyle="1" w:styleId="mopen">
    <w:name w:val="mopen"/>
    <w:basedOn w:val="DefaultParagraphFont"/>
    <w:rsid w:val="005B184E"/>
  </w:style>
  <w:style w:type="character" w:customStyle="1" w:styleId="mclose">
    <w:name w:val="mclose"/>
    <w:basedOn w:val="DefaultParagraphFont"/>
    <w:rsid w:val="005B184E"/>
  </w:style>
  <w:style w:type="table" w:styleId="GridTable1Light-Accent2">
    <w:name w:val="Grid Table 1 Light Accent 2"/>
    <w:basedOn w:val="TableNormal"/>
    <w:uiPriority w:val="46"/>
    <w:rsid w:val="002C4242"/>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5">
    <w:name w:val="Plain Table 5"/>
    <w:basedOn w:val="TableNormal"/>
    <w:uiPriority w:val="45"/>
    <w:rsid w:val="002C424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6">
    <w:name w:val="Grid Table 1 Light Accent 6"/>
    <w:basedOn w:val="TableNormal"/>
    <w:uiPriority w:val="46"/>
    <w:rsid w:val="002C424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C424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A231E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1Char">
    <w:name w:val="Heading 1 Char"/>
    <w:basedOn w:val="DefaultParagraphFont"/>
    <w:link w:val="Heading1"/>
    <w:uiPriority w:val="9"/>
    <w:rsid w:val="0039246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392463"/>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C139AE"/>
    <w:rPr>
      <w:rFonts w:ascii="Times New Roman" w:eastAsiaTheme="majorEastAsia" w:hAnsi="Times New Roman" w:cstheme="majorBidi"/>
      <w:b/>
      <w:color w:val="000000" w:themeColor="text1"/>
      <w:sz w:val="24"/>
      <w:lang w:val="en-GB"/>
    </w:rPr>
  </w:style>
  <w:style w:type="paragraph" w:styleId="TOCHeading">
    <w:name w:val="TOC Heading"/>
    <w:basedOn w:val="Heading1"/>
    <w:next w:val="Normal"/>
    <w:uiPriority w:val="39"/>
    <w:unhideWhenUsed/>
    <w:qFormat/>
    <w:rsid w:val="009D02B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D02B9"/>
    <w:pPr>
      <w:spacing w:after="100"/>
    </w:pPr>
  </w:style>
  <w:style w:type="paragraph" w:styleId="TOC2">
    <w:name w:val="toc 2"/>
    <w:basedOn w:val="Normal"/>
    <w:next w:val="Normal"/>
    <w:autoRedefine/>
    <w:uiPriority w:val="39"/>
    <w:unhideWhenUsed/>
    <w:rsid w:val="009D02B9"/>
    <w:pPr>
      <w:spacing w:after="100"/>
      <w:ind w:left="220"/>
    </w:pPr>
  </w:style>
  <w:style w:type="paragraph" w:styleId="TOC3">
    <w:name w:val="toc 3"/>
    <w:basedOn w:val="Normal"/>
    <w:next w:val="Normal"/>
    <w:autoRedefine/>
    <w:uiPriority w:val="39"/>
    <w:unhideWhenUsed/>
    <w:rsid w:val="009D02B9"/>
    <w:pPr>
      <w:spacing w:after="100"/>
      <w:ind w:left="440"/>
    </w:pPr>
  </w:style>
  <w:style w:type="character" w:customStyle="1" w:styleId="Heading4Char">
    <w:name w:val="Heading 4 Char"/>
    <w:basedOn w:val="DefaultParagraphFont"/>
    <w:link w:val="Heading4"/>
    <w:uiPriority w:val="9"/>
    <w:rsid w:val="00C139AE"/>
    <w:rPr>
      <w:rFonts w:ascii="Times New Roman" w:eastAsiaTheme="majorEastAsia" w:hAnsi="Times New Roman" w:cstheme="majorBidi"/>
      <w:b/>
      <w:iCs/>
      <w:color w:val="4472C4"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85942">
      <w:bodyDiv w:val="1"/>
      <w:marLeft w:val="0"/>
      <w:marRight w:val="0"/>
      <w:marTop w:val="0"/>
      <w:marBottom w:val="0"/>
      <w:divBdr>
        <w:top w:val="none" w:sz="0" w:space="0" w:color="auto"/>
        <w:left w:val="none" w:sz="0" w:space="0" w:color="auto"/>
        <w:bottom w:val="none" w:sz="0" w:space="0" w:color="auto"/>
        <w:right w:val="none" w:sz="0" w:space="0" w:color="auto"/>
      </w:divBdr>
    </w:div>
    <w:div w:id="24908831">
      <w:bodyDiv w:val="1"/>
      <w:marLeft w:val="0"/>
      <w:marRight w:val="0"/>
      <w:marTop w:val="0"/>
      <w:marBottom w:val="0"/>
      <w:divBdr>
        <w:top w:val="none" w:sz="0" w:space="0" w:color="auto"/>
        <w:left w:val="none" w:sz="0" w:space="0" w:color="auto"/>
        <w:bottom w:val="none" w:sz="0" w:space="0" w:color="auto"/>
        <w:right w:val="none" w:sz="0" w:space="0" w:color="auto"/>
      </w:divBdr>
    </w:div>
    <w:div w:id="32267454">
      <w:bodyDiv w:val="1"/>
      <w:marLeft w:val="0"/>
      <w:marRight w:val="0"/>
      <w:marTop w:val="0"/>
      <w:marBottom w:val="0"/>
      <w:divBdr>
        <w:top w:val="none" w:sz="0" w:space="0" w:color="auto"/>
        <w:left w:val="none" w:sz="0" w:space="0" w:color="auto"/>
        <w:bottom w:val="none" w:sz="0" w:space="0" w:color="auto"/>
        <w:right w:val="none" w:sz="0" w:space="0" w:color="auto"/>
      </w:divBdr>
    </w:div>
    <w:div w:id="244581590">
      <w:bodyDiv w:val="1"/>
      <w:marLeft w:val="0"/>
      <w:marRight w:val="0"/>
      <w:marTop w:val="0"/>
      <w:marBottom w:val="0"/>
      <w:divBdr>
        <w:top w:val="none" w:sz="0" w:space="0" w:color="auto"/>
        <w:left w:val="none" w:sz="0" w:space="0" w:color="auto"/>
        <w:bottom w:val="none" w:sz="0" w:space="0" w:color="auto"/>
        <w:right w:val="none" w:sz="0" w:space="0" w:color="auto"/>
      </w:divBdr>
    </w:div>
    <w:div w:id="297809444">
      <w:bodyDiv w:val="1"/>
      <w:marLeft w:val="0"/>
      <w:marRight w:val="0"/>
      <w:marTop w:val="0"/>
      <w:marBottom w:val="0"/>
      <w:divBdr>
        <w:top w:val="none" w:sz="0" w:space="0" w:color="auto"/>
        <w:left w:val="none" w:sz="0" w:space="0" w:color="auto"/>
        <w:bottom w:val="none" w:sz="0" w:space="0" w:color="auto"/>
        <w:right w:val="none" w:sz="0" w:space="0" w:color="auto"/>
      </w:divBdr>
    </w:div>
    <w:div w:id="534080690">
      <w:bodyDiv w:val="1"/>
      <w:marLeft w:val="0"/>
      <w:marRight w:val="0"/>
      <w:marTop w:val="0"/>
      <w:marBottom w:val="0"/>
      <w:divBdr>
        <w:top w:val="none" w:sz="0" w:space="0" w:color="auto"/>
        <w:left w:val="none" w:sz="0" w:space="0" w:color="auto"/>
        <w:bottom w:val="none" w:sz="0" w:space="0" w:color="auto"/>
        <w:right w:val="none" w:sz="0" w:space="0" w:color="auto"/>
      </w:divBdr>
    </w:div>
    <w:div w:id="635259371">
      <w:bodyDiv w:val="1"/>
      <w:marLeft w:val="0"/>
      <w:marRight w:val="0"/>
      <w:marTop w:val="0"/>
      <w:marBottom w:val="0"/>
      <w:divBdr>
        <w:top w:val="none" w:sz="0" w:space="0" w:color="auto"/>
        <w:left w:val="none" w:sz="0" w:space="0" w:color="auto"/>
        <w:bottom w:val="none" w:sz="0" w:space="0" w:color="auto"/>
        <w:right w:val="none" w:sz="0" w:space="0" w:color="auto"/>
      </w:divBdr>
    </w:div>
    <w:div w:id="738749347">
      <w:bodyDiv w:val="1"/>
      <w:marLeft w:val="0"/>
      <w:marRight w:val="0"/>
      <w:marTop w:val="0"/>
      <w:marBottom w:val="0"/>
      <w:divBdr>
        <w:top w:val="none" w:sz="0" w:space="0" w:color="auto"/>
        <w:left w:val="none" w:sz="0" w:space="0" w:color="auto"/>
        <w:bottom w:val="none" w:sz="0" w:space="0" w:color="auto"/>
        <w:right w:val="none" w:sz="0" w:space="0" w:color="auto"/>
      </w:divBdr>
    </w:div>
    <w:div w:id="807631694">
      <w:bodyDiv w:val="1"/>
      <w:marLeft w:val="0"/>
      <w:marRight w:val="0"/>
      <w:marTop w:val="0"/>
      <w:marBottom w:val="0"/>
      <w:divBdr>
        <w:top w:val="none" w:sz="0" w:space="0" w:color="auto"/>
        <w:left w:val="none" w:sz="0" w:space="0" w:color="auto"/>
        <w:bottom w:val="none" w:sz="0" w:space="0" w:color="auto"/>
        <w:right w:val="none" w:sz="0" w:space="0" w:color="auto"/>
      </w:divBdr>
    </w:div>
    <w:div w:id="932015403">
      <w:bodyDiv w:val="1"/>
      <w:marLeft w:val="0"/>
      <w:marRight w:val="0"/>
      <w:marTop w:val="0"/>
      <w:marBottom w:val="0"/>
      <w:divBdr>
        <w:top w:val="none" w:sz="0" w:space="0" w:color="auto"/>
        <w:left w:val="none" w:sz="0" w:space="0" w:color="auto"/>
        <w:bottom w:val="none" w:sz="0" w:space="0" w:color="auto"/>
        <w:right w:val="none" w:sz="0" w:space="0" w:color="auto"/>
      </w:divBdr>
    </w:div>
    <w:div w:id="1532835962">
      <w:bodyDiv w:val="1"/>
      <w:marLeft w:val="0"/>
      <w:marRight w:val="0"/>
      <w:marTop w:val="0"/>
      <w:marBottom w:val="0"/>
      <w:divBdr>
        <w:top w:val="none" w:sz="0" w:space="0" w:color="auto"/>
        <w:left w:val="none" w:sz="0" w:space="0" w:color="auto"/>
        <w:bottom w:val="none" w:sz="0" w:space="0" w:color="auto"/>
        <w:right w:val="none" w:sz="0" w:space="0" w:color="auto"/>
      </w:divBdr>
    </w:div>
    <w:div w:id="181706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frs.org/issued-standards/list-of-standards/ifrs-16-lease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financialreports.eu/filings/tesco-plc/annual-report/2025/589477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B74F3D-91D8-4552-BB09-67C5F2F04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7273</Words>
  <Characters>41459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Md Sakib Ahmed</cp:lastModifiedBy>
  <cp:revision>3</cp:revision>
  <dcterms:created xsi:type="dcterms:W3CDTF">2026-03-06T16:53:00Z</dcterms:created>
  <dcterms:modified xsi:type="dcterms:W3CDTF">2026-03-19T12:55:00Z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db82f86c-1f22-4601-a5bc-64e3fdd2a580</vt:lpwstr>
  </property>
</Properties>
</file>