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BDB1039">
      <w:pPr>
        <w:jc w:val="both"/>
        <w:rPr>
          <w:sz w:val="34"/>
          <w:szCs w:val="34"/>
        </w:rPr>
      </w:pPr>
      <w:r>
        <w:rPr>
          <w:rFonts w:hint="default"/>
          <w:lang w:val="en-US"/>
        </w:rPr>
        <w:t xml:space="preserve">                                           </w:t>
      </w:r>
      <w:r>
        <w:drawing>
          <wp:inline distT="0" distB="0" distL="0" distR="0">
            <wp:extent cx="2816225" cy="673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816225" cy="673100"/>
                    </a:xfrm>
                    <a:prstGeom prst="rect">
                      <a:avLst/>
                    </a:prstGeom>
                    <a:noFill/>
                    <a:ln>
                      <a:noFill/>
                    </a:ln>
                  </pic:spPr>
                </pic:pic>
              </a:graphicData>
            </a:graphic>
          </wp:inline>
        </w:drawing>
      </w:r>
    </w:p>
    <w:p w14:paraId="5E674813">
      <w:pPr>
        <w:spacing w:line="240" w:lineRule="auto"/>
        <w:jc w:val="center"/>
        <w:rPr>
          <w:sz w:val="38"/>
          <w:szCs w:val="38"/>
        </w:rPr>
      </w:pPr>
      <w:r>
        <w:rPr>
          <w:sz w:val="38"/>
          <w:szCs w:val="38"/>
        </w:rPr>
        <w:t>Master of Business Administration</w:t>
      </w:r>
    </w:p>
    <w:p w14:paraId="6BDC1828">
      <w:pPr>
        <w:spacing w:line="240" w:lineRule="auto"/>
        <w:jc w:val="center"/>
        <w:rPr>
          <w:sz w:val="32"/>
          <w:szCs w:val="32"/>
        </w:rPr>
      </w:pPr>
      <w:r>
        <w:rPr>
          <w:sz w:val="32"/>
          <w:szCs w:val="32"/>
        </w:rPr>
        <w:t>International Business pathway</w:t>
      </w:r>
    </w:p>
    <w:p w14:paraId="12D2BA15">
      <w:pPr>
        <w:ind w:firstLine="1960" w:firstLineChars="700"/>
        <w:jc w:val="both"/>
        <w:rPr>
          <w:rFonts w:hint="default"/>
          <w:sz w:val="28"/>
          <w:szCs w:val="28"/>
          <w:lang w:val="en-US"/>
        </w:rPr>
      </w:pPr>
      <w:r>
        <w:rPr>
          <w:sz w:val="28"/>
          <w:szCs w:val="28"/>
        </w:rPr>
        <w:t xml:space="preserve">Assessment </w:t>
      </w:r>
      <w:r>
        <w:rPr>
          <w:color w:val="000000" w:themeColor="text1"/>
          <w:sz w:val="28"/>
          <w:szCs w:val="28"/>
          <w14:textFill>
            <w14:solidFill>
              <w14:schemeClr w14:val="tx1"/>
            </w14:solidFill>
          </w14:textFill>
        </w:rPr>
        <w:t xml:space="preserve">1: Individual report. </w:t>
      </w:r>
      <w:r>
        <w:rPr>
          <w:sz w:val="28"/>
          <w:szCs w:val="28"/>
        </w:rPr>
        <w:t xml:space="preserve">Weight: </w:t>
      </w:r>
      <w:r>
        <w:rPr>
          <w:rFonts w:hint="default"/>
          <w:sz w:val="28"/>
          <w:szCs w:val="28"/>
          <w:lang w:val="en-US"/>
        </w:rPr>
        <w:t>100%</w:t>
      </w:r>
    </w:p>
    <w:p w14:paraId="30903C42">
      <w:pPr>
        <w:rPr>
          <w:rFonts w:hint="default"/>
          <w:sz w:val="28"/>
          <w:szCs w:val="28"/>
          <w:lang w:val="en-US"/>
        </w:rPr>
      </w:pPr>
      <w:r>
        <w:rPr>
          <w:b/>
          <w:bCs/>
          <w:sz w:val="28"/>
          <w:szCs w:val="28"/>
        </w:rPr>
        <w:t>Module name:</w:t>
      </w:r>
      <w:r>
        <w:rPr>
          <w:rFonts w:hint="default"/>
          <w:b/>
          <w:bCs/>
          <w:sz w:val="28"/>
          <w:szCs w:val="28"/>
          <w:lang w:val="en-US"/>
        </w:rPr>
        <w:t xml:space="preserve"> International Business Concepts</w:t>
      </w:r>
    </w:p>
    <w:p w14:paraId="20EB9B74">
      <w:pPr>
        <w:rPr>
          <w:rFonts w:hint="default"/>
          <w:sz w:val="28"/>
          <w:szCs w:val="28"/>
          <w:lang w:val="en-US"/>
        </w:rPr>
      </w:pPr>
      <w:r>
        <w:rPr>
          <w:b/>
          <w:bCs/>
          <w:sz w:val="28"/>
          <w:szCs w:val="28"/>
        </w:rPr>
        <w:t>Module code</w:t>
      </w:r>
      <w:r>
        <w:rPr>
          <w:sz w:val="28"/>
          <w:szCs w:val="28"/>
        </w:rPr>
        <w:t>:</w:t>
      </w:r>
      <w:r>
        <w:rPr>
          <w:rFonts w:hint="default"/>
          <w:sz w:val="28"/>
          <w:szCs w:val="28"/>
          <w:lang w:val="en-US"/>
        </w:rPr>
        <w:t xml:space="preserve"> LCMB7034</w:t>
      </w:r>
    </w:p>
    <w:p w14:paraId="7F526F09">
      <w:pPr>
        <w:rPr>
          <w:rFonts w:hint="default"/>
          <w:sz w:val="28"/>
          <w:szCs w:val="28"/>
          <w:lang w:val="en-US"/>
        </w:rPr>
      </w:pPr>
      <w:r>
        <w:rPr>
          <w:b/>
          <w:bCs/>
          <w:sz w:val="28"/>
          <w:szCs w:val="28"/>
        </w:rPr>
        <w:t>Lecturer name</w:t>
      </w:r>
      <w:r>
        <w:rPr>
          <w:sz w:val="28"/>
          <w:szCs w:val="28"/>
        </w:rPr>
        <w:t xml:space="preserve">: </w:t>
      </w:r>
      <w:r>
        <w:rPr>
          <w:rFonts w:hint="default"/>
          <w:sz w:val="28"/>
          <w:szCs w:val="28"/>
          <w:lang w:val="en-US"/>
        </w:rPr>
        <w:t xml:space="preserve"> Jean Wang</w:t>
      </w:r>
    </w:p>
    <w:p w14:paraId="56B962A2">
      <w:pPr>
        <w:rPr>
          <w:sz w:val="28"/>
          <w:szCs w:val="28"/>
        </w:rPr>
      </w:pPr>
    </w:p>
    <w:p w14:paraId="16ADC80D">
      <w:pPr>
        <w:rPr>
          <w:rFonts w:hint="default"/>
          <w:sz w:val="28"/>
          <w:szCs w:val="28"/>
          <w:lang w:val="en-US"/>
        </w:rPr>
      </w:pPr>
      <w:r>
        <w:rPr>
          <w:b/>
          <w:bCs/>
          <w:sz w:val="28"/>
          <w:szCs w:val="28"/>
        </w:rPr>
        <w:t>Student name</w:t>
      </w:r>
      <w:r>
        <w:rPr>
          <w:sz w:val="28"/>
          <w:szCs w:val="28"/>
        </w:rPr>
        <w:t>:</w:t>
      </w:r>
      <w:r>
        <w:rPr>
          <w:rFonts w:hint="default"/>
          <w:sz w:val="28"/>
          <w:szCs w:val="28"/>
          <w:lang w:val="en-US"/>
        </w:rPr>
        <w:t xml:space="preserve"> Jatin Makwana</w:t>
      </w:r>
    </w:p>
    <w:p w14:paraId="582D5529">
      <w:pPr>
        <w:rPr>
          <w:rFonts w:hint="default"/>
          <w:sz w:val="28"/>
          <w:szCs w:val="28"/>
          <w:lang w:val="en-US"/>
        </w:rPr>
      </w:pPr>
      <w:r>
        <w:rPr>
          <w:b/>
          <w:bCs/>
          <w:sz w:val="28"/>
          <w:szCs w:val="28"/>
        </w:rPr>
        <w:t>Student ID</w:t>
      </w:r>
      <w:r>
        <w:rPr>
          <w:sz w:val="28"/>
          <w:szCs w:val="28"/>
        </w:rPr>
        <w:t>:</w:t>
      </w:r>
      <w:r>
        <w:rPr>
          <w:rFonts w:hint="default"/>
          <w:sz w:val="28"/>
          <w:szCs w:val="28"/>
          <w:lang w:val="en-US"/>
        </w:rPr>
        <w:t xml:space="preserve"> 2507163</w:t>
      </w:r>
    </w:p>
    <w:p w14:paraId="0E881BC0">
      <w:pPr>
        <w:rPr>
          <w:sz w:val="28"/>
          <w:szCs w:val="28"/>
        </w:rPr>
      </w:pPr>
    </w:p>
    <w:p w14:paraId="2DB6CFEA">
      <w:pPr>
        <w:rPr>
          <w:rFonts w:hint="default"/>
          <w:sz w:val="28"/>
          <w:szCs w:val="28"/>
          <w:lang w:val="en-US"/>
        </w:rPr>
      </w:pPr>
      <w:r>
        <w:rPr>
          <w:b/>
          <w:bCs/>
          <w:sz w:val="28"/>
          <w:szCs w:val="28"/>
        </w:rPr>
        <w:t>Word count</w:t>
      </w:r>
      <w:r>
        <w:rPr>
          <w:sz w:val="28"/>
          <w:szCs w:val="28"/>
        </w:rPr>
        <w:t>:</w:t>
      </w:r>
      <w:r>
        <w:rPr>
          <w:rFonts w:hint="default"/>
          <w:sz w:val="28"/>
          <w:szCs w:val="28"/>
          <w:lang w:val="en-US"/>
        </w:rPr>
        <w:t xml:space="preserve"> 5186</w:t>
      </w:r>
      <w:bookmarkStart w:id="29" w:name="_GoBack"/>
      <w:bookmarkEnd w:id="29"/>
    </w:p>
    <w:p w14:paraId="12DEB06D">
      <w:pPr>
        <w:rPr>
          <w:rFonts w:hint="default"/>
          <w:sz w:val="28"/>
          <w:szCs w:val="28"/>
          <w:lang w:val="en-US"/>
        </w:rPr>
      </w:pPr>
      <w:r>
        <w:rPr>
          <w:b/>
          <w:bCs/>
          <w:sz w:val="28"/>
          <w:szCs w:val="28"/>
        </w:rPr>
        <w:t>Submission date</w:t>
      </w:r>
      <w:r>
        <w:rPr>
          <w:sz w:val="28"/>
          <w:szCs w:val="28"/>
        </w:rPr>
        <w:t>:</w:t>
      </w:r>
      <w:r>
        <w:rPr>
          <w:rFonts w:hint="default"/>
          <w:sz w:val="28"/>
          <w:szCs w:val="28"/>
          <w:lang w:val="en-US"/>
        </w:rPr>
        <w:t xml:space="preserve"> 14 August  2026</w:t>
      </w:r>
    </w:p>
    <w:p w14:paraId="75726664">
      <w:pPr>
        <w:pStyle w:val="2"/>
        <w:rPr>
          <w:rFonts w:ascii="Arial" w:hAnsi="Arial" w:cs="Arial"/>
          <w:sz w:val="22"/>
          <w:szCs w:val="22"/>
          <w:lang w:val="en-GB"/>
        </w:rPr>
      </w:pPr>
    </w:p>
    <w:p w14:paraId="233B1E2B">
      <w:pPr>
        <w:pStyle w:val="2"/>
        <w:rPr>
          <w:rFonts w:ascii="Arial" w:hAnsi="Arial" w:cs="Arial"/>
          <w:sz w:val="22"/>
          <w:szCs w:val="22"/>
          <w:lang w:val="en-GB"/>
        </w:rPr>
      </w:pPr>
    </w:p>
    <w:p w14:paraId="6EDB0102">
      <w:pPr>
        <w:pStyle w:val="2"/>
        <w:rPr>
          <w:rFonts w:ascii="Arial" w:hAnsi="Arial" w:cs="Arial"/>
          <w:sz w:val="22"/>
          <w:szCs w:val="22"/>
          <w:lang w:val="en-GB"/>
        </w:rPr>
      </w:pPr>
    </w:p>
    <w:p w14:paraId="3B8C30CF">
      <w:pPr>
        <w:pStyle w:val="2"/>
        <w:rPr>
          <w:rFonts w:ascii="Arial" w:hAnsi="Arial" w:cs="Arial"/>
          <w:sz w:val="22"/>
          <w:szCs w:val="22"/>
          <w:lang w:val="en-GB"/>
        </w:rPr>
      </w:pPr>
    </w:p>
    <w:p w14:paraId="36112E65">
      <w:pPr>
        <w:pStyle w:val="2"/>
        <w:rPr>
          <w:rFonts w:ascii="Arial" w:hAnsi="Arial" w:cs="Arial"/>
          <w:sz w:val="22"/>
          <w:szCs w:val="22"/>
          <w:lang w:val="en-GB"/>
        </w:rPr>
      </w:pPr>
    </w:p>
    <w:p w14:paraId="7898049F">
      <w:pPr>
        <w:pStyle w:val="2"/>
        <w:rPr>
          <w:rFonts w:ascii="Arial" w:hAnsi="Arial" w:cs="Arial"/>
          <w:sz w:val="22"/>
          <w:szCs w:val="22"/>
          <w:lang w:val="en-GB"/>
        </w:rPr>
      </w:pPr>
    </w:p>
    <w:p w14:paraId="0781703F">
      <w:pPr>
        <w:pStyle w:val="2"/>
        <w:rPr>
          <w:rFonts w:ascii="Arial" w:hAnsi="Arial" w:cs="Arial"/>
          <w:sz w:val="22"/>
          <w:szCs w:val="22"/>
          <w:lang w:val="en-GB"/>
        </w:rPr>
      </w:pPr>
    </w:p>
    <w:p w14:paraId="60C98B33">
      <w:pPr>
        <w:pStyle w:val="2"/>
        <w:rPr>
          <w:rFonts w:ascii="Arial" w:hAnsi="Arial" w:cs="Arial"/>
          <w:sz w:val="22"/>
          <w:szCs w:val="22"/>
          <w:lang w:val="en-GB"/>
        </w:rPr>
      </w:pPr>
    </w:p>
    <w:p w14:paraId="0EEF90A5">
      <w:pPr>
        <w:pStyle w:val="2"/>
        <w:rPr>
          <w:rFonts w:ascii="Arial" w:hAnsi="Arial" w:cs="Arial"/>
          <w:sz w:val="22"/>
          <w:szCs w:val="22"/>
          <w:lang w:val="en-GB"/>
        </w:rPr>
      </w:pPr>
    </w:p>
    <w:p w14:paraId="33AEF7CB">
      <w:pPr>
        <w:pStyle w:val="2"/>
        <w:rPr>
          <w:rFonts w:ascii="Arial" w:hAnsi="Arial" w:cs="Arial"/>
          <w:sz w:val="22"/>
          <w:szCs w:val="22"/>
          <w:lang w:val="en-GB"/>
        </w:rPr>
      </w:pPr>
    </w:p>
    <w:p w14:paraId="342AC8F7">
      <w:pPr>
        <w:pStyle w:val="2"/>
        <w:rPr>
          <w:rFonts w:ascii="Arial" w:hAnsi="Arial" w:cs="Arial"/>
          <w:sz w:val="22"/>
          <w:szCs w:val="22"/>
          <w:lang w:val="en-GB"/>
        </w:rPr>
      </w:pPr>
    </w:p>
    <w:p w14:paraId="1B30705B">
      <w:pPr>
        <w:pStyle w:val="2"/>
        <w:jc w:val="both"/>
        <w:rPr>
          <w:rFonts w:ascii="Arial" w:hAnsi="Arial" w:cs="Arial"/>
          <w:sz w:val="22"/>
          <w:szCs w:val="22"/>
          <w:lang w:val="en-GB"/>
        </w:rPr>
      </w:pPr>
    </w:p>
    <w:p w14:paraId="1018D134">
      <w:pPr>
        <w:spacing w:line="360" w:lineRule="auto"/>
        <w:jc w:val="both"/>
        <w:rPr>
          <w:rFonts w:ascii="Arial" w:hAnsi="Arial" w:cs="Arial"/>
          <w:lang w:val="en-GB"/>
        </w:rPr>
      </w:pPr>
    </w:p>
    <w:p w14:paraId="722F729D">
      <w:pPr>
        <w:spacing w:line="360" w:lineRule="auto"/>
        <w:jc w:val="both"/>
        <w:rPr>
          <w:rFonts w:ascii="Arial" w:hAnsi="Arial" w:cs="Arial"/>
          <w:lang w:val="en-GB"/>
        </w:rPr>
      </w:pPr>
    </w:p>
    <w:p w14:paraId="19D15D4F">
      <w:pPr>
        <w:pStyle w:val="2"/>
        <w:ind w:firstLine="2641" w:firstLineChars="1200"/>
        <w:jc w:val="both"/>
        <w:rPr>
          <w:rFonts w:ascii="Arial" w:hAnsi="Arial" w:cs="Arial"/>
          <w:sz w:val="22"/>
          <w:szCs w:val="22"/>
          <w:lang w:val="en-GB"/>
        </w:rPr>
      </w:pPr>
      <w:r>
        <w:rPr>
          <w:rFonts w:ascii="Arial" w:hAnsi="Arial" w:cs="Arial"/>
          <w:sz w:val="22"/>
          <w:szCs w:val="22"/>
          <w:lang w:val="en-GB"/>
        </w:rPr>
        <w:t>AI use acknowledgement</w:t>
      </w:r>
    </w:p>
    <w:p w14:paraId="30CBBAC3">
      <w:pPr>
        <w:spacing w:line="360" w:lineRule="auto"/>
        <w:rPr>
          <w:rFonts w:ascii="Arial" w:hAnsi="Arial" w:cs="Arial"/>
          <w:b/>
          <w:bCs/>
          <w:u w:val="single"/>
          <w:lang w:val="en-GB"/>
        </w:rPr>
      </w:pPr>
    </w:p>
    <w:p w14:paraId="1143BBE5">
      <w:pPr>
        <w:pStyle w:val="50"/>
        <w:spacing w:line="360" w:lineRule="auto"/>
        <w:rPr>
          <w:rFonts w:ascii="Arial" w:hAnsi="Arial" w:cs="Arial"/>
          <w:sz w:val="22"/>
          <w:szCs w:val="22"/>
          <w:lang w:val="en-GB"/>
        </w:rPr>
      </w:pPr>
      <w:r>
        <w:rPr>
          <w:rFonts w:ascii="Arial" w:hAnsi="Arial" w:cs="Arial"/>
          <w:sz w:val="22"/>
          <w:szCs w:val="22"/>
          <w:lang w:val="en-GB"/>
        </w:rPr>
        <w:t>I confirm that I have not used any AI tools in the research and creation of this</w:t>
      </w:r>
    </w:p>
    <w:p w14:paraId="776F4A1A">
      <w:pPr>
        <w:pStyle w:val="50"/>
        <w:spacing w:line="360" w:lineRule="auto"/>
        <w:rPr>
          <w:rFonts w:ascii="Arial" w:hAnsi="Arial" w:cs="Arial"/>
          <w:sz w:val="22"/>
          <w:szCs w:val="22"/>
          <w:lang w:val="en-GB"/>
        </w:rPr>
      </w:pPr>
      <w:r>
        <w:rPr>
          <w:rFonts w:ascii="Arial" w:hAnsi="Arial" w:cs="Arial"/>
          <w:sz w:val="22"/>
          <w:szCs w:val="22"/>
          <w:lang w:val="en-GB"/>
        </w:rPr>
        <w:t>assignment. I confirm that I have not presented any AI generated materials as my own work. I confirm I have copies of my drafts, notes, and other resources I used, which I may be asked to provide in evidence.</w:t>
      </w:r>
    </w:p>
    <w:p w14:paraId="02CEACD3">
      <w:pPr>
        <w:spacing w:line="360" w:lineRule="auto"/>
        <w:rPr>
          <w:rFonts w:ascii="Arial" w:hAnsi="Arial" w:cs="Arial"/>
          <w:lang w:val="en-GB"/>
        </w:rPr>
      </w:pPr>
      <w:r>
        <w:rPr>
          <w:rFonts w:ascii="Arial" w:hAnsi="Arial" w:cs="Arial"/>
          <w:lang w:val="en-GB"/>
        </w:rPr>
        <w:br w:type="page"/>
      </w:r>
    </w:p>
    <w:p w14:paraId="3618F94D">
      <w:pPr>
        <w:spacing w:line="360" w:lineRule="auto"/>
        <w:jc w:val="both"/>
        <w:rPr>
          <w:rFonts w:ascii="Arial" w:hAnsi="Arial" w:cs="Arial"/>
          <w:lang w:val="en-GB"/>
        </w:rPr>
      </w:pPr>
    </w:p>
    <w:sdt>
      <w:sdtPr>
        <w:rPr>
          <w:rFonts w:ascii="Arial" w:hAnsi="Arial" w:cs="Arial" w:eastAsiaTheme="minorHAnsi"/>
          <w:color w:val="auto"/>
          <w:kern w:val="2"/>
          <w:sz w:val="22"/>
          <w:szCs w:val="22"/>
          <w:lang w:val="en-GB"/>
          <w14:ligatures w14:val="standardContextual"/>
        </w:rPr>
        <w:id w:val="-494422828"/>
        <w:docPartObj>
          <w:docPartGallery w:val="Table of Contents"/>
          <w:docPartUnique/>
        </w:docPartObj>
      </w:sdtPr>
      <w:sdtEndPr>
        <w:rPr>
          <w:rFonts w:ascii="Arial" w:hAnsi="Arial" w:cs="Arial" w:eastAsiaTheme="minorHAnsi"/>
          <w:b/>
          <w:bCs/>
          <w:color w:val="auto"/>
          <w:kern w:val="2"/>
          <w:sz w:val="22"/>
          <w:szCs w:val="22"/>
          <w:lang w:val="en-GB"/>
          <w14:ligatures w14:val="standardContextual"/>
        </w:rPr>
      </w:sdtEndPr>
      <w:sdtContent>
        <w:p w14:paraId="0AFEC8E3">
          <w:pPr>
            <w:pStyle w:val="47"/>
            <w:spacing w:line="360" w:lineRule="auto"/>
            <w:jc w:val="center"/>
            <w:rPr>
              <w:rFonts w:ascii="Arial" w:hAnsi="Arial" w:cs="Arial"/>
              <w:b/>
              <w:bCs/>
              <w:color w:val="auto"/>
              <w:sz w:val="22"/>
              <w:szCs w:val="22"/>
              <w:lang w:val="en-GB"/>
            </w:rPr>
          </w:pPr>
          <w:r>
            <w:rPr>
              <w:rFonts w:ascii="Arial" w:hAnsi="Arial" w:cs="Arial"/>
              <w:b/>
              <w:bCs/>
              <w:color w:val="auto"/>
              <w:sz w:val="22"/>
              <w:szCs w:val="22"/>
              <w:lang w:val="en-GB"/>
            </w:rPr>
            <w:t>Table of Contents</w:t>
          </w:r>
        </w:p>
        <w:p w14:paraId="3329410B">
          <w:pPr>
            <w:pStyle w:val="21"/>
            <w:tabs>
              <w:tab w:val="right" w:leader="dot" w:pos="9016"/>
            </w:tabs>
            <w:spacing w:line="360" w:lineRule="auto"/>
            <w:rPr>
              <w:rFonts w:ascii="Arial" w:hAnsi="Arial" w:cs="Arial"/>
              <w:lang w:val="en-GB"/>
            </w:rPr>
          </w:pPr>
          <w:r>
            <w:rPr>
              <w:rFonts w:ascii="Arial" w:hAnsi="Arial" w:cs="Arial"/>
              <w:lang w:val="en-GB"/>
            </w:rPr>
            <w:fldChar w:fldCharType="begin"/>
          </w:r>
          <w:r>
            <w:rPr>
              <w:rFonts w:ascii="Arial" w:hAnsi="Arial" w:cs="Arial"/>
              <w:lang w:val="en-GB"/>
            </w:rPr>
            <w:instrText xml:space="preserve"> TOC \o "1-3" \h \z \u </w:instrText>
          </w:r>
          <w:r>
            <w:rPr>
              <w:rFonts w:ascii="Arial" w:hAnsi="Arial" w:cs="Arial"/>
              <w:lang w:val="en-GB"/>
            </w:rPr>
            <w:fldChar w:fldCharType="separate"/>
          </w:r>
          <w:r>
            <w:fldChar w:fldCharType="begin"/>
          </w:r>
          <w:r>
            <w:instrText xml:space="preserve"> HYPERLINK \l "_Toc237294286" </w:instrText>
          </w:r>
          <w:r>
            <w:fldChar w:fldCharType="separate"/>
          </w:r>
          <w:r>
            <w:rPr>
              <w:rStyle w:val="15"/>
              <w:rFonts w:ascii="Arial" w:hAnsi="Arial" w:cs="Arial"/>
              <w:lang w:val="en-GB"/>
            </w:rPr>
            <w:t>SECTION 1: INTERNATIONAL MARKET ENTRY ANALYSIS</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_Toc237294286 \h </w:instrText>
          </w:r>
          <w:r>
            <w:rPr>
              <w:rFonts w:ascii="Arial" w:hAnsi="Arial" w:cs="Arial"/>
              <w:lang w:val="en-GB"/>
            </w:rPr>
            <w:fldChar w:fldCharType="separate"/>
          </w:r>
          <w:r>
            <w:rPr>
              <w:rFonts w:ascii="Arial" w:hAnsi="Arial" w:cs="Arial"/>
              <w:lang w:val="en-GB"/>
            </w:rPr>
            <w:t>3</w:t>
          </w:r>
          <w:r>
            <w:rPr>
              <w:rFonts w:ascii="Arial" w:hAnsi="Arial" w:cs="Arial"/>
              <w:lang w:val="en-GB"/>
            </w:rPr>
            <w:fldChar w:fldCharType="end"/>
          </w:r>
          <w:r>
            <w:rPr>
              <w:rFonts w:ascii="Arial" w:hAnsi="Arial" w:cs="Arial"/>
              <w:lang w:val="en-GB"/>
            </w:rPr>
            <w:fldChar w:fldCharType="end"/>
          </w:r>
        </w:p>
        <w:p w14:paraId="50B10827">
          <w:pPr>
            <w:pStyle w:val="22"/>
            <w:tabs>
              <w:tab w:val="right" w:leader="dot" w:pos="9016"/>
            </w:tabs>
            <w:spacing w:line="360" w:lineRule="auto"/>
            <w:rPr>
              <w:rFonts w:ascii="Arial" w:hAnsi="Arial" w:cs="Arial"/>
              <w:lang w:val="en-GB"/>
            </w:rPr>
          </w:pPr>
          <w:r>
            <w:fldChar w:fldCharType="begin"/>
          </w:r>
          <w:r>
            <w:instrText xml:space="preserve"> HYPERLINK \l "_Toc237294287" </w:instrText>
          </w:r>
          <w:r>
            <w:fldChar w:fldCharType="separate"/>
          </w:r>
          <w:r>
            <w:rPr>
              <w:rStyle w:val="15"/>
              <w:rFonts w:ascii="Arial" w:hAnsi="Arial" w:cs="Arial"/>
              <w:lang w:val="en-GB"/>
            </w:rPr>
            <w:t>Section 1: Introduction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_Toc237294287 \h </w:instrText>
          </w:r>
          <w:r>
            <w:rPr>
              <w:rFonts w:ascii="Arial" w:hAnsi="Arial" w:cs="Arial"/>
              <w:lang w:val="en-GB"/>
            </w:rPr>
            <w:fldChar w:fldCharType="separate"/>
          </w:r>
          <w:r>
            <w:rPr>
              <w:rFonts w:ascii="Arial" w:hAnsi="Arial" w:cs="Arial"/>
              <w:lang w:val="en-GB"/>
            </w:rPr>
            <w:t>3</w:t>
          </w:r>
          <w:r>
            <w:rPr>
              <w:rFonts w:ascii="Arial" w:hAnsi="Arial" w:cs="Arial"/>
              <w:lang w:val="en-GB"/>
            </w:rPr>
            <w:fldChar w:fldCharType="end"/>
          </w:r>
          <w:r>
            <w:rPr>
              <w:rFonts w:ascii="Arial" w:hAnsi="Arial" w:cs="Arial"/>
              <w:lang w:val="en-GB"/>
            </w:rPr>
            <w:fldChar w:fldCharType="end"/>
          </w:r>
        </w:p>
        <w:p w14:paraId="3292B31C">
          <w:pPr>
            <w:pStyle w:val="22"/>
            <w:tabs>
              <w:tab w:val="right" w:leader="dot" w:pos="9016"/>
            </w:tabs>
            <w:spacing w:line="360" w:lineRule="auto"/>
            <w:rPr>
              <w:rFonts w:ascii="Arial" w:hAnsi="Arial" w:cs="Arial"/>
              <w:lang w:val="en-GB"/>
            </w:rPr>
          </w:pPr>
          <w:r>
            <w:fldChar w:fldCharType="begin"/>
          </w:r>
          <w:r>
            <w:instrText xml:space="preserve"> HYPERLINK \l "_Toc237294288" </w:instrText>
          </w:r>
          <w:r>
            <w:fldChar w:fldCharType="separate"/>
          </w:r>
          <w:r>
            <w:rPr>
              <w:rStyle w:val="15"/>
              <w:rFonts w:ascii="Arial" w:hAnsi="Arial" w:cs="Arial"/>
              <w:lang w:val="en-GB"/>
            </w:rPr>
            <w:t>1. Organisational Classification and Global Strategy</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_Toc237294288 \h </w:instrText>
          </w:r>
          <w:r>
            <w:rPr>
              <w:rFonts w:ascii="Arial" w:hAnsi="Arial" w:cs="Arial"/>
              <w:lang w:val="en-GB"/>
            </w:rPr>
            <w:fldChar w:fldCharType="separate"/>
          </w:r>
          <w:r>
            <w:rPr>
              <w:rFonts w:ascii="Arial" w:hAnsi="Arial" w:cs="Arial"/>
              <w:lang w:val="en-GB"/>
            </w:rPr>
            <w:t>3</w:t>
          </w:r>
          <w:r>
            <w:rPr>
              <w:rFonts w:ascii="Arial" w:hAnsi="Arial" w:cs="Arial"/>
              <w:lang w:val="en-GB"/>
            </w:rPr>
            <w:fldChar w:fldCharType="end"/>
          </w:r>
          <w:r>
            <w:rPr>
              <w:rFonts w:ascii="Arial" w:hAnsi="Arial" w:cs="Arial"/>
              <w:lang w:val="en-GB"/>
            </w:rPr>
            <w:fldChar w:fldCharType="end"/>
          </w:r>
        </w:p>
        <w:p w14:paraId="40EE0513">
          <w:pPr>
            <w:pStyle w:val="23"/>
            <w:tabs>
              <w:tab w:val="right" w:leader="dot" w:pos="9016"/>
            </w:tabs>
            <w:spacing w:line="360" w:lineRule="auto"/>
            <w:rPr>
              <w:rFonts w:ascii="Arial" w:hAnsi="Arial" w:cs="Arial"/>
              <w:lang w:val="en-GB"/>
            </w:rPr>
          </w:pPr>
          <w:r>
            <w:fldChar w:fldCharType="begin"/>
          </w:r>
          <w:r>
            <w:instrText xml:space="preserve"> HYPERLINK \l "_Toc237294289" </w:instrText>
          </w:r>
          <w:r>
            <w:fldChar w:fldCharType="separate"/>
          </w:r>
          <w:r>
            <w:rPr>
              <w:rStyle w:val="15"/>
              <w:rFonts w:ascii="Arial" w:hAnsi="Arial" w:cs="Arial"/>
              <w:lang w:val="en-GB"/>
            </w:rPr>
            <w:t>1.1 ALDI: Organisational and International Business Profile</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_Toc237294289 \h </w:instrText>
          </w:r>
          <w:r>
            <w:rPr>
              <w:rFonts w:ascii="Arial" w:hAnsi="Arial" w:cs="Arial"/>
              <w:lang w:val="en-GB"/>
            </w:rPr>
            <w:fldChar w:fldCharType="separate"/>
          </w:r>
          <w:r>
            <w:rPr>
              <w:rFonts w:ascii="Arial" w:hAnsi="Arial" w:cs="Arial"/>
              <w:lang w:val="en-GB"/>
            </w:rPr>
            <w:t>3</w:t>
          </w:r>
          <w:r>
            <w:rPr>
              <w:rFonts w:ascii="Arial" w:hAnsi="Arial" w:cs="Arial"/>
              <w:lang w:val="en-GB"/>
            </w:rPr>
            <w:fldChar w:fldCharType="end"/>
          </w:r>
          <w:r>
            <w:rPr>
              <w:rFonts w:ascii="Arial" w:hAnsi="Arial" w:cs="Arial"/>
              <w:lang w:val="en-GB"/>
            </w:rPr>
            <w:fldChar w:fldCharType="end"/>
          </w:r>
        </w:p>
        <w:p w14:paraId="064583D2">
          <w:pPr>
            <w:pStyle w:val="23"/>
            <w:tabs>
              <w:tab w:val="right" w:leader="dot" w:pos="9016"/>
            </w:tabs>
            <w:spacing w:line="360" w:lineRule="auto"/>
            <w:rPr>
              <w:rFonts w:ascii="Arial" w:hAnsi="Arial" w:cs="Arial"/>
              <w:lang w:val="en-GB"/>
            </w:rPr>
          </w:pPr>
          <w:r>
            <w:fldChar w:fldCharType="begin"/>
          </w:r>
          <w:r>
            <w:instrText xml:space="preserve"> HYPERLINK \l "_Toc237294290" </w:instrText>
          </w:r>
          <w:r>
            <w:fldChar w:fldCharType="separate"/>
          </w:r>
          <w:r>
            <w:rPr>
              <w:rStyle w:val="15"/>
              <w:rFonts w:ascii="Arial" w:hAnsi="Arial" w:cs="Arial"/>
              <w:lang w:val="en-GB"/>
            </w:rPr>
            <w:t>1.2 Bartlett and Ghoshal Strategic Classification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_Toc237294290 \h </w:instrText>
          </w:r>
          <w:r>
            <w:rPr>
              <w:rFonts w:ascii="Arial" w:hAnsi="Arial" w:cs="Arial"/>
              <w:lang w:val="en-GB"/>
            </w:rPr>
            <w:fldChar w:fldCharType="separate"/>
          </w:r>
          <w:r>
            <w:rPr>
              <w:rFonts w:ascii="Arial" w:hAnsi="Arial" w:cs="Arial"/>
              <w:lang w:val="en-GB"/>
            </w:rPr>
            <w:t>3</w:t>
          </w:r>
          <w:r>
            <w:rPr>
              <w:rFonts w:ascii="Arial" w:hAnsi="Arial" w:cs="Arial"/>
              <w:lang w:val="en-GB"/>
            </w:rPr>
            <w:fldChar w:fldCharType="end"/>
          </w:r>
          <w:r>
            <w:rPr>
              <w:rFonts w:ascii="Arial" w:hAnsi="Arial" w:cs="Arial"/>
              <w:lang w:val="en-GB"/>
            </w:rPr>
            <w:fldChar w:fldCharType="end"/>
          </w:r>
        </w:p>
        <w:p w14:paraId="33DEC191">
          <w:pPr>
            <w:pStyle w:val="23"/>
            <w:tabs>
              <w:tab w:val="right" w:leader="dot" w:pos="9016"/>
            </w:tabs>
            <w:spacing w:line="360" w:lineRule="auto"/>
            <w:rPr>
              <w:rFonts w:ascii="Arial" w:hAnsi="Arial" w:cs="Arial"/>
              <w:lang w:val="en-GB"/>
            </w:rPr>
          </w:pPr>
          <w:r>
            <w:fldChar w:fldCharType="begin"/>
          </w:r>
          <w:r>
            <w:instrText xml:space="preserve"> HYPERLINK \l "_Toc237294291" </w:instrText>
          </w:r>
          <w:r>
            <w:fldChar w:fldCharType="separate"/>
          </w:r>
          <w:r>
            <w:rPr>
              <w:rStyle w:val="15"/>
              <w:rFonts w:ascii="Arial" w:hAnsi="Arial" w:cs="Arial"/>
              <w:lang w:val="en-GB"/>
            </w:rPr>
            <w:t>1.3 Critical Evaluation of ALDI's International Strategy</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_Toc237294291 \h </w:instrText>
          </w:r>
          <w:r>
            <w:rPr>
              <w:rFonts w:ascii="Arial" w:hAnsi="Arial" w:cs="Arial"/>
              <w:lang w:val="en-GB"/>
            </w:rPr>
            <w:fldChar w:fldCharType="separate"/>
          </w:r>
          <w:r>
            <w:rPr>
              <w:rFonts w:ascii="Arial" w:hAnsi="Arial" w:cs="Arial"/>
              <w:lang w:val="en-GB"/>
            </w:rPr>
            <w:t>4</w:t>
          </w:r>
          <w:r>
            <w:rPr>
              <w:rFonts w:ascii="Arial" w:hAnsi="Arial" w:cs="Arial"/>
              <w:lang w:val="en-GB"/>
            </w:rPr>
            <w:fldChar w:fldCharType="end"/>
          </w:r>
          <w:r>
            <w:rPr>
              <w:rFonts w:ascii="Arial" w:hAnsi="Arial" w:cs="Arial"/>
              <w:lang w:val="en-GB"/>
            </w:rPr>
            <w:fldChar w:fldCharType="end"/>
          </w:r>
        </w:p>
        <w:p w14:paraId="03B4ACF3">
          <w:pPr>
            <w:pStyle w:val="23"/>
            <w:tabs>
              <w:tab w:val="right" w:leader="dot" w:pos="9016"/>
            </w:tabs>
            <w:spacing w:line="360" w:lineRule="auto"/>
            <w:rPr>
              <w:rFonts w:ascii="Arial" w:hAnsi="Arial" w:cs="Arial"/>
              <w:lang w:val="en-GB"/>
            </w:rPr>
          </w:pPr>
          <w:r>
            <w:fldChar w:fldCharType="begin"/>
          </w:r>
          <w:r>
            <w:instrText xml:space="preserve"> HYPERLINK \l "_Toc237294292" </w:instrText>
          </w:r>
          <w:r>
            <w:fldChar w:fldCharType="separate"/>
          </w:r>
          <w:r>
            <w:rPr>
              <w:rStyle w:val="15"/>
              <w:rFonts w:ascii="Arial" w:hAnsi="Arial" w:cs="Arial"/>
              <w:lang w:val="en-GB"/>
            </w:rPr>
            <w:t>1.4 ALDI's Global Geographic Configuration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_Toc237294292 \h </w:instrText>
          </w:r>
          <w:r>
            <w:rPr>
              <w:rFonts w:ascii="Arial" w:hAnsi="Arial" w:cs="Arial"/>
              <w:lang w:val="en-GB"/>
            </w:rPr>
            <w:fldChar w:fldCharType="separate"/>
          </w:r>
          <w:r>
            <w:rPr>
              <w:rFonts w:ascii="Arial" w:hAnsi="Arial" w:cs="Arial"/>
              <w:lang w:val="en-GB"/>
            </w:rPr>
            <w:t>4</w:t>
          </w:r>
          <w:r>
            <w:rPr>
              <w:rFonts w:ascii="Arial" w:hAnsi="Arial" w:cs="Arial"/>
              <w:lang w:val="en-GB"/>
            </w:rPr>
            <w:fldChar w:fldCharType="end"/>
          </w:r>
          <w:r>
            <w:rPr>
              <w:rFonts w:ascii="Arial" w:hAnsi="Arial" w:cs="Arial"/>
              <w:lang w:val="en-GB"/>
            </w:rPr>
            <w:fldChar w:fldCharType="end"/>
          </w:r>
        </w:p>
        <w:p w14:paraId="455B8E84">
          <w:pPr>
            <w:pStyle w:val="23"/>
            <w:tabs>
              <w:tab w:val="right" w:leader="dot" w:pos="9016"/>
            </w:tabs>
            <w:spacing w:line="360" w:lineRule="auto"/>
            <w:rPr>
              <w:rFonts w:ascii="Arial" w:hAnsi="Arial" w:cs="Arial"/>
              <w:lang w:val="en-GB"/>
            </w:rPr>
          </w:pPr>
          <w:r>
            <w:fldChar w:fldCharType="begin"/>
          </w:r>
          <w:r>
            <w:instrText xml:space="preserve"> HYPERLINK \l "_Toc237294293" </w:instrText>
          </w:r>
          <w:r>
            <w:fldChar w:fldCharType="separate"/>
          </w:r>
          <w:r>
            <w:rPr>
              <w:rStyle w:val="15"/>
              <w:rFonts w:ascii="Arial" w:hAnsi="Arial" w:cs="Arial"/>
              <w:lang w:val="en-GB"/>
            </w:rPr>
            <w:t>1.5 International Operations and Competitive Advantage</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_Toc237294293 \h </w:instrText>
          </w:r>
          <w:r>
            <w:rPr>
              <w:rFonts w:ascii="Arial" w:hAnsi="Arial" w:cs="Arial"/>
              <w:lang w:val="en-GB"/>
            </w:rPr>
            <w:fldChar w:fldCharType="separate"/>
          </w:r>
          <w:r>
            <w:rPr>
              <w:rFonts w:ascii="Arial" w:hAnsi="Arial" w:cs="Arial"/>
              <w:lang w:val="en-GB"/>
            </w:rPr>
            <w:t>4</w:t>
          </w:r>
          <w:r>
            <w:rPr>
              <w:rFonts w:ascii="Arial" w:hAnsi="Arial" w:cs="Arial"/>
              <w:lang w:val="en-GB"/>
            </w:rPr>
            <w:fldChar w:fldCharType="end"/>
          </w:r>
          <w:r>
            <w:rPr>
              <w:rFonts w:ascii="Arial" w:hAnsi="Arial" w:cs="Arial"/>
              <w:lang w:val="en-GB"/>
            </w:rPr>
            <w:fldChar w:fldCharType="end"/>
          </w:r>
        </w:p>
        <w:p w14:paraId="6477262F">
          <w:pPr>
            <w:pStyle w:val="22"/>
            <w:tabs>
              <w:tab w:val="right" w:leader="dot" w:pos="9016"/>
            </w:tabs>
            <w:spacing w:line="360" w:lineRule="auto"/>
            <w:rPr>
              <w:rFonts w:ascii="Arial" w:hAnsi="Arial" w:cs="Arial"/>
              <w:lang w:val="en-GB"/>
            </w:rPr>
          </w:pPr>
          <w:r>
            <w:fldChar w:fldCharType="begin"/>
          </w:r>
          <w:r>
            <w:instrText xml:space="preserve"> HYPERLINK \l "_Toc237294294" </w:instrText>
          </w:r>
          <w:r>
            <w:fldChar w:fldCharType="separate"/>
          </w:r>
          <w:r>
            <w:rPr>
              <w:rStyle w:val="15"/>
              <w:rFonts w:ascii="Arial" w:hAnsi="Arial" w:cs="Arial"/>
              <w:lang w:val="en-GB"/>
            </w:rPr>
            <w:t>2. Macro-Environmental Appraisal and Market Attractiveness</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_Toc237294294 \h </w:instrText>
          </w:r>
          <w:r>
            <w:rPr>
              <w:rFonts w:ascii="Arial" w:hAnsi="Arial" w:cs="Arial"/>
              <w:lang w:val="en-GB"/>
            </w:rPr>
            <w:fldChar w:fldCharType="separate"/>
          </w:r>
          <w:r>
            <w:rPr>
              <w:rFonts w:ascii="Arial" w:hAnsi="Arial" w:cs="Arial"/>
              <w:lang w:val="en-GB"/>
            </w:rPr>
            <w:t>4</w:t>
          </w:r>
          <w:r>
            <w:rPr>
              <w:rFonts w:ascii="Arial" w:hAnsi="Arial" w:cs="Arial"/>
              <w:lang w:val="en-GB"/>
            </w:rPr>
            <w:fldChar w:fldCharType="end"/>
          </w:r>
          <w:r>
            <w:rPr>
              <w:rFonts w:ascii="Arial" w:hAnsi="Arial" w:cs="Arial"/>
              <w:lang w:val="en-GB"/>
            </w:rPr>
            <w:fldChar w:fldCharType="end"/>
          </w:r>
        </w:p>
        <w:p w14:paraId="4A00B6CF">
          <w:pPr>
            <w:pStyle w:val="23"/>
            <w:tabs>
              <w:tab w:val="right" w:leader="dot" w:pos="9016"/>
            </w:tabs>
            <w:spacing w:line="360" w:lineRule="auto"/>
            <w:rPr>
              <w:rFonts w:ascii="Arial" w:hAnsi="Arial" w:cs="Arial"/>
              <w:lang w:val="en-GB"/>
            </w:rPr>
          </w:pPr>
          <w:r>
            <w:fldChar w:fldCharType="begin"/>
          </w:r>
          <w:r>
            <w:instrText xml:space="preserve"> HYPERLINK \l "_Toc237294295" </w:instrText>
          </w:r>
          <w:r>
            <w:fldChar w:fldCharType="separate"/>
          </w:r>
          <w:r>
            <w:rPr>
              <w:rStyle w:val="15"/>
              <w:rFonts w:ascii="Arial" w:hAnsi="Arial" w:cs="Arial"/>
              <w:lang w:val="en-GB"/>
            </w:rPr>
            <w:t>2.1 Rationale for Selecting New Zealand</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_Toc237294295 \h </w:instrText>
          </w:r>
          <w:r>
            <w:rPr>
              <w:rFonts w:ascii="Arial" w:hAnsi="Arial" w:cs="Arial"/>
              <w:lang w:val="en-GB"/>
            </w:rPr>
            <w:fldChar w:fldCharType="separate"/>
          </w:r>
          <w:r>
            <w:rPr>
              <w:rFonts w:ascii="Arial" w:hAnsi="Arial" w:cs="Arial"/>
              <w:lang w:val="en-GB"/>
            </w:rPr>
            <w:t>4</w:t>
          </w:r>
          <w:r>
            <w:rPr>
              <w:rFonts w:ascii="Arial" w:hAnsi="Arial" w:cs="Arial"/>
              <w:lang w:val="en-GB"/>
            </w:rPr>
            <w:fldChar w:fldCharType="end"/>
          </w:r>
          <w:r>
            <w:rPr>
              <w:rFonts w:ascii="Arial" w:hAnsi="Arial" w:cs="Arial"/>
              <w:lang w:val="en-GB"/>
            </w:rPr>
            <w:fldChar w:fldCharType="end"/>
          </w:r>
        </w:p>
        <w:p w14:paraId="187205F5">
          <w:pPr>
            <w:pStyle w:val="23"/>
            <w:tabs>
              <w:tab w:val="right" w:leader="dot" w:pos="9016"/>
            </w:tabs>
            <w:spacing w:line="360" w:lineRule="auto"/>
            <w:rPr>
              <w:rFonts w:ascii="Arial" w:hAnsi="Arial" w:cs="Arial"/>
              <w:lang w:val="en-GB"/>
            </w:rPr>
          </w:pPr>
          <w:r>
            <w:fldChar w:fldCharType="begin"/>
          </w:r>
          <w:r>
            <w:instrText xml:space="preserve"> HYPERLINK \l "_Toc237294296" </w:instrText>
          </w:r>
          <w:r>
            <w:fldChar w:fldCharType="separate"/>
          </w:r>
          <w:r>
            <w:rPr>
              <w:rStyle w:val="15"/>
              <w:rFonts w:ascii="Arial" w:hAnsi="Arial" w:cs="Arial"/>
              <w:lang w:val="en-GB"/>
            </w:rPr>
            <w:t>2.2 Political Environment</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_Toc237294296 \h </w:instrText>
          </w:r>
          <w:r>
            <w:rPr>
              <w:rFonts w:ascii="Arial" w:hAnsi="Arial" w:cs="Arial"/>
              <w:lang w:val="en-GB"/>
            </w:rPr>
            <w:fldChar w:fldCharType="separate"/>
          </w:r>
          <w:r>
            <w:rPr>
              <w:rFonts w:ascii="Arial" w:hAnsi="Arial" w:cs="Arial"/>
              <w:lang w:val="en-GB"/>
            </w:rPr>
            <w:t>5</w:t>
          </w:r>
          <w:r>
            <w:rPr>
              <w:rFonts w:ascii="Arial" w:hAnsi="Arial" w:cs="Arial"/>
              <w:lang w:val="en-GB"/>
            </w:rPr>
            <w:fldChar w:fldCharType="end"/>
          </w:r>
          <w:r>
            <w:rPr>
              <w:rFonts w:ascii="Arial" w:hAnsi="Arial" w:cs="Arial"/>
              <w:lang w:val="en-GB"/>
            </w:rPr>
            <w:fldChar w:fldCharType="end"/>
          </w:r>
        </w:p>
        <w:p w14:paraId="695B4AEA">
          <w:pPr>
            <w:pStyle w:val="23"/>
            <w:tabs>
              <w:tab w:val="right" w:leader="dot" w:pos="9016"/>
            </w:tabs>
            <w:spacing w:line="360" w:lineRule="auto"/>
            <w:rPr>
              <w:rFonts w:ascii="Arial" w:hAnsi="Arial" w:cs="Arial"/>
              <w:lang w:val="en-GB"/>
            </w:rPr>
          </w:pPr>
          <w:r>
            <w:fldChar w:fldCharType="begin"/>
          </w:r>
          <w:r>
            <w:instrText xml:space="preserve"> HYPERLINK \l "_Toc237294297" </w:instrText>
          </w:r>
          <w:r>
            <w:fldChar w:fldCharType="separate"/>
          </w:r>
          <w:r>
            <w:rPr>
              <w:rStyle w:val="15"/>
              <w:rFonts w:ascii="Arial" w:hAnsi="Arial" w:cs="Arial"/>
              <w:lang w:val="en-GB"/>
            </w:rPr>
            <w:t>2.3 Economic Environment</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_Toc237294297 \h </w:instrText>
          </w:r>
          <w:r>
            <w:rPr>
              <w:rFonts w:ascii="Arial" w:hAnsi="Arial" w:cs="Arial"/>
              <w:lang w:val="en-GB"/>
            </w:rPr>
            <w:fldChar w:fldCharType="separate"/>
          </w:r>
          <w:r>
            <w:rPr>
              <w:rFonts w:ascii="Arial" w:hAnsi="Arial" w:cs="Arial"/>
              <w:lang w:val="en-GB"/>
            </w:rPr>
            <w:t>6</w:t>
          </w:r>
          <w:r>
            <w:rPr>
              <w:rFonts w:ascii="Arial" w:hAnsi="Arial" w:cs="Arial"/>
              <w:lang w:val="en-GB"/>
            </w:rPr>
            <w:fldChar w:fldCharType="end"/>
          </w:r>
          <w:r>
            <w:rPr>
              <w:rFonts w:ascii="Arial" w:hAnsi="Arial" w:cs="Arial"/>
              <w:lang w:val="en-GB"/>
            </w:rPr>
            <w:fldChar w:fldCharType="end"/>
          </w:r>
        </w:p>
        <w:p w14:paraId="6E55D4B6">
          <w:pPr>
            <w:pStyle w:val="23"/>
            <w:tabs>
              <w:tab w:val="right" w:leader="dot" w:pos="9016"/>
            </w:tabs>
            <w:spacing w:line="360" w:lineRule="auto"/>
            <w:rPr>
              <w:rFonts w:ascii="Arial" w:hAnsi="Arial" w:cs="Arial"/>
              <w:lang w:val="en-GB"/>
            </w:rPr>
          </w:pPr>
          <w:r>
            <w:fldChar w:fldCharType="begin"/>
          </w:r>
          <w:r>
            <w:instrText xml:space="preserve"> HYPERLINK \l "_Toc237294298" </w:instrText>
          </w:r>
          <w:r>
            <w:fldChar w:fldCharType="separate"/>
          </w:r>
          <w:r>
            <w:rPr>
              <w:rStyle w:val="15"/>
              <w:rFonts w:ascii="Arial" w:hAnsi="Arial" w:cs="Arial"/>
              <w:lang w:val="en-GB"/>
            </w:rPr>
            <w:t>2.4 Legal and Regulatory Environment</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_Toc237294298 \h </w:instrText>
          </w:r>
          <w:r>
            <w:rPr>
              <w:rFonts w:ascii="Arial" w:hAnsi="Arial" w:cs="Arial"/>
              <w:lang w:val="en-GB"/>
            </w:rPr>
            <w:fldChar w:fldCharType="separate"/>
          </w:r>
          <w:r>
            <w:rPr>
              <w:rFonts w:ascii="Arial" w:hAnsi="Arial" w:cs="Arial"/>
              <w:lang w:val="en-GB"/>
            </w:rPr>
            <w:t>9</w:t>
          </w:r>
          <w:r>
            <w:rPr>
              <w:rFonts w:ascii="Arial" w:hAnsi="Arial" w:cs="Arial"/>
              <w:lang w:val="en-GB"/>
            </w:rPr>
            <w:fldChar w:fldCharType="end"/>
          </w:r>
          <w:r>
            <w:rPr>
              <w:rFonts w:ascii="Arial" w:hAnsi="Arial" w:cs="Arial"/>
              <w:lang w:val="en-GB"/>
            </w:rPr>
            <w:fldChar w:fldCharType="end"/>
          </w:r>
        </w:p>
        <w:p w14:paraId="6DCE44EC">
          <w:pPr>
            <w:pStyle w:val="23"/>
            <w:tabs>
              <w:tab w:val="right" w:leader="dot" w:pos="9016"/>
            </w:tabs>
            <w:spacing w:line="360" w:lineRule="auto"/>
            <w:rPr>
              <w:rFonts w:ascii="Arial" w:hAnsi="Arial" w:cs="Arial"/>
              <w:lang w:val="en-GB"/>
            </w:rPr>
          </w:pPr>
          <w:r>
            <w:fldChar w:fldCharType="begin"/>
          </w:r>
          <w:r>
            <w:instrText xml:space="preserve"> HYPERLINK \l "_Toc237294299" </w:instrText>
          </w:r>
          <w:r>
            <w:fldChar w:fldCharType="separate"/>
          </w:r>
          <w:r>
            <w:rPr>
              <w:rStyle w:val="15"/>
              <w:rFonts w:ascii="Arial" w:hAnsi="Arial" w:cs="Arial"/>
              <w:lang w:val="en-GB"/>
            </w:rPr>
            <w:t>2.5 Integrated Market Attractiveness</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_Toc237294299 \h </w:instrText>
          </w:r>
          <w:r>
            <w:rPr>
              <w:rFonts w:ascii="Arial" w:hAnsi="Arial" w:cs="Arial"/>
              <w:lang w:val="en-GB"/>
            </w:rPr>
            <w:fldChar w:fldCharType="separate"/>
          </w:r>
          <w:r>
            <w:rPr>
              <w:rFonts w:ascii="Arial" w:hAnsi="Arial" w:cs="Arial"/>
              <w:lang w:val="en-GB"/>
            </w:rPr>
            <w:t>11</w:t>
          </w:r>
          <w:r>
            <w:rPr>
              <w:rFonts w:ascii="Arial" w:hAnsi="Arial" w:cs="Arial"/>
              <w:lang w:val="en-GB"/>
            </w:rPr>
            <w:fldChar w:fldCharType="end"/>
          </w:r>
          <w:r>
            <w:rPr>
              <w:rFonts w:ascii="Arial" w:hAnsi="Arial" w:cs="Arial"/>
              <w:lang w:val="en-GB"/>
            </w:rPr>
            <w:fldChar w:fldCharType="end"/>
          </w:r>
        </w:p>
        <w:p w14:paraId="1D3706DA">
          <w:pPr>
            <w:pStyle w:val="23"/>
            <w:tabs>
              <w:tab w:val="right" w:leader="dot" w:pos="9016"/>
            </w:tabs>
            <w:spacing w:line="360" w:lineRule="auto"/>
            <w:rPr>
              <w:rFonts w:ascii="Arial" w:hAnsi="Arial" w:cs="Arial"/>
              <w:lang w:val="en-GB"/>
            </w:rPr>
          </w:pPr>
          <w:r>
            <w:fldChar w:fldCharType="begin"/>
          </w:r>
          <w:r>
            <w:instrText xml:space="preserve"> HYPERLINK \l "_Toc237294300" </w:instrText>
          </w:r>
          <w:r>
            <w:fldChar w:fldCharType="separate"/>
          </w:r>
          <w:r>
            <w:rPr>
              <w:rStyle w:val="15"/>
              <w:rFonts w:ascii="Arial" w:hAnsi="Arial" w:cs="Arial"/>
              <w:lang w:val="en-GB"/>
            </w:rPr>
            <w:t>2.6 Dunning's OLI Paradigm</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_Toc237294300 \h </w:instrText>
          </w:r>
          <w:r>
            <w:rPr>
              <w:rFonts w:ascii="Arial" w:hAnsi="Arial" w:cs="Arial"/>
              <w:lang w:val="en-GB"/>
            </w:rPr>
            <w:fldChar w:fldCharType="separate"/>
          </w:r>
          <w:r>
            <w:rPr>
              <w:rFonts w:ascii="Arial" w:hAnsi="Arial" w:cs="Arial"/>
              <w:lang w:val="en-GB"/>
            </w:rPr>
            <w:t>11</w:t>
          </w:r>
          <w:r>
            <w:rPr>
              <w:rFonts w:ascii="Arial" w:hAnsi="Arial" w:cs="Arial"/>
              <w:lang w:val="en-GB"/>
            </w:rPr>
            <w:fldChar w:fldCharType="end"/>
          </w:r>
          <w:r>
            <w:rPr>
              <w:rFonts w:ascii="Arial" w:hAnsi="Arial" w:cs="Arial"/>
              <w:lang w:val="en-GB"/>
            </w:rPr>
            <w:fldChar w:fldCharType="end"/>
          </w:r>
        </w:p>
        <w:p w14:paraId="630E8913">
          <w:pPr>
            <w:pStyle w:val="22"/>
            <w:tabs>
              <w:tab w:val="right" w:leader="dot" w:pos="9016"/>
            </w:tabs>
            <w:spacing w:line="360" w:lineRule="auto"/>
            <w:rPr>
              <w:rFonts w:ascii="Arial" w:hAnsi="Arial" w:cs="Arial"/>
              <w:lang w:val="en-GB"/>
            </w:rPr>
          </w:pPr>
          <w:r>
            <w:fldChar w:fldCharType="begin"/>
          </w:r>
          <w:r>
            <w:instrText xml:space="preserve"> HYPERLINK \l "_Toc237294301" </w:instrText>
          </w:r>
          <w:r>
            <w:fldChar w:fldCharType="separate"/>
          </w:r>
          <w:r>
            <w:rPr>
              <w:rStyle w:val="15"/>
              <w:rFonts w:ascii="Arial" w:hAnsi="Arial" w:cs="Arial"/>
              <w:lang w:val="en-GB"/>
            </w:rPr>
            <w:t>3. Entry Mode Strategy and Strategic Synthesis</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_Toc237294301 \h </w:instrText>
          </w:r>
          <w:r>
            <w:rPr>
              <w:rFonts w:ascii="Arial" w:hAnsi="Arial" w:cs="Arial"/>
              <w:lang w:val="en-GB"/>
            </w:rPr>
            <w:fldChar w:fldCharType="separate"/>
          </w:r>
          <w:r>
            <w:rPr>
              <w:rFonts w:ascii="Arial" w:hAnsi="Arial" w:cs="Arial"/>
              <w:lang w:val="en-GB"/>
            </w:rPr>
            <w:t>13</w:t>
          </w:r>
          <w:r>
            <w:rPr>
              <w:rFonts w:ascii="Arial" w:hAnsi="Arial" w:cs="Arial"/>
              <w:lang w:val="en-GB"/>
            </w:rPr>
            <w:fldChar w:fldCharType="end"/>
          </w:r>
          <w:r>
            <w:rPr>
              <w:rFonts w:ascii="Arial" w:hAnsi="Arial" w:cs="Arial"/>
              <w:lang w:val="en-GB"/>
            </w:rPr>
            <w:fldChar w:fldCharType="end"/>
          </w:r>
        </w:p>
        <w:p w14:paraId="3FAD7A5D">
          <w:pPr>
            <w:pStyle w:val="23"/>
            <w:tabs>
              <w:tab w:val="right" w:leader="dot" w:pos="9016"/>
            </w:tabs>
            <w:spacing w:line="360" w:lineRule="auto"/>
            <w:rPr>
              <w:rFonts w:ascii="Arial" w:hAnsi="Arial" w:cs="Arial"/>
              <w:lang w:val="en-GB"/>
            </w:rPr>
          </w:pPr>
          <w:r>
            <w:fldChar w:fldCharType="begin"/>
          </w:r>
          <w:r>
            <w:instrText xml:space="preserve"> HYPERLINK \l "_Toc237294302" </w:instrText>
          </w:r>
          <w:r>
            <w:fldChar w:fldCharType="separate"/>
          </w:r>
          <w:r>
            <w:rPr>
              <w:rStyle w:val="15"/>
              <w:rFonts w:ascii="Arial" w:hAnsi="Arial" w:cs="Arial"/>
              <w:lang w:val="en-GB"/>
            </w:rPr>
            <w:t>3.1 ALDI's Historical International Entry Modes</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_Toc237294302 \h </w:instrText>
          </w:r>
          <w:r>
            <w:rPr>
              <w:rFonts w:ascii="Arial" w:hAnsi="Arial" w:cs="Arial"/>
              <w:lang w:val="en-GB"/>
            </w:rPr>
            <w:fldChar w:fldCharType="separate"/>
          </w:r>
          <w:r>
            <w:rPr>
              <w:rFonts w:ascii="Arial" w:hAnsi="Arial" w:cs="Arial"/>
              <w:lang w:val="en-GB"/>
            </w:rPr>
            <w:t>13</w:t>
          </w:r>
          <w:r>
            <w:rPr>
              <w:rFonts w:ascii="Arial" w:hAnsi="Arial" w:cs="Arial"/>
              <w:lang w:val="en-GB"/>
            </w:rPr>
            <w:fldChar w:fldCharType="end"/>
          </w:r>
          <w:r>
            <w:rPr>
              <w:rFonts w:ascii="Arial" w:hAnsi="Arial" w:cs="Arial"/>
              <w:lang w:val="en-GB"/>
            </w:rPr>
            <w:fldChar w:fldCharType="end"/>
          </w:r>
        </w:p>
        <w:p w14:paraId="7D3C212A">
          <w:pPr>
            <w:pStyle w:val="23"/>
            <w:tabs>
              <w:tab w:val="right" w:leader="dot" w:pos="9016"/>
            </w:tabs>
            <w:spacing w:line="360" w:lineRule="auto"/>
            <w:rPr>
              <w:rFonts w:ascii="Arial" w:hAnsi="Arial" w:cs="Arial"/>
              <w:lang w:val="en-GB"/>
            </w:rPr>
          </w:pPr>
          <w:r>
            <w:fldChar w:fldCharType="begin"/>
          </w:r>
          <w:r>
            <w:instrText xml:space="preserve"> HYPERLINK \l "_Toc237294303" </w:instrText>
          </w:r>
          <w:r>
            <w:fldChar w:fldCharType="separate"/>
          </w:r>
          <w:r>
            <w:rPr>
              <w:rStyle w:val="15"/>
              <w:rFonts w:ascii="Arial" w:hAnsi="Arial" w:cs="Arial"/>
              <w:lang w:val="en-GB"/>
            </w:rPr>
            <w:t>3.2 Critical Evaluation of ALDI's Historical Entry Approach</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_Toc237294303 \h </w:instrText>
          </w:r>
          <w:r>
            <w:rPr>
              <w:rFonts w:ascii="Arial" w:hAnsi="Arial" w:cs="Arial"/>
              <w:lang w:val="en-GB"/>
            </w:rPr>
            <w:fldChar w:fldCharType="separate"/>
          </w:r>
          <w:r>
            <w:rPr>
              <w:rFonts w:ascii="Arial" w:hAnsi="Arial" w:cs="Arial"/>
              <w:lang w:val="en-GB"/>
            </w:rPr>
            <w:t>14</w:t>
          </w:r>
          <w:r>
            <w:rPr>
              <w:rFonts w:ascii="Arial" w:hAnsi="Arial" w:cs="Arial"/>
              <w:lang w:val="en-GB"/>
            </w:rPr>
            <w:fldChar w:fldCharType="end"/>
          </w:r>
          <w:r>
            <w:rPr>
              <w:rFonts w:ascii="Arial" w:hAnsi="Arial" w:cs="Arial"/>
              <w:lang w:val="en-GB"/>
            </w:rPr>
            <w:fldChar w:fldCharType="end"/>
          </w:r>
        </w:p>
        <w:p w14:paraId="06D1513B">
          <w:pPr>
            <w:pStyle w:val="23"/>
            <w:tabs>
              <w:tab w:val="right" w:leader="dot" w:pos="9016"/>
            </w:tabs>
            <w:spacing w:line="360" w:lineRule="auto"/>
            <w:rPr>
              <w:rFonts w:ascii="Arial" w:hAnsi="Arial" w:cs="Arial"/>
              <w:lang w:val="en-GB"/>
            </w:rPr>
          </w:pPr>
          <w:r>
            <w:fldChar w:fldCharType="begin"/>
          </w:r>
          <w:r>
            <w:instrText xml:space="preserve"> HYPERLINK \l "_Toc237294304" </w:instrText>
          </w:r>
          <w:r>
            <w:fldChar w:fldCharType="separate"/>
          </w:r>
          <w:r>
            <w:rPr>
              <w:rStyle w:val="15"/>
              <w:rFonts w:ascii="Arial" w:hAnsi="Arial" w:cs="Arial"/>
              <w:lang w:val="en-GB"/>
            </w:rPr>
            <w:t>3.3 Alternative Entry Modes for New Zealand</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_Toc237294304 \h </w:instrText>
          </w:r>
          <w:r>
            <w:rPr>
              <w:rFonts w:ascii="Arial" w:hAnsi="Arial" w:cs="Arial"/>
              <w:lang w:val="en-GB"/>
            </w:rPr>
            <w:fldChar w:fldCharType="separate"/>
          </w:r>
          <w:r>
            <w:rPr>
              <w:rFonts w:ascii="Arial" w:hAnsi="Arial" w:cs="Arial"/>
              <w:lang w:val="en-GB"/>
            </w:rPr>
            <w:t>14</w:t>
          </w:r>
          <w:r>
            <w:rPr>
              <w:rFonts w:ascii="Arial" w:hAnsi="Arial" w:cs="Arial"/>
              <w:lang w:val="en-GB"/>
            </w:rPr>
            <w:fldChar w:fldCharType="end"/>
          </w:r>
          <w:r>
            <w:rPr>
              <w:rFonts w:ascii="Arial" w:hAnsi="Arial" w:cs="Arial"/>
              <w:lang w:val="en-GB"/>
            </w:rPr>
            <w:fldChar w:fldCharType="end"/>
          </w:r>
        </w:p>
        <w:p w14:paraId="2725F969">
          <w:pPr>
            <w:pStyle w:val="23"/>
            <w:tabs>
              <w:tab w:val="right" w:leader="dot" w:pos="9016"/>
            </w:tabs>
            <w:spacing w:line="360" w:lineRule="auto"/>
            <w:rPr>
              <w:rFonts w:ascii="Arial" w:hAnsi="Arial" w:cs="Arial"/>
              <w:lang w:val="en-GB"/>
            </w:rPr>
          </w:pPr>
          <w:r>
            <w:fldChar w:fldCharType="begin"/>
          </w:r>
          <w:r>
            <w:instrText xml:space="preserve"> HYPERLINK \l "_Toc237294305" </w:instrText>
          </w:r>
          <w:r>
            <w:fldChar w:fldCharType="separate"/>
          </w:r>
          <w:r>
            <w:rPr>
              <w:rStyle w:val="15"/>
              <w:rFonts w:ascii="Arial" w:hAnsi="Arial" w:cs="Arial"/>
              <w:lang w:val="en-GB"/>
            </w:rPr>
            <w:t>3.5 Final Entry-Mode Recommendation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_Toc237294305 \h </w:instrText>
          </w:r>
          <w:r>
            <w:rPr>
              <w:rFonts w:ascii="Arial" w:hAnsi="Arial" w:cs="Arial"/>
              <w:lang w:val="en-GB"/>
            </w:rPr>
            <w:fldChar w:fldCharType="separate"/>
          </w:r>
          <w:r>
            <w:rPr>
              <w:rFonts w:ascii="Arial" w:hAnsi="Arial" w:cs="Arial"/>
              <w:lang w:val="en-GB"/>
            </w:rPr>
            <w:t>16</w:t>
          </w:r>
          <w:r>
            <w:rPr>
              <w:rFonts w:ascii="Arial" w:hAnsi="Arial" w:cs="Arial"/>
              <w:lang w:val="en-GB"/>
            </w:rPr>
            <w:fldChar w:fldCharType="end"/>
          </w:r>
          <w:r>
            <w:rPr>
              <w:rFonts w:ascii="Arial" w:hAnsi="Arial" w:cs="Arial"/>
              <w:lang w:val="en-GB"/>
            </w:rPr>
            <w:fldChar w:fldCharType="end"/>
          </w:r>
        </w:p>
        <w:p w14:paraId="76DDF4BA">
          <w:pPr>
            <w:pStyle w:val="22"/>
            <w:tabs>
              <w:tab w:val="right" w:leader="dot" w:pos="9016"/>
            </w:tabs>
            <w:spacing w:line="360" w:lineRule="auto"/>
            <w:rPr>
              <w:rFonts w:ascii="Arial" w:hAnsi="Arial" w:cs="Arial"/>
              <w:lang w:val="en-GB"/>
            </w:rPr>
          </w:pPr>
          <w:r>
            <w:fldChar w:fldCharType="begin"/>
          </w:r>
          <w:r>
            <w:instrText xml:space="preserve"> HYPERLINK \l "_Toc237294306" </w:instrText>
          </w:r>
          <w:r>
            <w:fldChar w:fldCharType="separate"/>
          </w:r>
          <w:r>
            <w:rPr>
              <w:rStyle w:val="15"/>
              <w:rFonts w:ascii="Arial" w:hAnsi="Arial" w:cs="Arial"/>
              <w:lang w:val="en-GB"/>
            </w:rPr>
            <w:t>Section 1: Conclusion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_Toc237294306 \h </w:instrText>
          </w:r>
          <w:r>
            <w:rPr>
              <w:rFonts w:ascii="Arial" w:hAnsi="Arial" w:cs="Arial"/>
              <w:lang w:val="en-GB"/>
            </w:rPr>
            <w:fldChar w:fldCharType="separate"/>
          </w:r>
          <w:r>
            <w:rPr>
              <w:rFonts w:ascii="Arial" w:hAnsi="Arial" w:cs="Arial"/>
              <w:lang w:val="en-GB"/>
            </w:rPr>
            <w:t>17</w:t>
          </w:r>
          <w:r>
            <w:rPr>
              <w:rFonts w:ascii="Arial" w:hAnsi="Arial" w:cs="Arial"/>
              <w:lang w:val="en-GB"/>
            </w:rPr>
            <w:fldChar w:fldCharType="end"/>
          </w:r>
          <w:r>
            <w:rPr>
              <w:rFonts w:ascii="Arial" w:hAnsi="Arial" w:cs="Arial"/>
              <w:lang w:val="en-GB"/>
            </w:rPr>
            <w:fldChar w:fldCharType="end"/>
          </w:r>
        </w:p>
        <w:p w14:paraId="3C027DA1">
          <w:pPr>
            <w:pStyle w:val="21"/>
            <w:tabs>
              <w:tab w:val="right" w:leader="dot" w:pos="9016"/>
            </w:tabs>
            <w:spacing w:line="360" w:lineRule="auto"/>
            <w:rPr>
              <w:rFonts w:ascii="Arial" w:hAnsi="Arial" w:cs="Arial"/>
              <w:lang w:val="en-GB"/>
            </w:rPr>
          </w:pPr>
          <w:r>
            <w:fldChar w:fldCharType="begin"/>
          </w:r>
          <w:r>
            <w:instrText xml:space="preserve"> HYPERLINK \l "_Toc237294307" </w:instrText>
          </w:r>
          <w:r>
            <w:fldChar w:fldCharType="separate"/>
          </w:r>
          <w:r>
            <w:rPr>
              <w:rStyle w:val="15"/>
              <w:rFonts w:ascii="Arial" w:hAnsi="Arial" w:cs="Arial"/>
              <w:lang w:val="en-GB"/>
            </w:rPr>
            <w:t>SECTION 2: REFLECTIVE ACCOUNT – GIBBS’ REFLECTIVE CYCLE</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_Toc237294307 \h </w:instrText>
          </w:r>
          <w:r>
            <w:rPr>
              <w:rFonts w:ascii="Arial" w:hAnsi="Arial" w:cs="Arial"/>
              <w:lang w:val="en-GB"/>
            </w:rPr>
            <w:fldChar w:fldCharType="separate"/>
          </w:r>
          <w:r>
            <w:rPr>
              <w:rFonts w:ascii="Arial" w:hAnsi="Arial" w:cs="Arial"/>
              <w:lang w:val="en-GB"/>
            </w:rPr>
            <w:t>18</w:t>
          </w:r>
          <w:r>
            <w:rPr>
              <w:rFonts w:ascii="Arial" w:hAnsi="Arial" w:cs="Arial"/>
              <w:lang w:val="en-GB"/>
            </w:rPr>
            <w:fldChar w:fldCharType="end"/>
          </w:r>
          <w:r>
            <w:rPr>
              <w:rFonts w:ascii="Arial" w:hAnsi="Arial" w:cs="Arial"/>
              <w:lang w:val="en-GB"/>
            </w:rPr>
            <w:fldChar w:fldCharType="end"/>
          </w:r>
        </w:p>
        <w:p w14:paraId="469A5F48">
          <w:pPr>
            <w:pStyle w:val="22"/>
            <w:tabs>
              <w:tab w:val="right" w:leader="dot" w:pos="9016"/>
            </w:tabs>
            <w:spacing w:line="360" w:lineRule="auto"/>
            <w:rPr>
              <w:rFonts w:ascii="Arial" w:hAnsi="Arial" w:cs="Arial"/>
              <w:lang w:val="en-GB"/>
            </w:rPr>
          </w:pPr>
          <w:r>
            <w:fldChar w:fldCharType="begin"/>
          </w:r>
          <w:r>
            <w:instrText xml:space="preserve"> HYPERLINK \l "_Toc237294308" </w:instrText>
          </w:r>
          <w:r>
            <w:fldChar w:fldCharType="separate"/>
          </w:r>
          <w:r>
            <w:rPr>
              <w:rStyle w:val="15"/>
              <w:rFonts w:ascii="Arial" w:hAnsi="Arial" w:cs="Arial"/>
              <w:lang w:val="en-GB"/>
            </w:rPr>
            <w:t>2.1 Description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_Toc237294308 \h </w:instrText>
          </w:r>
          <w:r>
            <w:rPr>
              <w:rFonts w:ascii="Arial" w:hAnsi="Arial" w:cs="Arial"/>
              <w:lang w:val="en-GB"/>
            </w:rPr>
            <w:fldChar w:fldCharType="separate"/>
          </w:r>
          <w:r>
            <w:rPr>
              <w:rFonts w:ascii="Arial" w:hAnsi="Arial" w:cs="Arial"/>
              <w:lang w:val="en-GB"/>
            </w:rPr>
            <w:t>18</w:t>
          </w:r>
          <w:r>
            <w:rPr>
              <w:rFonts w:ascii="Arial" w:hAnsi="Arial" w:cs="Arial"/>
              <w:lang w:val="en-GB"/>
            </w:rPr>
            <w:fldChar w:fldCharType="end"/>
          </w:r>
          <w:r>
            <w:rPr>
              <w:rFonts w:ascii="Arial" w:hAnsi="Arial" w:cs="Arial"/>
              <w:lang w:val="en-GB"/>
            </w:rPr>
            <w:fldChar w:fldCharType="end"/>
          </w:r>
        </w:p>
        <w:p w14:paraId="2B46262C">
          <w:pPr>
            <w:pStyle w:val="22"/>
            <w:tabs>
              <w:tab w:val="right" w:leader="dot" w:pos="9016"/>
            </w:tabs>
            <w:spacing w:line="360" w:lineRule="auto"/>
            <w:rPr>
              <w:rFonts w:ascii="Arial" w:hAnsi="Arial" w:cs="Arial"/>
              <w:lang w:val="en-GB"/>
            </w:rPr>
          </w:pPr>
          <w:r>
            <w:fldChar w:fldCharType="begin"/>
          </w:r>
          <w:r>
            <w:instrText xml:space="preserve"> HYPERLINK \l "_Toc237294309" </w:instrText>
          </w:r>
          <w:r>
            <w:fldChar w:fldCharType="separate"/>
          </w:r>
          <w:r>
            <w:rPr>
              <w:rStyle w:val="15"/>
              <w:rFonts w:ascii="Arial" w:hAnsi="Arial" w:cs="Arial"/>
              <w:lang w:val="en-GB"/>
            </w:rPr>
            <w:t>2.2 Feelings</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_Toc237294309 \h </w:instrText>
          </w:r>
          <w:r>
            <w:rPr>
              <w:rFonts w:ascii="Arial" w:hAnsi="Arial" w:cs="Arial"/>
              <w:lang w:val="en-GB"/>
            </w:rPr>
            <w:fldChar w:fldCharType="separate"/>
          </w:r>
          <w:r>
            <w:rPr>
              <w:rFonts w:ascii="Arial" w:hAnsi="Arial" w:cs="Arial"/>
              <w:lang w:val="en-GB"/>
            </w:rPr>
            <w:t>18</w:t>
          </w:r>
          <w:r>
            <w:rPr>
              <w:rFonts w:ascii="Arial" w:hAnsi="Arial" w:cs="Arial"/>
              <w:lang w:val="en-GB"/>
            </w:rPr>
            <w:fldChar w:fldCharType="end"/>
          </w:r>
          <w:r>
            <w:rPr>
              <w:rFonts w:ascii="Arial" w:hAnsi="Arial" w:cs="Arial"/>
              <w:lang w:val="en-GB"/>
            </w:rPr>
            <w:fldChar w:fldCharType="end"/>
          </w:r>
        </w:p>
        <w:p w14:paraId="3D3337BB">
          <w:pPr>
            <w:pStyle w:val="22"/>
            <w:tabs>
              <w:tab w:val="right" w:leader="dot" w:pos="9016"/>
            </w:tabs>
            <w:spacing w:line="360" w:lineRule="auto"/>
            <w:rPr>
              <w:rFonts w:ascii="Arial" w:hAnsi="Arial" w:cs="Arial"/>
              <w:lang w:val="en-GB"/>
            </w:rPr>
          </w:pPr>
          <w:r>
            <w:fldChar w:fldCharType="begin"/>
          </w:r>
          <w:r>
            <w:instrText xml:space="preserve"> HYPERLINK \l "_Toc237294310" </w:instrText>
          </w:r>
          <w:r>
            <w:fldChar w:fldCharType="separate"/>
          </w:r>
          <w:r>
            <w:rPr>
              <w:rStyle w:val="15"/>
              <w:rFonts w:ascii="Arial" w:hAnsi="Arial" w:cs="Arial"/>
              <w:lang w:val="en-GB"/>
            </w:rPr>
            <w:t>2.3 Evaluation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_Toc237294310 \h </w:instrText>
          </w:r>
          <w:r>
            <w:rPr>
              <w:rFonts w:ascii="Arial" w:hAnsi="Arial" w:cs="Arial"/>
              <w:lang w:val="en-GB"/>
            </w:rPr>
            <w:fldChar w:fldCharType="separate"/>
          </w:r>
          <w:r>
            <w:rPr>
              <w:rFonts w:ascii="Arial" w:hAnsi="Arial" w:cs="Arial"/>
              <w:lang w:val="en-GB"/>
            </w:rPr>
            <w:t>18</w:t>
          </w:r>
          <w:r>
            <w:rPr>
              <w:rFonts w:ascii="Arial" w:hAnsi="Arial" w:cs="Arial"/>
              <w:lang w:val="en-GB"/>
            </w:rPr>
            <w:fldChar w:fldCharType="end"/>
          </w:r>
          <w:r>
            <w:rPr>
              <w:rFonts w:ascii="Arial" w:hAnsi="Arial" w:cs="Arial"/>
              <w:lang w:val="en-GB"/>
            </w:rPr>
            <w:fldChar w:fldCharType="end"/>
          </w:r>
        </w:p>
        <w:p w14:paraId="70EDE14A">
          <w:pPr>
            <w:pStyle w:val="22"/>
            <w:tabs>
              <w:tab w:val="right" w:leader="dot" w:pos="9016"/>
            </w:tabs>
            <w:spacing w:line="360" w:lineRule="auto"/>
            <w:rPr>
              <w:rFonts w:ascii="Arial" w:hAnsi="Arial" w:cs="Arial"/>
              <w:lang w:val="en-GB"/>
            </w:rPr>
          </w:pPr>
          <w:r>
            <w:fldChar w:fldCharType="begin"/>
          </w:r>
          <w:r>
            <w:instrText xml:space="preserve"> HYPERLINK \l "_Toc237294311" </w:instrText>
          </w:r>
          <w:r>
            <w:fldChar w:fldCharType="separate"/>
          </w:r>
          <w:r>
            <w:rPr>
              <w:rStyle w:val="15"/>
              <w:rFonts w:ascii="Arial" w:hAnsi="Arial" w:cs="Arial"/>
              <w:lang w:val="en-GB"/>
            </w:rPr>
            <w:t>2.4 Analysis</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_Toc237294311 \h </w:instrText>
          </w:r>
          <w:r>
            <w:rPr>
              <w:rFonts w:ascii="Arial" w:hAnsi="Arial" w:cs="Arial"/>
              <w:lang w:val="en-GB"/>
            </w:rPr>
            <w:fldChar w:fldCharType="separate"/>
          </w:r>
          <w:r>
            <w:rPr>
              <w:rFonts w:ascii="Arial" w:hAnsi="Arial" w:cs="Arial"/>
              <w:lang w:val="en-GB"/>
            </w:rPr>
            <w:t>19</w:t>
          </w:r>
          <w:r>
            <w:rPr>
              <w:rFonts w:ascii="Arial" w:hAnsi="Arial" w:cs="Arial"/>
              <w:lang w:val="en-GB"/>
            </w:rPr>
            <w:fldChar w:fldCharType="end"/>
          </w:r>
          <w:r>
            <w:rPr>
              <w:rFonts w:ascii="Arial" w:hAnsi="Arial" w:cs="Arial"/>
              <w:lang w:val="en-GB"/>
            </w:rPr>
            <w:fldChar w:fldCharType="end"/>
          </w:r>
        </w:p>
        <w:p w14:paraId="70E8C459">
          <w:pPr>
            <w:pStyle w:val="22"/>
            <w:tabs>
              <w:tab w:val="right" w:leader="dot" w:pos="9016"/>
            </w:tabs>
            <w:spacing w:line="360" w:lineRule="auto"/>
            <w:rPr>
              <w:rFonts w:ascii="Arial" w:hAnsi="Arial" w:cs="Arial"/>
              <w:lang w:val="en-GB"/>
            </w:rPr>
          </w:pPr>
          <w:r>
            <w:fldChar w:fldCharType="begin"/>
          </w:r>
          <w:r>
            <w:instrText xml:space="preserve"> HYPERLINK \l "_Toc237294312" </w:instrText>
          </w:r>
          <w:r>
            <w:fldChar w:fldCharType="separate"/>
          </w:r>
          <w:r>
            <w:rPr>
              <w:rStyle w:val="15"/>
              <w:rFonts w:ascii="Arial" w:hAnsi="Arial" w:cs="Arial"/>
              <w:lang w:val="en-GB"/>
            </w:rPr>
            <w:t>2.5 Conclusion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_Toc237294312 \h </w:instrText>
          </w:r>
          <w:r>
            <w:rPr>
              <w:rFonts w:ascii="Arial" w:hAnsi="Arial" w:cs="Arial"/>
              <w:lang w:val="en-GB"/>
            </w:rPr>
            <w:fldChar w:fldCharType="separate"/>
          </w:r>
          <w:r>
            <w:rPr>
              <w:rFonts w:ascii="Arial" w:hAnsi="Arial" w:cs="Arial"/>
              <w:lang w:val="en-GB"/>
            </w:rPr>
            <w:t>19</w:t>
          </w:r>
          <w:r>
            <w:rPr>
              <w:rFonts w:ascii="Arial" w:hAnsi="Arial" w:cs="Arial"/>
              <w:lang w:val="en-GB"/>
            </w:rPr>
            <w:fldChar w:fldCharType="end"/>
          </w:r>
          <w:r>
            <w:rPr>
              <w:rFonts w:ascii="Arial" w:hAnsi="Arial" w:cs="Arial"/>
              <w:lang w:val="en-GB"/>
            </w:rPr>
            <w:fldChar w:fldCharType="end"/>
          </w:r>
        </w:p>
        <w:p w14:paraId="2CC17CE6">
          <w:pPr>
            <w:pStyle w:val="22"/>
            <w:tabs>
              <w:tab w:val="right" w:leader="dot" w:pos="9016"/>
            </w:tabs>
            <w:spacing w:line="360" w:lineRule="auto"/>
            <w:rPr>
              <w:rFonts w:ascii="Arial" w:hAnsi="Arial" w:cs="Arial"/>
              <w:lang w:val="en-GB"/>
            </w:rPr>
          </w:pPr>
          <w:r>
            <w:fldChar w:fldCharType="begin"/>
          </w:r>
          <w:r>
            <w:instrText xml:space="preserve"> HYPERLINK \l "_Toc237294313" </w:instrText>
          </w:r>
          <w:r>
            <w:fldChar w:fldCharType="separate"/>
          </w:r>
          <w:r>
            <w:rPr>
              <w:rStyle w:val="15"/>
              <w:rFonts w:ascii="Arial" w:hAnsi="Arial" w:cs="Arial"/>
              <w:lang w:val="en-GB"/>
            </w:rPr>
            <w:t>2.6 Action Plan</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_Toc237294313 \h </w:instrText>
          </w:r>
          <w:r>
            <w:rPr>
              <w:rFonts w:ascii="Arial" w:hAnsi="Arial" w:cs="Arial"/>
              <w:lang w:val="en-GB"/>
            </w:rPr>
            <w:fldChar w:fldCharType="separate"/>
          </w:r>
          <w:r>
            <w:rPr>
              <w:rFonts w:ascii="Arial" w:hAnsi="Arial" w:cs="Arial"/>
              <w:lang w:val="en-GB"/>
            </w:rPr>
            <w:t>20</w:t>
          </w:r>
          <w:r>
            <w:rPr>
              <w:rFonts w:ascii="Arial" w:hAnsi="Arial" w:cs="Arial"/>
              <w:lang w:val="en-GB"/>
            </w:rPr>
            <w:fldChar w:fldCharType="end"/>
          </w:r>
          <w:r>
            <w:rPr>
              <w:rFonts w:ascii="Arial" w:hAnsi="Arial" w:cs="Arial"/>
              <w:lang w:val="en-GB"/>
            </w:rPr>
            <w:fldChar w:fldCharType="end"/>
          </w:r>
        </w:p>
        <w:p w14:paraId="15E1530E">
          <w:pPr>
            <w:pStyle w:val="21"/>
            <w:tabs>
              <w:tab w:val="right" w:leader="dot" w:pos="9016"/>
            </w:tabs>
            <w:spacing w:line="360" w:lineRule="auto"/>
            <w:rPr>
              <w:rFonts w:ascii="Arial" w:hAnsi="Arial" w:cs="Arial"/>
              <w:lang w:val="en-GB"/>
            </w:rPr>
          </w:pPr>
          <w:r>
            <w:fldChar w:fldCharType="begin"/>
          </w:r>
          <w:r>
            <w:instrText xml:space="preserve"> HYPERLINK \l "_Toc237294314" </w:instrText>
          </w:r>
          <w:r>
            <w:fldChar w:fldCharType="separate"/>
          </w:r>
          <w:r>
            <w:rPr>
              <w:rStyle w:val="15"/>
              <w:rFonts w:ascii="Arial" w:hAnsi="Arial" w:cs="Arial"/>
              <w:lang w:val="en-GB"/>
            </w:rPr>
            <w:t>References</w:t>
          </w:r>
          <w:r>
            <w:rPr>
              <w:rFonts w:ascii="Arial" w:hAnsi="Arial" w:cs="Arial"/>
              <w:lang w:val="en-GB"/>
            </w:rPr>
            <w:tab/>
          </w:r>
          <w:r>
            <w:rPr>
              <w:rFonts w:ascii="Arial" w:hAnsi="Arial" w:cs="Arial"/>
              <w:lang w:val="en-GB"/>
            </w:rPr>
            <w:fldChar w:fldCharType="begin"/>
          </w:r>
          <w:r>
            <w:rPr>
              <w:rFonts w:ascii="Arial" w:hAnsi="Arial" w:cs="Arial"/>
              <w:lang w:val="en-GB"/>
            </w:rPr>
            <w:instrText xml:space="preserve"> PAGEREF _Toc237294314 \h </w:instrText>
          </w:r>
          <w:r>
            <w:rPr>
              <w:rFonts w:ascii="Arial" w:hAnsi="Arial" w:cs="Arial"/>
              <w:lang w:val="en-GB"/>
            </w:rPr>
            <w:fldChar w:fldCharType="separate"/>
          </w:r>
          <w:r>
            <w:rPr>
              <w:rFonts w:ascii="Arial" w:hAnsi="Arial" w:cs="Arial"/>
              <w:lang w:val="en-GB"/>
            </w:rPr>
            <w:t>21</w:t>
          </w:r>
          <w:r>
            <w:rPr>
              <w:rFonts w:ascii="Arial" w:hAnsi="Arial" w:cs="Arial"/>
              <w:lang w:val="en-GB"/>
            </w:rPr>
            <w:fldChar w:fldCharType="end"/>
          </w:r>
          <w:r>
            <w:rPr>
              <w:rFonts w:ascii="Arial" w:hAnsi="Arial" w:cs="Arial"/>
              <w:lang w:val="en-GB"/>
            </w:rPr>
            <w:fldChar w:fldCharType="end"/>
          </w:r>
        </w:p>
        <w:p w14:paraId="6B6D64E2">
          <w:pPr>
            <w:spacing w:line="360" w:lineRule="auto"/>
            <w:rPr>
              <w:rFonts w:ascii="Arial" w:hAnsi="Arial" w:cs="Arial"/>
              <w:lang w:val="en-GB"/>
            </w:rPr>
          </w:pPr>
          <w:r>
            <w:rPr>
              <w:rFonts w:ascii="Arial" w:hAnsi="Arial" w:cs="Arial"/>
              <w:b/>
              <w:bCs/>
              <w:lang w:val="en-GB"/>
            </w:rPr>
            <w:fldChar w:fldCharType="end"/>
          </w:r>
        </w:p>
      </w:sdtContent>
    </w:sdt>
    <w:p w14:paraId="24CB0ED6">
      <w:pPr>
        <w:spacing w:line="360" w:lineRule="auto"/>
        <w:jc w:val="both"/>
        <w:rPr>
          <w:rFonts w:ascii="Arial" w:hAnsi="Arial" w:cs="Arial"/>
          <w:lang w:val="en-GB"/>
        </w:rPr>
      </w:pPr>
    </w:p>
    <w:p w14:paraId="7476B11E">
      <w:pPr>
        <w:spacing w:line="360" w:lineRule="auto"/>
        <w:jc w:val="both"/>
        <w:rPr>
          <w:rFonts w:ascii="Arial" w:hAnsi="Arial" w:cs="Arial"/>
          <w:b/>
          <w:bCs/>
          <w:lang w:val="en-GB"/>
        </w:rPr>
      </w:pPr>
      <w:r>
        <w:rPr>
          <w:rFonts w:ascii="Arial" w:hAnsi="Arial" w:cs="Arial"/>
          <w:b/>
          <w:bCs/>
          <w:lang w:val="en-GB"/>
        </w:rPr>
        <w:br w:type="page"/>
      </w:r>
    </w:p>
    <w:p w14:paraId="73848AF9">
      <w:pPr>
        <w:pStyle w:val="2"/>
        <w:rPr>
          <w:rFonts w:ascii="Arial" w:hAnsi="Arial" w:cs="Arial"/>
          <w:sz w:val="22"/>
          <w:szCs w:val="22"/>
          <w:lang w:val="en-GB"/>
        </w:rPr>
      </w:pPr>
      <w:bookmarkStart w:id="0" w:name="_Toc237294286"/>
      <w:r>
        <w:rPr>
          <w:rFonts w:ascii="Arial" w:hAnsi="Arial" w:cs="Arial"/>
          <w:sz w:val="22"/>
          <w:szCs w:val="22"/>
          <w:lang w:val="en-GB"/>
        </w:rPr>
        <w:t>SECTION 1: INTERNATIONAL MARKET ENTRY ANALYSIS</w:t>
      </w:r>
      <w:bookmarkEnd w:id="0"/>
    </w:p>
    <w:p w14:paraId="26D7F29A">
      <w:pPr>
        <w:spacing w:line="360" w:lineRule="auto"/>
        <w:jc w:val="center"/>
        <w:rPr>
          <w:rFonts w:ascii="Arial" w:hAnsi="Arial" w:cs="Arial"/>
          <w:b/>
          <w:bCs/>
          <w:lang w:val="en-GB"/>
        </w:rPr>
      </w:pPr>
      <w:r>
        <w:rPr>
          <w:rFonts w:ascii="Arial" w:hAnsi="Arial" w:cs="Arial"/>
          <w:b/>
          <w:bCs/>
          <w:lang w:val="en-GB"/>
        </w:rPr>
        <w:t>(ALDI's Potential Entry into New Zealand)</w:t>
      </w:r>
    </w:p>
    <w:p w14:paraId="48F3CBF8">
      <w:pPr>
        <w:pStyle w:val="3"/>
        <w:rPr>
          <w:rFonts w:ascii="Arial" w:hAnsi="Arial" w:cs="Arial"/>
          <w:sz w:val="22"/>
          <w:szCs w:val="22"/>
          <w:lang w:val="en-GB"/>
        </w:rPr>
      </w:pPr>
      <w:bookmarkStart w:id="1" w:name="_Toc237294287"/>
      <w:r>
        <w:rPr>
          <w:rFonts w:ascii="Arial" w:hAnsi="Arial" w:cs="Arial"/>
          <w:sz w:val="22"/>
          <w:szCs w:val="22"/>
          <w:lang w:val="en-GB"/>
        </w:rPr>
        <w:t>Section 1: Introduction</w:t>
      </w:r>
      <w:bookmarkEnd w:id="1"/>
      <w:r>
        <w:rPr>
          <w:rFonts w:ascii="Arial" w:hAnsi="Arial" w:cs="Arial"/>
          <w:sz w:val="22"/>
          <w:szCs w:val="22"/>
          <w:lang w:val="en-GB"/>
        </w:rPr>
        <w:t xml:space="preserve"> </w:t>
      </w:r>
    </w:p>
    <w:p w14:paraId="33D7F739">
      <w:pPr>
        <w:spacing w:line="360" w:lineRule="auto"/>
        <w:jc w:val="both"/>
        <w:rPr>
          <w:rFonts w:ascii="Arial" w:hAnsi="Arial" w:cs="Arial"/>
          <w:lang w:val="en-GB"/>
        </w:rPr>
      </w:pPr>
      <w:r>
        <w:rPr>
          <w:rFonts w:ascii="Arial" w:hAnsi="Arial" w:cs="Arial"/>
          <w:lang w:val="en-GB"/>
        </w:rPr>
        <w:t>ALDI is a major international discount supermarket operator with a strong low-cost business model. New Zealand offers a potential expansion opportunity because its grocery market remains highly concentrated, with major supermarkets holding over 80% of national market share. This section evaluates ALDI’s strategy, market attractiveness, OLI advantages and entry mode.</w:t>
      </w:r>
    </w:p>
    <w:p w14:paraId="252AF1E3">
      <w:pPr>
        <w:pStyle w:val="3"/>
        <w:rPr>
          <w:rFonts w:ascii="Arial" w:hAnsi="Arial" w:cs="Arial"/>
          <w:sz w:val="22"/>
          <w:szCs w:val="22"/>
          <w:lang w:val="en-GB"/>
        </w:rPr>
      </w:pPr>
      <w:bookmarkStart w:id="2" w:name="_Toc237294288"/>
      <w:r>
        <w:rPr>
          <w:rFonts w:ascii="Arial" w:hAnsi="Arial" w:cs="Arial"/>
          <w:sz w:val="22"/>
          <w:szCs w:val="22"/>
          <w:lang w:val="en-GB"/>
        </w:rPr>
        <w:t>1. Organisational Classification and Global Strategy</w:t>
      </w:r>
      <w:bookmarkEnd w:id="2"/>
      <w:r>
        <w:rPr>
          <w:rFonts w:ascii="Arial" w:hAnsi="Arial" w:cs="Arial"/>
          <w:sz w:val="22"/>
          <w:szCs w:val="22"/>
          <w:lang w:val="en-GB"/>
        </w:rPr>
        <w:t xml:space="preserve">                                                                                                                                                                                                                                                                                                     </w:t>
      </w:r>
    </w:p>
    <w:p w14:paraId="1731B483">
      <w:pPr>
        <w:pStyle w:val="4"/>
        <w:rPr>
          <w:rFonts w:ascii="Arial" w:hAnsi="Arial" w:cs="Arial"/>
          <w:sz w:val="22"/>
          <w:szCs w:val="22"/>
          <w:lang w:val="en-GB"/>
        </w:rPr>
      </w:pPr>
      <w:bookmarkStart w:id="3" w:name="_Toc237294289"/>
      <w:r>
        <w:rPr>
          <w:rFonts w:ascii="Arial" w:hAnsi="Arial" w:cs="Arial"/>
          <w:sz w:val="22"/>
          <w:szCs w:val="22"/>
          <w:lang w:val="en-GB"/>
        </w:rPr>
        <w:t>1.1 ALDI: Organisational and International Business Profile</w:t>
      </w:r>
      <w:bookmarkEnd w:id="3"/>
      <w:r>
        <w:rPr>
          <w:rFonts w:ascii="Arial" w:hAnsi="Arial" w:cs="Arial"/>
          <w:sz w:val="22"/>
          <w:szCs w:val="22"/>
          <w:lang w:val="en-GB"/>
        </w:rPr>
        <w:t xml:space="preserve"> </w:t>
      </w:r>
    </w:p>
    <w:p w14:paraId="638706DC">
      <w:pPr>
        <w:spacing w:line="360" w:lineRule="auto"/>
        <w:jc w:val="both"/>
        <w:rPr>
          <w:rFonts w:ascii="Arial" w:hAnsi="Arial" w:cs="Arial"/>
          <w:lang w:val="en-GB"/>
        </w:rPr>
      </w:pPr>
      <w:r>
        <w:rPr>
          <w:rFonts w:ascii="Arial" w:hAnsi="Arial" w:cs="Arial"/>
          <w:lang w:val="en-GB"/>
        </w:rPr>
        <w:t>Aldi is a multinational discount retailer based in Germany. Its business model is based on limited ranges, mostly private-label products and a strict control of operating costs. Overall, it enables Aldi to offer prices that are consistently and significantly lower than those of competitors. Academic research identifies limited ranges and high private-label penetration as defining characteristics of hard-discounters, with such retailers typically carrying fewer than 2,000 stock-keeping units (SKUs), compared with around 40,000 in conventional supermarkets (Geyskens et al., 2023). ALDI SOUTH operates in 11 countries with over 7500 stores and a workforce of 200,000 people. The markets it runs in include Germany, the UK, the US, Australia and China (Aldi, 2024). Its stores typically offer only 1,484–1,835 core products, reinforcing its cost-efficient model (Aldi, 2024). By selling private-label groceries and simplifying operations, ALDI is able to enhance its bargaining power as well as differentiate itself from its competitors (ter Braak et al., 2013).</w:t>
      </w:r>
    </w:p>
    <w:p w14:paraId="76BAD55F">
      <w:pPr>
        <w:pStyle w:val="4"/>
        <w:rPr>
          <w:rFonts w:ascii="Arial" w:hAnsi="Arial" w:cs="Arial"/>
          <w:sz w:val="22"/>
          <w:szCs w:val="22"/>
          <w:lang w:val="en-GB"/>
        </w:rPr>
      </w:pPr>
      <w:bookmarkStart w:id="4" w:name="_Toc237294290"/>
      <w:r>
        <w:rPr>
          <w:rFonts w:ascii="Arial" w:hAnsi="Arial" w:cs="Arial"/>
          <w:sz w:val="22"/>
          <w:szCs w:val="22"/>
          <w:lang w:val="en-GB"/>
        </w:rPr>
        <w:t>1.2 Bartlett and Ghoshal Strategic Classification</w:t>
      </w:r>
      <w:bookmarkEnd w:id="4"/>
      <w:r>
        <w:rPr>
          <w:rFonts w:ascii="Arial" w:hAnsi="Arial" w:cs="Arial"/>
          <w:sz w:val="22"/>
          <w:szCs w:val="22"/>
          <w:lang w:val="en-GB"/>
        </w:rPr>
        <w:t xml:space="preserve"> </w:t>
      </w:r>
    </w:p>
    <w:p w14:paraId="37F92858">
      <w:pPr>
        <w:spacing w:line="360" w:lineRule="auto"/>
        <w:jc w:val="both"/>
        <w:rPr>
          <w:rFonts w:ascii="Arial" w:hAnsi="Arial" w:cs="Arial"/>
          <w:lang w:val="en-GB"/>
        </w:rPr>
      </w:pPr>
      <w:r>
        <w:rPr>
          <w:rFonts w:ascii="Arial" w:hAnsi="Arial" w:cs="Arial"/>
          <w:lang w:val="en-GB"/>
        </w:rPr>
        <w:t>According to Bartlett and Ghoshal’s framework, ALDI primarily adopts a global strategy with selective local responsiveness. ALDI SOUTH has more than 7,500 stores and over 200,000 employees in 11 countries. And this shows a big international standardisation. With only 1,484–1,835 products in its core range, Aldi supports purchasing efficiency and operational and cost control (Aldi, 2024). Nonetheless, ALDI adjusts their product ranges to meet the national requirements of customers and works with country-specific sustainability teams. A study of 126 retail CEOs and expansion managers reveals that international retailers attain success by striking a balance between centralisation and local implementation (Swoboda et al., 2018). Consequently, ALDI’s model integrates a certain level of global integration with some degree of local adaptation that can, in theory, be applied to New Zealand (Burt et al. 2008).</w:t>
      </w:r>
    </w:p>
    <w:p w14:paraId="26545A7F">
      <w:pPr>
        <w:pStyle w:val="4"/>
        <w:rPr>
          <w:rFonts w:ascii="Arial" w:hAnsi="Arial" w:cs="Arial"/>
          <w:sz w:val="22"/>
          <w:szCs w:val="22"/>
          <w:lang w:val="en-GB"/>
        </w:rPr>
      </w:pPr>
      <w:bookmarkStart w:id="5" w:name="_Toc237294291"/>
      <w:r>
        <w:rPr>
          <w:rFonts w:ascii="Arial" w:hAnsi="Arial" w:cs="Arial"/>
          <w:sz w:val="22"/>
          <w:szCs w:val="22"/>
          <w:lang w:val="en-GB"/>
        </w:rPr>
        <w:t>1.3 Critical Evaluation of ALDI's International Strategy</w:t>
      </w:r>
      <w:bookmarkEnd w:id="5"/>
      <w:r>
        <w:rPr>
          <w:rFonts w:ascii="Arial" w:hAnsi="Arial" w:cs="Arial"/>
          <w:sz w:val="22"/>
          <w:szCs w:val="22"/>
          <w:lang w:val="en-GB"/>
        </w:rPr>
        <w:t xml:space="preserve"> </w:t>
      </w:r>
    </w:p>
    <w:p w14:paraId="7FECC4D2">
      <w:pPr>
        <w:spacing w:line="360" w:lineRule="auto"/>
        <w:jc w:val="both"/>
        <w:rPr>
          <w:rFonts w:ascii="Arial" w:hAnsi="Arial" w:cs="Arial"/>
          <w:lang w:val="en-GB"/>
        </w:rPr>
      </w:pPr>
      <w:r>
        <w:rPr>
          <w:rFonts w:ascii="Arial" w:hAnsi="Arial" w:cs="Arial"/>
          <w:lang w:val="en-GB"/>
        </w:rPr>
        <w:t>ALDI’s international strategy generates scale economies through a limited-assortment, private-label model. Hard discounters typically carry fewer than 2,000 SKUs, compared with approximately 40,000 at conventional supermarkets. Private labels can exceed 70% of assortment, supporting lower purchasing and operating costs (Shirin Yazgulieva, 2026). But, limited option might restrict consumer appeal whereas global expansion tends to raise logistical and adaptation cost. The introduction of national brands can lessen perceptions of hard discounters as generic retail stores but may reduce assortment simplicity for hard discounter customers (Geyskens et al., 2023). ALDI should keep its low-cost core for New Zealand while making selective changes to products and sourcing.</w:t>
      </w:r>
    </w:p>
    <w:p w14:paraId="1F12EE6D">
      <w:pPr>
        <w:pStyle w:val="4"/>
        <w:rPr>
          <w:rFonts w:ascii="Arial" w:hAnsi="Arial" w:cs="Arial"/>
          <w:sz w:val="22"/>
          <w:szCs w:val="22"/>
          <w:lang w:val="en-GB"/>
        </w:rPr>
      </w:pPr>
      <w:bookmarkStart w:id="6" w:name="_Toc237294292"/>
      <w:r>
        <w:rPr>
          <w:rFonts w:ascii="Arial" w:hAnsi="Arial" w:cs="Arial"/>
          <w:sz w:val="22"/>
          <w:szCs w:val="22"/>
          <w:lang w:val="en-GB"/>
        </w:rPr>
        <w:t>1.4 ALDI's Global Geographic Configuration</w:t>
      </w:r>
      <w:bookmarkEnd w:id="6"/>
      <w:r>
        <w:rPr>
          <w:rFonts w:ascii="Arial" w:hAnsi="Arial" w:cs="Arial"/>
          <w:sz w:val="22"/>
          <w:szCs w:val="22"/>
          <w:lang w:val="en-GB"/>
        </w:rPr>
        <w:t xml:space="preserve"> </w:t>
      </w:r>
    </w:p>
    <w:p w14:paraId="460C5231">
      <w:pPr>
        <w:spacing w:line="360" w:lineRule="auto"/>
        <w:jc w:val="both"/>
        <w:rPr>
          <w:rFonts w:ascii="Arial" w:hAnsi="Arial" w:cs="Arial"/>
          <w:lang w:val="en-GB"/>
        </w:rPr>
      </w:pPr>
      <w:r>
        <w:rPr>
          <w:rFonts w:ascii="Arial" w:hAnsi="Arial" w:cs="Arial"/>
          <w:lang w:val="en-GB"/>
        </w:rPr>
        <w:t xml:space="preserve">ALDI currently operates in 11 countries with its presence concentrated around Europe and the US, Australian and China (Faithfull, 2026). ALDI Australia alone has more than 550 shops, while its international expansion shows movement beyond geographically proximate European markets (Pearson, 2026). Research finds that far-away market strategies create larger sales volumes for generalist retailers than proximate-market strategies (Stein, 2021). New Zealand has a replicable, scalable model of internationalisation and footprint. </w:t>
      </w:r>
    </w:p>
    <w:p w14:paraId="34DF87DF">
      <w:pPr>
        <w:pStyle w:val="4"/>
        <w:rPr>
          <w:rFonts w:ascii="Arial" w:hAnsi="Arial" w:cs="Arial"/>
          <w:sz w:val="22"/>
          <w:szCs w:val="22"/>
          <w:lang w:val="en-GB"/>
        </w:rPr>
      </w:pPr>
      <w:bookmarkStart w:id="7" w:name="_Toc237294293"/>
      <w:r>
        <w:rPr>
          <w:rFonts w:ascii="Arial" w:hAnsi="Arial" w:cs="Arial"/>
          <w:sz w:val="22"/>
          <w:szCs w:val="22"/>
          <w:lang w:val="en-GB"/>
        </w:rPr>
        <w:t>1.5 International Operations and Competitive Advantage</w:t>
      </w:r>
      <w:bookmarkEnd w:id="7"/>
      <w:r>
        <w:rPr>
          <w:rFonts w:ascii="Arial" w:hAnsi="Arial" w:cs="Arial"/>
          <w:sz w:val="22"/>
          <w:szCs w:val="22"/>
          <w:lang w:val="en-GB"/>
        </w:rPr>
        <w:t xml:space="preserve"> </w:t>
      </w:r>
    </w:p>
    <w:p w14:paraId="2A417B0C">
      <w:pPr>
        <w:spacing w:line="360" w:lineRule="auto"/>
        <w:jc w:val="both"/>
        <w:rPr>
          <w:rFonts w:ascii="Arial" w:hAnsi="Arial" w:cs="Arial"/>
          <w:lang w:val="en-GB"/>
        </w:rPr>
      </w:pPr>
      <w:r>
        <w:rPr>
          <w:rFonts w:ascii="Arial" w:hAnsi="Arial" w:cs="Arial"/>
          <w:lang w:val="en-GB"/>
        </w:rPr>
        <w:t>ALDI’s extended international presence significantly boosts its purchasing power, helps learn better operational learning and supply-chain capability, and ensures great economies of scale. Further, the network allows the retail giant to transfer its low-cost retail model across its network of markets. Research indicates that internationalization may improve the performance of retailers by increasing market access (Batsakis et al., 2023). Entering in New Zealand can bring about these benefits, however, geographical distance may escalate logistics cost and reduce scale benefits.</w:t>
      </w:r>
    </w:p>
    <w:p w14:paraId="19060FCC">
      <w:pPr>
        <w:pStyle w:val="3"/>
        <w:rPr>
          <w:rFonts w:ascii="Arial" w:hAnsi="Arial" w:cs="Arial"/>
          <w:sz w:val="22"/>
          <w:szCs w:val="22"/>
          <w:lang w:val="en-GB"/>
        </w:rPr>
      </w:pPr>
      <w:bookmarkStart w:id="8" w:name="_Toc237294294"/>
      <w:r>
        <w:rPr>
          <w:rFonts w:ascii="Arial" w:hAnsi="Arial" w:cs="Arial"/>
          <w:sz w:val="22"/>
          <w:szCs w:val="22"/>
          <w:lang w:val="en-GB"/>
        </w:rPr>
        <w:t>2. Macro-Environmental Appraisal and Market Attractiveness</w:t>
      </w:r>
      <w:bookmarkEnd w:id="8"/>
      <w:r>
        <w:rPr>
          <w:rFonts w:ascii="Arial" w:hAnsi="Arial" w:cs="Arial"/>
          <w:sz w:val="22"/>
          <w:szCs w:val="22"/>
          <w:lang w:val="en-GB"/>
        </w:rPr>
        <w:t xml:space="preserve"> </w:t>
      </w:r>
    </w:p>
    <w:p w14:paraId="10FC5A2C">
      <w:pPr>
        <w:pStyle w:val="4"/>
        <w:rPr>
          <w:rFonts w:ascii="Arial" w:hAnsi="Arial" w:cs="Arial"/>
          <w:sz w:val="22"/>
          <w:szCs w:val="22"/>
          <w:lang w:val="en-GB"/>
        </w:rPr>
      </w:pPr>
      <w:bookmarkStart w:id="9" w:name="_Toc237294295"/>
      <w:r>
        <w:rPr>
          <w:rFonts w:ascii="Arial" w:hAnsi="Arial" w:cs="Arial"/>
          <w:sz w:val="22"/>
          <w:szCs w:val="22"/>
          <w:lang w:val="en-GB"/>
        </w:rPr>
        <w:t>2.1 Rationale for Selecting New Zealand</w:t>
      </w:r>
      <w:bookmarkEnd w:id="9"/>
    </w:p>
    <w:p w14:paraId="7716316B">
      <w:pPr>
        <w:spacing w:line="360" w:lineRule="auto"/>
        <w:jc w:val="both"/>
        <w:rPr>
          <w:rFonts w:ascii="Arial" w:hAnsi="Arial" w:cs="Arial"/>
          <w:lang w:val="en-GB"/>
        </w:rPr>
      </w:pPr>
      <w:r>
        <w:rPr>
          <w:rFonts w:ascii="Arial" w:hAnsi="Arial" w:cs="Arial"/>
          <w:lang w:val="en-GB"/>
        </w:rPr>
        <w:t xml:space="preserve">ALDI considers New Zealand an attractive yet challenging market because of the country’s developed economy, concentrated grocery sector and ongoing price affordability concerns.  Foodstuffs and Woolworths together will have nearly 82 percent of national grocery market share in 2024. In this situation, there is a big gap for a discount competitor to enter the market efficiently (Commerce Commission NZ, 2025). According to the OECD, New Zealand’s grocery prices and retailer profitability continue to be high by international standards, while economies of scale and limited access to wholesale create high barriers to entry (OCED, 2024). ALDI’S value proposition may be further enhanced as a result of its private-label products, limited assortment and cost leadership.  New Zealand's small population and wide area may mean limited store density and purchasing economies. The </w:t>
      </w:r>
      <w:r>
        <w:rPr>
          <w:rFonts w:ascii="Arial" w:hAnsi="Arial" w:cs="Arial"/>
          <w:b/>
          <w:bCs/>
          <w:lang w:val="en-GB"/>
        </w:rPr>
        <w:t>Grocery Industry Competition Act 2023</w:t>
      </w:r>
      <w:r>
        <w:rPr>
          <w:rFonts w:ascii="Arial" w:hAnsi="Arial" w:cs="Arial"/>
          <w:lang w:val="en-GB"/>
        </w:rPr>
        <w:t xml:space="preserve"> introduced regulatory reforms that will make improvement to wholesale access and the implementation of a </w:t>
      </w:r>
      <w:r>
        <w:rPr>
          <w:rFonts w:ascii="Arial" w:hAnsi="Arial" w:cs="Arial"/>
          <w:b/>
          <w:bCs/>
          <w:lang w:val="en-GB"/>
        </w:rPr>
        <w:t>Grocery Supply Code</w:t>
      </w:r>
      <w:r>
        <w:rPr>
          <w:rFonts w:ascii="Arial" w:hAnsi="Arial" w:cs="Arial"/>
          <w:lang w:val="en-GB"/>
        </w:rPr>
        <w:t xml:space="preserve"> to reduce these barriers (OCED, 2024). As of 1 June 2026, ALDI’s retail-store, distribution-centre or subsidiary network in New Zealand was not significant, which is consistent with the assessment requirement. Consequently, New Zealand offers a strategically useful test of whether ALDI can transfer its established discount model, while also achieving sufficient scale and local responsiveness.</w:t>
      </w:r>
    </w:p>
    <w:p w14:paraId="2C1161F9">
      <w:pPr>
        <w:pStyle w:val="4"/>
        <w:rPr>
          <w:rFonts w:ascii="Arial" w:hAnsi="Arial" w:cs="Arial"/>
          <w:sz w:val="22"/>
          <w:szCs w:val="22"/>
          <w:lang w:val="en-GB"/>
        </w:rPr>
      </w:pPr>
      <w:bookmarkStart w:id="10" w:name="_Toc237294296"/>
      <w:r>
        <w:rPr>
          <w:rFonts w:ascii="Arial" w:hAnsi="Arial" w:cs="Arial"/>
          <w:sz w:val="22"/>
          <w:szCs w:val="22"/>
          <w:lang w:val="en-GB"/>
        </w:rPr>
        <w:t>2.2 Political Environment</w:t>
      </w:r>
      <w:bookmarkEnd w:id="10"/>
      <w:r>
        <w:rPr>
          <w:rFonts w:ascii="Arial" w:hAnsi="Arial" w:cs="Arial"/>
          <w:sz w:val="22"/>
          <w:szCs w:val="22"/>
          <w:lang w:val="en-GB"/>
        </w:rPr>
        <w:t xml:space="preserve"> </w:t>
      </w:r>
    </w:p>
    <w:p w14:paraId="4054B954">
      <w:pPr>
        <w:spacing w:line="360" w:lineRule="auto"/>
        <w:jc w:val="both"/>
        <w:rPr>
          <w:rFonts w:ascii="Arial" w:hAnsi="Arial" w:cs="Arial"/>
          <w:b/>
          <w:bCs/>
          <w:lang w:val="en-GB"/>
        </w:rPr>
      </w:pPr>
      <w:r>
        <w:rPr>
          <w:rFonts w:ascii="Arial" w:hAnsi="Arial" w:cs="Arial"/>
          <w:b/>
          <w:bCs/>
          <w:lang w:val="en-GB"/>
        </w:rPr>
        <w:t>2.2.1 Political Stability</w:t>
      </w:r>
    </w:p>
    <w:p w14:paraId="0D569CF7">
      <w:pPr>
        <w:spacing w:line="360" w:lineRule="auto"/>
        <w:jc w:val="both"/>
        <w:rPr>
          <w:rFonts w:ascii="Arial" w:hAnsi="Arial" w:cs="Arial"/>
          <w:lang w:val="en-GB"/>
        </w:rPr>
      </w:pPr>
      <w:r>
        <w:rPr>
          <w:rFonts w:ascii="Arial" w:hAnsi="Arial" w:cs="Arial"/>
          <w:lang w:val="en-GB"/>
        </w:rPr>
        <w:t>The institutional environment in New Zealand appears more predictable for ALDI than in other countries. However, the government has announced a dramatic reform effort in relation to grocery competition and foreign direct investment. It is particularly relevant the political priority to increase grocery competition that Foodstuffs North Island, Foodstuffs South Island and Woolworths New Zealand remain the regulated major retailers under the Grocery Supply Code. Effective 1 May 2026, the revised Code strengthens rules on supplier relationships and transparency (Commerce Commission, 2023). The direction of the policy might benefit ALDI since the government wants a greater competitive entry and not necessarily the protection of existing retailers. Nevertheless, continuous regulatory action also raises uncertainties around future obligations.</w:t>
      </w:r>
    </w:p>
    <w:p w14:paraId="4ED07437">
      <w:pPr>
        <w:spacing w:line="360" w:lineRule="auto"/>
        <w:jc w:val="both"/>
        <w:rPr>
          <w:rFonts w:ascii="Arial" w:hAnsi="Arial" w:cs="Arial"/>
          <w:b/>
          <w:bCs/>
          <w:lang w:val="en-GB"/>
        </w:rPr>
      </w:pPr>
      <w:r>
        <w:rPr>
          <w:rFonts w:ascii="Arial" w:hAnsi="Arial" w:cs="Arial"/>
          <w:b/>
          <w:bCs/>
          <w:lang w:val="en-GB"/>
        </w:rPr>
        <w:t>2.2.2 Foreign Investment Policy</w:t>
      </w:r>
    </w:p>
    <w:p w14:paraId="2E073C92">
      <w:pPr>
        <w:spacing w:line="360" w:lineRule="auto"/>
        <w:jc w:val="both"/>
        <w:rPr>
          <w:rFonts w:ascii="Arial" w:hAnsi="Arial" w:cs="Arial"/>
          <w:b/>
          <w:bCs/>
          <w:lang w:val="en-GB"/>
        </w:rPr>
      </w:pPr>
      <w:r>
        <w:rPr>
          <w:rFonts w:ascii="Arial" w:hAnsi="Arial" w:cs="Arial"/>
          <w:lang w:val="en-GB"/>
        </w:rPr>
        <w:t>ALDI needs to take account of foreign investment regulation as establishing stores and acquiring significant business assets in New Zealand may trigger the Overseas Investment Act 2005. For 2026, the standard significant-business-assets threshold remains NZ$100 million, while the threshold for Australian non-government investors is NZ$676 million (Toitü Te Whenua Land Information New Zealand, 2025). According to the Government, New Zealand is happy to have foreign-owned grocery firms entering or expanding in New Zealand - even German-owned ALDI. According to LINZ, no overseas-investment consent application in the grocery sector has previously been declined. Nonetheless, before deploying significant capital, ALDI would need to consider the ownership, land and asset structures.</w:t>
      </w:r>
    </w:p>
    <w:p w14:paraId="66AB77AA">
      <w:pPr>
        <w:spacing w:line="360" w:lineRule="auto"/>
        <w:jc w:val="both"/>
        <w:rPr>
          <w:rFonts w:ascii="Arial" w:hAnsi="Arial" w:cs="Arial"/>
          <w:b/>
          <w:bCs/>
          <w:lang w:val="en-GB"/>
        </w:rPr>
      </w:pPr>
      <w:r>
        <w:rPr>
          <w:rFonts w:ascii="Arial" w:hAnsi="Arial" w:cs="Arial"/>
          <w:b/>
          <w:bCs/>
          <w:lang w:val="en-GB"/>
        </w:rPr>
        <w:t>2.2.3 Government Competition Policy</w:t>
      </w:r>
    </w:p>
    <w:p w14:paraId="5B1AB1A9">
      <w:pPr>
        <w:spacing w:line="360" w:lineRule="auto"/>
        <w:jc w:val="both"/>
        <w:rPr>
          <w:rFonts w:ascii="Arial" w:hAnsi="Arial" w:cs="Arial"/>
          <w:b/>
          <w:bCs/>
          <w:lang w:val="en-GB"/>
        </w:rPr>
      </w:pPr>
      <w:r>
        <w:rPr>
          <w:rFonts w:ascii="Arial" w:hAnsi="Arial" w:cs="Arial"/>
          <w:lang w:val="en-GB"/>
        </w:rPr>
        <w:t>Competition policy represents a major opportunity. The Grocery Industry Competition Act 2023 of New Zealand seeks to resolve structural competition issues by enhancing access for new retailers. The wholesale-supply regime requires Foodstuffs and Woolworths to provide wholesale access to competing retailers. The Commission believes this access has not improved sufficiently and initiated a formal inquiry in September 2024 (Commerce Commission, 2025). The government is reforming the Overseas Investment Act to specifically enable further overseas investment in grocery retail. As a result, ALDI can enjoy an increasingly friendly political environment with respect to the lowering of entry barriers. However, continuous regulation of prices remains a compliance risk.</w:t>
      </w:r>
    </w:p>
    <w:p w14:paraId="2A1E98BB">
      <w:pPr>
        <w:spacing w:line="360" w:lineRule="auto"/>
        <w:jc w:val="both"/>
        <w:rPr>
          <w:rFonts w:ascii="Arial" w:hAnsi="Arial" w:cs="Arial"/>
          <w:b/>
          <w:bCs/>
          <w:lang w:val="en-GB"/>
        </w:rPr>
      </w:pPr>
      <w:r>
        <w:rPr>
          <w:rFonts w:ascii="Arial" w:hAnsi="Arial" w:cs="Arial"/>
          <w:b/>
          <w:bCs/>
          <w:lang w:val="en-GB"/>
        </w:rPr>
        <w:t>2.2.4 Trade and International Relations</w:t>
      </w:r>
    </w:p>
    <w:p w14:paraId="34A57CAA">
      <w:pPr>
        <w:spacing w:line="360" w:lineRule="auto"/>
        <w:jc w:val="both"/>
        <w:rPr>
          <w:rFonts w:ascii="Arial" w:hAnsi="Arial" w:cs="Arial"/>
          <w:lang w:val="en-GB"/>
        </w:rPr>
      </w:pPr>
      <w:r>
        <w:rPr>
          <w:rFonts w:ascii="Arial" w:hAnsi="Arial" w:cs="Arial"/>
          <w:lang w:val="en-GB"/>
        </w:rPr>
        <w:t>The trade relations of New Zealand can help support ALDI’s regional sourcing strategy. According to the New Zealand Ministry of Foreign Affairs and Trade (2024), the Closer Economic Relations Agreement between New Zealand and Australia imposed effective tariffs and quantitative restrictions on eligible trans-Tasman goods and reduced regulatory impediments, including food products. The fact that ALDI operates highly in Australia may allow regional procurement and supply-chain capabilities to be employed to support expansion into New Zealand.</w:t>
      </w:r>
    </w:p>
    <w:p w14:paraId="0F8B6F35">
      <w:pPr>
        <w:pStyle w:val="4"/>
        <w:rPr>
          <w:rFonts w:ascii="Arial" w:hAnsi="Arial" w:cs="Arial"/>
          <w:sz w:val="22"/>
          <w:szCs w:val="22"/>
          <w:lang w:val="en-GB"/>
        </w:rPr>
      </w:pPr>
      <w:bookmarkStart w:id="11" w:name="_Toc237294297"/>
      <w:r>
        <w:rPr>
          <w:rFonts w:ascii="Arial" w:hAnsi="Arial" w:cs="Arial"/>
          <w:sz w:val="22"/>
          <w:szCs w:val="22"/>
          <w:lang w:val="en-GB"/>
        </w:rPr>
        <w:t>2.3 Economic Environment</w:t>
      </w:r>
      <w:bookmarkEnd w:id="11"/>
      <w:r>
        <w:rPr>
          <w:rFonts w:ascii="Arial" w:hAnsi="Arial" w:cs="Arial"/>
          <w:sz w:val="22"/>
          <w:szCs w:val="22"/>
          <w:lang w:val="en-GB"/>
        </w:rPr>
        <w:t xml:space="preserve"> </w:t>
      </w:r>
    </w:p>
    <w:p w14:paraId="5A9A98FF">
      <w:pPr>
        <w:spacing w:line="360" w:lineRule="auto"/>
        <w:jc w:val="both"/>
        <w:rPr>
          <w:rFonts w:ascii="Arial" w:hAnsi="Arial" w:cs="Arial"/>
          <w:b/>
          <w:bCs/>
          <w:lang w:val="en-GB"/>
        </w:rPr>
      </w:pPr>
      <w:r>
        <w:rPr>
          <w:rFonts w:ascii="Arial" w:hAnsi="Arial" w:cs="Arial"/>
          <w:b/>
          <w:bCs/>
          <w:lang w:val="en-GB"/>
        </w:rPr>
        <w:t xml:space="preserve">2.3.1 Economic Growth </w:t>
      </w:r>
    </w:p>
    <w:p w14:paraId="77EC4986">
      <w:pPr>
        <w:spacing w:line="360" w:lineRule="auto"/>
        <w:jc w:val="both"/>
        <w:rPr>
          <w:rFonts w:ascii="Arial" w:hAnsi="Arial" w:cs="Arial"/>
          <w:lang w:val="en-GB"/>
        </w:rPr>
      </w:pPr>
      <w:r>
        <w:rPr>
          <w:rFonts w:ascii="Arial" w:hAnsi="Arial" w:cs="Arial"/>
          <w:lang w:val="en-GB"/>
        </w:rPr>
        <w:t xml:space="preserve">New Zealand is growing again, but slowly. The expected real GDP growth in 2026 is likely to stem from support from the exports, business investment and household spending. Further, Westpac lowered its 2026 GDP-growth forecast to 2.0%. In short, it has high growth potential which can prevent full recession. Though in June 2026, unemployment was 5.6%, indicating weak labour-market conditions (The Treasury – NZ Government, 2026). For ALDI, low growth may bolster demand for cheap groceries, but weaker employment could squeeze total spend. It has been researched that international retailing emphasises the host-market situation and economic conditions. These affect a retailer’s expansion performance and strategic adaptation. </w:t>
      </w:r>
    </w:p>
    <w:p w14:paraId="051CB115">
      <w:pPr>
        <w:spacing w:line="360" w:lineRule="auto"/>
        <w:jc w:val="center"/>
        <w:rPr>
          <w:rFonts w:ascii="Arial" w:hAnsi="Arial" w:cs="Arial"/>
          <w:lang w:val="en-GB"/>
        </w:rPr>
      </w:pPr>
      <w:r>
        <w:rPr>
          <w:rFonts w:ascii="Arial" w:hAnsi="Arial" w:cs="Arial"/>
          <w:lang w:val="en-GB"/>
        </w:rPr>
        <w:drawing>
          <wp:inline distT="0" distB="0" distL="0" distR="0">
            <wp:extent cx="5731510" cy="3624580"/>
            <wp:effectExtent l="0" t="0" r="2540" b="0"/>
            <wp:docPr id="75559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94513" name="Picture 1"/>
                    <pic:cNvPicPr>
                      <a:picLocks noChangeAspect="1"/>
                    </pic:cNvPicPr>
                  </pic:nvPicPr>
                  <pic:blipFill>
                    <a:blip r:embed="rId9"/>
                    <a:stretch>
                      <a:fillRect/>
                    </a:stretch>
                  </pic:blipFill>
                  <pic:spPr>
                    <a:xfrm>
                      <a:off x="0" y="0"/>
                      <a:ext cx="5731510" cy="3624580"/>
                    </a:xfrm>
                    <a:prstGeom prst="rect">
                      <a:avLst/>
                    </a:prstGeom>
                  </pic:spPr>
                </pic:pic>
              </a:graphicData>
            </a:graphic>
          </wp:inline>
        </w:drawing>
      </w:r>
    </w:p>
    <w:p w14:paraId="501ABE5A">
      <w:pPr>
        <w:spacing w:line="360" w:lineRule="auto"/>
        <w:jc w:val="center"/>
        <w:rPr>
          <w:rFonts w:ascii="Arial" w:hAnsi="Arial" w:cs="Arial"/>
          <w:b/>
          <w:bCs/>
          <w:lang w:val="en-GB"/>
        </w:rPr>
      </w:pPr>
      <w:r>
        <w:rPr>
          <w:rFonts w:ascii="Arial" w:hAnsi="Arial" w:cs="Arial"/>
          <w:b/>
          <w:bCs/>
          <w:lang w:val="en-GB"/>
        </w:rPr>
        <w:t>Figure 1: Real production GDP growth</w:t>
      </w:r>
    </w:p>
    <w:p w14:paraId="001AD2A8">
      <w:pPr>
        <w:spacing w:line="360" w:lineRule="auto"/>
        <w:jc w:val="center"/>
        <w:rPr>
          <w:rFonts w:ascii="Arial" w:hAnsi="Arial" w:cs="Arial"/>
          <w:lang w:val="en-GB"/>
        </w:rPr>
      </w:pPr>
      <w:r>
        <w:rPr>
          <w:rFonts w:ascii="Arial" w:hAnsi="Arial" w:cs="Arial"/>
          <w:lang w:val="en-GB"/>
        </w:rPr>
        <w:t>(Source: The Treasury - NZ Government, 2026)</w:t>
      </w:r>
    </w:p>
    <w:p w14:paraId="6CBB5121">
      <w:pPr>
        <w:spacing w:line="360" w:lineRule="auto"/>
        <w:jc w:val="both"/>
        <w:rPr>
          <w:rFonts w:ascii="Arial" w:hAnsi="Arial" w:cs="Arial"/>
          <w:b/>
          <w:bCs/>
          <w:lang w:val="en-GB"/>
        </w:rPr>
      </w:pPr>
      <w:r>
        <w:rPr>
          <w:rFonts w:ascii="Arial" w:hAnsi="Arial" w:cs="Arial"/>
          <w:b/>
          <w:bCs/>
          <w:lang w:val="en-GB"/>
        </w:rPr>
        <w:t xml:space="preserve">2.3.2 Household Income and Purchasing Power </w:t>
      </w:r>
    </w:p>
    <w:p w14:paraId="3270579E">
      <w:pPr>
        <w:spacing w:line="360" w:lineRule="auto"/>
        <w:jc w:val="both"/>
        <w:rPr>
          <w:rFonts w:ascii="Arial" w:hAnsi="Arial" w:cs="Arial"/>
          <w:b/>
          <w:bCs/>
          <w:lang w:val="en-GB"/>
        </w:rPr>
      </w:pPr>
      <w:r>
        <w:rPr>
          <w:rFonts w:ascii="Arial" w:hAnsi="Arial" w:cs="Arial"/>
          <w:lang w:val="en-GB"/>
        </w:rPr>
        <w:t>Household purchasing power matters as ALDI mostly competes on value and low prices. Pressure from expense is high on New Zealand household while groceries cost a major household. In the year to June 2025, people incurred $27.4 billion on groceries, one of the 5th highest in OECD per capita terms (New Zealand Gazette, 2025). A powerful combination of a high grocery bill and price sensitivity may bolster ALDI’S proposition. Nonetheless, weaker employment conditions may constrain discretionary spending and impede market growth.</w:t>
      </w:r>
    </w:p>
    <w:p w14:paraId="2EE614FB">
      <w:pPr>
        <w:spacing w:line="360" w:lineRule="auto"/>
        <w:jc w:val="both"/>
        <w:rPr>
          <w:rFonts w:ascii="Arial" w:hAnsi="Arial" w:cs="Arial"/>
          <w:b/>
          <w:bCs/>
          <w:lang w:val="en-GB"/>
        </w:rPr>
      </w:pPr>
      <w:r>
        <w:rPr>
          <w:rFonts w:ascii="Arial" w:hAnsi="Arial" w:cs="Arial"/>
          <w:b/>
          <w:bCs/>
          <w:lang w:val="en-GB"/>
        </w:rPr>
        <w:t xml:space="preserve">2.3.3 Inflation and Cost-of-Living Pressure </w:t>
      </w:r>
    </w:p>
    <w:p w14:paraId="53DA921A">
      <w:pPr>
        <w:spacing w:line="360" w:lineRule="auto"/>
        <w:jc w:val="both"/>
        <w:rPr>
          <w:rFonts w:ascii="Arial" w:hAnsi="Arial" w:cs="Arial"/>
          <w:b/>
          <w:bCs/>
          <w:lang w:val="en-GB"/>
        </w:rPr>
      </w:pPr>
      <w:r>
        <w:rPr>
          <w:rFonts w:ascii="Arial" w:hAnsi="Arial" w:cs="Arial"/>
          <w:lang w:val="en-GB"/>
        </w:rPr>
        <w:t>ALDI sees opportunities and risks due to inflation. In June 2026, New Zealand’s CPI rose 4.1% from a year earlier, above the Reserve Bank’s 1-3% target range. According to Statistics New Zealand, the price of electricity surged 12.5% in the March quarter, while the price of meat and poultry rose 8.6% in the same quarter. Consumers weighing higher prices at supermarkets may seek cheaper alternatives for groceries at ALDI. Nonetheless, inflation is also raising ALDI’s transport, energy, labour and purchasing costs, which may limit its potential to hold margins without jeopardising its low-cost offer.</w:t>
      </w:r>
    </w:p>
    <w:p w14:paraId="082FE1AD">
      <w:pPr>
        <w:spacing w:line="360" w:lineRule="auto"/>
        <w:jc w:val="center"/>
        <w:rPr>
          <w:rFonts w:ascii="Arial" w:hAnsi="Arial" w:cs="Arial"/>
          <w:lang w:val="en-GB"/>
        </w:rPr>
      </w:pPr>
      <w:r>
        <w:rPr>
          <w:rFonts w:ascii="Arial" w:hAnsi="Arial" w:cs="Arial"/>
          <w:lang w:val="en-GB"/>
        </w:rPr>
        <w:drawing>
          <wp:inline distT="0" distB="0" distL="0" distR="0">
            <wp:extent cx="5731510" cy="3577590"/>
            <wp:effectExtent l="0" t="0" r="2540" b="3810"/>
            <wp:docPr id="1538165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165856" name="Picture 1"/>
                    <pic:cNvPicPr>
                      <a:picLocks noChangeAspect="1"/>
                    </pic:cNvPicPr>
                  </pic:nvPicPr>
                  <pic:blipFill>
                    <a:blip r:embed="rId10"/>
                    <a:stretch>
                      <a:fillRect/>
                    </a:stretch>
                  </pic:blipFill>
                  <pic:spPr>
                    <a:xfrm>
                      <a:off x="0" y="0"/>
                      <a:ext cx="5731510" cy="3577590"/>
                    </a:xfrm>
                    <a:prstGeom prst="rect">
                      <a:avLst/>
                    </a:prstGeom>
                  </pic:spPr>
                </pic:pic>
              </a:graphicData>
            </a:graphic>
          </wp:inline>
        </w:drawing>
      </w:r>
    </w:p>
    <w:p w14:paraId="2FF1504A">
      <w:pPr>
        <w:spacing w:line="360" w:lineRule="auto"/>
        <w:jc w:val="center"/>
        <w:rPr>
          <w:rFonts w:ascii="Arial" w:hAnsi="Arial" w:cs="Arial"/>
          <w:b/>
          <w:bCs/>
          <w:lang w:val="en-GB"/>
        </w:rPr>
      </w:pPr>
      <w:r>
        <w:rPr>
          <w:rFonts w:ascii="Arial" w:hAnsi="Arial" w:cs="Arial"/>
          <w:b/>
          <w:bCs/>
          <w:lang w:val="en-GB"/>
        </w:rPr>
        <w:t>Figure 2: Consumers price index inflation (NZ)</w:t>
      </w:r>
    </w:p>
    <w:p w14:paraId="0323DABF">
      <w:pPr>
        <w:spacing w:line="360" w:lineRule="auto"/>
        <w:jc w:val="center"/>
        <w:rPr>
          <w:rFonts w:ascii="Arial" w:hAnsi="Arial" w:cs="Arial"/>
          <w:lang w:val="en-GB"/>
        </w:rPr>
      </w:pPr>
      <w:r>
        <w:rPr>
          <w:rFonts w:ascii="Arial" w:hAnsi="Arial" w:cs="Arial"/>
          <w:lang w:val="en-GB"/>
        </w:rPr>
        <w:t>(Source: The Treasury - NZ Government, 2026)</w:t>
      </w:r>
    </w:p>
    <w:p w14:paraId="118B8910">
      <w:pPr>
        <w:spacing w:line="360" w:lineRule="auto"/>
        <w:jc w:val="both"/>
        <w:rPr>
          <w:rFonts w:ascii="Arial" w:hAnsi="Arial" w:cs="Arial"/>
          <w:b/>
          <w:bCs/>
          <w:lang w:val="en-GB"/>
        </w:rPr>
      </w:pPr>
      <w:r>
        <w:rPr>
          <w:rFonts w:ascii="Arial" w:hAnsi="Arial" w:cs="Arial"/>
          <w:b/>
          <w:bCs/>
          <w:lang w:val="en-GB"/>
        </w:rPr>
        <w:t xml:space="preserve">2.3.4 Exchange Rates </w:t>
      </w:r>
    </w:p>
    <w:p w14:paraId="2EC14846">
      <w:pPr>
        <w:spacing w:line="360" w:lineRule="auto"/>
        <w:jc w:val="both"/>
        <w:rPr>
          <w:rFonts w:ascii="Arial" w:hAnsi="Arial" w:cs="Arial"/>
          <w:b/>
          <w:bCs/>
          <w:lang w:val="en-GB"/>
        </w:rPr>
      </w:pPr>
      <w:r>
        <w:rPr>
          <w:rFonts w:ascii="Arial" w:hAnsi="Arial" w:cs="Arial"/>
          <w:lang w:val="en-GB"/>
        </w:rPr>
        <w:t>Fluctuations in the exchange rate can significantly impact ALDI’s profitability in New Zealand as imports of products, equipment and inputs will incur foreign currency exposures. The Reserve Bank’s research shows that a 1% appreciation in the New Zealand dollar reduces ex-fuel tradable prices by 0.004–0.01% after one quarter and by 0.05–0.3% in the longer term (Brennan and Castaing, 2025). A stronger New Zealand dollar may lower imported costs, while depreciation may increase costs. ALDI could reduce their exposure by utilising local suppliers, sourcing within Australia and currency hedging.</w:t>
      </w:r>
    </w:p>
    <w:p w14:paraId="47FE7F91">
      <w:pPr>
        <w:spacing w:line="360" w:lineRule="auto"/>
        <w:jc w:val="both"/>
        <w:rPr>
          <w:rFonts w:ascii="Arial" w:hAnsi="Arial" w:cs="Arial"/>
          <w:b/>
          <w:bCs/>
          <w:lang w:val="en-GB"/>
        </w:rPr>
      </w:pPr>
      <w:r>
        <w:rPr>
          <w:rFonts w:ascii="Arial" w:hAnsi="Arial" w:cs="Arial"/>
          <w:b/>
          <w:bCs/>
          <w:lang w:val="en-GB"/>
        </w:rPr>
        <w:t xml:space="preserve">2.3.5 Labour and Operating Costs </w:t>
      </w:r>
    </w:p>
    <w:p w14:paraId="4731129D">
      <w:pPr>
        <w:spacing w:line="360" w:lineRule="auto"/>
        <w:jc w:val="both"/>
        <w:rPr>
          <w:rFonts w:ascii="Arial" w:hAnsi="Arial" w:cs="Arial"/>
          <w:b/>
          <w:bCs/>
          <w:lang w:val="en-GB"/>
        </w:rPr>
      </w:pPr>
      <w:r>
        <w:rPr>
          <w:rFonts w:ascii="Arial" w:hAnsi="Arial" w:cs="Arial"/>
          <w:lang w:val="en-GB"/>
        </w:rPr>
        <w:t>For supermarket operations, a high amount of store and distribution employment is required. Thus, labour costs are of particular relevance to ALDI. New Zealand’s legally mandated minimum wage for adults was raised from April 2026 to NZ$23.95 per hour, i.e. NZ$958 for a 40-hour week before tax (Employment New Zealand, 2024). At the same time, unemployment stood at 5.6%, creating a greater pool of available labour, while wages increased by around 2.0% (Cole, 2026). ALDI’s strategy of having less employees on their staff may help reduce labour costs partially, however, distribution, property, energy costs are key competitive restraints.</w:t>
      </w:r>
    </w:p>
    <w:p w14:paraId="40A3E0C2">
      <w:pPr>
        <w:spacing w:line="360" w:lineRule="auto"/>
        <w:jc w:val="both"/>
        <w:rPr>
          <w:rFonts w:ascii="Arial" w:hAnsi="Arial" w:cs="Arial"/>
          <w:b/>
          <w:bCs/>
          <w:lang w:val="en-GB"/>
        </w:rPr>
      </w:pPr>
      <w:r>
        <w:rPr>
          <w:rFonts w:ascii="Arial" w:hAnsi="Arial" w:cs="Arial"/>
          <w:b/>
          <w:bCs/>
          <w:lang w:val="en-GB"/>
        </w:rPr>
        <w:t xml:space="preserve">2.3.6 Market Size and Economies of Scale </w:t>
      </w:r>
    </w:p>
    <w:p w14:paraId="72EE7FAF">
      <w:pPr>
        <w:spacing w:line="360" w:lineRule="auto"/>
        <w:jc w:val="both"/>
        <w:rPr>
          <w:rFonts w:ascii="Arial" w:hAnsi="Arial" w:cs="Arial"/>
          <w:lang w:val="en-GB"/>
        </w:rPr>
      </w:pPr>
      <w:r>
        <w:rPr>
          <w:rFonts w:ascii="Arial" w:hAnsi="Arial" w:cs="Arial"/>
          <w:lang w:val="en-GB"/>
        </w:rPr>
        <w:t>Market scale is an important constraint as the chain’s discount model relies on purchase volumes, efficiently distributing and high store productivity. Consumers in New Zealand spent NZ$27.4 billion on groceries in 2025. Major supermarkets continue to dominate, with over 80% market share. This indicates strong demand but significant incumbent concentration (New Zealand Gazette, 2025). With the population spread out, distribution could be expensive and purchase economies difficult. In spite of this, high grocery spend and concentrated competition gives ALDI the opportunity to build scale first in major urban centres.</w:t>
      </w:r>
    </w:p>
    <w:p w14:paraId="3EF07766">
      <w:pPr>
        <w:pStyle w:val="4"/>
        <w:rPr>
          <w:rFonts w:ascii="Arial" w:hAnsi="Arial" w:cs="Arial"/>
          <w:sz w:val="22"/>
          <w:szCs w:val="22"/>
          <w:lang w:val="en-GB"/>
        </w:rPr>
      </w:pPr>
      <w:bookmarkStart w:id="12" w:name="_Toc237294298"/>
      <w:r>
        <w:rPr>
          <w:rFonts w:ascii="Arial" w:hAnsi="Arial" w:cs="Arial"/>
          <w:sz w:val="22"/>
          <w:szCs w:val="22"/>
          <w:lang w:val="en-GB"/>
        </w:rPr>
        <w:t>2.4 Legal and Regulatory Environment</w:t>
      </w:r>
      <w:bookmarkEnd w:id="12"/>
      <w:r>
        <w:rPr>
          <w:rFonts w:ascii="Arial" w:hAnsi="Arial" w:cs="Arial"/>
          <w:sz w:val="22"/>
          <w:szCs w:val="22"/>
          <w:lang w:val="en-GB"/>
        </w:rPr>
        <w:t xml:space="preserve"> </w:t>
      </w:r>
    </w:p>
    <w:p w14:paraId="5BAEDC49">
      <w:pPr>
        <w:spacing w:line="360" w:lineRule="auto"/>
        <w:jc w:val="both"/>
        <w:rPr>
          <w:rFonts w:ascii="Arial" w:hAnsi="Arial" w:cs="Arial"/>
          <w:b/>
          <w:bCs/>
          <w:lang w:val="en-GB"/>
        </w:rPr>
      </w:pPr>
      <w:r>
        <w:rPr>
          <w:rFonts w:ascii="Arial" w:hAnsi="Arial" w:cs="Arial"/>
          <w:b/>
          <w:bCs/>
          <w:lang w:val="en-GB"/>
        </w:rPr>
        <w:t>2.4.1 Foreign Investment Regulation</w:t>
      </w:r>
    </w:p>
    <w:p w14:paraId="33E66410">
      <w:pPr>
        <w:spacing w:line="360" w:lineRule="auto"/>
        <w:jc w:val="both"/>
        <w:rPr>
          <w:rFonts w:ascii="Arial" w:hAnsi="Arial" w:cs="Arial"/>
          <w:lang w:val="en-GB"/>
        </w:rPr>
      </w:pPr>
      <w:r>
        <w:rPr>
          <w:rFonts w:ascii="Arial" w:hAnsi="Arial" w:cs="Arial"/>
          <w:lang w:val="en-GB"/>
        </w:rPr>
        <w:t xml:space="preserve">ALDI’s investment would be assessed under New Zealand’s overseas-investment regime, in particular where land or sensitive assets are involved. As a result, the legal environment is more relevant to ALDI’s site-acquisition strategy than to normal retail trading. Recent reforms aim to make foreign investment quicker and more predictable, while screening sensitive transactions (Land Information NZ, 2023). The compliance costs created are not a significant structural impediment. Research on international business indicates that predictable institutions can reduce multinational investors' uncertainty. </w:t>
      </w:r>
    </w:p>
    <w:p w14:paraId="28998D96">
      <w:pPr>
        <w:spacing w:line="360" w:lineRule="auto"/>
        <w:jc w:val="both"/>
        <w:rPr>
          <w:rFonts w:ascii="Arial" w:hAnsi="Arial" w:cs="Arial"/>
          <w:lang w:val="en-GB"/>
        </w:rPr>
      </w:pPr>
      <w:r>
        <w:rPr>
          <w:rFonts w:ascii="Arial" w:hAnsi="Arial" w:cs="Arial"/>
          <w:b/>
          <w:bCs/>
          <w:lang w:val="en-GB"/>
        </w:rPr>
        <w:t xml:space="preserve">2.4.2 Competition Law </w:t>
      </w:r>
    </w:p>
    <w:p w14:paraId="25D969D1">
      <w:pPr>
        <w:spacing w:line="360" w:lineRule="auto"/>
        <w:jc w:val="both"/>
        <w:rPr>
          <w:rFonts w:ascii="Arial" w:hAnsi="Arial" w:cs="Arial"/>
          <w:lang w:val="en-GB"/>
        </w:rPr>
      </w:pPr>
      <w:r>
        <w:rPr>
          <w:rFonts w:ascii="Arial" w:hAnsi="Arial" w:cs="Arial"/>
          <w:lang w:val="en-GB"/>
        </w:rPr>
        <w:t>New Zealand’s competition framework is particularly relevant because ALDI would enter a concentrated grocery market. n the third quarter of the 2024/25 fiscal year, the Commerce Commission received 91 concerns under the Commerce Act, and 122 concerns in the fourth quarter, indicating continued enforcement action. (Commerce Commission, 2026) The significance of market-power controls in NZ competition law is highlighted by academic research. The regulatory setting may thus benefit ALDI by restricting certain anti-competitive practices yet adherence to competition rules and supplier obligations will add to managerial complexity.</w:t>
      </w:r>
    </w:p>
    <w:p w14:paraId="20BD44DA">
      <w:pPr>
        <w:spacing w:line="360" w:lineRule="auto"/>
        <w:jc w:val="both"/>
        <w:rPr>
          <w:rFonts w:ascii="Arial" w:hAnsi="Arial" w:cs="Arial"/>
          <w:lang w:val="en-GB"/>
        </w:rPr>
      </w:pPr>
      <w:r>
        <w:rPr>
          <w:rFonts w:ascii="Arial" w:hAnsi="Arial" w:cs="Arial"/>
          <w:b/>
          <w:bCs/>
          <w:lang w:val="en-GB"/>
        </w:rPr>
        <w:t xml:space="preserve">2.4.3 Food Regulation </w:t>
      </w:r>
    </w:p>
    <w:p w14:paraId="18073571">
      <w:pPr>
        <w:spacing w:line="360" w:lineRule="auto"/>
        <w:jc w:val="both"/>
        <w:rPr>
          <w:rFonts w:ascii="Arial" w:hAnsi="Arial" w:cs="Arial"/>
          <w:lang w:val="en-GB"/>
        </w:rPr>
      </w:pPr>
      <w:r>
        <w:rPr>
          <w:rFonts w:ascii="Arial" w:hAnsi="Arial" w:cs="Arial"/>
          <w:lang w:val="en-GB"/>
        </w:rPr>
        <w:t xml:space="preserve">ALDI must comply and register with New Zealand’s Food Act, along with verification and risk-based food-safety procedures. In 2025, New Zealand executed 57 recalls of consumer-level foods worth recalling, including 20 recalls of imported foods. This highlights the need for import-control systems for an internationally sourced retailer (Ministry for Primary Industries, 2026). Paperwork and cost have also been identified as significant issues in New Zealand food-safety management schemes. As a result, ALDI would need strong supplier audits and recall capabilities. </w:t>
      </w:r>
    </w:p>
    <w:p w14:paraId="6799E626">
      <w:pPr>
        <w:spacing w:line="360" w:lineRule="auto"/>
        <w:jc w:val="both"/>
        <w:rPr>
          <w:rFonts w:ascii="Arial" w:hAnsi="Arial" w:cs="Arial"/>
          <w:lang w:val="en-GB"/>
        </w:rPr>
      </w:pPr>
      <w:r>
        <w:rPr>
          <w:rFonts w:ascii="Arial" w:hAnsi="Arial" w:cs="Arial"/>
          <w:b/>
          <w:bCs/>
          <w:lang w:val="en-GB"/>
        </w:rPr>
        <w:t xml:space="preserve">2.4.4 Employment Law </w:t>
      </w:r>
    </w:p>
    <w:p w14:paraId="161F1F31">
      <w:pPr>
        <w:spacing w:line="360" w:lineRule="auto"/>
        <w:jc w:val="both"/>
        <w:rPr>
          <w:rFonts w:ascii="Arial" w:hAnsi="Arial" w:cs="Arial"/>
          <w:b/>
          <w:bCs/>
          <w:lang w:val="en-GB"/>
        </w:rPr>
      </w:pPr>
      <w:r>
        <w:rPr>
          <w:rFonts w:ascii="Arial" w:hAnsi="Arial" w:cs="Arial"/>
          <w:lang w:val="en-GB"/>
        </w:rPr>
        <w:t>Employment regulation affects ALDI’s ability to preserve its low-cost staffing model. As of 1 April 2026, adult minimum wage was NZ$23.95 per hour, starting-out and training rates were NZ$19.16 (Employment New Zealand, 2025) Employers need to also provide lawful employment agreements and meet statutory employment rights. Overall, ALDI’s low-cost store operations and every day low staffing would stay key for control Sensitivity of the legal framework is not a big deal, but labour compliance may suffer from the cost advantage made possible through the highly lean staffing.</w:t>
      </w:r>
    </w:p>
    <w:p w14:paraId="433EC666">
      <w:pPr>
        <w:spacing w:line="360" w:lineRule="auto"/>
        <w:jc w:val="both"/>
        <w:rPr>
          <w:rFonts w:ascii="Arial" w:hAnsi="Arial" w:cs="Arial"/>
          <w:b/>
          <w:bCs/>
          <w:lang w:val="en-GB"/>
        </w:rPr>
      </w:pPr>
      <w:r>
        <w:rPr>
          <w:rFonts w:ascii="Arial" w:hAnsi="Arial" w:cs="Arial"/>
          <w:b/>
          <w:bCs/>
          <w:lang w:val="en-GB"/>
        </w:rPr>
        <w:t xml:space="preserve">2.4.5 Consumer Protection </w:t>
      </w:r>
    </w:p>
    <w:p w14:paraId="65A41C55">
      <w:pPr>
        <w:spacing w:line="360" w:lineRule="auto"/>
        <w:jc w:val="both"/>
        <w:rPr>
          <w:rFonts w:ascii="Arial" w:hAnsi="Arial" w:cs="Arial"/>
          <w:lang w:val="en-GB"/>
        </w:rPr>
      </w:pPr>
      <w:r>
        <w:rPr>
          <w:rFonts w:ascii="Arial" w:hAnsi="Arial" w:cs="Arial"/>
          <w:lang w:val="en-GB"/>
        </w:rPr>
        <w:t>Consumer protection creates substantial obligations for ALDI’s pricing and promotional practices. The Fair-Trading Act prohibits misleading prices, promotions and product claims (Consumer Protection, 2024). For ALDI, accurate pricing per shelf and promotions as price representation are important. ALDI’s competitive proposition is fundamentally dependent on prices being clear.</w:t>
      </w:r>
    </w:p>
    <w:p w14:paraId="3964E9CE">
      <w:pPr>
        <w:spacing w:line="360" w:lineRule="auto"/>
        <w:jc w:val="both"/>
        <w:rPr>
          <w:rFonts w:ascii="Arial" w:hAnsi="Arial" w:cs="Arial"/>
          <w:b/>
          <w:bCs/>
          <w:lang w:val="en-GB"/>
        </w:rPr>
      </w:pPr>
      <w:r>
        <w:rPr>
          <w:rFonts w:ascii="Arial" w:hAnsi="Arial" w:cs="Arial"/>
          <w:b/>
          <w:bCs/>
          <w:lang w:val="en-GB"/>
        </w:rPr>
        <w:t xml:space="preserve">2.4.6 Environmental Regulation </w:t>
      </w:r>
    </w:p>
    <w:p w14:paraId="04739437">
      <w:pPr>
        <w:spacing w:line="360" w:lineRule="auto"/>
        <w:jc w:val="both"/>
        <w:rPr>
          <w:rFonts w:ascii="Arial" w:hAnsi="Arial" w:cs="Arial"/>
          <w:lang w:val="en-GB"/>
        </w:rPr>
      </w:pPr>
      <w:r>
        <w:rPr>
          <w:rFonts w:ascii="Arial" w:hAnsi="Arial" w:cs="Arial"/>
          <w:lang w:val="en-GB"/>
        </w:rPr>
        <w:t>Environmental regulations have rising impacts on ALDI’s decisions relating to packaging and waste management. In 2025, New Zealand introduced its Waste Minimisation (Plastic and Related Products) Amendment Regulations. There is also a new proposal to update legislation on waste and litter management (Ministry for Cities, Environment, Regions &amp; Transport, 2025). According to Goodman-Smith et al. (2020), a study of academic literature estimated that New Zealand retail food waste is about 13 kg per capita per annum. Further, they estimate that about 3 kg of that waste is sent to landfill. ALDI would require an efficient packaging and waste systems.</w:t>
      </w:r>
    </w:p>
    <w:p w14:paraId="6109AB1D">
      <w:pPr>
        <w:pStyle w:val="4"/>
        <w:rPr>
          <w:rFonts w:ascii="Arial" w:hAnsi="Arial" w:cs="Arial"/>
          <w:sz w:val="22"/>
          <w:szCs w:val="22"/>
          <w:lang w:val="en-GB"/>
        </w:rPr>
      </w:pPr>
      <w:bookmarkStart w:id="13" w:name="_Toc237294299"/>
      <w:r>
        <w:rPr>
          <w:rFonts w:ascii="Arial" w:hAnsi="Arial" w:cs="Arial"/>
          <w:sz w:val="22"/>
          <w:szCs w:val="22"/>
          <w:lang w:val="en-GB"/>
        </w:rPr>
        <w:t>2.5 Integrated Market Attractiveness</w:t>
      </w:r>
      <w:bookmarkEnd w:id="13"/>
      <w:r>
        <w:rPr>
          <w:rFonts w:ascii="Arial" w:hAnsi="Arial" w:cs="Arial"/>
          <w:sz w:val="22"/>
          <w:szCs w:val="22"/>
          <w:lang w:val="en-GB"/>
        </w:rPr>
        <w:t xml:space="preserve"> </w:t>
      </w:r>
    </w:p>
    <w:tbl>
      <w:tblPr>
        <w:tblStyle w:val="46"/>
        <w:tblW w:w="0" w:type="auto"/>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autofit"/>
        <w:tblCellMar>
          <w:top w:w="0" w:type="dxa"/>
          <w:left w:w="108" w:type="dxa"/>
          <w:bottom w:w="0" w:type="dxa"/>
          <w:right w:w="108" w:type="dxa"/>
        </w:tblCellMar>
      </w:tblPr>
      <w:tblGrid>
        <w:gridCol w:w="1341"/>
        <w:gridCol w:w="2654"/>
        <w:gridCol w:w="2794"/>
        <w:gridCol w:w="2453"/>
      </w:tblGrid>
      <w:tr w14:paraId="78880BA3">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top w:val="single" w:color="FFFFFF" w:themeColor="background1" w:sz="4" w:space="0"/>
              <w:left w:val="single" w:color="FFFFFF" w:themeColor="background1" w:sz="4" w:space="0"/>
              <w:right w:val="nil"/>
              <w:insideV w:val="nil"/>
            </w:tcBorders>
            <w:shd w:val="clear" w:color="auto" w:fill="ED7D31" w:themeFill="accent2"/>
          </w:tcPr>
          <w:p w14:paraId="7874B846">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Dimension</w:t>
            </w:r>
          </w:p>
        </w:tc>
        <w:tc>
          <w:tcPr>
            <w:tcW w:w="2654" w:type="dxa"/>
            <w:tcBorders>
              <w:top w:val="single" w:color="FFFFFF" w:themeColor="background1" w:sz="4" w:space="0"/>
              <w:right w:val="nil"/>
              <w:insideV w:val="nil"/>
            </w:tcBorders>
            <w:shd w:val="clear" w:color="auto" w:fill="ED7D31" w:themeFill="accent2"/>
          </w:tcPr>
          <w:p w14:paraId="30CE43E0">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Major opportunity</w:t>
            </w:r>
          </w:p>
        </w:tc>
        <w:tc>
          <w:tcPr>
            <w:tcW w:w="2794" w:type="dxa"/>
            <w:tcBorders>
              <w:top w:val="single" w:color="FFFFFF" w:themeColor="background1" w:sz="4" w:space="0"/>
              <w:right w:val="nil"/>
              <w:insideV w:val="nil"/>
            </w:tcBorders>
            <w:shd w:val="clear" w:color="auto" w:fill="ED7D31" w:themeFill="accent2"/>
          </w:tcPr>
          <w:p w14:paraId="740EB852">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Major risk</w:t>
            </w:r>
          </w:p>
        </w:tc>
        <w:tc>
          <w:tcPr>
            <w:tcW w:w="0" w:type="auto"/>
            <w:tcBorders>
              <w:top w:val="single" w:color="FFFFFF" w:themeColor="background1" w:sz="4" w:space="0"/>
              <w:right w:val="single" w:color="FFFFFF" w:themeColor="background1" w:sz="4" w:space="0"/>
              <w:insideV w:val="nil"/>
            </w:tcBorders>
            <w:shd w:val="clear" w:color="auto" w:fill="ED7D31" w:themeFill="accent2"/>
          </w:tcPr>
          <w:p w14:paraId="73C21AB8">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Implication for ALDI</w:t>
            </w:r>
          </w:p>
        </w:tc>
      </w:tr>
      <w:tr w14:paraId="3E399874">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ED7D31" w:themeFill="accent2"/>
          </w:tcPr>
          <w:p w14:paraId="163363BA">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Political</w:t>
            </w:r>
          </w:p>
        </w:tc>
        <w:tc>
          <w:tcPr>
            <w:tcW w:w="2654" w:type="dxa"/>
            <w:shd w:val="clear" w:color="auto" w:fill="F7CAAC" w:themeFill="accent2" w:themeFillTint="66"/>
          </w:tcPr>
          <w:p w14:paraId="4C85A59F">
            <w:pPr>
              <w:spacing w:after="160" w:line="360" w:lineRule="auto"/>
              <w:jc w:val="both"/>
              <w:rPr>
                <w:rFonts w:ascii="Arial" w:hAnsi="Arial" w:cs="Arial"/>
                <w:lang w:val="en-GB"/>
              </w:rPr>
            </w:pPr>
            <w:r>
              <w:rPr>
                <w:rFonts w:ascii="Arial" w:hAnsi="Arial" w:cs="Arial"/>
                <w:lang w:val="en-GB"/>
              </w:rPr>
              <w:t>Government reforms support grocery competition.</w:t>
            </w:r>
          </w:p>
        </w:tc>
        <w:tc>
          <w:tcPr>
            <w:tcW w:w="2794" w:type="dxa"/>
            <w:shd w:val="clear" w:color="auto" w:fill="F7CAAC" w:themeFill="accent2" w:themeFillTint="66"/>
          </w:tcPr>
          <w:p w14:paraId="3E2F9071">
            <w:pPr>
              <w:spacing w:after="160" w:line="360" w:lineRule="auto"/>
              <w:jc w:val="both"/>
              <w:rPr>
                <w:rFonts w:ascii="Arial" w:hAnsi="Arial" w:cs="Arial"/>
                <w:lang w:val="en-GB"/>
              </w:rPr>
            </w:pPr>
            <w:r>
              <w:rPr>
                <w:rFonts w:ascii="Arial" w:hAnsi="Arial" w:cs="Arial"/>
                <w:lang w:val="en-GB"/>
              </w:rPr>
              <w:t>Regulation and supplier access may remain challenging.</w:t>
            </w:r>
          </w:p>
        </w:tc>
        <w:tc>
          <w:tcPr>
            <w:tcW w:w="0" w:type="auto"/>
            <w:shd w:val="clear" w:color="auto" w:fill="F7CAAC" w:themeFill="accent2" w:themeFillTint="66"/>
          </w:tcPr>
          <w:p w14:paraId="41C5040F">
            <w:pPr>
              <w:spacing w:after="160" w:line="360" w:lineRule="auto"/>
              <w:jc w:val="both"/>
              <w:rPr>
                <w:rFonts w:ascii="Arial" w:hAnsi="Arial" w:cs="Arial"/>
                <w:lang w:val="en-GB"/>
              </w:rPr>
            </w:pPr>
            <w:r>
              <w:rPr>
                <w:rFonts w:ascii="Arial" w:hAnsi="Arial" w:cs="Arial"/>
                <w:b/>
                <w:bCs/>
                <w:lang w:val="en-GB"/>
              </w:rPr>
              <w:t>Favourable with conditions</w:t>
            </w:r>
            <w:r>
              <w:rPr>
                <w:rFonts w:ascii="Arial" w:hAnsi="Arial" w:cs="Arial"/>
                <w:lang w:val="en-GB"/>
              </w:rPr>
              <w:t>; maintain strong compliance.</w:t>
            </w:r>
          </w:p>
        </w:tc>
      </w:tr>
      <w:tr w14:paraId="32370B93">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ED7D31" w:themeFill="accent2"/>
          </w:tcPr>
          <w:p w14:paraId="429A6E49">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Economic</w:t>
            </w:r>
          </w:p>
        </w:tc>
        <w:tc>
          <w:tcPr>
            <w:tcW w:w="2654" w:type="dxa"/>
            <w:shd w:val="clear" w:color="auto" w:fill="FBE4D5" w:themeFill="accent2" w:themeFillTint="33"/>
          </w:tcPr>
          <w:p w14:paraId="3985BFAF">
            <w:pPr>
              <w:spacing w:after="160" w:line="360" w:lineRule="auto"/>
              <w:jc w:val="both"/>
              <w:rPr>
                <w:rFonts w:ascii="Arial" w:hAnsi="Arial" w:cs="Arial"/>
                <w:lang w:val="en-GB"/>
              </w:rPr>
            </w:pPr>
            <w:r>
              <w:rPr>
                <w:rFonts w:ascii="Arial" w:hAnsi="Arial" w:cs="Arial"/>
                <w:lang w:val="en-GB"/>
              </w:rPr>
              <w:t>GDP growth and cost pressures support demand for low prices.</w:t>
            </w:r>
          </w:p>
        </w:tc>
        <w:tc>
          <w:tcPr>
            <w:tcW w:w="2794" w:type="dxa"/>
            <w:shd w:val="clear" w:color="auto" w:fill="FBE4D5" w:themeFill="accent2" w:themeFillTint="33"/>
          </w:tcPr>
          <w:p w14:paraId="5B177C42">
            <w:pPr>
              <w:spacing w:after="160" w:line="360" w:lineRule="auto"/>
              <w:jc w:val="both"/>
              <w:rPr>
                <w:rFonts w:ascii="Arial" w:hAnsi="Arial" w:cs="Arial"/>
                <w:lang w:val="en-GB"/>
              </w:rPr>
            </w:pPr>
            <w:r>
              <w:rPr>
                <w:rFonts w:ascii="Arial" w:hAnsi="Arial" w:cs="Arial"/>
                <w:b/>
                <w:bCs/>
                <w:lang w:val="en-GB"/>
              </w:rPr>
              <w:t>3.4% inflation</w:t>
            </w:r>
            <w:r>
              <w:rPr>
                <w:rFonts w:ascii="Arial" w:hAnsi="Arial" w:cs="Arial"/>
                <w:lang w:val="en-GB"/>
              </w:rPr>
              <w:t xml:space="preserve"> and </w:t>
            </w:r>
            <w:r>
              <w:rPr>
                <w:rFonts w:ascii="Arial" w:hAnsi="Arial" w:cs="Arial"/>
                <w:b/>
                <w:bCs/>
                <w:lang w:val="en-GB"/>
              </w:rPr>
              <w:t>5.4% unemployment</w:t>
            </w:r>
            <w:r>
              <w:rPr>
                <w:rFonts w:ascii="Arial" w:hAnsi="Arial" w:cs="Arial"/>
                <w:lang w:val="en-GB"/>
              </w:rPr>
              <w:t xml:space="preserve"> may increase operating and distribution costs (OECD, 2026).</w:t>
            </w:r>
          </w:p>
        </w:tc>
        <w:tc>
          <w:tcPr>
            <w:tcW w:w="0" w:type="auto"/>
            <w:shd w:val="clear" w:color="auto" w:fill="FBE4D5" w:themeFill="accent2" w:themeFillTint="33"/>
          </w:tcPr>
          <w:p w14:paraId="2F06C818">
            <w:pPr>
              <w:spacing w:after="160" w:line="360" w:lineRule="auto"/>
              <w:jc w:val="both"/>
              <w:rPr>
                <w:rFonts w:ascii="Arial" w:hAnsi="Arial" w:cs="Arial"/>
                <w:lang w:val="en-GB"/>
              </w:rPr>
            </w:pPr>
            <w:r>
              <w:rPr>
                <w:rFonts w:ascii="Arial" w:hAnsi="Arial" w:cs="Arial"/>
                <w:b/>
                <w:bCs/>
                <w:lang w:val="en-GB"/>
              </w:rPr>
              <w:t>Moderately favourable</w:t>
            </w:r>
            <w:r>
              <w:rPr>
                <w:rFonts w:ascii="Arial" w:hAnsi="Arial" w:cs="Arial"/>
                <w:lang w:val="en-GB"/>
              </w:rPr>
              <w:t>; control costs carefully.</w:t>
            </w:r>
          </w:p>
        </w:tc>
      </w:tr>
      <w:tr w14:paraId="1E2E4A1B">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bottom w:val="single" w:color="FFFFFF" w:themeColor="background1" w:sz="4" w:space="0"/>
            </w:tcBorders>
            <w:shd w:val="clear" w:color="auto" w:fill="ED7D31" w:themeFill="accent2"/>
          </w:tcPr>
          <w:p w14:paraId="04C3CB7D">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Legal</w:t>
            </w:r>
          </w:p>
        </w:tc>
        <w:tc>
          <w:tcPr>
            <w:tcW w:w="2654" w:type="dxa"/>
            <w:shd w:val="clear" w:color="auto" w:fill="F7CAAC" w:themeFill="accent2" w:themeFillTint="66"/>
          </w:tcPr>
          <w:p w14:paraId="66624004">
            <w:pPr>
              <w:spacing w:after="160" w:line="360" w:lineRule="auto"/>
              <w:jc w:val="both"/>
              <w:rPr>
                <w:rFonts w:ascii="Arial" w:hAnsi="Arial" w:cs="Arial"/>
                <w:lang w:val="en-GB"/>
              </w:rPr>
            </w:pPr>
            <w:r>
              <w:rPr>
                <w:rFonts w:ascii="Arial" w:hAnsi="Arial" w:cs="Arial"/>
                <w:lang w:val="en-GB"/>
              </w:rPr>
              <w:t>Established competition, food safety and investment frameworks.</w:t>
            </w:r>
          </w:p>
        </w:tc>
        <w:tc>
          <w:tcPr>
            <w:tcW w:w="2794" w:type="dxa"/>
            <w:shd w:val="clear" w:color="auto" w:fill="F7CAAC" w:themeFill="accent2" w:themeFillTint="66"/>
          </w:tcPr>
          <w:p w14:paraId="623ECFD7">
            <w:pPr>
              <w:spacing w:after="160" w:line="360" w:lineRule="auto"/>
              <w:jc w:val="both"/>
              <w:rPr>
                <w:rFonts w:ascii="Arial" w:hAnsi="Arial" w:cs="Arial"/>
                <w:lang w:val="en-GB"/>
              </w:rPr>
            </w:pPr>
            <w:r>
              <w:rPr>
                <w:rFonts w:ascii="Arial" w:hAnsi="Arial" w:cs="Arial"/>
                <w:lang w:val="en-GB"/>
              </w:rPr>
              <w:t>Compliance may increase entry costs and delay expansion.</w:t>
            </w:r>
          </w:p>
        </w:tc>
        <w:tc>
          <w:tcPr>
            <w:tcW w:w="0" w:type="auto"/>
            <w:shd w:val="clear" w:color="auto" w:fill="F7CAAC" w:themeFill="accent2" w:themeFillTint="66"/>
          </w:tcPr>
          <w:p w14:paraId="1EB844A6">
            <w:pPr>
              <w:spacing w:after="160" w:line="360" w:lineRule="auto"/>
              <w:jc w:val="both"/>
              <w:rPr>
                <w:rFonts w:ascii="Arial" w:hAnsi="Arial" w:cs="Arial"/>
                <w:lang w:val="en-GB"/>
              </w:rPr>
            </w:pPr>
            <w:r>
              <w:rPr>
                <w:rFonts w:ascii="Arial" w:hAnsi="Arial" w:cs="Arial"/>
                <w:b/>
                <w:bCs/>
                <w:lang w:val="en-GB"/>
              </w:rPr>
              <w:t>Manageable</w:t>
            </w:r>
            <w:r>
              <w:rPr>
                <w:rFonts w:ascii="Arial" w:hAnsi="Arial" w:cs="Arial"/>
                <w:lang w:val="en-GB"/>
              </w:rPr>
              <w:t>; use local legal and compliance expertise.</w:t>
            </w:r>
          </w:p>
        </w:tc>
      </w:tr>
    </w:tbl>
    <w:p w14:paraId="488962E3">
      <w:pPr>
        <w:spacing w:line="360" w:lineRule="auto"/>
        <w:jc w:val="both"/>
        <w:rPr>
          <w:rFonts w:ascii="Arial" w:hAnsi="Arial" w:cs="Arial"/>
          <w:lang w:val="en-GB"/>
        </w:rPr>
      </w:pPr>
    </w:p>
    <w:p w14:paraId="03D14AA4">
      <w:pPr>
        <w:spacing w:line="360" w:lineRule="auto"/>
        <w:jc w:val="both"/>
        <w:rPr>
          <w:rFonts w:ascii="Arial" w:hAnsi="Arial" w:cs="Arial"/>
          <w:lang w:val="en-GB"/>
        </w:rPr>
      </w:pPr>
      <w:r>
        <w:rPr>
          <w:rFonts w:ascii="Arial" w:hAnsi="Arial" w:cs="Arial"/>
          <w:lang w:val="en-GB"/>
        </w:rPr>
        <w:t>The P/E/L evaluation shows New Zealand is attractive enough for ALDI to consider entry into the market, but not yet suitable for nationwide launch. There is a strong opportunity for government action to enhance competition by structural concentration</w:t>
      </w:r>
      <w:r>
        <w:rPr>
          <w:rFonts w:ascii="Arial" w:hAnsi="Arial" w:eastAsia="MS Gothic" w:cs="Arial"/>
          <w:lang w:val="en-GB"/>
        </w:rPr>
        <w:t>，</w:t>
      </w:r>
      <w:r>
        <w:rPr>
          <w:rFonts w:ascii="Arial" w:hAnsi="Arial" w:cs="Arial"/>
          <w:lang w:val="en-GB"/>
        </w:rPr>
        <w:t xml:space="preserve"> particularly in groceries. The most powerful constraint is economic and operational with ALDI’s model relying on scale, while the relatively small and geographically dispersed New Zealand market could raise distribution costs. The OECD (2026) forecasted the GDP growth to be 1.4% in 2026 along with 3.4% inflation and 5.4% unemployment indicating a recovering economy at a cost.</w:t>
      </w:r>
    </w:p>
    <w:p w14:paraId="10F7D36C">
      <w:pPr>
        <w:spacing w:line="360" w:lineRule="auto"/>
        <w:jc w:val="both"/>
        <w:rPr>
          <w:rFonts w:ascii="Arial" w:hAnsi="Arial" w:cs="Arial"/>
          <w:lang w:val="en-GB"/>
        </w:rPr>
      </w:pPr>
      <w:r>
        <w:rPr>
          <w:rFonts w:ascii="Arial" w:hAnsi="Arial" w:cs="Arial"/>
          <w:lang w:val="en-GB"/>
        </w:rPr>
        <w:t>A suitable gradual market entry strategy would be the one starting with major urban centres where density may sustain store clustering and facilitate efficient distribution. The core low-cost model of ALDI would be preserved while determining the sufficiency of purchasing volume, supplier access and consumer demand is achievable. As a result, the market could be labelled as somewhere between moderately and strongly attractive given that scale and logistics risk management works.</w:t>
      </w:r>
    </w:p>
    <w:p w14:paraId="7652B46A">
      <w:pPr>
        <w:pStyle w:val="4"/>
        <w:rPr>
          <w:rFonts w:ascii="Arial" w:hAnsi="Arial" w:cs="Arial"/>
          <w:sz w:val="22"/>
          <w:szCs w:val="22"/>
          <w:lang w:val="en-GB"/>
        </w:rPr>
      </w:pPr>
      <w:bookmarkStart w:id="14" w:name="_Toc237294300"/>
      <w:r>
        <w:rPr>
          <w:rFonts w:ascii="Arial" w:hAnsi="Arial" w:cs="Arial"/>
          <w:sz w:val="22"/>
          <w:szCs w:val="22"/>
          <w:lang w:val="en-GB"/>
        </w:rPr>
        <w:t>2.6 Dunning's OLI Paradigm</w:t>
      </w:r>
      <w:bookmarkEnd w:id="14"/>
      <w:r>
        <w:rPr>
          <w:rFonts w:ascii="Arial" w:hAnsi="Arial" w:cs="Arial"/>
          <w:sz w:val="22"/>
          <w:szCs w:val="22"/>
          <w:lang w:val="en-GB"/>
        </w:rPr>
        <w:t xml:space="preserve"> </w:t>
      </w:r>
    </w:p>
    <w:p w14:paraId="082B3584">
      <w:pPr>
        <w:spacing w:line="360" w:lineRule="auto"/>
        <w:jc w:val="both"/>
        <w:rPr>
          <w:rFonts w:ascii="Arial" w:hAnsi="Arial" w:cs="Arial"/>
          <w:b/>
          <w:bCs/>
          <w:lang w:val="en-GB"/>
        </w:rPr>
      </w:pPr>
      <w:r>
        <w:rPr>
          <w:rFonts w:ascii="Arial" w:hAnsi="Arial" w:cs="Arial"/>
          <w:b/>
          <w:bCs/>
          <w:lang w:val="en-GB"/>
        </w:rPr>
        <w:t>2.6.1 Ownership Advantages – O</w:t>
      </w:r>
    </w:p>
    <w:p w14:paraId="7CB0C0FF">
      <w:pPr>
        <w:spacing w:line="360" w:lineRule="auto"/>
        <w:jc w:val="both"/>
        <w:rPr>
          <w:rFonts w:ascii="Arial" w:hAnsi="Arial" w:cs="Arial"/>
          <w:lang w:val="en-GB"/>
        </w:rPr>
      </w:pPr>
      <w:r>
        <w:rPr>
          <w:rFonts w:ascii="Arial" w:hAnsi="Arial" w:cs="Arial"/>
          <w:lang w:val="en-GB"/>
        </w:rPr>
        <w:t>ALDI has a powerful ownership advantage because it is capable of private label development, centralising purchasing and creating standardised stores. The Australian business of the company offers relevant in-region experience for New Zealand, thereby reducing some market-learning costs. Dunning’s eclectic paradigm argues that firm-specific advantages must be transferable internationally to overcome the liabilities of foreignness. Studies further recognize ownership advantages as dynamic capabilities that evolve through international experiences. Thus, ALDI has highly transferability operational procedures and purchasing capability which relates to the fact that the geographic scale of New Zealand is likely to reduce some of its purchasing and logistical efficiencies.</w:t>
      </w:r>
    </w:p>
    <w:p w14:paraId="23E8F1BF">
      <w:pPr>
        <w:spacing w:line="360" w:lineRule="auto"/>
        <w:jc w:val="both"/>
        <w:rPr>
          <w:rFonts w:ascii="Arial" w:hAnsi="Arial" w:cs="Arial"/>
          <w:b/>
          <w:bCs/>
          <w:lang w:val="en-GB"/>
        </w:rPr>
      </w:pPr>
      <w:r>
        <w:rPr>
          <w:rFonts w:ascii="Arial" w:hAnsi="Arial" w:cs="Arial"/>
          <w:b/>
          <w:bCs/>
          <w:lang w:val="en-GB"/>
        </w:rPr>
        <w:t>2.6.2 Location Advantages – L</w:t>
      </w:r>
    </w:p>
    <w:p w14:paraId="3A8EF0A6">
      <w:pPr>
        <w:spacing w:line="360" w:lineRule="auto"/>
        <w:jc w:val="both"/>
        <w:rPr>
          <w:rFonts w:ascii="Arial" w:hAnsi="Arial" w:cs="Arial"/>
          <w:lang w:val="en-GB"/>
        </w:rPr>
      </w:pPr>
      <w:r>
        <w:rPr>
          <w:rFonts w:ascii="Arial" w:hAnsi="Arial" w:cs="Arial"/>
          <w:lang w:val="en-GB"/>
        </w:rPr>
        <w:t>New Zealand boasts moderate to strong locational advantages. Grocery spending was NZ$27.4 billion for the year to June 2025, while food prices were around 3% above the OECD average. The three big supermarket firms hold approximately 82% of the national grocery-market share. This could create a barrier to competitive entry or a gap in the market for ALDI (Commerce Commission, 2025). Notably, the Commerce Commission announced in June 2026 that regulatory changes provided a sufficiently enabling environment for new grocery retailers. According to the OLI theory, location advantages stem from market characteristics and institutional conditions that cannot be replicated. As a result, New Zealand has attractive demand and institutional conditions, but its small and geographically dispersed market reduces the scale advantage.</w:t>
      </w:r>
    </w:p>
    <w:p w14:paraId="18B2D5FE">
      <w:pPr>
        <w:spacing w:line="360" w:lineRule="auto"/>
        <w:jc w:val="both"/>
        <w:rPr>
          <w:rFonts w:ascii="Arial" w:hAnsi="Arial" w:cs="Arial"/>
          <w:b/>
          <w:bCs/>
          <w:lang w:val="en-GB"/>
        </w:rPr>
      </w:pPr>
      <w:r>
        <w:rPr>
          <w:rFonts w:ascii="Arial" w:hAnsi="Arial" w:cs="Arial"/>
          <w:b/>
          <w:bCs/>
          <w:lang w:val="en-GB"/>
        </w:rPr>
        <w:t>2.6.3 Internalisation Advantages – I</w:t>
      </w:r>
    </w:p>
    <w:p w14:paraId="1FC821E7">
      <w:pPr>
        <w:spacing w:line="360" w:lineRule="auto"/>
        <w:jc w:val="both"/>
        <w:rPr>
          <w:rFonts w:ascii="Arial" w:hAnsi="Arial" w:cs="Arial"/>
          <w:lang w:val="en-GB"/>
        </w:rPr>
      </w:pPr>
      <w:r>
        <w:rPr>
          <w:rFonts w:ascii="Arial" w:hAnsi="Arial" w:cs="Arial"/>
          <w:lang w:val="en-GB"/>
        </w:rPr>
        <w:t>Aldi has strong internalisation advantages since its competitive proposition depends on closely coordinating its purchasing, private-label sourcing, stock inventory, pricing and store operations. By keeping these activities in-house, companies can protect proprietary methods and ensure quality while preventing leaks of sensitive information. According to Dunning’s framework, internalisation by firms occurs when it is more efficient to undertake controlling activities internally rather than through the market or contractual arrangements. This is especially relevant to New Zealand in relation to wholesale competition. The Commerce Commission reports that the major supermarkets have an 82% market share, which gives them a strong influence over the access of suppliers. (Commerce Commission, 2025) A wholly owned operation would give greater control than licensing or franchising while a joint venture would dilute ALDI’s control of operations.</w:t>
      </w:r>
    </w:p>
    <w:p w14:paraId="1407D3EE">
      <w:pPr>
        <w:spacing w:line="360" w:lineRule="auto"/>
        <w:jc w:val="both"/>
        <w:rPr>
          <w:rFonts w:ascii="Arial" w:hAnsi="Arial" w:cs="Arial"/>
          <w:lang w:val="en-GB"/>
        </w:rPr>
      </w:pPr>
      <w:r>
        <w:rPr>
          <w:rFonts w:ascii="Arial" w:hAnsi="Arial" w:cs="Arial"/>
          <w:b/>
          <w:bCs/>
          <w:lang w:val="en-GB"/>
        </w:rPr>
        <w:t>The OLI Assessment</w:t>
      </w:r>
      <w:r>
        <w:rPr>
          <w:rFonts w:ascii="Arial" w:hAnsi="Arial" w:cs="Arial"/>
          <w:lang w:val="en-GB"/>
        </w:rPr>
        <w:t xml:space="preserve"> indicates </w:t>
      </w:r>
      <w:r>
        <w:rPr>
          <w:rFonts w:ascii="Arial" w:hAnsi="Arial" w:cs="Arial"/>
          <w:b/>
          <w:bCs/>
          <w:lang w:val="en-GB"/>
        </w:rPr>
        <w:t>strong Ownership, moderate-to-strong Location and strong Internalisation advantages</w:t>
      </w:r>
      <w:r>
        <w:rPr>
          <w:rFonts w:ascii="Arial" w:hAnsi="Arial" w:cs="Arial"/>
          <w:lang w:val="en-GB"/>
        </w:rPr>
        <w:t>. ALDI's ownership advantages are supported by transferable cost-management capabilities, private-label expertise and international experience. The ownership advantages of ALDI are supported by transferable cost management abilities, private label expertise, and international experience. New Zealand’s grocery market is worth NZ$27.4 billion, with high grocery spending and concentrated existing competitors, providing location advantages, while the current reforms will help further competition (New Zealand Gazette, 2025). The full-scale economies of ALDI are uncertain because of the size and areal spread of the market. As such, the OLI assessment supports formal entry consideration, but not immediate nationwide investment. Using a phased approach would enable ALDI to evaluate if its ownership advantages offer sufficient returns before making a large investment.</w:t>
      </w:r>
    </w:p>
    <w:p w14:paraId="0B5A0338">
      <w:pPr>
        <w:pStyle w:val="3"/>
        <w:rPr>
          <w:rFonts w:ascii="Arial" w:hAnsi="Arial" w:cs="Arial"/>
          <w:sz w:val="22"/>
          <w:szCs w:val="22"/>
          <w:lang w:val="en-GB"/>
        </w:rPr>
      </w:pPr>
      <w:bookmarkStart w:id="15" w:name="_Toc237294301"/>
      <w:r>
        <w:rPr>
          <w:rFonts w:ascii="Arial" w:hAnsi="Arial" w:cs="Arial"/>
          <w:sz w:val="22"/>
          <w:szCs w:val="22"/>
          <w:lang w:val="en-GB"/>
        </w:rPr>
        <w:t>3. Entry Mode Strategy and Strategic Synthesis</w:t>
      </w:r>
      <w:bookmarkEnd w:id="15"/>
      <w:r>
        <w:rPr>
          <w:rFonts w:ascii="Arial" w:hAnsi="Arial" w:cs="Arial"/>
          <w:sz w:val="22"/>
          <w:szCs w:val="22"/>
          <w:lang w:val="en-GB"/>
        </w:rPr>
        <w:t xml:space="preserve"> </w:t>
      </w:r>
    </w:p>
    <w:p w14:paraId="3B46084A">
      <w:pPr>
        <w:pStyle w:val="4"/>
        <w:rPr>
          <w:rFonts w:ascii="Arial" w:hAnsi="Arial" w:cs="Arial"/>
          <w:sz w:val="22"/>
          <w:szCs w:val="22"/>
          <w:lang w:val="en-GB"/>
        </w:rPr>
      </w:pPr>
      <w:bookmarkStart w:id="16" w:name="_Toc237294302"/>
      <w:r>
        <w:rPr>
          <w:rFonts w:ascii="Arial" w:hAnsi="Arial" w:cs="Arial"/>
          <w:sz w:val="22"/>
          <w:szCs w:val="22"/>
          <w:lang w:val="en-GB"/>
        </w:rPr>
        <w:t>3.1 ALDI's Historical International Entry Modes</w:t>
      </w:r>
      <w:bookmarkEnd w:id="16"/>
      <w:r>
        <w:rPr>
          <w:rFonts w:ascii="Arial" w:hAnsi="Arial" w:cs="Arial"/>
          <w:sz w:val="22"/>
          <w:szCs w:val="22"/>
          <w:lang w:val="en-GB"/>
        </w:rPr>
        <w:t xml:space="preserve"> </w:t>
      </w:r>
    </w:p>
    <w:p w14:paraId="4DE4E0F8">
      <w:pPr>
        <w:spacing w:line="360" w:lineRule="auto"/>
        <w:jc w:val="both"/>
        <w:rPr>
          <w:rFonts w:ascii="Arial" w:hAnsi="Arial" w:cs="Arial"/>
          <w:lang w:val="en-GB"/>
        </w:rPr>
      </w:pPr>
      <w:r>
        <w:rPr>
          <w:rFonts w:ascii="Arial" w:hAnsi="Arial" w:cs="Arial"/>
          <w:lang w:val="en-GB"/>
        </w:rPr>
        <w:t>Based on their internationalisation track record, ALDI has predominantly chosen a wholly owned model focused on greenfield expansion but makes occasional acquisitions when there is an existing network to provide faster access to scale. ALDI opened its first store in the UK in 1990 and, subsequently, developed a network of over 1,000 stores in the country, indicating long-term, organic expansion (rather than reliance on local franchise partners) (Searle, 2020). Likewise, Aldi Australia entered in 2001 with two Sydney stores with a range of 600 products provided by 174 business partners and shortly expanded its own operating network (Aldi Australia, 2025).</w:t>
      </w:r>
    </w:p>
    <w:p w14:paraId="609766EE">
      <w:pPr>
        <w:spacing w:line="360" w:lineRule="auto"/>
        <w:jc w:val="both"/>
        <w:rPr>
          <w:rFonts w:ascii="Arial" w:hAnsi="Arial" w:cs="Arial"/>
          <w:lang w:val="en-GB"/>
        </w:rPr>
      </w:pPr>
      <w:r>
        <w:rPr>
          <w:rFonts w:ascii="Arial" w:hAnsi="Arial" w:cs="Arial"/>
          <w:lang w:val="en-GB"/>
        </w:rPr>
        <w:t>The United States offers a major exemption. ALDI made its way into America in 1976 primarily through a store network of its own yet has since blended organic expansion with acquisition (Meyersohn, 2019). It is expected that ALDI US would run nearly 2800 stores by 2026 and three additional distribution centres (Aldi US, 2026). ALDI is not afraid to use acquisition where it speeds up geographic coverage, as seen in the 2024 acquisition of around 400 Winn-Dixie and Harveys locations (Holpuch, 2023).</w:t>
      </w:r>
    </w:p>
    <w:p w14:paraId="3A56970C">
      <w:pPr>
        <w:spacing w:line="360" w:lineRule="auto"/>
        <w:jc w:val="both"/>
        <w:rPr>
          <w:rFonts w:ascii="Arial" w:hAnsi="Arial" w:cs="Arial"/>
          <w:b/>
          <w:bCs/>
          <w:lang w:val="en-GB"/>
        </w:rPr>
      </w:pPr>
      <w:r>
        <w:rPr>
          <w:rFonts w:ascii="Arial" w:hAnsi="Arial" w:cs="Arial"/>
          <w:lang w:val="en-GB"/>
        </w:rPr>
        <w:t xml:space="preserve">European expansion similarly shows long-term replication of the AHLF/Hofer format One instance is ALDI France, which opened its first store in 1988 and already has over 1,300 (Rompaey, 2023). The prevalent trend is one of high-control expansion through wholly owned operations and greenfield development, with acquisitions used selectively to accelerate market penetration. The similarity fits well with international entry-mode research that links greenfield investment to greater organisational control and retention of established routines. </w:t>
      </w:r>
    </w:p>
    <w:p w14:paraId="405C072E">
      <w:pPr>
        <w:pStyle w:val="4"/>
        <w:rPr>
          <w:rFonts w:ascii="Arial" w:hAnsi="Arial" w:cs="Arial"/>
          <w:sz w:val="22"/>
          <w:szCs w:val="22"/>
          <w:lang w:val="en-GB"/>
        </w:rPr>
      </w:pPr>
      <w:bookmarkStart w:id="17" w:name="_Toc237294303"/>
      <w:r>
        <w:rPr>
          <w:rFonts w:ascii="Arial" w:hAnsi="Arial" w:cs="Arial"/>
          <w:sz w:val="22"/>
          <w:szCs w:val="22"/>
          <w:lang w:val="en-GB"/>
        </w:rPr>
        <w:t>3.2 Critical Evaluation of ALDI's Historical Entry Approach</w:t>
      </w:r>
      <w:bookmarkEnd w:id="17"/>
      <w:r>
        <w:rPr>
          <w:rFonts w:ascii="Arial" w:hAnsi="Arial" w:cs="Arial"/>
          <w:sz w:val="22"/>
          <w:szCs w:val="22"/>
          <w:lang w:val="en-GB"/>
        </w:rPr>
        <w:t xml:space="preserve"> </w:t>
      </w:r>
    </w:p>
    <w:p w14:paraId="5F55A7CA">
      <w:pPr>
        <w:spacing w:line="360" w:lineRule="auto"/>
        <w:jc w:val="both"/>
        <w:rPr>
          <w:rFonts w:ascii="Arial" w:hAnsi="Arial" w:cs="Arial"/>
          <w:lang w:val="en-GB"/>
        </w:rPr>
      </w:pPr>
      <w:r>
        <w:rPr>
          <w:rFonts w:ascii="Arial" w:hAnsi="Arial" w:cs="Arial"/>
          <w:lang w:val="en-GB"/>
        </w:rPr>
        <w:t>The historical attitude of ALDI towards international expansion in high-control countries matches the characteristics of its discount business model. ALDI's 100% owned operations control purchasing, pricing, private-label sourcing, inventory and store operations to help preserve the standardised routines that drive its low-cost proposition. International entry research has shown that while greenfield investment allows for more control and firm-specific capability transfer, the best option really depends on host-country conditions (Alon and others 2020). Consequently, this approach gives ALDI a strong protection against customer execution inconsistency and a loss of operational know-how.</w:t>
      </w:r>
    </w:p>
    <w:p w14:paraId="651FF945">
      <w:pPr>
        <w:spacing w:line="360" w:lineRule="auto"/>
        <w:jc w:val="both"/>
        <w:rPr>
          <w:rFonts w:ascii="Arial" w:hAnsi="Arial" w:cs="Arial"/>
          <w:lang w:val="en-GB"/>
        </w:rPr>
      </w:pPr>
      <w:r>
        <w:rPr>
          <w:rFonts w:ascii="Arial" w:hAnsi="Arial" w:cs="Arial"/>
          <w:lang w:val="en-GB"/>
        </w:rPr>
        <w:t>However, the same strategy has significant resource and market risks. Greenfield investment takes considerable capital and time for establishing stores, distribution infrastructure and supplier relationships (Chen, 2020). Though acquisition has the potential to provide speedy access to existing assets, it creates a challenge of integration and hampers the acquirer from efficiently implementing its operating model (Colman, 2020). Woolworths New Zealand, Foodstuffs North Island and Foodstuffs South Island account for 82% of the grocery market in New Zealand, resulting in considerable incumbent purchasing and supplier advantages (Johnston, 2026). Bhe June 2026 report from the Commerce Commission indicates that conditions are changing in a way that is more supportive of new grocery entrants. At last, ALDI’s high-control business model does not lose strategic appropriateness, but it should be applied in phases and concentrated geographically to manage New Zealand’s small scale and market entry uncertainty.</w:t>
      </w:r>
    </w:p>
    <w:p w14:paraId="5FB47C5D">
      <w:pPr>
        <w:pStyle w:val="4"/>
        <w:rPr>
          <w:rFonts w:ascii="Arial" w:hAnsi="Arial" w:cs="Arial"/>
          <w:sz w:val="22"/>
          <w:szCs w:val="22"/>
          <w:lang w:val="en-GB"/>
        </w:rPr>
      </w:pPr>
      <w:bookmarkStart w:id="18" w:name="_Toc237294304"/>
      <w:r>
        <w:rPr>
          <w:rFonts w:ascii="Arial" w:hAnsi="Arial" w:cs="Arial"/>
          <w:sz w:val="22"/>
          <w:szCs w:val="22"/>
          <w:lang w:val="en-GB"/>
        </w:rPr>
        <w:t>3.3 Alternative Entry Modes for New Zealand</w:t>
      </w:r>
      <w:bookmarkEnd w:id="18"/>
      <w:r>
        <w:rPr>
          <w:rFonts w:ascii="Arial" w:hAnsi="Arial" w:cs="Arial"/>
          <w:sz w:val="22"/>
          <w:szCs w:val="22"/>
          <w:lang w:val="en-GB"/>
        </w:rPr>
        <w:t xml:space="preserve"> </w:t>
      </w:r>
    </w:p>
    <w:tbl>
      <w:tblPr>
        <w:tblStyle w:val="45"/>
        <w:tblW w:w="0" w:type="auto"/>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autofit"/>
        <w:tblCellMar>
          <w:top w:w="0" w:type="dxa"/>
          <w:left w:w="108" w:type="dxa"/>
          <w:bottom w:w="0" w:type="dxa"/>
          <w:right w:w="108" w:type="dxa"/>
        </w:tblCellMar>
      </w:tblPr>
      <w:tblGrid>
        <w:gridCol w:w="1623"/>
        <w:gridCol w:w="2024"/>
        <w:gridCol w:w="2262"/>
        <w:gridCol w:w="3333"/>
      </w:tblGrid>
      <w:tr w14:paraId="3B0585B3">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top w:val="single" w:color="FFFFFF" w:themeColor="background1" w:sz="4" w:space="0"/>
              <w:left w:val="single" w:color="FFFFFF" w:themeColor="background1" w:sz="4" w:space="0"/>
              <w:right w:val="nil"/>
              <w:insideV w:val="nil"/>
            </w:tcBorders>
            <w:shd w:val="clear" w:color="auto" w:fill="4472C4" w:themeFill="accent1"/>
          </w:tcPr>
          <w:p w14:paraId="35852CDC">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Criterion</w:t>
            </w:r>
          </w:p>
        </w:tc>
        <w:tc>
          <w:tcPr>
            <w:tcW w:w="0" w:type="auto"/>
            <w:tcBorders>
              <w:top w:val="single" w:color="FFFFFF" w:themeColor="background1" w:sz="4" w:space="0"/>
              <w:right w:val="nil"/>
              <w:insideV w:val="nil"/>
            </w:tcBorders>
            <w:shd w:val="clear" w:color="auto" w:fill="4472C4" w:themeFill="accent1"/>
          </w:tcPr>
          <w:p w14:paraId="5116B51C">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Acquisition</w:t>
            </w:r>
          </w:p>
        </w:tc>
        <w:tc>
          <w:tcPr>
            <w:tcW w:w="0" w:type="auto"/>
            <w:tcBorders>
              <w:top w:val="single" w:color="FFFFFF" w:themeColor="background1" w:sz="4" w:space="0"/>
              <w:right w:val="nil"/>
              <w:insideV w:val="nil"/>
            </w:tcBorders>
            <w:shd w:val="clear" w:color="auto" w:fill="4472C4" w:themeFill="accent1"/>
          </w:tcPr>
          <w:p w14:paraId="6F2ECE0F">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Joint Venture / Strategic Partnership</w:t>
            </w:r>
          </w:p>
        </w:tc>
        <w:tc>
          <w:tcPr>
            <w:tcW w:w="0" w:type="auto"/>
            <w:tcBorders>
              <w:top w:val="single" w:color="FFFFFF" w:themeColor="background1" w:sz="4" w:space="0"/>
              <w:right w:val="single" w:color="FFFFFF" w:themeColor="background1" w:sz="4" w:space="0"/>
              <w:insideV w:val="nil"/>
            </w:tcBorders>
            <w:shd w:val="clear" w:color="auto" w:fill="4472C4" w:themeFill="accent1"/>
          </w:tcPr>
          <w:p w14:paraId="71A3FBF3">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Greenfield / Wholly Owned Entry</w:t>
            </w:r>
          </w:p>
        </w:tc>
      </w:tr>
      <w:tr w14:paraId="08074373">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4472C4" w:themeFill="accent1"/>
          </w:tcPr>
          <w:p w14:paraId="5DE6F792">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Market access</w:t>
            </w:r>
          </w:p>
        </w:tc>
        <w:tc>
          <w:tcPr>
            <w:tcW w:w="0" w:type="auto"/>
            <w:shd w:val="clear" w:color="auto" w:fill="B4C6E7" w:themeFill="accent1" w:themeFillTint="66"/>
          </w:tcPr>
          <w:p w14:paraId="00B48A30">
            <w:pPr>
              <w:spacing w:after="160" w:line="360" w:lineRule="auto"/>
              <w:jc w:val="both"/>
              <w:rPr>
                <w:rFonts w:ascii="Arial" w:hAnsi="Arial" w:cs="Arial"/>
                <w:lang w:val="en-GB"/>
              </w:rPr>
            </w:pPr>
            <w:r>
              <w:rPr>
                <w:rFonts w:ascii="Arial" w:hAnsi="Arial" w:cs="Arial"/>
                <w:lang w:val="en-GB"/>
              </w:rPr>
              <w:t>Immediate access to stores, customers and locations.</w:t>
            </w:r>
          </w:p>
        </w:tc>
        <w:tc>
          <w:tcPr>
            <w:tcW w:w="0" w:type="auto"/>
            <w:shd w:val="clear" w:color="auto" w:fill="B4C6E7" w:themeFill="accent1" w:themeFillTint="66"/>
          </w:tcPr>
          <w:p w14:paraId="2926075D">
            <w:pPr>
              <w:spacing w:after="160" w:line="360" w:lineRule="auto"/>
              <w:jc w:val="both"/>
              <w:rPr>
                <w:rFonts w:ascii="Arial" w:hAnsi="Arial" w:cs="Arial"/>
                <w:lang w:val="en-GB"/>
              </w:rPr>
            </w:pPr>
            <w:r>
              <w:rPr>
                <w:rFonts w:ascii="Arial" w:hAnsi="Arial" w:cs="Arial"/>
                <w:lang w:val="en-GB"/>
              </w:rPr>
              <w:t>Gradual access supported by a local partner.</w:t>
            </w:r>
          </w:p>
        </w:tc>
        <w:tc>
          <w:tcPr>
            <w:tcW w:w="0" w:type="auto"/>
            <w:shd w:val="clear" w:color="auto" w:fill="B4C6E7" w:themeFill="accent1" w:themeFillTint="66"/>
          </w:tcPr>
          <w:p w14:paraId="32F54FE8">
            <w:pPr>
              <w:spacing w:after="160" w:line="360" w:lineRule="auto"/>
              <w:jc w:val="both"/>
              <w:rPr>
                <w:rFonts w:ascii="Arial" w:hAnsi="Arial" w:cs="Arial"/>
                <w:lang w:val="en-GB"/>
              </w:rPr>
            </w:pPr>
            <w:r>
              <w:rPr>
                <w:rFonts w:ascii="Arial" w:hAnsi="Arial" w:cs="Arial"/>
                <w:lang w:val="en-GB"/>
              </w:rPr>
              <w:t>Requires ALDI to establish its own network.</w:t>
            </w:r>
          </w:p>
        </w:tc>
      </w:tr>
      <w:tr w14:paraId="10E02065">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4472C4" w:themeFill="accent1"/>
          </w:tcPr>
          <w:p w14:paraId="19B34B8A">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Speed</w:t>
            </w:r>
          </w:p>
        </w:tc>
        <w:tc>
          <w:tcPr>
            <w:tcW w:w="0" w:type="auto"/>
            <w:shd w:val="clear" w:color="auto" w:fill="D9E2F3" w:themeFill="accent1" w:themeFillTint="33"/>
          </w:tcPr>
          <w:p w14:paraId="0E65A42C">
            <w:pPr>
              <w:spacing w:after="160" w:line="360" w:lineRule="auto"/>
              <w:jc w:val="both"/>
              <w:rPr>
                <w:rFonts w:ascii="Arial" w:hAnsi="Arial" w:cs="Arial"/>
                <w:lang w:val="en-GB"/>
              </w:rPr>
            </w:pPr>
            <w:r>
              <w:rPr>
                <w:rFonts w:ascii="Arial" w:hAnsi="Arial" w:cs="Arial"/>
                <w:lang w:val="en-GB"/>
              </w:rPr>
              <w:t>High; existing assets accelerate entry.</w:t>
            </w:r>
          </w:p>
        </w:tc>
        <w:tc>
          <w:tcPr>
            <w:tcW w:w="0" w:type="auto"/>
            <w:shd w:val="clear" w:color="auto" w:fill="D9E2F3" w:themeFill="accent1" w:themeFillTint="33"/>
          </w:tcPr>
          <w:p w14:paraId="6C57DC33">
            <w:pPr>
              <w:spacing w:after="160" w:line="360" w:lineRule="auto"/>
              <w:jc w:val="both"/>
              <w:rPr>
                <w:rFonts w:ascii="Arial" w:hAnsi="Arial" w:cs="Arial"/>
                <w:lang w:val="en-GB"/>
              </w:rPr>
            </w:pPr>
            <w:r>
              <w:rPr>
                <w:rFonts w:ascii="Arial" w:hAnsi="Arial" w:cs="Arial"/>
                <w:lang w:val="en-GB"/>
              </w:rPr>
              <w:t>Medium; partner can reduce the learning period.</w:t>
            </w:r>
          </w:p>
        </w:tc>
        <w:tc>
          <w:tcPr>
            <w:tcW w:w="0" w:type="auto"/>
            <w:shd w:val="clear" w:color="auto" w:fill="D9E2F3" w:themeFill="accent1" w:themeFillTint="33"/>
          </w:tcPr>
          <w:p w14:paraId="01A7792B">
            <w:pPr>
              <w:spacing w:after="160" w:line="360" w:lineRule="auto"/>
              <w:jc w:val="both"/>
              <w:rPr>
                <w:rFonts w:ascii="Arial" w:hAnsi="Arial" w:cs="Arial"/>
                <w:lang w:val="en-GB"/>
              </w:rPr>
            </w:pPr>
            <w:r>
              <w:rPr>
                <w:rFonts w:ascii="Arial" w:hAnsi="Arial" w:cs="Arial"/>
                <w:lang w:val="en-GB"/>
              </w:rPr>
              <w:t>Low initially; stores and infrastructure must be developed.</w:t>
            </w:r>
          </w:p>
        </w:tc>
      </w:tr>
      <w:tr w14:paraId="2385C191">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4472C4" w:themeFill="accent1"/>
          </w:tcPr>
          <w:p w14:paraId="014777E5">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Capital commitment</w:t>
            </w:r>
          </w:p>
        </w:tc>
        <w:tc>
          <w:tcPr>
            <w:tcW w:w="0" w:type="auto"/>
            <w:shd w:val="clear" w:color="auto" w:fill="B4C6E7" w:themeFill="accent1" w:themeFillTint="66"/>
          </w:tcPr>
          <w:p w14:paraId="2DCF49D2">
            <w:pPr>
              <w:spacing w:after="160" w:line="360" w:lineRule="auto"/>
              <w:jc w:val="both"/>
              <w:rPr>
                <w:rFonts w:ascii="Arial" w:hAnsi="Arial" w:cs="Arial"/>
                <w:lang w:val="en-GB"/>
              </w:rPr>
            </w:pPr>
            <w:r>
              <w:rPr>
                <w:rFonts w:ascii="Arial" w:hAnsi="Arial" w:cs="Arial"/>
                <w:lang w:val="en-GB"/>
              </w:rPr>
              <w:t>High, particularly if a suitable retailer is acquired.</w:t>
            </w:r>
          </w:p>
        </w:tc>
        <w:tc>
          <w:tcPr>
            <w:tcW w:w="0" w:type="auto"/>
            <w:shd w:val="clear" w:color="auto" w:fill="B4C6E7" w:themeFill="accent1" w:themeFillTint="66"/>
          </w:tcPr>
          <w:p w14:paraId="044FD346">
            <w:pPr>
              <w:spacing w:after="160" w:line="360" w:lineRule="auto"/>
              <w:jc w:val="both"/>
              <w:rPr>
                <w:rFonts w:ascii="Arial" w:hAnsi="Arial" w:cs="Arial"/>
                <w:lang w:val="en-GB"/>
              </w:rPr>
            </w:pPr>
            <w:r>
              <w:rPr>
                <w:rFonts w:ascii="Arial" w:hAnsi="Arial" w:cs="Arial"/>
                <w:lang w:val="en-GB"/>
              </w:rPr>
              <w:t>Medium, because investment is shared.</w:t>
            </w:r>
          </w:p>
        </w:tc>
        <w:tc>
          <w:tcPr>
            <w:tcW w:w="0" w:type="auto"/>
            <w:shd w:val="clear" w:color="auto" w:fill="B4C6E7" w:themeFill="accent1" w:themeFillTint="66"/>
          </w:tcPr>
          <w:p w14:paraId="0568E0D3">
            <w:pPr>
              <w:spacing w:after="160" w:line="360" w:lineRule="auto"/>
              <w:jc w:val="both"/>
              <w:rPr>
                <w:rFonts w:ascii="Arial" w:hAnsi="Arial" w:cs="Arial"/>
                <w:lang w:val="en-GB"/>
              </w:rPr>
            </w:pPr>
            <w:r>
              <w:rPr>
                <w:rFonts w:ascii="Arial" w:hAnsi="Arial" w:cs="Arial"/>
                <w:lang w:val="en-GB"/>
              </w:rPr>
              <w:t>Very high, owing to stores, distribution and infrastructure.</w:t>
            </w:r>
          </w:p>
        </w:tc>
      </w:tr>
      <w:tr w14:paraId="24A9F05C">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4472C4" w:themeFill="accent1"/>
          </w:tcPr>
          <w:p w14:paraId="5D5F9304">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Control</w:t>
            </w:r>
          </w:p>
        </w:tc>
        <w:tc>
          <w:tcPr>
            <w:tcW w:w="0" w:type="auto"/>
            <w:shd w:val="clear" w:color="auto" w:fill="D9E2F3" w:themeFill="accent1" w:themeFillTint="33"/>
          </w:tcPr>
          <w:p w14:paraId="3697FB43">
            <w:pPr>
              <w:spacing w:after="160" w:line="360" w:lineRule="auto"/>
              <w:jc w:val="both"/>
              <w:rPr>
                <w:rFonts w:ascii="Arial" w:hAnsi="Arial" w:cs="Arial"/>
                <w:lang w:val="en-GB"/>
              </w:rPr>
            </w:pPr>
            <w:r>
              <w:rPr>
                <w:rFonts w:ascii="Arial" w:hAnsi="Arial" w:cs="Arial"/>
                <w:lang w:val="en-GB"/>
              </w:rPr>
              <w:t>High, depending on transaction structure.</w:t>
            </w:r>
          </w:p>
        </w:tc>
        <w:tc>
          <w:tcPr>
            <w:tcW w:w="0" w:type="auto"/>
            <w:shd w:val="clear" w:color="auto" w:fill="D9E2F3" w:themeFill="accent1" w:themeFillTint="33"/>
          </w:tcPr>
          <w:p w14:paraId="7F8F0803">
            <w:pPr>
              <w:spacing w:after="160" w:line="360" w:lineRule="auto"/>
              <w:jc w:val="both"/>
              <w:rPr>
                <w:rFonts w:ascii="Arial" w:hAnsi="Arial" w:cs="Arial"/>
                <w:lang w:val="en-GB"/>
              </w:rPr>
            </w:pPr>
            <w:r>
              <w:rPr>
                <w:rFonts w:ascii="Arial" w:hAnsi="Arial" w:cs="Arial"/>
                <w:lang w:val="en-GB"/>
              </w:rPr>
              <w:t>Medium, with decisions shared with the partner.</w:t>
            </w:r>
          </w:p>
        </w:tc>
        <w:tc>
          <w:tcPr>
            <w:tcW w:w="0" w:type="auto"/>
            <w:shd w:val="clear" w:color="auto" w:fill="D9E2F3" w:themeFill="accent1" w:themeFillTint="33"/>
          </w:tcPr>
          <w:p w14:paraId="2D3350A7">
            <w:pPr>
              <w:spacing w:after="160" w:line="360" w:lineRule="auto"/>
              <w:jc w:val="both"/>
              <w:rPr>
                <w:rFonts w:ascii="Arial" w:hAnsi="Arial" w:cs="Arial"/>
                <w:lang w:val="en-GB"/>
              </w:rPr>
            </w:pPr>
            <w:r>
              <w:rPr>
                <w:rFonts w:ascii="Arial" w:hAnsi="Arial" w:cs="Arial"/>
                <w:lang w:val="en-GB"/>
              </w:rPr>
              <w:t>Very high, supporting ALDI’s standardised operating model.</w:t>
            </w:r>
          </w:p>
        </w:tc>
      </w:tr>
      <w:tr w14:paraId="04DE8F8C">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4472C4" w:themeFill="accent1"/>
          </w:tcPr>
          <w:p w14:paraId="2676BD29">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Local knowledge</w:t>
            </w:r>
          </w:p>
        </w:tc>
        <w:tc>
          <w:tcPr>
            <w:tcW w:w="0" w:type="auto"/>
            <w:shd w:val="clear" w:color="auto" w:fill="B4C6E7" w:themeFill="accent1" w:themeFillTint="66"/>
          </w:tcPr>
          <w:p w14:paraId="3443892A">
            <w:pPr>
              <w:spacing w:after="160" w:line="360" w:lineRule="auto"/>
              <w:jc w:val="both"/>
              <w:rPr>
                <w:rFonts w:ascii="Arial" w:hAnsi="Arial" w:cs="Arial"/>
                <w:lang w:val="en-GB"/>
              </w:rPr>
            </w:pPr>
            <w:r>
              <w:rPr>
                <w:rFonts w:ascii="Arial" w:hAnsi="Arial" w:cs="Arial"/>
                <w:lang w:val="en-GB"/>
              </w:rPr>
              <w:t>High, through existing employees and relationships.</w:t>
            </w:r>
          </w:p>
        </w:tc>
        <w:tc>
          <w:tcPr>
            <w:tcW w:w="0" w:type="auto"/>
            <w:shd w:val="clear" w:color="auto" w:fill="B4C6E7" w:themeFill="accent1" w:themeFillTint="66"/>
          </w:tcPr>
          <w:p w14:paraId="1DF1DDBC">
            <w:pPr>
              <w:spacing w:after="160" w:line="360" w:lineRule="auto"/>
              <w:jc w:val="both"/>
              <w:rPr>
                <w:rFonts w:ascii="Arial" w:hAnsi="Arial" w:cs="Arial"/>
                <w:lang w:val="en-GB"/>
              </w:rPr>
            </w:pPr>
            <w:r>
              <w:rPr>
                <w:rFonts w:ascii="Arial" w:hAnsi="Arial" w:cs="Arial"/>
                <w:lang w:val="en-GB"/>
              </w:rPr>
              <w:t>High, because the partner contributes market knowledge.</w:t>
            </w:r>
          </w:p>
        </w:tc>
        <w:tc>
          <w:tcPr>
            <w:tcW w:w="0" w:type="auto"/>
            <w:shd w:val="clear" w:color="auto" w:fill="B4C6E7" w:themeFill="accent1" w:themeFillTint="66"/>
          </w:tcPr>
          <w:p w14:paraId="62D44817">
            <w:pPr>
              <w:spacing w:after="160" w:line="360" w:lineRule="auto"/>
              <w:jc w:val="both"/>
              <w:rPr>
                <w:rFonts w:ascii="Arial" w:hAnsi="Arial" w:cs="Arial"/>
                <w:lang w:val="en-GB"/>
              </w:rPr>
            </w:pPr>
            <w:r>
              <w:rPr>
                <w:rFonts w:ascii="Arial" w:hAnsi="Arial" w:cs="Arial"/>
                <w:lang w:val="en-GB"/>
              </w:rPr>
              <w:t>Low initially, requiring local recruitment and supplier development.</w:t>
            </w:r>
          </w:p>
        </w:tc>
      </w:tr>
      <w:tr w14:paraId="226BA426">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4472C4" w:themeFill="accent1"/>
          </w:tcPr>
          <w:p w14:paraId="6935A4A1">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Supplier access</w:t>
            </w:r>
          </w:p>
        </w:tc>
        <w:tc>
          <w:tcPr>
            <w:tcW w:w="0" w:type="auto"/>
            <w:shd w:val="clear" w:color="auto" w:fill="D9E2F3" w:themeFill="accent1" w:themeFillTint="33"/>
          </w:tcPr>
          <w:p w14:paraId="49F9AC39">
            <w:pPr>
              <w:spacing w:after="160" w:line="360" w:lineRule="auto"/>
              <w:jc w:val="both"/>
              <w:rPr>
                <w:rFonts w:ascii="Arial" w:hAnsi="Arial" w:cs="Arial"/>
                <w:lang w:val="en-GB"/>
              </w:rPr>
            </w:pPr>
            <w:r>
              <w:rPr>
                <w:rFonts w:ascii="Arial" w:hAnsi="Arial" w:cs="Arial"/>
                <w:lang w:val="en-GB"/>
              </w:rPr>
              <w:t>Potentially immediate through existing relationships.</w:t>
            </w:r>
          </w:p>
        </w:tc>
        <w:tc>
          <w:tcPr>
            <w:tcW w:w="0" w:type="auto"/>
            <w:shd w:val="clear" w:color="auto" w:fill="D9E2F3" w:themeFill="accent1" w:themeFillTint="33"/>
          </w:tcPr>
          <w:p w14:paraId="0A50EA97">
            <w:pPr>
              <w:spacing w:after="160" w:line="360" w:lineRule="auto"/>
              <w:jc w:val="both"/>
              <w:rPr>
                <w:rFonts w:ascii="Arial" w:hAnsi="Arial" w:cs="Arial"/>
                <w:lang w:val="en-GB"/>
              </w:rPr>
            </w:pPr>
            <w:r>
              <w:rPr>
                <w:rFonts w:ascii="Arial" w:hAnsi="Arial" w:cs="Arial"/>
                <w:lang w:val="en-GB"/>
              </w:rPr>
              <w:t>Improved through partner networks.</w:t>
            </w:r>
          </w:p>
        </w:tc>
        <w:tc>
          <w:tcPr>
            <w:tcW w:w="0" w:type="auto"/>
            <w:shd w:val="clear" w:color="auto" w:fill="D9E2F3" w:themeFill="accent1" w:themeFillTint="33"/>
          </w:tcPr>
          <w:p w14:paraId="5D445B33">
            <w:pPr>
              <w:spacing w:after="160" w:line="360" w:lineRule="auto"/>
              <w:jc w:val="both"/>
              <w:rPr>
                <w:rFonts w:ascii="Arial" w:hAnsi="Arial" w:cs="Arial"/>
                <w:lang w:val="en-GB"/>
              </w:rPr>
            </w:pPr>
            <w:r>
              <w:rPr>
                <w:rFonts w:ascii="Arial" w:hAnsi="Arial" w:cs="Arial"/>
                <w:lang w:val="en-GB"/>
              </w:rPr>
              <w:t xml:space="preserve">Must be developed independently. This matters because major supermarkets currently account for 82% of grocery sales, creating supplier-access barriers. </w:t>
            </w:r>
          </w:p>
        </w:tc>
      </w:tr>
      <w:tr w14:paraId="24125097">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4472C4" w:themeFill="accent1"/>
          </w:tcPr>
          <w:p w14:paraId="1684F982">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Risk</w:t>
            </w:r>
          </w:p>
        </w:tc>
        <w:tc>
          <w:tcPr>
            <w:tcW w:w="0" w:type="auto"/>
            <w:shd w:val="clear" w:color="auto" w:fill="B4C6E7" w:themeFill="accent1" w:themeFillTint="66"/>
          </w:tcPr>
          <w:p w14:paraId="0664B072">
            <w:pPr>
              <w:spacing w:after="160" w:line="360" w:lineRule="auto"/>
              <w:jc w:val="both"/>
              <w:rPr>
                <w:rFonts w:ascii="Arial" w:hAnsi="Arial" w:cs="Arial"/>
                <w:lang w:val="en-GB"/>
              </w:rPr>
            </w:pPr>
            <w:r>
              <w:rPr>
                <w:rFonts w:ascii="Arial" w:hAnsi="Arial" w:cs="Arial"/>
                <w:lang w:val="en-GB"/>
              </w:rPr>
              <w:t>High integration and valuation risk.</w:t>
            </w:r>
          </w:p>
        </w:tc>
        <w:tc>
          <w:tcPr>
            <w:tcW w:w="0" w:type="auto"/>
            <w:shd w:val="clear" w:color="auto" w:fill="B4C6E7" w:themeFill="accent1" w:themeFillTint="66"/>
          </w:tcPr>
          <w:p w14:paraId="5FD1AC13">
            <w:pPr>
              <w:spacing w:after="160" w:line="360" w:lineRule="auto"/>
              <w:jc w:val="both"/>
              <w:rPr>
                <w:rFonts w:ascii="Arial" w:hAnsi="Arial" w:cs="Arial"/>
                <w:lang w:val="en-GB"/>
              </w:rPr>
            </w:pPr>
            <w:r>
              <w:rPr>
                <w:rFonts w:ascii="Arial" w:hAnsi="Arial" w:cs="Arial"/>
                <w:lang w:val="en-GB"/>
              </w:rPr>
              <w:t>Lower financial exposure but partner-conflict risk.</w:t>
            </w:r>
          </w:p>
        </w:tc>
        <w:tc>
          <w:tcPr>
            <w:tcW w:w="0" w:type="auto"/>
            <w:shd w:val="clear" w:color="auto" w:fill="B4C6E7" w:themeFill="accent1" w:themeFillTint="66"/>
          </w:tcPr>
          <w:p w14:paraId="09C34A9E">
            <w:pPr>
              <w:spacing w:after="160" w:line="360" w:lineRule="auto"/>
              <w:jc w:val="both"/>
              <w:rPr>
                <w:rFonts w:ascii="Arial" w:hAnsi="Arial" w:cs="Arial"/>
                <w:lang w:val="en-GB"/>
              </w:rPr>
            </w:pPr>
            <w:r>
              <w:rPr>
                <w:rFonts w:ascii="Arial" w:hAnsi="Arial" w:cs="Arial"/>
                <w:lang w:val="en-GB"/>
              </w:rPr>
              <w:t>High market and execution risk.</w:t>
            </w:r>
          </w:p>
        </w:tc>
      </w:tr>
      <w:tr w14:paraId="40BA3242">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tcBorders>
            <w:shd w:val="clear" w:color="auto" w:fill="4472C4" w:themeFill="accent1"/>
          </w:tcPr>
          <w:p w14:paraId="6DAA6561">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Strategic fit</w:t>
            </w:r>
          </w:p>
        </w:tc>
        <w:tc>
          <w:tcPr>
            <w:tcW w:w="0" w:type="auto"/>
            <w:shd w:val="clear" w:color="auto" w:fill="D9E2F3" w:themeFill="accent1" w:themeFillTint="33"/>
          </w:tcPr>
          <w:p w14:paraId="3D0020BE">
            <w:pPr>
              <w:spacing w:after="160" w:line="360" w:lineRule="auto"/>
              <w:jc w:val="both"/>
              <w:rPr>
                <w:rFonts w:ascii="Arial" w:hAnsi="Arial" w:cs="Arial"/>
                <w:lang w:val="en-GB"/>
              </w:rPr>
            </w:pPr>
            <w:r>
              <w:rPr>
                <w:rFonts w:ascii="Arial" w:hAnsi="Arial" w:cs="Arial"/>
                <w:lang w:val="en-GB"/>
              </w:rPr>
              <w:t>Medium; inherited assets may not match ALDI’s format.</w:t>
            </w:r>
          </w:p>
        </w:tc>
        <w:tc>
          <w:tcPr>
            <w:tcW w:w="0" w:type="auto"/>
            <w:shd w:val="clear" w:color="auto" w:fill="D9E2F3" w:themeFill="accent1" w:themeFillTint="33"/>
          </w:tcPr>
          <w:p w14:paraId="48F4DF15">
            <w:pPr>
              <w:spacing w:after="160" w:line="360" w:lineRule="auto"/>
              <w:jc w:val="both"/>
              <w:rPr>
                <w:rFonts w:ascii="Arial" w:hAnsi="Arial" w:cs="Arial"/>
                <w:lang w:val="en-GB"/>
              </w:rPr>
            </w:pPr>
            <w:r>
              <w:rPr>
                <w:rFonts w:ascii="Arial" w:hAnsi="Arial" w:cs="Arial"/>
                <w:lang w:val="en-GB"/>
              </w:rPr>
              <w:t>Medium; shared control conflicts with ALDI’s internalisation advantage.</w:t>
            </w:r>
          </w:p>
        </w:tc>
        <w:tc>
          <w:tcPr>
            <w:tcW w:w="0" w:type="auto"/>
            <w:shd w:val="clear" w:color="auto" w:fill="D9E2F3" w:themeFill="accent1" w:themeFillTint="33"/>
          </w:tcPr>
          <w:p w14:paraId="751EFC19">
            <w:pPr>
              <w:spacing w:after="160" w:line="360" w:lineRule="auto"/>
              <w:jc w:val="both"/>
              <w:rPr>
                <w:rFonts w:ascii="Arial" w:hAnsi="Arial" w:cs="Arial"/>
                <w:lang w:val="en-GB"/>
              </w:rPr>
            </w:pPr>
            <w:r>
              <w:rPr>
                <w:rFonts w:ascii="Arial" w:hAnsi="Arial" w:cs="Arial"/>
                <w:lang w:val="en-GB"/>
              </w:rPr>
              <w:t>Very high; ALDI can replicate its operating model from the outset.</w:t>
            </w:r>
          </w:p>
        </w:tc>
      </w:tr>
      <w:tr w14:paraId="5EF0D034">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0" w:type="auto"/>
            <w:tcBorders>
              <w:left w:val="single" w:color="FFFFFF" w:themeColor="background1" w:sz="4" w:space="0"/>
              <w:bottom w:val="single" w:color="FFFFFF" w:themeColor="background1" w:sz="4" w:space="0"/>
            </w:tcBorders>
            <w:shd w:val="clear" w:color="auto" w:fill="4472C4" w:themeFill="accent1"/>
          </w:tcPr>
          <w:p w14:paraId="4226EC76">
            <w:pPr>
              <w:spacing w:after="160" w:line="360" w:lineRule="auto"/>
              <w:jc w:val="both"/>
              <w:rPr>
                <w:rFonts w:ascii="Arial" w:hAnsi="Arial" w:cs="Arial"/>
                <w:b/>
                <w:bCs/>
                <w:color w:val="FFFFFF" w:themeColor="background1"/>
                <w:lang w:val="en-GB"/>
                <w14:textFill>
                  <w14:solidFill>
                    <w14:schemeClr w14:val="bg1"/>
                  </w14:solidFill>
                </w14:textFill>
              </w:rPr>
            </w:pPr>
            <w:r>
              <w:rPr>
                <w:rFonts w:ascii="Arial" w:hAnsi="Arial" w:cs="Arial"/>
                <w:b/>
                <w:bCs/>
                <w:color w:val="FFFFFF" w:themeColor="background1"/>
                <w:lang w:val="en-GB"/>
                <w14:textFill>
                  <w14:solidFill>
                    <w14:schemeClr w14:val="bg1"/>
                  </w14:solidFill>
                </w14:textFill>
              </w:rPr>
              <w:t>Overall assessment</w:t>
            </w:r>
          </w:p>
        </w:tc>
        <w:tc>
          <w:tcPr>
            <w:tcW w:w="0" w:type="auto"/>
            <w:shd w:val="clear" w:color="auto" w:fill="B4C6E7" w:themeFill="accent1" w:themeFillTint="66"/>
          </w:tcPr>
          <w:p w14:paraId="6A4A4694">
            <w:pPr>
              <w:spacing w:after="160" w:line="360" w:lineRule="auto"/>
              <w:jc w:val="both"/>
              <w:rPr>
                <w:rFonts w:ascii="Arial" w:hAnsi="Arial" w:cs="Arial"/>
                <w:lang w:val="en-GB"/>
              </w:rPr>
            </w:pPr>
            <w:r>
              <w:rPr>
                <w:rFonts w:ascii="Arial" w:hAnsi="Arial" w:cs="Arial"/>
                <w:lang w:val="en-GB"/>
              </w:rPr>
              <w:t>Attractive if an appropriate target becomes available.</w:t>
            </w:r>
          </w:p>
        </w:tc>
        <w:tc>
          <w:tcPr>
            <w:tcW w:w="0" w:type="auto"/>
            <w:shd w:val="clear" w:color="auto" w:fill="B4C6E7" w:themeFill="accent1" w:themeFillTint="66"/>
          </w:tcPr>
          <w:p w14:paraId="3E828231">
            <w:pPr>
              <w:spacing w:after="160" w:line="360" w:lineRule="auto"/>
              <w:jc w:val="both"/>
              <w:rPr>
                <w:rFonts w:ascii="Arial" w:hAnsi="Arial" w:cs="Arial"/>
                <w:lang w:val="en-GB"/>
              </w:rPr>
            </w:pPr>
            <w:r>
              <w:rPr>
                <w:rFonts w:ascii="Arial" w:hAnsi="Arial" w:cs="Arial"/>
                <w:lang w:val="en-GB"/>
              </w:rPr>
              <w:t>Useful for learning but weaker long-term control.</w:t>
            </w:r>
          </w:p>
        </w:tc>
        <w:tc>
          <w:tcPr>
            <w:tcW w:w="0" w:type="auto"/>
            <w:shd w:val="clear" w:color="auto" w:fill="B4C6E7" w:themeFill="accent1" w:themeFillTint="66"/>
          </w:tcPr>
          <w:p w14:paraId="2FC97741">
            <w:pPr>
              <w:spacing w:after="160" w:line="360" w:lineRule="auto"/>
              <w:jc w:val="both"/>
              <w:rPr>
                <w:rFonts w:ascii="Arial" w:hAnsi="Arial" w:cs="Arial"/>
                <w:lang w:val="en-GB"/>
              </w:rPr>
            </w:pPr>
            <w:r>
              <w:rPr>
                <w:rFonts w:ascii="Arial" w:hAnsi="Arial" w:cs="Arial"/>
                <w:lang w:val="en-GB"/>
              </w:rPr>
              <w:t>Preferred option, implemented progressively.</w:t>
            </w:r>
          </w:p>
        </w:tc>
      </w:tr>
    </w:tbl>
    <w:p w14:paraId="6096D334">
      <w:pPr>
        <w:spacing w:line="360" w:lineRule="auto"/>
        <w:jc w:val="both"/>
        <w:rPr>
          <w:rFonts w:ascii="Arial" w:hAnsi="Arial" w:cs="Arial"/>
          <w:b/>
          <w:bCs/>
          <w:lang w:val="en-GB"/>
        </w:rPr>
      </w:pPr>
    </w:p>
    <w:p w14:paraId="672119C3">
      <w:pPr>
        <w:pStyle w:val="4"/>
        <w:rPr>
          <w:rFonts w:ascii="Arial" w:hAnsi="Arial" w:cs="Arial"/>
          <w:sz w:val="22"/>
          <w:szCs w:val="22"/>
          <w:lang w:val="en-GB"/>
        </w:rPr>
      </w:pPr>
      <w:bookmarkStart w:id="19" w:name="_Toc237294305"/>
      <w:r>
        <w:rPr>
          <w:rFonts w:ascii="Arial" w:hAnsi="Arial" w:cs="Arial"/>
          <w:sz w:val="22"/>
          <w:szCs w:val="22"/>
          <w:lang w:val="en-GB"/>
        </w:rPr>
        <w:t>3.5 Final Entry-Mode Recommendation</w:t>
      </w:r>
      <w:bookmarkEnd w:id="19"/>
      <w:r>
        <w:rPr>
          <w:rFonts w:ascii="Arial" w:hAnsi="Arial" w:cs="Arial"/>
          <w:sz w:val="22"/>
          <w:szCs w:val="22"/>
          <w:lang w:val="en-GB"/>
        </w:rPr>
        <w:t xml:space="preserve"> </w:t>
      </w:r>
    </w:p>
    <w:p w14:paraId="6E34523F">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60288" behindDoc="0" locked="0" layoutInCell="1" allowOverlap="1">
                <wp:simplePos x="0" y="0"/>
                <wp:positionH relativeFrom="column">
                  <wp:posOffset>3057525</wp:posOffset>
                </wp:positionH>
                <wp:positionV relativeFrom="paragraph">
                  <wp:posOffset>43180</wp:posOffset>
                </wp:positionV>
                <wp:extent cx="2971800" cy="2838450"/>
                <wp:effectExtent l="0" t="0" r="19050" b="19050"/>
                <wp:wrapNone/>
                <wp:docPr id="635570351" name="Text Box 2"/>
                <wp:cNvGraphicFramePr/>
                <a:graphic xmlns:a="http://schemas.openxmlformats.org/drawingml/2006/main">
                  <a:graphicData uri="http://schemas.microsoft.com/office/word/2010/wordprocessingShape">
                    <wps:wsp>
                      <wps:cNvSpPr txBox="1"/>
                      <wps:spPr>
                        <a:xfrm>
                          <a:off x="0" y="0"/>
                          <a:ext cx="2971800" cy="283845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6513FA8">
                            <w:pPr>
                              <w:jc w:val="center"/>
                              <w:rPr>
                                <w:b/>
                                <w:bCs/>
                                <w:sz w:val="28"/>
                                <w:szCs w:val="28"/>
                              </w:rPr>
                            </w:pPr>
                            <w:r>
                              <w:rPr>
                                <w:b/>
                                <w:bCs/>
                                <w:sz w:val="28"/>
                                <w:szCs w:val="28"/>
                              </w:rPr>
                              <w:t>OLI Framework</w:t>
                            </w:r>
                          </w:p>
                          <w:p w14:paraId="4F9D85C7">
                            <w:pPr>
                              <w:rPr>
                                <w:sz w:val="20"/>
                                <w:szCs w:val="20"/>
                              </w:rPr>
                            </w:pPr>
                            <w:r>
                              <w:rPr>
                                <w:sz w:val="20"/>
                                <w:szCs w:val="20"/>
                              </w:rPr>
                              <w:t xml:space="preserve">ALDI has </w:t>
                            </w:r>
                            <w:r>
                              <w:rPr>
                                <w:b/>
                                <w:bCs/>
                                <w:sz w:val="20"/>
                                <w:szCs w:val="20"/>
                              </w:rPr>
                              <w:t>strong Ownership advantages</w:t>
                            </w:r>
                            <w:r>
                              <w:rPr>
                                <w:sz w:val="20"/>
                                <w:szCs w:val="20"/>
                              </w:rPr>
                              <w:t xml:space="preserve"> through its private-label expertise, purchasing capabilities, standardised store format and cost-control systems. </w:t>
                            </w:r>
                          </w:p>
                          <w:p w14:paraId="57B0F641">
                            <w:pPr>
                              <w:rPr>
                                <w:sz w:val="20"/>
                                <w:szCs w:val="20"/>
                              </w:rPr>
                            </w:pPr>
                            <w:r>
                              <w:rPr>
                                <w:sz w:val="20"/>
                                <w:szCs w:val="20"/>
                              </w:rPr>
                              <w:t xml:space="preserve">Its </w:t>
                            </w:r>
                            <w:r>
                              <w:rPr>
                                <w:b/>
                                <w:bCs/>
                                <w:sz w:val="20"/>
                                <w:szCs w:val="20"/>
                              </w:rPr>
                              <w:t>Location advantages in New Zealand are moderate-to-strong</w:t>
                            </w:r>
                            <w:r>
                              <w:rPr>
                                <w:sz w:val="20"/>
                                <w:szCs w:val="20"/>
                              </w:rPr>
                              <w:t xml:space="preserve">, because regulatory reforms and market concentration create an identifiable opportunity for a discount competitor. However, geographical and scale constraints weaken the location proposition. </w:t>
                            </w:r>
                          </w:p>
                          <w:p w14:paraId="1D7C6A2F">
                            <w:pPr>
                              <w:rPr>
                                <w:sz w:val="20"/>
                                <w:szCs w:val="20"/>
                              </w:rPr>
                            </w:pPr>
                            <w:r>
                              <w:rPr>
                                <w:sz w:val="20"/>
                                <w:szCs w:val="20"/>
                              </w:rPr>
                              <w:t xml:space="preserve">ALDI also has </w:t>
                            </w:r>
                            <w:r>
                              <w:rPr>
                                <w:b/>
                                <w:bCs/>
                                <w:sz w:val="20"/>
                                <w:szCs w:val="20"/>
                              </w:rPr>
                              <w:t>strong Internalisation advantages</w:t>
                            </w:r>
                            <w:r>
                              <w:rPr>
                                <w:sz w:val="20"/>
                                <w:szCs w:val="20"/>
                              </w:rPr>
                              <w:t>, because retaining control protects procurement, pricing, private-label sourcing and operational knowledge.</w:t>
                            </w:r>
                          </w:p>
                          <w:p w14:paraId="47C2148F">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2" o:spid="_x0000_s1026" o:spt="202" type="#_x0000_t202" style="position:absolute;left:0pt;margin-left:240.75pt;margin-top:3.4pt;height:223.5pt;width:234pt;z-index:251660288;mso-width-relative:page;mso-height-relative:page;" fillcolor="#FFDD9C [3536]" filled="t" stroked="t" coordsize="21600,21600" o:gfxdata="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">
                <v:fill type="gradient" on="t" color2="#FFD479 [3376]" colors="0f #FFDD9C;32768f #FFD78E;65536f #FFD479" focus="100%" focussize="0,0" rotate="t">
                  <o:fill type="gradientUnscaled" v:ext="backwardCompatible"/>
                </v:fill>
                <v:stroke weight="0.5pt" color="#FFC000 [3207]" miterlimit="8" joinstyle="miter"/>
                <v:imagedata o:title=""/>
                <o:lock v:ext="edit" aspectratio="f"/>
                <v:textbox>
                  <w:txbxContent>
                    <w:p w14:paraId="56513FA8">
                      <w:pPr>
                        <w:jc w:val="center"/>
                        <w:rPr>
                          <w:b/>
                          <w:bCs/>
                          <w:sz w:val="28"/>
                          <w:szCs w:val="28"/>
                        </w:rPr>
                      </w:pPr>
                      <w:r>
                        <w:rPr>
                          <w:b/>
                          <w:bCs/>
                          <w:sz w:val="28"/>
                          <w:szCs w:val="28"/>
                        </w:rPr>
                        <w:t>OLI Framework</w:t>
                      </w:r>
                    </w:p>
                    <w:p w14:paraId="4F9D85C7">
                      <w:pPr>
                        <w:rPr>
                          <w:sz w:val="20"/>
                          <w:szCs w:val="20"/>
                        </w:rPr>
                      </w:pPr>
                      <w:r>
                        <w:rPr>
                          <w:sz w:val="20"/>
                          <w:szCs w:val="20"/>
                        </w:rPr>
                        <w:t xml:space="preserve">ALDI has </w:t>
                      </w:r>
                      <w:r>
                        <w:rPr>
                          <w:b/>
                          <w:bCs/>
                          <w:sz w:val="20"/>
                          <w:szCs w:val="20"/>
                        </w:rPr>
                        <w:t>strong Ownership advantages</w:t>
                      </w:r>
                      <w:r>
                        <w:rPr>
                          <w:sz w:val="20"/>
                          <w:szCs w:val="20"/>
                        </w:rPr>
                        <w:t xml:space="preserve"> through its private-label expertise, purchasing capabilities, standardised store format and cost-control systems. </w:t>
                      </w:r>
                    </w:p>
                    <w:p w14:paraId="57B0F641">
                      <w:pPr>
                        <w:rPr>
                          <w:sz w:val="20"/>
                          <w:szCs w:val="20"/>
                        </w:rPr>
                      </w:pPr>
                      <w:r>
                        <w:rPr>
                          <w:sz w:val="20"/>
                          <w:szCs w:val="20"/>
                        </w:rPr>
                        <w:t xml:space="preserve">Its </w:t>
                      </w:r>
                      <w:r>
                        <w:rPr>
                          <w:b/>
                          <w:bCs/>
                          <w:sz w:val="20"/>
                          <w:szCs w:val="20"/>
                        </w:rPr>
                        <w:t>Location advantages in New Zealand are moderate-to-strong</w:t>
                      </w:r>
                      <w:r>
                        <w:rPr>
                          <w:sz w:val="20"/>
                          <w:szCs w:val="20"/>
                        </w:rPr>
                        <w:t xml:space="preserve">, because regulatory reforms and market concentration create an identifiable opportunity for a discount competitor. However, geographical and scale constraints weaken the location proposition. </w:t>
                      </w:r>
                    </w:p>
                    <w:p w14:paraId="1D7C6A2F">
                      <w:pPr>
                        <w:rPr>
                          <w:sz w:val="20"/>
                          <w:szCs w:val="20"/>
                        </w:rPr>
                      </w:pPr>
                      <w:r>
                        <w:rPr>
                          <w:sz w:val="20"/>
                          <w:szCs w:val="20"/>
                        </w:rPr>
                        <w:t xml:space="preserve">ALDI also has </w:t>
                      </w:r>
                      <w:r>
                        <w:rPr>
                          <w:b/>
                          <w:bCs/>
                          <w:sz w:val="20"/>
                          <w:szCs w:val="20"/>
                        </w:rPr>
                        <w:t>strong Internalisation advantages</w:t>
                      </w:r>
                      <w:r>
                        <w:rPr>
                          <w:sz w:val="20"/>
                          <w:szCs w:val="20"/>
                        </w:rPr>
                        <w:t>, because retaining control protects procurement, pricing, private-label sourcing and operational knowledge.</w:t>
                      </w:r>
                    </w:p>
                    <w:p w14:paraId="47C2148F">
                      <w:pPr>
                        <w:rPr>
                          <w:sz w:val="20"/>
                          <w:szCs w:val="20"/>
                        </w:rPr>
                      </w:pPr>
                    </w:p>
                  </w:txbxContent>
                </v:textbox>
              </v:shape>
            </w:pict>
          </mc:Fallback>
        </mc:AlternateContent>
      </w:r>
      <w:r>
        <w:rPr>
          <w:rFonts w:ascii="Arial" w:hAnsi="Arial" w:cs="Arial"/>
          <w:b/>
          <w:bCs/>
          <w:lang w:val="en-GB"/>
        </w:rPr>
        <mc:AlternateContent>
          <mc:Choice Requires="wps">
            <w:drawing>
              <wp:anchor distT="0" distB="0" distL="114300" distR="114300" simplePos="0" relativeHeight="251659264" behindDoc="0" locked="0" layoutInCell="1" allowOverlap="1">
                <wp:simplePos x="0" y="0"/>
                <wp:positionH relativeFrom="column">
                  <wp:posOffset>9525</wp:posOffset>
                </wp:positionH>
                <wp:positionV relativeFrom="paragraph">
                  <wp:posOffset>180975</wp:posOffset>
                </wp:positionV>
                <wp:extent cx="2847975" cy="2667000"/>
                <wp:effectExtent l="0" t="0" r="28575" b="19050"/>
                <wp:wrapNone/>
                <wp:docPr id="683778650" name="Text Box 2"/>
                <wp:cNvGraphicFramePr/>
                <a:graphic xmlns:a="http://schemas.openxmlformats.org/drawingml/2006/main">
                  <a:graphicData uri="http://schemas.microsoft.com/office/word/2010/wordprocessingShape">
                    <wps:wsp>
                      <wps:cNvSpPr txBox="1"/>
                      <wps:spPr>
                        <a:xfrm>
                          <a:off x="0" y="0"/>
                          <a:ext cx="2847975" cy="266700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46BF4BF2">
                            <w:pPr>
                              <w:jc w:val="center"/>
                              <w:rPr>
                                <w:sz w:val="28"/>
                                <w:szCs w:val="28"/>
                              </w:rPr>
                            </w:pPr>
                            <w:r>
                              <w:rPr>
                                <w:b/>
                                <w:bCs/>
                                <w:sz w:val="28"/>
                                <w:szCs w:val="28"/>
                              </w:rPr>
                              <w:t>PEL (Political, Economic, Legal)</w:t>
                            </w:r>
                          </w:p>
                          <w:p w14:paraId="03CBB3AD">
                            <w:pPr>
                              <w:rPr>
                                <w:sz w:val="20"/>
                                <w:szCs w:val="20"/>
                              </w:rPr>
                            </w:pPr>
                            <w:r>
                              <w:rPr>
                                <w:sz w:val="20"/>
                                <w:szCs w:val="20"/>
                              </w:rPr>
                              <w:t xml:space="preserve">New Zealand presents a </w:t>
                            </w:r>
                            <w:r>
                              <w:rPr>
                                <w:b/>
                                <w:bCs/>
                                <w:sz w:val="20"/>
                                <w:szCs w:val="20"/>
                              </w:rPr>
                              <w:t>moderately attractive but operationally challenging</w:t>
                            </w:r>
                            <w:r>
                              <w:rPr>
                                <w:sz w:val="20"/>
                                <w:szCs w:val="20"/>
                              </w:rPr>
                              <w:t xml:space="preserve"> market.</w:t>
                            </w:r>
                          </w:p>
                          <w:p w14:paraId="1CC7660C">
                            <w:pPr>
                              <w:rPr>
                                <w:sz w:val="20"/>
                                <w:szCs w:val="20"/>
                              </w:rPr>
                            </w:pPr>
                            <w:r>
                              <w:rPr>
                                <w:sz w:val="20"/>
                                <w:szCs w:val="20"/>
                              </w:rPr>
                              <w:t>Politically and legally, government reforms are intended to strengthen grocery competition, although the Commerce Commission’s June 2026 report indicates that reforms still require time to produce significant competitive improvements.</w:t>
                            </w:r>
                          </w:p>
                          <w:p w14:paraId="2C515E5A">
                            <w:pPr>
                              <w:rPr>
                                <w:sz w:val="20"/>
                                <w:szCs w:val="20"/>
                              </w:rPr>
                            </w:pPr>
                            <w:r>
                              <w:rPr>
                                <w:sz w:val="20"/>
                                <w:szCs w:val="20"/>
                              </w:rPr>
                              <w:t>Economically, ALDI could exploit demand for value, but the concentrated grocery structure and relatively limited market scale create uncertainty over whether sufficient economies of scale can be achieved.</w:t>
                            </w:r>
                          </w:p>
                          <w:p w14:paraId="27BCD6E0">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2" o:spid="_x0000_s1026" o:spt="202" type="#_x0000_t202" style="position:absolute;left:0pt;margin-left:0.75pt;margin-top:14.25pt;height:210pt;width:224.25pt;z-index:251659264;mso-width-relative:page;mso-height-relative:page;" fillcolor="#F7BDA4 [3536]" filled="t" stroked="t" coordsize="21600,21600" o:gfxdata="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">
                <v:fill type="gradient" on="t" color2="#F8A581 [3376]" colors="0f #F7BDA4;32768f #F5B195;65536f #F8A581" focus="100%" focussize="0,0" rotate="t">
                  <o:fill type="gradientUnscaled" v:ext="backwardCompatible"/>
                </v:fill>
                <v:stroke weight="0.5pt" color="#ED7D31 [3205]" miterlimit="8" joinstyle="miter"/>
                <v:imagedata o:title=""/>
                <o:lock v:ext="edit" aspectratio="f"/>
                <v:textbox>
                  <w:txbxContent>
                    <w:p w14:paraId="46BF4BF2">
                      <w:pPr>
                        <w:jc w:val="center"/>
                        <w:rPr>
                          <w:sz w:val="28"/>
                          <w:szCs w:val="28"/>
                        </w:rPr>
                      </w:pPr>
                      <w:r>
                        <w:rPr>
                          <w:b/>
                          <w:bCs/>
                          <w:sz w:val="28"/>
                          <w:szCs w:val="28"/>
                        </w:rPr>
                        <w:t>PEL (Political, Economic, Legal)</w:t>
                      </w:r>
                    </w:p>
                    <w:p w14:paraId="03CBB3AD">
                      <w:pPr>
                        <w:rPr>
                          <w:sz w:val="20"/>
                          <w:szCs w:val="20"/>
                        </w:rPr>
                      </w:pPr>
                      <w:r>
                        <w:rPr>
                          <w:sz w:val="20"/>
                          <w:szCs w:val="20"/>
                        </w:rPr>
                        <w:t xml:space="preserve">New Zealand presents a </w:t>
                      </w:r>
                      <w:r>
                        <w:rPr>
                          <w:b/>
                          <w:bCs/>
                          <w:sz w:val="20"/>
                          <w:szCs w:val="20"/>
                        </w:rPr>
                        <w:t>moderately attractive but operationally challenging</w:t>
                      </w:r>
                      <w:r>
                        <w:rPr>
                          <w:sz w:val="20"/>
                          <w:szCs w:val="20"/>
                        </w:rPr>
                        <w:t xml:space="preserve"> market.</w:t>
                      </w:r>
                    </w:p>
                    <w:p w14:paraId="1CC7660C">
                      <w:pPr>
                        <w:rPr>
                          <w:sz w:val="20"/>
                          <w:szCs w:val="20"/>
                        </w:rPr>
                      </w:pPr>
                      <w:r>
                        <w:rPr>
                          <w:sz w:val="20"/>
                          <w:szCs w:val="20"/>
                        </w:rPr>
                        <w:t>Politically and legally, government reforms are intended to strengthen grocery competition, although the Commerce Commission’s June 2026 report indicates that reforms still require time to produce significant competitive improvements.</w:t>
                      </w:r>
                    </w:p>
                    <w:p w14:paraId="2C515E5A">
                      <w:pPr>
                        <w:rPr>
                          <w:sz w:val="20"/>
                          <w:szCs w:val="20"/>
                        </w:rPr>
                      </w:pPr>
                      <w:r>
                        <w:rPr>
                          <w:sz w:val="20"/>
                          <w:szCs w:val="20"/>
                        </w:rPr>
                        <w:t>Economically, ALDI could exploit demand for value, but the concentrated grocery structure and relatively limited market scale create uncertainty over whether sufficient economies of scale can be achieved.</w:t>
                      </w:r>
                    </w:p>
                    <w:p w14:paraId="27BCD6E0">
                      <w:pPr>
                        <w:rPr>
                          <w:sz w:val="20"/>
                          <w:szCs w:val="20"/>
                        </w:rPr>
                      </w:pPr>
                    </w:p>
                  </w:txbxContent>
                </v:textbox>
              </v:shape>
            </w:pict>
          </mc:Fallback>
        </mc:AlternateContent>
      </w:r>
    </w:p>
    <w:p w14:paraId="66805F45">
      <w:pPr>
        <w:spacing w:line="360" w:lineRule="auto"/>
        <w:jc w:val="both"/>
        <w:rPr>
          <w:rFonts w:ascii="Arial" w:hAnsi="Arial" w:cs="Arial"/>
          <w:b/>
          <w:bCs/>
          <w:lang w:val="en-GB"/>
        </w:rPr>
      </w:pPr>
    </w:p>
    <w:p w14:paraId="1BAA3DF8">
      <w:pPr>
        <w:spacing w:line="360" w:lineRule="auto"/>
        <w:jc w:val="both"/>
        <w:rPr>
          <w:rFonts w:ascii="Arial" w:hAnsi="Arial" w:cs="Arial"/>
          <w:b/>
          <w:bCs/>
          <w:lang w:val="en-GB"/>
        </w:rPr>
      </w:pPr>
    </w:p>
    <w:p w14:paraId="4EDD73E8">
      <w:pPr>
        <w:spacing w:line="360" w:lineRule="auto"/>
        <w:jc w:val="both"/>
        <w:rPr>
          <w:rFonts w:ascii="Arial" w:hAnsi="Arial" w:cs="Arial"/>
          <w:b/>
          <w:bCs/>
          <w:lang w:val="en-GB"/>
        </w:rPr>
      </w:pPr>
    </w:p>
    <w:p w14:paraId="45A35065">
      <w:pPr>
        <w:spacing w:line="360" w:lineRule="auto"/>
        <w:jc w:val="both"/>
        <w:rPr>
          <w:rFonts w:ascii="Arial" w:hAnsi="Arial" w:cs="Arial"/>
          <w:b/>
          <w:bCs/>
          <w:lang w:val="en-GB"/>
        </w:rPr>
      </w:pPr>
    </w:p>
    <w:p w14:paraId="0D81721D">
      <w:pPr>
        <w:spacing w:line="360" w:lineRule="auto"/>
        <w:jc w:val="both"/>
        <w:rPr>
          <w:rFonts w:ascii="Arial" w:hAnsi="Arial" w:cs="Arial"/>
          <w:b/>
          <w:bCs/>
          <w:lang w:val="en-GB"/>
        </w:rPr>
      </w:pPr>
    </w:p>
    <w:p w14:paraId="3165E7AD">
      <w:pPr>
        <w:spacing w:line="360" w:lineRule="auto"/>
        <w:jc w:val="both"/>
        <w:rPr>
          <w:rFonts w:ascii="Arial" w:hAnsi="Arial" w:cs="Arial"/>
          <w:b/>
          <w:bCs/>
          <w:lang w:val="en-GB"/>
        </w:rPr>
      </w:pPr>
    </w:p>
    <w:p w14:paraId="05D01D94">
      <w:pPr>
        <w:spacing w:line="360" w:lineRule="auto"/>
        <w:jc w:val="both"/>
        <w:rPr>
          <w:rFonts w:ascii="Arial" w:hAnsi="Arial" w:cs="Arial"/>
          <w:b/>
          <w:bCs/>
          <w:lang w:val="en-GB"/>
        </w:rPr>
      </w:pPr>
    </w:p>
    <w:p w14:paraId="7CA16212">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62336" behindDoc="0" locked="0" layoutInCell="1" allowOverlap="1">
                <wp:simplePos x="0" y="0"/>
                <wp:positionH relativeFrom="column">
                  <wp:posOffset>1238250</wp:posOffset>
                </wp:positionH>
                <wp:positionV relativeFrom="paragraph">
                  <wp:posOffset>39370</wp:posOffset>
                </wp:positionV>
                <wp:extent cx="342900" cy="609600"/>
                <wp:effectExtent l="19050" t="0" r="19050" b="38100"/>
                <wp:wrapNone/>
                <wp:docPr id="336264447" name="Arrow: Down 3"/>
                <wp:cNvGraphicFramePr/>
                <a:graphic xmlns:a="http://schemas.openxmlformats.org/drawingml/2006/main">
                  <a:graphicData uri="http://schemas.microsoft.com/office/word/2010/wordprocessingShape">
                    <wps:wsp>
                      <wps:cNvSpPr/>
                      <wps:spPr>
                        <a:xfrm>
                          <a:off x="0" y="0"/>
                          <a:ext cx="342900" cy="60960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Arrow: Down 3" o:spid="_x0000_s1026" o:spt="67" type="#_x0000_t67" style="position:absolute;left:0pt;margin-left:97.5pt;margin-top:3.1pt;height:48pt;width:27pt;z-index:251662336;v-text-anchor:middle;mso-width-relative:page;mso-height-relative:page;" fillcolor="#000000 [3200]" filled="t" stroked="t" coordsize="21600,21600" o:gfxdata="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&#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KsaMYtUAAAAJAQAADwAAAAAAAAABACAAAAAiAAAAZHJz&#10;L2Rvd25yZXYueG1sUEsBAhQAFAAAAAgAh07iQHSEmPN5AgAAJgUAAA4AAAAAAAAAAQAgAAAAJAEA&#10;AGRycy9lMm9Eb2MueG1sUEsFBgAAAAAGAAYAWQEAAA8GAAAAAA==&#10;" adj="15525,5400">
                <v:fill on="t" focussize="0,0"/>
                <v:stroke weight="1pt" color="#000000 [3200]" miterlimit="8" joinstyle="miter"/>
                <v:imagedata o:title=""/>
                <o:lock v:ext="edit" aspectratio="f"/>
              </v:shape>
            </w:pict>
          </mc:Fallback>
        </mc:AlternateContent>
      </w:r>
      <w:r>
        <w:rPr>
          <w:rFonts w:ascii="Arial" w:hAnsi="Arial" w:cs="Arial"/>
          <w:b/>
          <w:bCs/>
          <w:lang w:val="en-GB"/>
        </w:rPr>
        <mc:AlternateContent>
          <mc:Choice Requires="wps">
            <w:drawing>
              <wp:anchor distT="0" distB="0" distL="114300" distR="114300" simplePos="0" relativeHeight="251663360" behindDoc="0" locked="0" layoutInCell="1" allowOverlap="1">
                <wp:simplePos x="0" y="0"/>
                <wp:positionH relativeFrom="column">
                  <wp:posOffset>3838575</wp:posOffset>
                </wp:positionH>
                <wp:positionV relativeFrom="paragraph">
                  <wp:posOffset>94615</wp:posOffset>
                </wp:positionV>
                <wp:extent cx="342900" cy="609600"/>
                <wp:effectExtent l="19050" t="0" r="19050" b="38100"/>
                <wp:wrapNone/>
                <wp:docPr id="618058285" name="Arrow: Down 3"/>
                <wp:cNvGraphicFramePr/>
                <a:graphic xmlns:a="http://schemas.openxmlformats.org/drawingml/2006/main">
                  <a:graphicData uri="http://schemas.microsoft.com/office/word/2010/wordprocessingShape">
                    <wps:wsp>
                      <wps:cNvSpPr/>
                      <wps:spPr>
                        <a:xfrm>
                          <a:off x="0" y="0"/>
                          <a:ext cx="342900" cy="60960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Arrow: Down 3" o:spid="_x0000_s1026" o:spt="67" type="#_x0000_t67" style="position:absolute;left:0pt;margin-left:302.25pt;margin-top:7.45pt;height:48pt;width:27pt;z-index:251663360;v-text-anchor:middle;mso-width-relative:page;mso-height-relative:page;" fillcolor="#000000 [3200]" filled="t" stroked="t" coordsize="21600,21600" o:gfxdata="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A9sZvO1wAAAAoBAAAPAAAAAAAAAAEAIAAAACIAAABk&#10;cnMvZG93bnJldi54bWxQSwECFAAUAAAACACHTuJAdPdKc3kCAAAmBQAADgAAAAAAAAABACAAAAAm&#10;AQAAZHJzL2Uyb0RvYy54bWxQSwUGAAAAAAYABgBZAQAAEQYAAAAA&#10;" adj="15525,5400">
                <v:fill on="t" focussize="0,0"/>
                <v:stroke weight="1pt" color="#000000 [3200]" miterlimit="8" joinstyle="miter"/>
                <v:imagedata o:title=""/>
                <o:lock v:ext="edit" aspectratio="f"/>
              </v:shape>
            </w:pict>
          </mc:Fallback>
        </mc:AlternateContent>
      </w:r>
    </w:p>
    <w:p w14:paraId="1C616B1A">
      <w:pPr>
        <w:spacing w:line="360" w:lineRule="auto"/>
        <w:jc w:val="both"/>
        <w:rPr>
          <w:rFonts w:ascii="Arial" w:hAnsi="Arial" w:cs="Arial"/>
          <w:b/>
          <w:bCs/>
          <w:lang w:val="en-GB"/>
        </w:rPr>
      </w:pPr>
    </w:p>
    <w:p w14:paraId="74739A2A">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61312" behindDoc="0" locked="0" layoutInCell="1" allowOverlap="1">
                <wp:simplePos x="0" y="0"/>
                <wp:positionH relativeFrom="column">
                  <wp:posOffset>895350</wp:posOffset>
                </wp:positionH>
                <wp:positionV relativeFrom="paragraph">
                  <wp:posOffset>46990</wp:posOffset>
                </wp:positionV>
                <wp:extent cx="4086225" cy="2705100"/>
                <wp:effectExtent l="0" t="0" r="28575" b="19050"/>
                <wp:wrapNone/>
                <wp:docPr id="1232296871" name="Text Box 2"/>
                <wp:cNvGraphicFramePr/>
                <a:graphic xmlns:a="http://schemas.openxmlformats.org/drawingml/2006/main">
                  <a:graphicData uri="http://schemas.microsoft.com/office/word/2010/wordprocessingShape">
                    <wps:wsp>
                      <wps:cNvSpPr txBox="1"/>
                      <wps:spPr>
                        <a:xfrm>
                          <a:off x="0" y="0"/>
                          <a:ext cx="4086225" cy="27051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778264A9">
                            <w:pPr>
                              <w:jc w:val="center"/>
                              <w:rPr>
                                <w:sz w:val="32"/>
                                <w:szCs w:val="32"/>
                              </w:rPr>
                            </w:pPr>
                            <w:r>
                              <w:rPr>
                                <w:b/>
                                <w:bCs/>
                                <w:sz w:val="32"/>
                                <w:szCs w:val="32"/>
                              </w:rPr>
                              <w:t>Entry Mode →</w:t>
                            </w:r>
                            <w:r>
                              <w:rPr>
                                <w:sz w:val="32"/>
                                <w:szCs w:val="32"/>
                              </w:rPr>
                              <w:t xml:space="preserve"> </w:t>
                            </w:r>
                            <w:r>
                              <w:rPr>
                                <w:b/>
                                <w:bCs/>
                                <w:sz w:val="32"/>
                                <w:szCs w:val="32"/>
                              </w:rPr>
                              <w:t>Greenfield Expansion</w:t>
                            </w:r>
                          </w:p>
                          <w:p w14:paraId="5D208FB4">
                            <w:pPr>
                              <w:rPr>
                                <w:sz w:val="20"/>
                                <w:szCs w:val="20"/>
                              </w:rPr>
                            </w:pPr>
                            <w:r>
                              <w:rPr>
                                <w:sz w:val="20"/>
                                <w:szCs w:val="20"/>
                              </w:rPr>
                              <w:t xml:space="preserve">Therefore, a </w:t>
                            </w:r>
                            <w:r>
                              <w:rPr>
                                <w:b/>
                                <w:bCs/>
                                <w:sz w:val="20"/>
                                <w:szCs w:val="20"/>
                              </w:rPr>
                              <w:t>phased greenfield expansion through a wholly owned subsidiary is recommended</w:t>
                            </w:r>
                            <w:r>
                              <w:rPr>
                                <w:sz w:val="20"/>
                                <w:szCs w:val="20"/>
                              </w:rPr>
                              <w:t xml:space="preserve">. Greenfield investment allows ALDI to reproduce its operating model without inheriting unsuitable assets, while wholly owned control protects the capabilities identified under OLI. </w:t>
                            </w:r>
                          </w:p>
                          <w:p w14:paraId="3F5B050F">
                            <w:pPr>
                              <w:rPr>
                                <w:sz w:val="20"/>
                                <w:szCs w:val="20"/>
                              </w:rPr>
                            </w:pPr>
                            <w:r>
                              <w:rPr>
                                <w:sz w:val="20"/>
                                <w:szCs w:val="20"/>
                              </w:rPr>
                              <w:t xml:space="preserve">Research demonstrates that greenfield, acquisition and joint-venture choices involve trade-offs between control, resource commitment, uncertainty and local assets rather than one universally superior mode. </w:t>
                            </w:r>
                          </w:p>
                          <w:p w14:paraId="3B87CB10">
                            <w:pPr>
                              <w:rPr>
                                <w:sz w:val="20"/>
                                <w:szCs w:val="20"/>
                              </w:rPr>
                            </w:pPr>
                            <w:r>
                              <w:rPr>
                                <w:sz w:val="20"/>
                                <w:szCs w:val="20"/>
                              </w:rPr>
                              <w:t xml:space="preserve">Given New Zealand’s uncertainty, ALDI should initially establish a limited </w:t>
                            </w:r>
                            <w:r>
                              <w:rPr>
                                <w:b/>
                                <w:bCs/>
                                <w:sz w:val="20"/>
                                <w:szCs w:val="20"/>
                              </w:rPr>
                              <w:t>urban store cluster</w:t>
                            </w:r>
                            <w:r>
                              <w:rPr>
                                <w:sz w:val="20"/>
                                <w:szCs w:val="20"/>
                              </w:rPr>
                              <w:t xml:space="preserve">, develop distribution and supplier capabilities, assess store productivity and then expand progressively. This approach provides the strongest alignment between </w:t>
                            </w:r>
                            <w:r>
                              <w:rPr>
                                <w:b/>
                                <w:bCs/>
                                <w:sz w:val="20"/>
                                <w:szCs w:val="20"/>
                              </w:rPr>
                              <w:t>PEL conditions, OLI advantages and entry-mode requirements</w:t>
                            </w:r>
                            <w:r>
                              <w:rPr>
                                <w:sz w:val="20"/>
                                <w:szCs w:val="20"/>
                              </w:rPr>
                              <w:t>.</w:t>
                            </w:r>
                          </w:p>
                          <w:p w14:paraId="73B2530B">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2" o:spid="_x0000_s1026" o:spt="202" type="#_x0000_t202" style="position:absolute;left:0pt;margin-left:70.5pt;margin-top:3.7pt;height:213pt;width:321.75pt;z-index:251661312;mso-width-relative:page;mso-height-relative:page;" fillcolor="#B5D5A7 [3536]" filled="t" stroked="t" coordsize="21600,21600" o:gfxdata="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">
                <v:fill type="gradient" on="t" color2="#9CCA86 [3376]" colors="0f #B5D5A7;32768f #AACE99;65536f #9CCA86" focus="100%" focussize="0,0" rotate="t">
                  <o:fill type="gradientUnscaled" v:ext="backwardCompatible"/>
                </v:fill>
                <v:stroke weight="0.5pt" color="#70AD47 [3209]" miterlimit="8" joinstyle="miter"/>
                <v:imagedata o:title=""/>
                <o:lock v:ext="edit" aspectratio="f"/>
                <v:textbox>
                  <w:txbxContent>
                    <w:p w14:paraId="778264A9">
                      <w:pPr>
                        <w:jc w:val="center"/>
                        <w:rPr>
                          <w:sz w:val="32"/>
                          <w:szCs w:val="32"/>
                        </w:rPr>
                      </w:pPr>
                      <w:r>
                        <w:rPr>
                          <w:b/>
                          <w:bCs/>
                          <w:sz w:val="32"/>
                          <w:szCs w:val="32"/>
                        </w:rPr>
                        <w:t>Entry Mode →</w:t>
                      </w:r>
                      <w:r>
                        <w:rPr>
                          <w:sz w:val="32"/>
                          <w:szCs w:val="32"/>
                        </w:rPr>
                        <w:t xml:space="preserve"> </w:t>
                      </w:r>
                      <w:r>
                        <w:rPr>
                          <w:b/>
                          <w:bCs/>
                          <w:sz w:val="32"/>
                          <w:szCs w:val="32"/>
                        </w:rPr>
                        <w:t>Greenfield Expansion</w:t>
                      </w:r>
                    </w:p>
                    <w:p w14:paraId="5D208FB4">
                      <w:pPr>
                        <w:rPr>
                          <w:sz w:val="20"/>
                          <w:szCs w:val="20"/>
                        </w:rPr>
                      </w:pPr>
                      <w:r>
                        <w:rPr>
                          <w:sz w:val="20"/>
                          <w:szCs w:val="20"/>
                        </w:rPr>
                        <w:t xml:space="preserve">Therefore, a </w:t>
                      </w:r>
                      <w:r>
                        <w:rPr>
                          <w:b/>
                          <w:bCs/>
                          <w:sz w:val="20"/>
                          <w:szCs w:val="20"/>
                        </w:rPr>
                        <w:t>phased greenfield expansion through a wholly owned subsidiary is recommended</w:t>
                      </w:r>
                      <w:r>
                        <w:rPr>
                          <w:sz w:val="20"/>
                          <w:szCs w:val="20"/>
                        </w:rPr>
                        <w:t xml:space="preserve">. Greenfield investment allows ALDI to reproduce its operating model without inheriting unsuitable assets, while wholly owned control protects the capabilities identified under OLI. </w:t>
                      </w:r>
                    </w:p>
                    <w:p w14:paraId="3F5B050F">
                      <w:pPr>
                        <w:rPr>
                          <w:sz w:val="20"/>
                          <w:szCs w:val="20"/>
                        </w:rPr>
                      </w:pPr>
                      <w:r>
                        <w:rPr>
                          <w:sz w:val="20"/>
                          <w:szCs w:val="20"/>
                        </w:rPr>
                        <w:t xml:space="preserve">Research demonstrates that greenfield, acquisition and joint-venture choices involve trade-offs between control, resource commitment, uncertainty and local assets rather than one universally superior mode. </w:t>
                      </w:r>
                    </w:p>
                    <w:p w14:paraId="3B87CB10">
                      <w:pPr>
                        <w:rPr>
                          <w:sz w:val="20"/>
                          <w:szCs w:val="20"/>
                        </w:rPr>
                      </w:pPr>
                      <w:r>
                        <w:rPr>
                          <w:sz w:val="20"/>
                          <w:szCs w:val="20"/>
                        </w:rPr>
                        <w:t xml:space="preserve">Given New Zealand’s uncertainty, ALDI should initially establish a limited </w:t>
                      </w:r>
                      <w:r>
                        <w:rPr>
                          <w:b/>
                          <w:bCs/>
                          <w:sz w:val="20"/>
                          <w:szCs w:val="20"/>
                        </w:rPr>
                        <w:t>urban store cluster</w:t>
                      </w:r>
                      <w:r>
                        <w:rPr>
                          <w:sz w:val="20"/>
                          <w:szCs w:val="20"/>
                        </w:rPr>
                        <w:t xml:space="preserve">, develop distribution and supplier capabilities, assess store productivity and then expand progressively. This approach provides the strongest alignment between </w:t>
                      </w:r>
                      <w:r>
                        <w:rPr>
                          <w:b/>
                          <w:bCs/>
                          <w:sz w:val="20"/>
                          <w:szCs w:val="20"/>
                        </w:rPr>
                        <w:t>PEL conditions, OLI advantages and entry-mode requirements</w:t>
                      </w:r>
                      <w:r>
                        <w:rPr>
                          <w:sz w:val="20"/>
                          <w:szCs w:val="20"/>
                        </w:rPr>
                        <w:t>.</w:t>
                      </w:r>
                    </w:p>
                    <w:p w14:paraId="73B2530B">
                      <w:pPr>
                        <w:rPr>
                          <w:sz w:val="20"/>
                          <w:szCs w:val="20"/>
                        </w:rPr>
                      </w:pPr>
                    </w:p>
                  </w:txbxContent>
                </v:textbox>
              </v:shape>
            </w:pict>
          </mc:Fallback>
        </mc:AlternateContent>
      </w:r>
    </w:p>
    <w:p w14:paraId="7B42CEFD">
      <w:pPr>
        <w:spacing w:line="360" w:lineRule="auto"/>
        <w:jc w:val="both"/>
        <w:rPr>
          <w:rFonts w:ascii="Arial" w:hAnsi="Arial" w:cs="Arial"/>
          <w:b/>
          <w:bCs/>
          <w:lang w:val="en-GB"/>
        </w:rPr>
      </w:pPr>
    </w:p>
    <w:p w14:paraId="556E9A86">
      <w:pPr>
        <w:spacing w:line="360" w:lineRule="auto"/>
        <w:jc w:val="both"/>
        <w:rPr>
          <w:rFonts w:ascii="Arial" w:hAnsi="Arial" w:cs="Arial"/>
          <w:b/>
          <w:bCs/>
          <w:lang w:val="en-GB"/>
        </w:rPr>
      </w:pPr>
    </w:p>
    <w:p w14:paraId="7507624B">
      <w:pPr>
        <w:spacing w:line="360" w:lineRule="auto"/>
        <w:jc w:val="both"/>
        <w:rPr>
          <w:rFonts w:ascii="Arial" w:hAnsi="Arial" w:cs="Arial"/>
          <w:b/>
          <w:bCs/>
          <w:lang w:val="en-GB"/>
        </w:rPr>
      </w:pPr>
    </w:p>
    <w:p w14:paraId="6B7DC3A3">
      <w:pPr>
        <w:spacing w:line="360" w:lineRule="auto"/>
        <w:jc w:val="both"/>
        <w:rPr>
          <w:rFonts w:ascii="Arial" w:hAnsi="Arial" w:cs="Arial"/>
          <w:b/>
          <w:bCs/>
          <w:lang w:val="en-GB"/>
        </w:rPr>
      </w:pPr>
    </w:p>
    <w:p w14:paraId="70044B9D">
      <w:pPr>
        <w:spacing w:line="360" w:lineRule="auto"/>
        <w:jc w:val="both"/>
        <w:rPr>
          <w:rFonts w:ascii="Arial" w:hAnsi="Arial" w:cs="Arial"/>
          <w:b/>
          <w:bCs/>
          <w:lang w:val="en-GB"/>
        </w:rPr>
      </w:pPr>
    </w:p>
    <w:p w14:paraId="3D098320">
      <w:pPr>
        <w:spacing w:line="360" w:lineRule="auto"/>
        <w:jc w:val="both"/>
        <w:rPr>
          <w:rFonts w:ascii="Arial" w:hAnsi="Arial" w:cs="Arial"/>
          <w:b/>
          <w:bCs/>
          <w:lang w:val="en-GB"/>
        </w:rPr>
      </w:pPr>
    </w:p>
    <w:p w14:paraId="514B9FD9">
      <w:pPr>
        <w:spacing w:line="360" w:lineRule="auto"/>
        <w:jc w:val="both"/>
        <w:rPr>
          <w:rStyle w:val="26"/>
          <w:rFonts w:ascii="Arial" w:hAnsi="Arial" w:cs="Arial"/>
          <w:sz w:val="22"/>
          <w:szCs w:val="22"/>
          <w:lang w:val="en-GB"/>
        </w:rPr>
      </w:pPr>
      <w:r>
        <w:rPr>
          <w:rFonts w:ascii="Arial" w:hAnsi="Arial" w:cs="Arial"/>
          <w:b/>
          <w:bCs/>
          <w:lang w:val="en-GB"/>
        </w:rPr>
        <mc:AlternateContent>
          <mc:Choice Requires="wps">
            <w:drawing>
              <wp:anchor distT="0" distB="0" distL="114300" distR="114300" simplePos="0" relativeHeight="251672576" behindDoc="0" locked="0" layoutInCell="1" allowOverlap="1">
                <wp:simplePos x="0" y="0"/>
                <wp:positionH relativeFrom="column">
                  <wp:posOffset>3761740</wp:posOffset>
                </wp:positionH>
                <wp:positionV relativeFrom="paragraph">
                  <wp:posOffset>67945</wp:posOffset>
                </wp:positionV>
                <wp:extent cx="156845" cy="4910455"/>
                <wp:effectExtent l="1371600" t="0" r="1386840" b="0"/>
                <wp:wrapNone/>
                <wp:docPr id="648499964" name="Arrow: Down 7"/>
                <wp:cNvGraphicFramePr/>
                <a:graphic xmlns:a="http://schemas.openxmlformats.org/drawingml/2006/main">
                  <a:graphicData uri="http://schemas.microsoft.com/office/word/2010/wordprocessingShape">
                    <wps:wsp>
                      <wps:cNvSpPr/>
                      <wps:spPr>
                        <a:xfrm rot="19457979">
                          <a:off x="0" y="0"/>
                          <a:ext cx="156773" cy="4910502"/>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Arrow: Down 7" o:spid="_x0000_s1026" o:spt="67" type="#_x0000_t67" style="position:absolute;left:0pt;margin-left:296.2pt;margin-top:5.35pt;height:386.65pt;width:12.35pt;rotation:-2339658f;z-index:251672576;v-text-anchor:middle;mso-width-relative:page;mso-height-relative:page;" fillcolor="#000000 [3200]" filled="t" stroked="t" coordsize="21600,21600" o:gfxdata="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2gKMb9gAAAAKAQAADwAAAAAA&#10;AAABACAAAAAiAAAAZHJzL2Rvd25yZXYueG1sUEsBAhQAFAAAAAgAh07iQFR9T+KFAgAANgUAAA4A&#10;AAAAAAAAAQAgAAAAJwEAAGRycy9lMm9Eb2MueG1sUEsFBgAAAAAGAAYAWQEAAB4GAAAAAA==&#10;" adj="21256,5400">
                <v:fill on="t" focussize="0,0"/>
                <v:stroke weight="1pt" color="#000000 [3200]" miterlimit="8" joinstyle="miter"/>
                <v:imagedata o:title=""/>
                <o:lock v:ext="edit" aspectratio="f"/>
              </v:shape>
            </w:pict>
          </mc:Fallback>
        </mc:AlternateContent>
      </w:r>
      <w:r>
        <w:rPr>
          <w:rFonts w:ascii="Arial" w:hAnsi="Arial" w:cs="Arial"/>
          <w:b/>
          <w:bCs/>
          <w:lang w:val="en-GB"/>
        </w:rPr>
        <mc:AlternateContent>
          <mc:Choice Requires="wps">
            <w:drawing>
              <wp:anchor distT="0" distB="0" distL="114300" distR="114300" simplePos="0" relativeHeight="251664384" behindDoc="0" locked="0" layoutInCell="1" allowOverlap="1">
                <wp:simplePos x="0" y="0"/>
                <wp:positionH relativeFrom="column">
                  <wp:posOffset>28575</wp:posOffset>
                </wp:positionH>
                <wp:positionV relativeFrom="paragraph">
                  <wp:posOffset>352425</wp:posOffset>
                </wp:positionV>
                <wp:extent cx="1733550" cy="371475"/>
                <wp:effectExtent l="57150" t="38100" r="57150" b="85725"/>
                <wp:wrapNone/>
                <wp:docPr id="194532344" name="Text Box 4"/>
                <wp:cNvGraphicFramePr/>
                <a:graphic xmlns:a="http://schemas.openxmlformats.org/drawingml/2006/main">
                  <a:graphicData uri="http://schemas.microsoft.com/office/word/2010/wordprocessingShape">
                    <wps:wsp>
                      <wps:cNvSpPr txBox="1"/>
                      <wps:spPr>
                        <a:xfrm>
                          <a:off x="0" y="0"/>
                          <a:ext cx="1733550" cy="371475"/>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50EAC10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Regulatory approval</w:t>
                            </w:r>
                          </w:p>
                          <w:p w14:paraId="092A1A1E">
                            <w:pP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2.25pt;margin-top:27.75pt;height:29.25pt;width:136.5pt;z-index:251664384;mso-width-relative:page;mso-height-relative:page;" fillcolor="#6083CB [3280]" filled="t" stroked="f" coordsize="21600,21600" o:gfxdata="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">
                <v:fill type="gradient" on="t" color2="#2E61BA [3184]" colors="0f #6083CB;32768f #3E70CA;65536f #2E61BA" focus="100%" focussize="0,0" rotate="t">
                  <o:fill type="gradientUnscaled" v:ext="backwardCompatible"/>
                </v:fill>
                <v:stroke on="f"/>
                <v:imagedata o:title=""/>
                <o:lock v:ext="edit" aspectratio="f"/>
                <v:shadow on="t" color="#000000" opacity="41287f" offset="0pt,1.5pt" origin="0f,0f" matrix="65536f,0f,0f,65536f"/>
                <v:textbox>
                  <w:txbxContent>
                    <w:p w14:paraId="50EAC10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Regulatory approval</w:t>
                      </w:r>
                    </w:p>
                    <w:p w14:paraId="092A1A1E">
                      <w:pPr>
                        <w:rPr>
                          <w:b/>
                          <w:bCs/>
                          <w:sz w:val="24"/>
                          <w:szCs w:val="24"/>
                        </w:rPr>
                      </w:pPr>
                    </w:p>
                  </w:txbxContent>
                </v:textbox>
              </v:shape>
            </w:pict>
          </mc:Fallback>
        </mc:AlternateContent>
      </w:r>
      <w:r>
        <w:rPr>
          <w:rFonts w:ascii="Arial" w:hAnsi="Arial" w:cs="Arial"/>
          <w:b/>
          <w:bCs/>
          <w:lang w:val="en-GB"/>
        </w:rPr>
        <w:t>3</w:t>
      </w:r>
      <w:r>
        <w:rPr>
          <w:rStyle w:val="26"/>
          <w:rFonts w:ascii="Arial" w:hAnsi="Arial" w:cs="Arial"/>
          <w:sz w:val="22"/>
          <w:szCs w:val="22"/>
          <w:lang w:val="en-GB"/>
        </w:rPr>
        <w:t xml:space="preserve">.6 Implementation Priorities </w:t>
      </w:r>
    </w:p>
    <w:p w14:paraId="3ABBE047">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73600" behindDoc="0" locked="0" layoutInCell="1" allowOverlap="1">
                <wp:simplePos x="0" y="0"/>
                <wp:positionH relativeFrom="column">
                  <wp:posOffset>962025</wp:posOffset>
                </wp:positionH>
                <wp:positionV relativeFrom="paragraph">
                  <wp:posOffset>6985</wp:posOffset>
                </wp:positionV>
                <wp:extent cx="156845" cy="4910455"/>
                <wp:effectExtent l="1371600" t="0" r="1386840" b="0"/>
                <wp:wrapNone/>
                <wp:docPr id="640839178" name="Arrow: Down 7"/>
                <wp:cNvGraphicFramePr/>
                <a:graphic xmlns:a="http://schemas.openxmlformats.org/drawingml/2006/main">
                  <a:graphicData uri="http://schemas.microsoft.com/office/word/2010/wordprocessingShape">
                    <wps:wsp>
                      <wps:cNvSpPr/>
                      <wps:spPr>
                        <a:xfrm rot="19457979">
                          <a:off x="0" y="0"/>
                          <a:ext cx="156773" cy="4910502"/>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Arrow: Down 7" o:spid="_x0000_s1026" o:spt="67" type="#_x0000_t67" style="position:absolute;left:0pt;margin-left:75.75pt;margin-top:0.55pt;height:386.65pt;width:12.35pt;rotation:-2339658f;z-index:251673600;v-text-anchor:middle;mso-width-relative:page;mso-height-relative:page;" fillcolor="#000000 [3200]" filled="t" stroked="t" coordsize="21600,21600" o:gfxdata="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IhbnMHWAAAACQEAAA8AAAAAAAAA&#10;AQAgAAAAIgAAAGRycy9kb3ducmV2LnhtbFBLAQIUABQAAAAIAIdO4kCwJ6BYhQIAADYFAAAOAAAA&#10;AAAAAAEAIAAAACUBAABkcnMvZTJvRG9jLnhtbFBLBQYAAAAABgAGAFkBAAAcBgAAAAA=&#10;" adj="21256,5400">
                <v:fill on="t" focussize="0,0"/>
                <v:stroke weight="1pt" color="#000000 [3200]" miterlimit="8" joinstyle="miter"/>
                <v:imagedata o:title=""/>
                <o:lock v:ext="edit" aspectratio="f"/>
              </v:shape>
            </w:pict>
          </mc:Fallback>
        </mc:AlternateContent>
      </w:r>
    </w:p>
    <w:p w14:paraId="5ECB5C4B">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65408" behindDoc="0" locked="0" layoutInCell="1" allowOverlap="1">
                <wp:simplePos x="0" y="0"/>
                <wp:positionH relativeFrom="column">
                  <wp:posOffset>457200</wp:posOffset>
                </wp:positionH>
                <wp:positionV relativeFrom="paragraph">
                  <wp:posOffset>199390</wp:posOffset>
                </wp:positionV>
                <wp:extent cx="1733550" cy="371475"/>
                <wp:effectExtent l="57150" t="38100" r="57150" b="85725"/>
                <wp:wrapNone/>
                <wp:docPr id="1395796649" name="Text Box 4"/>
                <wp:cNvGraphicFramePr/>
                <a:graphic xmlns:a="http://schemas.openxmlformats.org/drawingml/2006/main">
                  <a:graphicData uri="http://schemas.microsoft.com/office/word/2010/wordprocessingShape">
                    <wps:wsp>
                      <wps:cNvSpPr txBox="1"/>
                      <wps:spPr>
                        <a:xfrm>
                          <a:off x="0" y="0"/>
                          <a:ext cx="1733550" cy="371475"/>
                        </a:xfrm>
                        <a:prstGeom prst="rect">
                          <a:avLst/>
                        </a:prstGeom>
                      </wps:spPr>
                      <wps:style>
                        <a:lnRef idx="0">
                          <a:schemeClr val="accent2"/>
                        </a:lnRef>
                        <a:fillRef idx="3">
                          <a:schemeClr val="accent2"/>
                        </a:fillRef>
                        <a:effectRef idx="3">
                          <a:schemeClr val="accent2"/>
                        </a:effectRef>
                        <a:fontRef idx="minor">
                          <a:schemeClr val="lt1"/>
                        </a:fontRef>
                      </wps:style>
                      <wps:txbx>
                        <w:txbxContent>
                          <w:p w14:paraId="6F42FA4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Site selection</w:t>
                            </w:r>
                          </w:p>
                          <w:p w14:paraId="7515750D">
                            <w:pPr>
                              <w:jc w:val="cente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36pt;margin-top:15.7pt;height:29.25pt;width:136.5pt;z-index:251665408;mso-width-relative:page;mso-height-relative:page;" fillcolor="#F18C55 [3280]" filled="t" stroked="f" coordsize="21600,21600" o:gfxdata="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">
                <v:fill type="gradient" on="t" color2="#E56B17 [3184]" colors="0f #F18C55;32768f #F67B28;65536f #E56B17" focus="100%" focussize="0,0" rotate="t">
                  <o:fill type="gradientUnscaled" v:ext="backwardCompatible"/>
                </v:fill>
                <v:stroke on="f"/>
                <v:imagedata o:title=""/>
                <o:lock v:ext="edit" aspectratio="f"/>
                <v:shadow on="t" color="#000000" opacity="41287f" offset="0pt,1.5pt" origin="0f,0f" matrix="65536f,0f,0f,65536f"/>
                <v:textbox>
                  <w:txbxContent>
                    <w:p w14:paraId="6F42FA4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Site selection</w:t>
                      </w:r>
                    </w:p>
                    <w:p w14:paraId="7515750D">
                      <w:pPr>
                        <w:jc w:val="center"/>
                        <w:rPr>
                          <w:b/>
                          <w:bCs/>
                          <w:sz w:val="24"/>
                          <w:szCs w:val="24"/>
                        </w:rPr>
                      </w:pPr>
                    </w:p>
                  </w:txbxContent>
                </v:textbox>
              </v:shape>
            </w:pict>
          </mc:Fallback>
        </mc:AlternateContent>
      </w:r>
    </w:p>
    <w:p w14:paraId="3C1C45CB">
      <w:pPr>
        <w:spacing w:line="360" w:lineRule="auto"/>
        <w:jc w:val="both"/>
        <w:rPr>
          <w:rFonts w:ascii="Arial" w:hAnsi="Arial" w:cs="Arial"/>
          <w:b/>
          <w:bCs/>
          <w:lang w:val="en-GB"/>
        </w:rPr>
      </w:pPr>
    </w:p>
    <w:p w14:paraId="70230258">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67456" behindDoc="0" locked="0" layoutInCell="1" allowOverlap="1">
                <wp:simplePos x="0" y="0"/>
                <wp:positionH relativeFrom="column">
                  <wp:posOffset>818515</wp:posOffset>
                </wp:positionH>
                <wp:positionV relativeFrom="paragraph">
                  <wp:posOffset>18415</wp:posOffset>
                </wp:positionV>
                <wp:extent cx="2009775" cy="371475"/>
                <wp:effectExtent l="57150" t="38100" r="66675" b="85725"/>
                <wp:wrapNone/>
                <wp:docPr id="2063477423" name="Text Box 4"/>
                <wp:cNvGraphicFramePr/>
                <a:graphic xmlns:a="http://schemas.openxmlformats.org/drawingml/2006/main">
                  <a:graphicData uri="http://schemas.microsoft.com/office/word/2010/wordprocessingShape">
                    <wps:wsp>
                      <wps:cNvSpPr txBox="1"/>
                      <wps:spPr>
                        <a:xfrm>
                          <a:off x="0" y="0"/>
                          <a:ext cx="2009775" cy="371475"/>
                        </a:xfrm>
                        <a:prstGeom prst="rect">
                          <a:avLst/>
                        </a:prstGeom>
                      </wps:spPr>
                      <wps:style>
                        <a:lnRef idx="0">
                          <a:schemeClr val="accent3"/>
                        </a:lnRef>
                        <a:fillRef idx="3">
                          <a:schemeClr val="accent3"/>
                        </a:fillRef>
                        <a:effectRef idx="3">
                          <a:schemeClr val="accent3"/>
                        </a:effectRef>
                        <a:fontRef idx="minor">
                          <a:schemeClr val="lt1"/>
                        </a:fontRef>
                      </wps:style>
                      <wps:txbx>
                        <w:txbxContent>
                          <w:p w14:paraId="0CDC968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Supply-chain development</w:t>
                            </w:r>
                          </w:p>
                          <w:p w14:paraId="585E9D8B">
                            <w:pPr>
                              <w:jc w:val="cente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64.45pt;margin-top:1.45pt;height:29.25pt;width:158.25pt;z-index:251667456;mso-width-relative:page;mso-height-relative:page;" fillcolor="#AFAFAF [3280]" filled="t" stroked="f" coordsize="21600,21600" o:gfxdata="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">
                <v:fill type="gradient" on="t" color2="#929292 [3184]" colors="0f #AFAFAF;32768f #A5A5A5;65536f #929292" focus="100%" focussize="0,0" rotate="t">
                  <o:fill type="gradientUnscaled" v:ext="backwardCompatible"/>
                </v:fill>
                <v:stroke on="f"/>
                <v:imagedata o:title=""/>
                <o:lock v:ext="edit" aspectratio="f"/>
                <v:shadow on="t" color="#000000" opacity="41287f" offset="0pt,1.5pt" origin="0f,0f" matrix="65536f,0f,0f,65536f"/>
                <v:textbox>
                  <w:txbxContent>
                    <w:p w14:paraId="0CDC968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Supply-chain development</w:t>
                      </w:r>
                    </w:p>
                    <w:p w14:paraId="585E9D8B">
                      <w:pPr>
                        <w:jc w:val="center"/>
                        <w:rPr>
                          <w:b/>
                          <w:bCs/>
                          <w:sz w:val="24"/>
                          <w:szCs w:val="24"/>
                        </w:rPr>
                      </w:pPr>
                    </w:p>
                  </w:txbxContent>
                </v:textbox>
              </v:shape>
            </w:pict>
          </mc:Fallback>
        </mc:AlternateContent>
      </w:r>
    </w:p>
    <w:p w14:paraId="391D86C3">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66432" behindDoc="0" locked="0" layoutInCell="1" allowOverlap="1">
                <wp:simplePos x="0" y="0"/>
                <wp:positionH relativeFrom="column">
                  <wp:posOffset>1181100</wp:posOffset>
                </wp:positionH>
                <wp:positionV relativeFrom="paragraph">
                  <wp:posOffset>234950</wp:posOffset>
                </wp:positionV>
                <wp:extent cx="2057400" cy="371475"/>
                <wp:effectExtent l="57150" t="38100" r="57150" b="85725"/>
                <wp:wrapNone/>
                <wp:docPr id="2128079269" name="Text Box 4"/>
                <wp:cNvGraphicFramePr/>
                <a:graphic xmlns:a="http://schemas.openxmlformats.org/drawingml/2006/main">
                  <a:graphicData uri="http://schemas.microsoft.com/office/word/2010/wordprocessingShape">
                    <wps:wsp>
                      <wps:cNvSpPr txBox="1"/>
                      <wps:spPr>
                        <a:xfrm>
                          <a:off x="0" y="0"/>
                          <a:ext cx="2057400" cy="371475"/>
                        </a:xfrm>
                        <a:prstGeom prst="rect">
                          <a:avLst/>
                        </a:prstGeom>
                      </wps:spPr>
                      <wps:style>
                        <a:lnRef idx="0">
                          <a:schemeClr val="accent4"/>
                        </a:lnRef>
                        <a:fillRef idx="3">
                          <a:schemeClr val="accent4"/>
                        </a:fillRef>
                        <a:effectRef idx="3">
                          <a:schemeClr val="accent4"/>
                        </a:effectRef>
                        <a:fontRef idx="minor">
                          <a:schemeClr val="lt1"/>
                        </a:fontRef>
                      </wps:style>
                      <wps:txbx>
                        <w:txbxContent>
                          <w:p w14:paraId="2584408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Local supplier relationships</w:t>
                            </w:r>
                          </w:p>
                          <w:p w14:paraId="6FFC3D7E">
                            <w:pPr>
                              <w:jc w:val="cente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93pt;margin-top:18.5pt;height:29.25pt;width:162pt;z-index:251666432;mso-width-relative:page;mso-height-relative:page;" fillcolor="#FFC746 [3280]" filled="t" stroked="f" coordsize="21600,21600" o:gfxdata="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">
                <v:fill type="gradient" on="t" color2="#E5B600 [3184]" colors="0f #FFC746;32768f #FFC600;65536f #E5B600" focus="100%" focussize="0,0" rotate="t">
                  <o:fill type="gradientUnscaled" v:ext="backwardCompatible"/>
                </v:fill>
                <v:stroke on="f"/>
                <v:imagedata o:title=""/>
                <o:lock v:ext="edit" aspectratio="f"/>
                <v:shadow on="t" color="#000000" opacity="41287f" offset="0pt,1.5pt" origin="0f,0f" matrix="65536f,0f,0f,65536f"/>
                <v:textbox>
                  <w:txbxContent>
                    <w:p w14:paraId="2584408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Local supplier relationships</w:t>
                      </w:r>
                    </w:p>
                    <w:p w14:paraId="6FFC3D7E">
                      <w:pPr>
                        <w:jc w:val="center"/>
                        <w:rPr>
                          <w:b/>
                          <w:bCs/>
                          <w:sz w:val="24"/>
                          <w:szCs w:val="24"/>
                        </w:rPr>
                      </w:pPr>
                    </w:p>
                  </w:txbxContent>
                </v:textbox>
              </v:shape>
            </w:pict>
          </mc:Fallback>
        </mc:AlternateContent>
      </w:r>
    </w:p>
    <w:p w14:paraId="782FCEFD">
      <w:pPr>
        <w:spacing w:line="360" w:lineRule="auto"/>
        <w:jc w:val="both"/>
        <w:rPr>
          <w:rFonts w:ascii="Arial" w:hAnsi="Arial" w:cs="Arial"/>
          <w:b/>
          <w:bCs/>
          <w:lang w:val="en-GB"/>
        </w:rPr>
      </w:pPr>
    </w:p>
    <w:p w14:paraId="67243C1C">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68480" behindDoc="0" locked="0" layoutInCell="1" allowOverlap="1">
                <wp:simplePos x="0" y="0"/>
                <wp:positionH relativeFrom="column">
                  <wp:posOffset>1657350</wp:posOffset>
                </wp:positionH>
                <wp:positionV relativeFrom="paragraph">
                  <wp:posOffset>49530</wp:posOffset>
                </wp:positionV>
                <wp:extent cx="1733550" cy="371475"/>
                <wp:effectExtent l="57150" t="38100" r="57150" b="85725"/>
                <wp:wrapNone/>
                <wp:docPr id="1096953773" name="Text Box 4"/>
                <wp:cNvGraphicFramePr/>
                <a:graphic xmlns:a="http://schemas.openxmlformats.org/drawingml/2006/main">
                  <a:graphicData uri="http://schemas.microsoft.com/office/word/2010/wordprocessingShape">
                    <wps:wsp>
                      <wps:cNvSpPr txBox="1"/>
                      <wps:spPr>
                        <a:xfrm>
                          <a:off x="0" y="0"/>
                          <a:ext cx="1733550" cy="371475"/>
                        </a:xfrm>
                        <a:prstGeom prst="rect">
                          <a:avLst/>
                        </a:prstGeom>
                      </wps:spPr>
                      <wps:style>
                        <a:lnRef idx="0">
                          <a:schemeClr val="accent5"/>
                        </a:lnRef>
                        <a:fillRef idx="3">
                          <a:schemeClr val="accent5"/>
                        </a:fillRef>
                        <a:effectRef idx="3">
                          <a:schemeClr val="accent5"/>
                        </a:effectRef>
                        <a:fontRef idx="minor">
                          <a:schemeClr val="lt1"/>
                        </a:fontRef>
                      </wps:style>
                      <wps:txbx>
                        <w:txbxContent>
                          <w:p w14:paraId="3452A5B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Product adaptation</w:t>
                            </w:r>
                          </w:p>
                          <w:p w14:paraId="46AB9459">
                            <w:pPr>
                              <w:jc w:val="cente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130.5pt;margin-top:3.9pt;height:29.25pt;width:136.5pt;z-index:251668480;mso-width-relative:page;mso-height-relative:page;" fillcolor="#71A6DB [3280]" filled="t" stroked="f" coordsize="21600,21600" o:gfxdata="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">
                <v:fill type="gradient" on="t" color2="#438AC9 [3184]" colors="0f #71A6DB;32768f #559BDB;65536f #438AC9" focus="100%" focussize="0,0" rotate="t">
                  <o:fill type="gradientUnscaled" v:ext="backwardCompatible"/>
                </v:fill>
                <v:stroke on="f"/>
                <v:imagedata o:title=""/>
                <o:lock v:ext="edit" aspectratio="f"/>
                <v:shadow on="t" color="#000000" opacity="41287f" offset="0pt,1.5pt" origin="0f,0f" matrix="65536f,0f,0f,65536f"/>
                <v:textbox>
                  <w:txbxContent>
                    <w:p w14:paraId="3452A5B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Product adaptation</w:t>
                      </w:r>
                    </w:p>
                    <w:p w14:paraId="46AB9459">
                      <w:pPr>
                        <w:jc w:val="center"/>
                        <w:rPr>
                          <w:b/>
                          <w:bCs/>
                          <w:sz w:val="24"/>
                          <w:szCs w:val="24"/>
                        </w:rPr>
                      </w:pPr>
                    </w:p>
                  </w:txbxContent>
                </v:textbox>
              </v:shape>
            </w:pict>
          </mc:Fallback>
        </mc:AlternateContent>
      </w:r>
    </w:p>
    <w:p w14:paraId="7960CA44">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69504" behindDoc="0" locked="0" layoutInCell="1" allowOverlap="1">
                <wp:simplePos x="0" y="0"/>
                <wp:positionH relativeFrom="column">
                  <wp:posOffset>2085975</wp:posOffset>
                </wp:positionH>
                <wp:positionV relativeFrom="paragraph">
                  <wp:posOffset>260985</wp:posOffset>
                </wp:positionV>
                <wp:extent cx="1733550" cy="371475"/>
                <wp:effectExtent l="57150" t="38100" r="57150" b="85725"/>
                <wp:wrapNone/>
                <wp:docPr id="444138319" name="Text Box 4"/>
                <wp:cNvGraphicFramePr/>
                <a:graphic xmlns:a="http://schemas.openxmlformats.org/drawingml/2006/main">
                  <a:graphicData uri="http://schemas.microsoft.com/office/word/2010/wordprocessingShape">
                    <wps:wsp>
                      <wps:cNvSpPr txBox="1"/>
                      <wps:spPr>
                        <a:xfrm>
                          <a:off x="0" y="0"/>
                          <a:ext cx="1733550" cy="371475"/>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7FFB046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Recruitment</w:t>
                            </w:r>
                          </w:p>
                          <w:p w14:paraId="287386B8">
                            <w:pPr>
                              <w:jc w:val="cente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164.25pt;margin-top:20.55pt;height:29.25pt;width:136.5pt;z-index:251669504;mso-width-relative:page;mso-height-relative:page;" fillcolor="#81B861 [3280]" filled="t" stroked="f" coordsize="21600,21600" o:gfxdata="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">
                <v:fill type="gradient" on="t" color2="#61A235 [3184]" colors="0f #81B861;32768f #6FB242;65536f #61A235" focus="100%" focussize="0,0" rotate="t">
                  <o:fill type="gradientUnscaled" v:ext="backwardCompatible"/>
                </v:fill>
                <v:stroke on="f"/>
                <v:imagedata o:title=""/>
                <o:lock v:ext="edit" aspectratio="f"/>
                <v:shadow on="t" color="#000000" opacity="41287f" offset="0pt,1.5pt" origin="0f,0f" matrix="65536f,0f,0f,65536f"/>
                <v:textbox>
                  <w:txbxContent>
                    <w:p w14:paraId="7FFB046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Recruitment</w:t>
                      </w:r>
                    </w:p>
                    <w:p w14:paraId="287386B8">
                      <w:pPr>
                        <w:jc w:val="center"/>
                        <w:rPr>
                          <w:b/>
                          <w:bCs/>
                          <w:sz w:val="24"/>
                          <w:szCs w:val="24"/>
                        </w:rPr>
                      </w:pPr>
                    </w:p>
                  </w:txbxContent>
                </v:textbox>
              </v:shape>
            </w:pict>
          </mc:Fallback>
        </mc:AlternateContent>
      </w:r>
    </w:p>
    <w:p w14:paraId="59BA7899">
      <w:pPr>
        <w:spacing w:line="360" w:lineRule="auto"/>
        <w:jc w:val="both"/>
        <w:rPr>
          <w:rFonts w:ascii="Arial" w:hAnsi="Arial" w:cs="Arial"/>
          <w:b/>
          <w:bCs/>
          <w:lang w:val="en-GB"/>
        </w:rPr>
      </w:pPr>
    </w:p>
    <w:p w14:paraId="57263A26">
      <w:pPr>
        <w:spacing w:line="360" w:lineRule="auto"/>
        <w:jc w:val="both"/>
        <w:rPr>
          <w:rFonts w:ascii="Arial" w:hAnsi="Arial" w:cs="Arial"/>
          <w:b/>
          <w:bCs/>
          <w:lang w:val="en-GB"/>
        </w:rPr>
      </w:pPr>
      <w:r>
        <w:rPr>
          <w:rFonts w:ascii="Arial" w:hAnsi="Arial" w:cs="Arial"/>
          <w:b/>
          <w:bCs/>
          <w:lang w:val="en-GB"/>
        </w:rPr>
        <mc:AlternateContent>
          <mc:Choice Requires="wps">
            <w:drawing>
              <wp:anchor distT="0" distB="0" distL="114300" distR="114300" simplePos="0" relativeHeight="251671552" behindDoc="0" locked="0" layoutInCell="1" allowOverlap="1">
                <wp:simplePos x="0" y="0"/>
                <wp:positionH relativeFrom="column">
                  <wp:posOffset>2447925</wp:posOffset>
                </wp:positionH>
                <wp:positionV relativeFrom="paragraph">
                  <wp:posOffset>80010</wp:posOffset>
                </wp:positionV>
                <wp:extent cx="1733550" cy="371475"/>
                <wp:effectExtent l="57150" t="38100" r="57150" b="85725"/>
                <wp:wrapNone/>
                <wp:docPr id="1835915135" name="Text Box 4"/>
                <wp:cNvGraphicFramePr/>
                <a:graphic xmlns:a="http://schemas.openxmlformats.org/drawingml/2006/main">
                  <a:graphicData uri="http://schemas.microsoft.com/office/word/2010/wordprocessingShape">
                    <wps:wsp>
                      <wps:cNvSpPr txBox="1"/>
                      <wps:spPr>
                        <a:xfrm>
                          <a:off x="0" y="0"/>
                          <a:ext cx="1733550" cy="371475"/>
                        </a:xfrm>
                        <a:prstGeom prst="rect">
                          <a:avLst/>
                        </a:prstGeom>
                        <a:solidFill>
                          <a:srgbClr val="7030A0"/>
                        </a:solidFill>
                      </wps:spPr>
                      <wps:style>
                        <a:lnRef idx="0">
                          <a:schemeClr val="accent1"/>
                        </a:lnRef>
                        <a:fillRef idx="3">
                          <a:schemeClr val="accent1"/>
                        </a:fillRef>
                        <a:effectRef idx="3">
                          <a:schemeClr val="accent1"/>
                        </a:effectRef>
                        <a:fontRef idx="minor">
                          <a:schemeClr val="lt1"/>
                        </a:fontRef>
                      </wps:style>
                      <wps:txbx>
                        <w:txbxContent>
                          <w:p w14:paraId="2348642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Pilot Stores</w:t>
                            </w:r>
                          </w:p>
                          <w:p w14:paraId="2B3828BB">
                            <w:pP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192.75pt;margin-top:6.3pt;height:29.25pt;width:136.5pt;z-index:251671552;mso-width-relative:page;mso-height-relative:page;" fillcolor="#7030A0" filled="t" stroked="f" coordsize="21600,21600" o:gfxdata="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GdqdzXVAAAACQEA&#10;AA8AAAAAAAAAAQAgAAAAIgAAAGRycy9kb3ducmV2LnhtbFBLAQIUABQAAAAIAIdO4kDWjWx5jwIA&#10;ADQFAAAOAAAAAAAAAAEAIAAAACQBAABkcnMvZTJvRG9jLnhtbFBLBQYAAAAABgAGAFkBAAAlBgAA&#10;AAA=&#10;">
                <v:fill on="t" focussize="0,0"/>
                <v:stroke on="f"/>
                <v:imagedata o:title=""/>
                <o:lock v:ext="edit" aspectratio="f"/>
                <v:shadow on="t" color="#000000" opacity="41287f" offset="0pt,1.5pt" origin="0f,0f" matrix="65536f,0f,0f,65536f"/>
                <v:textbox>
                  <w:txbxContent>
                    <w:p w14:paraId="2348642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Pilot Stores</w:t>
                      </w:r>
                    </w:p>
                    <w:p w14:paraId="2B3828BB">
                      <w:pPr>
                        <w:rPr>
                          <w:b/>
                          <w:bCs/>
                          <w:sz w:val="24"/>
                          <w:szCs w:val="24"/>
                        </w:rPr>
                      </w:pPr>
                    </w:p>
                  </w:txbxContent>
                </v:textbox>
              </v:shape>
            </w:pict>
          </mc:Fallback>
        </mc:AlternateContent>
      </w:r>
    </w:p>
    <w:p w14:paraId="2A3E3425">
      <w:pPr>
        <w:spacing w:line="360" w:lineRule="auto"/>
        <w:ind w:left="720"/>
        <w:jc w:val="both"/>
        <w:rPr>
          <w:rFonts w:ascii="Arial" w:hAnsi="Arial" w:cs="Arial"/>
          <w:lang w:val="en-GB"/>
        </w:rPr>
      </w:pPr>
      <w:r>
        <w:rPr>
          <w:rFonts w:ascii="Arial" w:hAnsi="Arial" w:cs="Arial"/>
          <w:b/>
          <w:bCs/>
          <w:lang w:val="en-GB"/>
        </w:rPr>
        <mc:AlternateContent>
          <mc:Choice Requires="wps">
            <w:drawing>
              <wp:anchor distT="0" distB="0" distL="114300" distR="114300" simplePos="0" relativeHeight="251670528" behindDoc="0" locked="0" layoutInCell="1" allowOverlap="1">
                <wp:simplePos x="0" y="0"/>
                <wp:positionH relativeFrom="column">
                  <wp:posOffset>2847340</wp:posOffset>
                </wp:positionH>
                <wp:positionV relativeFrom="paragraph">
                  <wp:posOffset>276860</wp:posOffset>
                </wp:positionV>
                <wp:extent cx="2009775" cy="371475"/>
                <wp:effectExtent l="57150" t="38100" r="66675" b="85725"/>
                <wp:wrapNone/>
                <wp:docPr id="127569674" name="Text Box 4"/>
                <wp:cNvGraphicFramePr/>
                <a:graphic xmlns:a="http://schemas.openxmlformats.org/drawingml/2006/main">
                  <a:graphicData uri="http://schemas.microsoft.com/office/word/2010/wordprocessingShape">
                    <wps:wsp>
                      <wps:cNvSpPr txBox="1"/>
                      <wps:spPr>
                        <a:xfrm>
                          <a:off x="0" y="0"/>
                          <a:ext cx="2009775" cy="371475"/>
                        </a:xfrm>
                        <a:prstGeom prst="rect">
                          <a:avLst/>
                        </a:prstGeom>
                        <a:solidFill>
                          <a:schemeClr val="accent6">
                            <a:lumMod val="75000"/>
                          </a:schemeClr>
                        </a:solidFill>
                      </wps:spPr>
                      <wps:style>
                        <a:lnRef idx="0">
                          <a:schemeClr val="accent1"/>
                        </a:lnRef>
                        <a:fillRef idx="3">
                          <a:schemeClr val="accent1"/>
                        </a:fillRef>
                        <a:effectRef idx="3">
                          <a:schemeClr val="accent1"/>
                        </a:effectRef>
                        <a:fontRef idx="minor">
                          <a:schemeClr val="lt1"/>
                        </a:fontRef>
                      </wps:style>
                      <wps:txbx>
                        <w:txbxContent>
                          <w:p w14:paraId="2CC3C83E">
                            <w:pPr>
                              <w:jc w:val="center"/>
                              <w:rPr>
                                <w:b/>
                                <w:bCs/>
                                <w:sz w:val="24"/>
                                <w:szCs w:val="24"/>
                              </w:rPr>
                            </w:pPr>
                            <w:r>
                              <w:rPr>
                                <w:rFonts w:ascii="Times New Roman" w:hAnsi="Times New Roman" w:cs="Times New Roman"/>
                                <w:b/>
                                <w:bCs/>
                                <w:sz w:val="24"/>
                                <w:szCs w:val="24"/>
                              </w:rPr>
                              <w:t>Performance monitoring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224.2pt;margin-top:21.8pt;height:29.25pt;width:158.25pt;z-index:251670528;mso-width-relative:page;mso-height-relative:page;" fillcolor="#548235 [2409]" filled="t" stroked="f" coordsize="21600,21600" o:gfxdata="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">
                <v:fill on="t" focussize="0,0"/>
                <v:stroke on="f"/>
                <v:imagedata o:title=""/>
                <o:lock v:ext="edit" aspectratio="f"/>
                <v:shadow on="t" color="#000000" opacity="41287f" offset="0pt,1.5pt" origin="0f,0f" matrix="65536f,0f,0f,65536f"/>
                <v:textbox>
                  <w:txbxContent>
                    <w:p w14:paraId="2CC3C83E">
                      <w:pPr>
                        <w:jc w:val="center"/>
                        <w:rPr>
                          <w:b/>
                          <w:bCs/>
                          <w:sz w:val="24"/>
                          <w:szCs w:val="24"/>
                        </w:rPr>
                      </w:pPr>
                      <w:r>
                        <w:rPr>
                          <w:rFonts w:ascii="Times New Roman" w:hAnsi="Times New Roman" w:cs="Times New Roman"/>
                          <w:b/>
                          <w:bCs/>
                          <w:sz w:val="24"/>
                          <w:szCs w:val="24"/>
                        </w:rPr>
                        <w:t>Performance monitoring</w:t>
                      </w:r>
                    </w:p>
                  </w:txbxContent>
                </v:textbox>
              </v:shape>
            </w:pict>
          </mc:Fallback>
        </mc:AlternateContent>
      </w:r>
    </w:p>
    <w:p w14:paraId="1927899F">
      <w:pPr>
        <w:spacing w:line="360" w:lineRule="auto"/>
        <w:ind w:left="720"/>
        <w:jc w:val="both"/>
        <w:rPr>
          <w:rFonts w:ascii="Arial" w:hAnsi="Arial" w:cs="Arial"/>
          <w:lang w:val="en-GB"/>
        </w:rPr>
      </w:pPr>
    </w:p>
    <w:p w14:paraId="7DFACE5C">
      <w:pPr>
        <w:spacing w:line="360" w:lineRule="auto"/>
        <w:ind w:left="360"/>
        <w:jc w:val="both"/>
        <w:rPr>
          <w:rFonts w:ascii="Arial" w:hAnsi="Arial" w:cs="Arial"/>
          <w:lang w:val="en-GB"/>
        </w:rPr>
      </w:pPr>
    </w:p>
    <w:p w14:paraId="0A5BFC0B">
      <w:pPr>
        <w:pStyle w:val="3"/>
        <w:rPr>
          <w:rFonts w:ascii="Arial" w:hAnsi="Arial" w:cs="Arial"/>
          <w:sz w:val="22"/>
          <w:szCs w:val="22"/>
          <w:lang w:val="en-GB"/>
        </w:rPr>
      </w:pPr>
      <w:bookmarkStart w:id="20" w:name="_Toc237294306"/>
    </w:p>
    <w:p w14:paraId="65A0EF45">
      <w:pPr>
        <w:pStyle w:val="3"/>
        <w:rPr>
          <w:rFonts w:ascii="Arial" w:hAnsi="Arial" w:cs="Arial"/>
          <w:sz w:val="22"/>
          <w:szCs w:val="22"/>
          <w:lang w:val="en-GB"/>
        </w:rPr>
      </w:pPr>
    </w:p>
    <w:p w14:paraId="5D562D7D">
      <w:pPr>
        <w:pStyle w:val="3"/>
        <w:rPr>
          <w:rFonts w:ascii="Arial" w:hAnsi="Arial" w:cs="Arial"/>
          <w:sz w:val="22"/>
          <w:szCs w:val="22"/>
          <w:lang w:val="en-GB"/>
        </w:rPr>
      </w:pPr>
    </w:p>
    <w:p w14:paraId="7C623F34">
      <w:pPr>
        <w:pStyle w:val="3"/>
        <w:rPr>
          <w:rFonts w:ascii="Arial" w:hAnsi="Arial" w:cs="Arial"/>
          <w:sz w:val="22"/>
          <w:szCs w:val="22"/>
          <w:lang w:val="en-GB"/>
        </w:rPr>
      </w:pPr>
    </w:p>
    <w:p w14:paraId="15A2670D">
      <w:pPr>
        <w:pStyle w:val="3"/>
        <w:rPr>
          <w:rFonts w:ascii="Arial" w:hAnsi="Arial" w:cs="Arial"/>
          <w:sz w:val="22"/>
          <w:szCs w:val="22"/>
          <w:lang w:val="en-GB"/>
        </w:rPr>
      </w:pPr>
    </w:p>
    <w:p w14:paraId="31D18881">
      <w:pPr>
        <w:pStyle w:val="3"/>
        <w:rPr>
          <w:rFonts w:ascii="Arial" w:hAnsi="Arial" w:cs="Arial"/>
          <w:sz w:val="22"/>
          <w:szCs w:val="22"/>
          <w:lang w:val="en-GB"/>
        </w:rPr>
      </w:pPr>
    </w:p>
    <w:p w14:paraId="034ED2E5">
      <w:pPr>
        <w:pStyle w:val="3"/>
        <w:rPr>
          <w:rFonts w:ascii="Arial" w:hAnsi="Arial" w:cs="Arial"/>
          <w:sz w:val="22"/>
          <w:szCs w:val="22"/>
          <w:lang w:val="en-GB"/>
        </w:rPr>
      </w:pPr>
      <w:r>
        <w:rPr>
          <w:rFonts w:ascii="Arial" w:hAnsi="Arial" w:cs="Arial"/>
          <w:sz w:val="22"/>
          <w:szCs w:val="22"/>
          <w:lang w:val="en-GB"/>
        </w:rPr>
        <w:t>Section 1: Conclusion</w:t>
      </w:r>
      <w:bookmarkEnd w:id="20"/>
    </w:p>
    <w:p w14:paraId="2F950D4A">
      <w:pPr>
        <w:spacing w:line="360" w:lineRule="auto"/>
        <w:jc w:val="both"/>
        <w:rPr>
          <w:rFonts w:ascii="Arial" w:hAnsi="Arial" w:cs="Arial"/>
          <w:lang w:val="en-GB"/>
        </w:rPr>
      </w:pPr>
      <w:r>
        <w:rPr>
          <w:rFonts w:ascii="Arial" w:hAnsi="Arial" w:cs="Arial"/>
          <w:lang w:val="en-GB"/>
        </w:rPr>
        <w:t xml:space="preserve">Overall, ALDI has a moderately attractive market in New Zealand. High concentration in grocery creates an opportunity for discount retail, while reforms allow new competition. Nonetheless, there are risks due to market size and logistics. To safeguard ALDI's competitive cost advantages and maintain control, a phased greenfield entry through a wholly owned subsidiary is favoured. </w:t>
      </w:r>
    </w:p>
    <w:p w14:paraId="3E95062B">
      <w:pPr>
        <w:spacing w:line="360" w:lineRule="auto"/>
        <w:jc w:val="both"/>
        <w:rPr>
          <w:rFonts w:ascii="Arial" w:hAnsi="Arial" w:cs="Arial"/>
          <w:lang w:val="en-GB"/>
        </w:rPr>
      </w:pPr>
    </w:p>
    <w:p w14:paraId="633A29AF">
      <w:pPr>
        <w:spacing w:line="360" w:lineRule="auto"/>
        <w:jc w:val="both"/>
        <w:rPr>
          <w:rFonts w:ascii="Arial" w:hAnsi="Arial" w:cs="Arial"/>
          <w:lang w:val="en-GB"/>
        </w:rPr>
      </w:pPr>
    </w:p>
    <w:p w14:paraId="39D57538">
      <w:pPr>
        <w:spacing w:line="360" w:lineRule="auto"/>
        <w:jc w:val="both"/>
        <w:rPr>
          <w:rFonts w:ascii="Arial" w:hAnsi="Arial" w:cs="Arial"/>
          <w:lang w:val="en-GB"/>
        </w:rPr>
      </w:pPr>
    </w:p>
    <w:p w14:paraId="60250BD8">
      <w:pPr>
        <w:spacing w:line="360" w:lineRule="auto"/>
        <w:jc w:val="both"/>
        <w:rPr>
          <w:rFonts w:ascii="Arial" w:hAnsi="Arial" w:cs="Arial"/>
          <w:lang w:val="en-GB"/>
        </w:rPr>
      </w:pPr>
    </w:p>
    <w:p w14:paraId="3F99DA60">
      <w:pPr>
        <w:spacing w:line="360" w:lineRule="auto"/>
        <w:rPr>
          <w:rFonts w:ascii="Arial" w:hAnsi="Arial" w:cs="Arial"/>
          <w:lang w:val="en-GB"/>
        </w:rPr>
      </w:pPr>
      <w:r>
        <w:rPr>
          <w:rFonts w:ascii="Arial" w:hAnsi="Arial" w:cs="Arial"/>
          <w:lang w:val="en-GB"/>
        </w:rPr>
        <w:br w:type="page"/>
      </w:r>
    </w:p>
    <w:p w14:paraId="21FBCDD2">
      <w:pPr>
        <w:pStyle w:val="2"/>
        <w:rPr>
          <w:rFonts w:ascii="Arial" w:hAnsi="Arial" w:cs="Arial"/>
          <w:sz w:val="22"/>
          <w:szCs w:val="22"/>
          <w:lang w:val="en-GB"/>
        </w:rPr>
      </w:pPr>
      <w:bookmarkStart w:id="21" w:name="_Toc237294307"/>
      <w:r>
        <w:rPr>
          <w:rFonts w:ascii="Arial" w:hAnsi="Arial" w:cs="Arial"/>
          <w:sz w:val="22"/>
          <w:szCs w:val="22"/>
          <w:lang w:val="en-GB"/>
        </w:rPr>
        <w:t>SECTION 2: REFLECTIVE ACCOUNT – GIBBS’ REFLECTIVE CYCLE</w:t>
      </w:r>
      <w:bookmarkEnd w:id="21"/>
    </w:p>
    <w:p w14:paraId="5413AD61">
      <w:pPr>
        <w:pStyle w:val="3"/>
        <w:rPr>
          <w:rFonts w:ascii="Arial" w:hAnsi="Arial" w:cs="Arial"/>
          <w:sz w:val="22"/>
          <w:szCs w:val="22"/>
          <w:lang w:val="en-GB"/>
        </w:rPr>
      </w:pPr>
      <w:bookmarkStart w:id="22" w:name="_Toc237294308"/>
      <w:r>
        <w:rPr>
          <w:rFonts w:ascii="Arial" w:hAnsi="Arial" w:cs="Arial"/>
          <w:sz w:val="22"/>
          <w:szCs w:val="22"/>
          <w:lang w:val="en-GB"/>
        </w:rPr>
        <w:t>2.1 Description</w:t>
      </w:r>
      <w:bookmarkEnd w:id="22"/>
    </w:p>
    <w:p w14:paraId="4C1C9ABF">
      <w:pPr>
        <w:spacing w:line="360" w:lineRule="auto"/>
        <w:jc w:val="both"/>
        <w:rPr>
          <w:rFonts w:ascii="Arial" w:hAnsi="Arial" w:cs="Arial"/>
          <w:lang w:val="en-GB"/>
        </w:rPr>
      </w:pPr>
      <w:r>
        <w:rPr>
          <w:rFonts w:ascii="Arial" w:hAnsi="Arial" w:cs="Arial"/>
          <w:lang w:val="en-GB"/>
        </w:rPr>
        <w:t xml:space="preserve">For my assessment, I investigated the possible entry of ALDI into the New Zealand grocery market. I analyzed the assessment task first and broke it into different sections. Afterwards, I sourced information from academic journals, government websites, the New Zealand Commerce Commission and company sources. I employed several academic articles, government reports and company information among others. I especially focused on grocery competition, foreign investment, economic conditions, food regulation and labour costs. I subsequently arranged the information into political, economic, and legal factors. I employed Dunning’s OLI framework to analyse whether ALDI possessed sufficient ownership, location and internalisation advantages for entry into New Zealand. Ultimately, I evaluated the acquisition, joint venture and greenfield entry before suggesting phased greenfield investment. </w:t>
      </w:r>
    </w:p>
    <w:p w14:paraId="00696E27">
      <w:pPr>
        <w:pStyle w:val="3"/>
        <w:rPr>
          <w:rFonts w:ascii="Arial" w:hAnsi="Arial" w:cs="Arial"/>
          <w:sz w:val="22"/>
          <w:szCs w:val="22"/>
          <w:lang w:val="en-GB"/>
        </w:rPr>
      </w:pPr>
      <w:bookmarkStart w:id="23" w:name="_Toc237294309"/>
      <w:r>
        <w:rPr>
          <w:rFonts w:ascii="Arial" w:hAnsi="Arial" w:cs="Arial"/>
          <w:sz w:val="22"/>
          <w:szCs w:val="22"/>
          <w:lang w:val="en-GB"/>
        </w:rPr>
        <w:t>2.2 Feelings</w:t>
      </w:r>
      <w:bookmarkEnd w:id="23"/>
    </w:p>
    <w:p w14:paraId="4D6FEA07">
      <w:pPr>
        <w:spacing w:line="360" w:lineRule="auto"/>
        <w:jc w:val="both"/>
        <w:rPr>
          <w:rFonts w:ascii="Arial" w:hAnsi="Arial" w:cs="Arial"/>
          <w:lang w:val="en-GB"/>
        </w:rPr>
      </w:pPr>
      <w:r>
        <w:rPr>
          <w:rFonts w:ascii="Arial" w:hAnsi="Arial" w:cs="Arial"/>
          <w:lang w:val="en-GB"/>
        </w:rPr>
        <w:t>At first, I found it hard as it needed lots of different information, from different sources. Also, I did not know how I can relate it international business theories. Gathering statistics was not sufficient; there was a need for assessment. I was worried about the volume of content perhaps making the report over-descriptive. As a result, I adjusted my strategy and made an effort to question every section. Just describing New Zealand’s economy wasn’t enough. I also thought about whether the economic environment would suit ALDI’s low-cost model. As my research progressed my confidence increased. The use of frameworks provided me with a clearer structure and helped me understand how external conditions helped determine entry decisions. One benefit of reflection is that it encourages learners to think about why an approach worked and how it might be improved.</w:t>
      </w:r>
    </w:p>
    <w:p w14:paraId="5971E5AF">
      <w:pPr>
        <w:pStyle w:val="3"/>
        <w:rPr>
          <w:rFonts w:ascii="Arial" w:hAnsi="Arial" w:cs="Arial"/>
          <w:sz w:val="22"/>
          <w:szCs w:val="22"/>
          <w:lang w:val="en-GB"/>
        </w:rPr>
      </w:pPr>
      <w:bookmarkStart w:id="24" w:name="_Toc237294310"/>
      <w:r>
        <w:rPr>
          <w:rFonts w:ascii="Arial" w:hAnsi="Arial" w:cs="Arial"/>
          <w:sz w:val="22"/>
          <w:szCs w:val="22"/>
          <w:lang w:val="en-GB"/>
        </w:rPr>
        <w:t>2.3 Evaluation</w:t>
      </w:r>
      <w:bookmarkEnd w:id="24"/>
    </w:p>
    <w:p w14:paraId="3CFE0E37">
      <w:pPr>
        <w:spacing w:line="360" w:lineRule="auto"/>
        <w:jc w:val="both"/>
        <w:rPr>
          <w:rFonts w:ascii="Arial" w:hAnsi="Arial" w:cs="Arial"/>
          <w:lang w:val="en-GB"/>
        </w:rPr>
      </w:pPr>
      <w:r>
        <w:rPr>
          <w:rFonts w:ascii="Arial" w:hAnsi="Arial" w:cs="Arial"/>
          <w:lang w:val="en-GB"/>
        </w:rPr>
        <w:t>The process involved the use of more credible and recent sources and this is a plus. Information from the government was useful for its competition rules and foreign investment requirement, and economic conditions in New Zealand. The use of academic journals helped understand the theories and arguments about international expansion. One strength was to compare different entry modes instead of picking one immediately. It seems to be advantageous as it may ensure faster access to stores and customers. Nonetheless, there could also be integration issues. A joint venture could provide local expertise but would diminish ALDI’s control. Even though it required higher resource commitment, greenfield investment led to greater control over ALDI's business model. Some information from my sources lacked consistency, presenting it as a weakness. Forecasts for the economy may change over time. This implied that I had to verify dates and prioritize recent sources. My research findings indicate that company sources work only to support other evidence, as they present the firm in a positive light.</w:t>
      </w:r>
    </w:p>
    <w:p w14:paraId="797436F5">
      <w:pPr>
        <w:pStyle w:val="3"/>
        <w:rPr>
          <w:rFonts w:ascii="Arial" w:hAnsi="Arial" w:cs="Arial"/>
          <w:sz w:val="22"/>
          <w:szCs w:val="22"/>
          <w:lang w:val="en-GB"/>
        </w:rPr>
      </w:pPr>
      <w:bookmarkStart w:id="25" w:name="_Toc237294311"/>
      <w:r>
        <w:rPr>
          <w:rFonts w:ascii="Arial" w:hAnsi="Arial" w:cs="Arial"/>
          <w:sz w:val="22"/>
          <w:szCs w:val="22"/>
          <w:lang w:val="en-GB"/>
        </w:rPr>
        <w:t>2.4 Analysis</w:t>
      </w:r>
      <w:bookmarkEnd w:id="25"/>
    </w:p>
    <w:p w14:paraId="6F5E9FAF">
      <w:pPr>
        <w:spacing w:line="360" w:lineRule="auto"/>
        <w:jc w:val="both"/>
        <w:rPr>
          <w:rFonts w:ascii="Arial" w:hAnsi="Arial" w:cs="Arial"/>
          <w:lang w:val="en-GB"/>
        </w:rPr>
      </w:pPr>
      <w:r>
        <w:rPr>
          <w:rFonts w:ascii="Arial" w:hAnsi="Arial" w:cs="Arial"/>
          <w:lang w:val="en-GB"/>
        </w:rPr>
        <w:t>The key takeaway from this assessment for me was that entering an international market does not only hinge on how attractive that market is. Even if customers are eager, anti-competitive practices can make it hard to penetrate. The grocery market in New Zealand is concentrated, and consumers are facing higher living costs thanks to ALDI. This creates scope for discount supermarket.</w:t>
      </w:r>
    </w:p>
    <w:p w14:paraId="352CF70B">
      <w:pPr>
        <w:spacing w:line="360" w:lineRule="auto"/>
        <w:jc w:val="both"/>
        <w:rPr>
          <w:rFonts w:ascii="Arial" w:hAnsi="Arial" w:cs="Arial"/>
          <w:lang w:val="en-GB"/>
        </w:rPr>
      </w:pPr>
      <w:r>
        <w:rPr>
          <w:rFonts w:ascii="Arial" w:hAnsi="Arial" w:cs="Arial"/>
          <w:lang w:val="en-GB"/>
        </w:rPr>
        <w:t>Nevertheless, New Zealand also has some issues. It has quite a small population spread in various areas. As a result, distribution costs may surge, making it more difficult for ALDI to achieve the scale suitable for its low-cost business model. The low-cost business model also faces difficulty in achieving scale in distribution. Consequently, I learned that market analysis has to be connected to the strengths and weaknesses of the firm.</w:t>
      </w:r>
    </w:p>
    <w:p w14:paraId="50252A3C">
      <w:pPr>
        <w:spacing w:line="360" w:lineRule="auto"/>
        <w:jc w:val="both"/>
        <w:rPr>
          <w:rFonts w:ascii="Arial" w:hAnsi="Arial" w:cs="Arial"/>
          <w:lang w:val="en-GB"/>
        </w:rPr>
      </w:pPr>
      <w:r>
        <w:rPr>
          <w:rFonts w:ascii="Arial" w:hAnsi="Arial" w:cs="Arial"/>
          <w:lang w:val="en-GB"/>
        </w:rPr>
        <w:t>My understanding also improved through the OLI framework. ALDI enjoys well-developed ownership advantages including private label products, strong purchasing power, cost control and standard store format. New Zealand also provides some locational advantages due to the highly concentrated grocery market and competition increasing efforts by the government. Nonetheless, those advantages may not be sufficiently strong to warrant immediate large-scale expansion.</w:t>
      </w:r>
    </w:p>
    <w:p w14:paraId="054EE4E6">
      <w:pPr>
        <w:spacing w:line="360" w:lineRule="auto"/>
        <w:jc w:val="both"/>
        <w:rPr>
          <w:rFonts w:ascii="Arial" w:hAnsi="Arial" w:cs="Arial"/>
          <w:lang w:val="en-GB"/>
        </w:rPr>
      </w:pPr>
      <w:r>
        <w:rPr>
          <w:rFonts w:ascii="Arial" w:hAnsi="Arial" w:cs="Arial"/>
          <w:lang w:val="en-GB"/>
        </w:rPr>
        <w:t>I learned that control is necessary when a company relies on special knowledge and business processes. ALDI connects purchasing, pricing, private-label products, and store operations. Engaging with a partner can help gain useful local knowledge, but it would dilute ALDI’s control. This explanation aided my understanding of why a wholly owned entry is optimal.</w:t>
      </w:r>
    </w:p>
    <w:p w14:paraId="3EB004CD">
      <w:pPr>
        <w:pStyle w:val="3"/>
        <w:rPr>
          <w:rFonts w:ascii="Arial" w:hAnsi="Arial" w:cs="Arial"/>
          <w:sz w:val="22"/>
          <w:szCs w:val="22"/>
          <w:lang w:val="en-GB"/>
        </w:rPr>
      </w:pPr>
      <w:bookmarkStart w:id="26" w:name="_Toc237294312"/>
      <w:r>
        <w:rPr>
          <w:rFonts w:ascii="Arial" w:hAnsi="Arial" w:cs="Arial"/>
          <w:sz w:val="22"/>
          <w:szCs w:val="22"/>
          <w:lang w:val="en-GB"/>
        </w:rPr>
        <w:t>2.5 Conclusion</w:t>
      </w:r>
      <w:bookmarkEnd w:id="26"/>
    </w:p>
    <w:p w14:paraId="510EB19E">
      <w:pPr>
        <w:spacing w:line="360" w:lineRule="auto"/>
        <w:jc w:val="both"/>
        <w:rPr>
          <w:rFonts w:ascii="Arial" w:hAnsi="Arial" w:cs="Arial"/>
          <w:lang w:val="en-GB"/>
        </w:rPr>
      </w:pPr>
      <w:r>
        <w:rPr>
          <w:rFonts w:ascii="Arial" w:hAnsi="Arial" w:cs="Arial"/>
          <w:lang w:val="en-GB"/>
        </w:rPr>
        <w:t>In general, the research process enhanced my international business decision making understanding. I learned that good analysis is more than fact collection. Information must be tied to theory, then used to back a clear business decision. I moreover learnt how to question the initial assumptions. Initially, it seemed like a no-brainer for ALDI to enter New Zealand as consumers would benefit from lower grocery prices. Further studies revealed that market size, logistics, supplier access, and competition could make entry more difficult. The process contributed towards improving my research skills. I started to be more careful to check when publication was written, to compare and cross-check where possible, and to use official information where I can. I also became more conscious of the distinction between evidence and interpretation. It is essential since reflective practice must identify what transpired, assay of it, and utilize the learning to enhance work in the future.</w:t>
      </w:r>
    </w:p>
    <w:p w14:paraId="3BC0D729">
      <w:pPr>
        <w:pStyle w:val="3"/>
        <w:rPr>
          <w:rFonts w:ascii="Arial" w:hAnsi="Arial" w:cs="Arial"/>
          <w:sz w:val="22"/>
          <w:szCs w:val="22"/>
          <w:lang w:val="en-GB"/>
        </w:rPr>
      </w:pPr>
      <w:bookmarkStart w:id="27" w:name="_Toc237294313"/>
      <w:r>
        <w:rPr>
          <w:rFonts w:ascii="Arial" w:hAnsi="Arial" w:cs="Arial"/>
          <w:sz w:val="22"/>
          <w:szCs w:val="22"/>
          <w:lang w:val="en-GB"/>
        </w:rPr>
        <w:t>2.6 Action Plan</w:t>
      </w:r>
      <w:bookmarkEnd w:id="27"/>
    </w:p>
    <w:p w14:paraId="40137360">
      <w:pPr>
        <w:spacing w:line="360" w:lineRule="auto"/>
        <w:jc w:val="both"/>
        <w:rPr>
          <w:rFonts w:ascii="Arial" w:hAnsi="Arial" w:cs="Arial"/>
          <w:lang w:val="en-GB"/>
        </w:rPr>
      </w:pPr>
      <w:r>
        <w:rPr>
          <w:rFonts w:ascii="Arial" w:hAnsi="Arial" w:cs="Arial"/>
          <w:lang w:val="en-GB"/>
        </w:rPr>
        <w:t>In future tasks, I would start the research process and coordinate a source plan before retrieving information. I would first identify the relevant theories and then look for evidence that directly attends to each part of the analysis. It would eliminate redundant information and make the concluding report more precise. I would also create a research table containing the source, date of publication, main finding, relevance and section in which it will be used. It will clarify sources makes checking them easier and reduces the risk of quoting outdated information. For future international business research, I would use further comparative evidence between the home and host countries. I would also analyze the company reports and independent sources separately before coming to a conclusion.</w:t>
      </w:r>
    </w:p>
    <w:p w14:paraId="2A54586C">
      <w:pPr>
        <w:spacing w:line="360" w:lineRule="auto"/>
        <w:rPr>
          <w:rFonts w:ascii="Arial" w:hAnsi="Arial" w:cs="Arial"/>
          <w:lang w:val="en-GB"/>
        </w:rPr>
      </w:pPr>
      <w:r>
        <w:rPr>
          <w:rFonts w:ascii="Arial" w:hAnsi="Arial" w:cs="Arial"/>
          <w:lang w:val="en-GB"/>
        </w:rPr>
        <w:br w:type="page"/>
      </w:r>
    </w:p>
    <w:p w14:paraId="16EC8359">
      <w:pPr>
        <w:pStyle w:val="2"/>
        <w:rPr>
          <w:rFonts w:ascii="Arial" w:hAnsi="Arial" w:cs="Arial"/>
          <w:sz w:val="22"/>
          <w:szCs w:val="22"/>
          <w:lang w:val="en-GB"/>
        </w:rPr>
      </w:pPr>
      <w:bookmarkStart w:id="28" w:name="_Toc237294314"/>
      <w:r>
        <w:rPr>
          <w:rFonts w:ascii="Arial" w:hAnsi="Arial" w:cs="Arial"/>
          <w:sz w:val="22"/>
          <w:szCs w:val="22"/>
          <w:lang w:val="en-GB"/>
        </w:rPr>
        <w:t>References</w:t>
      </w:r>
      <w:bookmarkEnd w:id="28"/>
    </w:p>
    <w:p w14:paraId="2BD66004">
      <w:pPr>
        <w:spacing w:line="360" w:lineRule="auto"/>
        <w:jc w:val="both"/>
        <w:rPr>
          <w:rFonts w:ascii="Arial" w:hAnsi="Arial" w:cs="Arial"/>
          <w:lang w:val="en-GB"/>
        </w:rPr>
      </w:pPr>
      <w:r>
        <w:rPr>
          <w:rFonts w:ascii="Arial" w:hAnsi="Arial" w:cs="Arial"/>
          <w:lang w:val="en-GB"/>
        </w:rPr>
        <w:t xml:space="preserve">Aldi (2024). </w:t>
      </w:r>
      <w:r>
        <w:rPr>
          <w:rFonts w:ascii="Arial" w:hAnsi="Arial" w:cs="Arial"/>
          <w:i/>
          <w:iCs/>
          <w:lang w:val="en-GB"/>
        </w:rPr>
        <w:t>National Markets | Aldi South Group</w:t>
      </w:r>
      <w:r>
        <w:rPr>
          <w:rFonts w:ascii="Arial" w:hAnsi="Arial" w:cs="Arial"/>
          <w:lang w:val="en-GB"/>
        </w:rPr>
        <w:t xml:space="preserve">. [online] </w:t>
      </w:r>
      <w:r>
        <w:rPr>
          <w:rFonts w:ascii="Arial" w:hAnsi="Arial" w:cs="Arial"/>
          <w:i/>
          <w:iCs/>
          <w:lang w:val="en-GB"/>
        </w:rPr>
        <w:t>sustainability.aldisouthgroup.com</w:t>
      </w:r>
      <w:r>
        <w:rPr>
          <w:rFonts w:ascii="Arial" w:hAnsi="Arial" w:cs="Arial"/>
          <w:lang w:val="en-GB"/>
        </w:rPr>
        <w:t xml:space="preserve">. Available at: </w:t>
      </w:r>
      <w:r>
        <w:fldChar w:fldCharType="begin"/>
      </w:r>
      <w:r>
        <w:instrText xml:space="preserve"> HYPERLINK "https://sustainability.aldisouthgroup.com/about-aldi/national-markets" </w:instrText>
      </w:r>
      <w:r>
        <w:fldChar w:fldCharType="separate"/>
      </w:r>
      <w:r>
        <w:rPr>
          <w:rStyle w:val="15"/>
          <w:rFonts w:ascii="Arial" w:hAnsi="Arial" w:cs="Arial"/>
          <w:lang w:val="en-GB"/>
        </w:rPr>
        <w:t>https://sustainability.aldisouthgroup.com/about-aldi/national-markets</w:t>
      </w:r>
      <w:r>
        <w:rPr>
          <w:rStyle w:val="15"/>
          <w:rFonts w:ascii="Arial" w:hAnsi="Arial" w:cs="Arial"/>
          <w:lang w:val="en-GB"/>
        </w:rPr>
        <w:fldChar w:fldCharType="end"/>
      </w:r>
      <w:r>
        <w:rPr>
          <w:rFonts w:ascii="Arial" w:hAnsi="Arial" w:cs="Arial"/>
          <w:lang w:val="en-GB"/>
        </w:rPr>
        <w:t xml:space="preserve"> [Accessed 10 Aug. 2026].</w:t>
      </w:r>
    </w:p>
    <w:p w14:paraId="5A2E4834">
      <w:pPr>
        <w:spacing w:line="360" w:lineRule="auto"/>
        <w:jc w:val="both"/>
        <w:rPr>
          <w:rFonts w:ascii="Arial" w:hAnsi="Arial" w:cs="Arial"/>
          <w:lang w:val="en-GB"/>
        </w:rPr>
      </w:pPr>
      <w:r>
        <w:rPr>
          <w:rFonts w:ascii="Arial" w:hAnsi="Arial" w:cs="Arial"/>
          <w:lang w:val="en-GB"/>
        </w:rPr>
        <w:t xml:space="preserve">Aldi Australia (2025). </w:t>
      </w:r>
      <w:r>
        <w:rPr>
          <w:rFonts w:ascii="Arial" w:hAnsi="Arial" w:cs="Arial"/>
          <w:i/>
          <w:iCs/>
          <w:lang w:val="en-GB"/>
        </w:rPr>
        <w:t>Good business | making a good difference | ALDI Australia</w:t>
      </w:r>
      <w:r>
        <w:rPr>
          <w:rFonts w:ascii="Arial" w:hAnsi="Arial" w:cs="Arial"/>
          <w:lang w:val="en-GB"/>
        </w:rPr>
        <w:t xml:space="preserve">. [online] </w:t>
      </w:r>
      <w:r>
        <w:rPr>
          <w:rFonts w:ascii="Arial" w:hAnsi="Arial" w:cs="Arial"/>
          <w:i/>
          <w:iCs/>
          <w:lang w:val="en-GB"/>
        </w:rPr>
        <w:t>Aldi.com.au</w:t>
      </w:r>
      <w:r>
        <w:rPr>
          <w:rFonts w:ascii="Arial" w:hAnsi="Arial" w:cs="Arial"/>
          <w:lang w:val="en-GB"/>
        </w:rPr>
        <w:t xml:space="preserve">. Available at: </w:t>
      </w:r>
      <w:r>
        <w:fldChar w:fldCharType="begin"/>
      </w:r>
      <w:r>
        <w:instrText xml:space="preserve"> HYPERLINK "https://www.aldi.com.au/sustainability/good-business" </w:instrText>
      </w:r>
      <w:r>
        <w:fldChar w:fldCharType="separate"/>
      </w:r>
      <w:r>
        <w:rPr>
          <w:rStyle w:val="15"/>
          <w:rFonts w:ascii="Arial" w:hAnsi="Arial" w:cs="Arial"/>
          <w:lang w:val="en-GB"/>
        </w:rPr>
        <w:t>https://www.aldi.com.au/sustainability/good-business</w:t>
      </w:r>
      <w:r>
        <w:rPr>
          <w:rStyle w:val="15"/>
          <w:rFonts w:ascii="Arial" w:hAnsi="Arial" w:cs="Arial"/>
          <w:lang w:val="en-GB"/>
        </w:rPr>
        <w:fldChar w:fldCharType="end"/>
      </w:r>
      <w:r>
        <w:rPr>
          <w:rFonts w:ascii="Arial" w:hAnsi="Arial" w:cs="Arial"/>
          <w:lang w:val="en-GB"/>
        </w:rPr>
        <w:t xml:space="preserve"> [Accessed 10 Aug. 2026].</w:t>
      </w:r>
    </w:p>
    <w:p w14:paraId="3C94C90F">
      <w:pPr>
        <w:spacing w:line="360" w:lineRule="auto"/>
        <w:jc w:val="both"/>
        <w:rPr>
          <w:rFonts w:ascii="Arial" w:hAnsi="Arial" w:cs="Arial"/>
          <w:lang w:val="en-GB"/>
        </w:rPr>
      </w:pPr>
      <w:r>
        <w:rPr>
          <w:rFonts w:ascii="Arial" w:hAnsi="Arial" w:cs="Arial"/>
          <w:lang w:val="en-GB"/>
        </w:rPr>
        <w:t xml:space="preserve">Aldi US (2026). </w:t>
      </w:r>
      <w:r>
        <w:rPr>
          <w:rFonts w:ascii="Arial" w:hAnsi="Arial" w:cs="Arial"/>
          <w:i/>
          <w:iCs/>
          <w:lang w:val="en-GB"/>
        </w:rPr>
        <w:t>Aldi us doubles down on growth in 2026</w:t>
      </w:r>
      <w:r>
        <w:rPr>
          <w:rFonts w:ascii="Arial" w:hAnsi="Arial" w:cs="Arial"/>
          <w:lang w:val="en-GB"/>
        </w:rPr>
        <w:t xml:space="preserve">. [online] </w:t>
      </w:r>
      <w:r>
        <w:rPr>
          <w:rFonts w:ascii="Arial" w:hAnsi="Arial" w:cs="Arial"/>
          <w:i/>
          <w:iCs/>
          <w:lang w:val="en-GB"/>
        </w:rPr>
        <w:t>ALDI</w:t>
      </w:r>
      <w:r>
        <w:rPr>
          <w:rFonts w:ascii="Arial" w:hAnsi="Arial" w:cs="Arial"/>
          <w:lang w:val="en-GB"/>
        </w:rPr>
        <w:t xml:space="preserve">. Available at: </w:t>
      </w:r>
      <w:r>
        <w:fldChar w:fldCharType="begin"/>
      </w:r>
      <w:r>
        <w:instrText xml:space="preserve"> HYPERLINK "https://corporate.aldi.us/newsroom/news/aldi-us-doubles-down-on-growth-in-2026" </w:instrText>
      </w:r>
      <w:r>
        <w:fldChar w:fldCharType="separate"/>
      </w:r>
      <w:r>
        <w:rPr>
          <w:rStyle w:val="15"/>
          <w:rFonts w:ascii="Arial" w:hAnsi="Arial" w:cs="Arial"/>
          <w:lang w:val="en-GB"/>
        </w:rPr>
        <w:t>https://corporate.aldi.us/newsroom/news/aldi-us-doubles-down-on-growth-in-2026</w:t>
      </w:r>
      <w:r>
        <w:rPr>
          <w:rStyle w:val="15"/>
          <w:rFonts w:ascii="Arial" w:hAnsi="Arial" w:cs="Arial"/>
          <w:lang w:val="en-GB"/>
        </w:rPr>
        <w:fldChar w:fldCharType="end"/>
      </w:r>
      <w:r>
        <w:rPr>
          <w:rFonts w:ascii="Arial" w:hAnsi="Arial" w:cs="Arial"/>
          <w:lang w:val="en-GB"/>
        </w:rPr>
        <w:t xml:space="preserve"> [Accessed 10 Aug. 2026].</w:t>
      </w:r>
    </w:p>
    <w:p w14:paraId="32F219F2">
      <w:pPr>
        <w:spacing w:line="360" w:lineRule="auto"/>
        <w:jc w:val="both"/>
        <w:rPr>
          <w:rFonts w:ascii="Arial" w:hAnsi="Arial" w:cs="Arial"/>
          <w:lang w:val="en-GB"/>
        </w:rPr>
      </w:pPr>
      <w:r>
        <w:rPr>
          <w:rFonts w:ascii="Arial" w:hAnsi="Arial" w:cs="Arial"/>
          <w:lang w:val="en-GB"/>
        </w:rPr>
        <w:t xml:space="preserve">Alon, I., Elia, S. and Li, S. (2020). Greenfield or M&amp;A? An institutional and learning perspective on the establishment mode choice of Chinese outward investments. </w:t>
      </w:r>
      <w:r>
        <w:rPr>
          <w:rFonts w:ascii="Arial" w:hAnsi="Arial" w:cs="Arial"/>
          <w:i/>
          <w:iCs/>
          <w:lang w:val="en-GB"/>
        </w:rPr>
        <w:t>Journal of International Management</w:t>
      </w:r>
      <w:r>
        <w:rPr>
          <w:rFonts w:ascii="Arial" w:hAnsi="Arial" w:cs="Arial"/>
          <w:lang w:val="en-GB"/>
        </w:rPr>
        <w:t>, 26(3), p.100758. doi:10.1016/j.intman.2020.100758.</w:t>
      </w:r>
    </w:p>
    <w:p w14:paraId="0CDA160F">
      <w:pPr>
        <w:spacing w:line="360" w:lineRule="auto"/>
        <w:jc w:val="both"/>
        <w:rPr>
          <w:rFonts w:ascii="Arial" w:hAnsi="Arial" w:cs="Arial"/>
          <w:lang w:val="en-GB"/>
        </w:rPr>
      </w:pPr>
      <w:r>
        <w:rPr>
          <w:rFonts w:ascii="Arial" w:hAnsi="Arial" w:cs="Arial"/>
          <w:lang w:val="en-GB"/>
        </w:rPr>
        <w:t xml:space="preserve">Batsakis, G., Theoharakis, V., Li, C. and Konara, P. (2023). Internationalization and digitalization: Their differing role on grocer and non-grocer retailer performance. </w:t>
      </w:r>
      <w:r>
        <w:rPr>
          <w:rFonts w:ascii="Arial" w:hAnsi="Arial" w:cs="Arial"/>
          <w:i/>
          <w:iCs/>
          <w:lang w:val="en-GB"/>
        </w:rPr>
        <w:t>Journal of Retailing</w:t>
      </w:r>
      <w:r>
        <w:rPr>
          <w:rFonts w:ascii="Arial" w:hAnsi="Arial" w:cs="Arial"/>
          <w:lang w:val="en-GB"/>
        </w:rPr>
        <w:t>, [online] 99(3). doi:10.1016/j.jretai.2023.07.005.</w:t>
      </w:r>
    </w:p>
    <w:p w14:paraId="258CF952">
      <w:pPr>
        <w:spacing w:line="360" w:lineRule="auto"/>
        <w:jc w:val="both"/>
        <w:rPr>
          <w:rFonts w:ascii="Arial" w:hAnsi="Arial" w:cs="Arial"/>
          <w:lang w:val="en-GB"/>
        </w:rPr>
      </w:pPr>
      <w:r>
        <w:rPr>
          <w:rFonts w:ascii="Arial" w:hAnsi="Arial" w:cs="Arial"/>
          <w:lang w:val="en-GB"/>
        </w:rPr>
        <w:t xml:space="preserve">Brennan, M. and Castaing, A. (2025). </w:t>
      </w:r>
      <w:r>
        <w:rPr>
          <w:rFonts w:ascii="Arial" w:hAnsi="Arial" w:cs="Arial"/>
          <w:i/>
          <w:iCs/>
          <w:lang w:val="en-GB"/>
        </w:rPr>
        <w:t>Estimating exchange rate pass-through in New Zealand</w:t>
      </w:r>
      <w:r>
        <w:rPr>
          <w:rFonts w:ascii="Arial" w:hAnsi="Arial" w:cs="Arial"/>
          <w:lang w:val="en-GB"/>
        </w:rPr>
        <w:t xml:space="preserve">. [online] </w:t>
      </w:r>
      <w:r>
        <w:rPr>
          <w:rFonts w:ascii="Arial" w:hAnsi="Arial" w:cs="Arial"/>
          <w:i/>
          <w:iCs/>
          <w:lang w:val="en-GB"/>
        </w:rPr>
        <w:t>Govt.nz</w:t>
      </w:r>
      <w:r>
        <w:rPr>
          <w:rFonts w:ascii="Arial" w:hAnsi="Arial" w:cs="Arial"/>
          <w:lang w:val="en-GB"/>
        </w:rPr>
        <w:t>. Available at: https://www.rbnz.govt.nz/hub/publications/analytical-note/2025/estimating-exchange-rate-pass-through[Accessed 10 Aug. 2026].</w:t>
      </w:r>
    </w:p>
    <w:p w14:paraId="2C457749">
      <w:pPr>
        <w:spacing w:line="360" w:lineRule="auto"/>
        <w:jc w:val="both"/>
        <w:rPr>
          <w:rFonts w:ascii="Arial" w:hAnsi="Arial" w:cs="Arial"/>
          <w:lang w:val="en-GB"/>
        </w:rPr>
      </w:pPr>
      <w:r>
        <w:rPr>
          <w:rFonts w:ascii="Arial" w:hAnsi="Arial" w:cs="Arial"/>
          <w:lang w:val="en-GB"/>
        </w:rPr>
        <w:t xml:space="preserve">Burt, S., Davies, K., Dawson, J. and Sparks, L. (2008). Categorizing patterns and processes in retail grocery internationalisation. </w:t>
      </w:r>
      <w:r>
        <w:rPr>
          <w:rFonts w:ascii="Arial" w:hAnsi="Arial" w:cs="Arial"/>
          <w:i/>
          <w:iCs/>
          <w:lang w:val="en-GB"/>
        </w:rPr>
        <w:t>Journal of Retailing and Consumer Services</w:t>
      </w:r>
      <w:r>
        <w:rPr>
          <w:rFonts w:ascii="Arial" w:hAnsi="Arial" w:cs="Arial"/>
          <w:lang w:val="en-GB"/>
        </w:rPr>
        <w:t>, 15(2), pp.78–92. doi:10.1016/j.jretconser.2007.05.008.</w:t>
      </w:r>
    </w:p>
    <w:p w14:paraId="7FFE03B5">
      <w:pPr>
        <w:spacing w:line="360" w:lineRule="auto"/>
        <w:jc w:val="both"/>
        <w:rPr>
          <w:rFonts w:ascii="Arial" w:hAnsi="Arial" w:cs="Arial"/>
          <w:lang w:val="en-GB"/>
        </w:rPr>
      </w:pPr>
      <w:r>
        <w:rPr>
          <w:rFonts w:ascii="Arial" w:hAnsi="Arial" w:cs="Arial"/>
          <w:lang w:val="en-GB"/>
        </w:rPr>
        <w:t xml:space="preserve">Chen, J. (2020). </w:t>
      </w:r>
      <w:r>
        <w:rPr>
          <w:rFonts w:ascii="Arial" w:hAnsi="Arial" w:cs="Arial"/>
          <w:i/>
          <w:iCs/>
          <w:lang w:val="en-GB"/>
        </w:rPr>
        <w:t>Green field investment</w:t>
      </w:r>
      <w:r>
        <w:rPr>
          <w:rFonts w:ascii="Arial" w:hAnsi="Arial" w:cs="Arial"/>
          <w:lang w:val="en-GB"/>
        </w:rPr>
        <w:t xml:space="preserve">. [online] </w:t>
      </w:r>
      <w:r>
        <w:rPr>
          <w:rFonts w:ascii="Arial" w:hAnsi="Arial" w:cs="Arial"/>
          <w:i/>
          <w:iCs/>
          <w:lang w:val="en-GB"/>
        </w:rPr>
        <w:t>Investopedia</w:t>
      </w:r>
      <w:r>
        <w:rPr>
          <w:rFonts w:ascii="Arial" w:hAnsi="Arial" w:cs="Arial"/>
          <w:lang w:val="en-GB"/>
        </w:rPr>
        <w:t xml:space="preserve">. Available at: </w:t>
      </w:r>
      <w:r>
        <w:fldChar w:fldCharType="begin"/>
      </w:r>
      <w:r>
        <w:instrText xml:space="preserve"> HYPERLINK "https://www.investopedia.com/terms/g/greenfield.asp" </w:instrText>
      </w:r>
      <w:r>
        <w:fldChar w:fldCharType="separate"/>
      </w:r>
      <w:r>
        <w:rPr>
          <w:rStyle w:val="15"/>
          <w:rFonts w:ascii="Arial" w:hAnsi="Arial" w:cs="Arial"/>
          <w:lang w:val="en-GB"/>
        </w:rPr>
        <w:t>https://www.investopedia.com/terms/g/greenfield.asp</w:t>
      </w:r>
      <w:r>
        <w:rPr>
          <w:rStyle w:val="15"/>
          <w:rFonts w:ascii="Arial" w:hAnsi="Arial" w:cs="Arial"/>
          <w:lang w:val="en-GB"/>
        </w:rPr>
        <w:fldChar w:fldCharType="end"/>
      </w:r>
      <w:r>
        <w:rPr>
          <w:rFonts w:ascii="Arial" w:hAnsi="Arial" w:cs="Arial"/>
          <w:lang w:val="en-GB"/>
        </w:rPr>
        <w:t xml:space="preserve"> [Accessed 10 Aug. 2026].</w:t>
      </w:r>
    </w:p>
    <w:p w14:paraId="4EE12EF0">
      <w:pPr>
        <w:spacing w:line="360" w:lineRule="auto"/>
        <w:jc w:val="both"/>
        <w:rPr>
          <w:rFonts w:ascii="Arial" w:hAnsi="Arial" w:cs="Arial"/>
          <w:lang w:val="en-GB"/>
        </w:rPr>
      </w:pPr>
      <w:r>
        <w:rPr>
          <w:rFonts w:ascii="Arial" w:hAnsi="Arial" w:cs="Arial"/>
          <w:lang w:val="en-GB"/>
        </w:rPr>
        <w:t xml:space="preserve">Cole, W. (2026). New Zealand unemployment climbs to decade-high of 5.6% in Q2. </w:t>
      </w:r>
      <w:r>
        <w:rPr>
          <w:rFonts w:ascii="Arial" w:hAnsi="Arial" w:cs="Arial"/>
          <w:i/>
          <w:iCs/>
          <w:lang w:val="en-GB"/>
        </w:rPr>
        <w:t>Reuters</w:t>
      </w:r>
      <w:r>
        <w:rPr>
          <w:rFonts w:ascii="Arial" w:hAnsi="Arial" w:cs="Arial"/>
          <w:lang w:val="en-GB"/>
        </w:rPr>
        <w:t xml:space="preserve">. [online] 4 Aug. Available at: </w:t>
      </w:r>
      <w:r>
        <w:fldChar w:fldCharType="begin"/>
      </w:r>
      <w:r>
        <w:instrText xml:space="preserve"> HYPERLINK "https://www.reuters.com/world/asia-pacific/new-zealand-unemployment-climbs-decade-high-56-q2-2026-08-04/" </w:instrText>
      </w:r>
      <w:r>
        <w:fldChar w:fldCharType="separate"/>
      </w:r>
      <w:r>
        <w:rPr>
          <w:rStyle w:val="15"/>
          <w:rFonts w:ascii="Arial" w:hAnsi="Arial" w:cs="Arial"/>
          <w:lang w:val="en-GB"/>
        </w:rPr>
        <w:t>https://www.reuters.com/world/asia-pacific/new-zealand-unemployment-climbs-decade-high-56-q2-2026-08-04/</w:t>
      </w:r>
      <w:r>
        <w:rPr>
          <w:rStyle w:val="15"/>
          <w:rFonts w:ascii="Arial" w:hAnsi="Arial" w:cs="Arial"/>
          <w:lang w:val="en-GB"/>
        </w:rPr>
        <w:fldChar w:fldCharType="end"/>
      </w:r>
      <w:r>
        <w:rPr>
          <w:rFonts w:ascii="Arial" w:hAnsi="Arial" w:cs="Arial"/>
          <w:lang w:val="en-GB"/>
        </w:rPr>
        <w:t xml:space="preserve"> [Accessed 10 Aug. 2026].</w:t>
      </w:r>
    </w:p>
    <w:p w14:paraId="2FD29484">
      <w:pPr>
        <w:spacing w:line="360" w:lineRule="auto"/>
        <w:jc w:val="both"/>
        <w:rPr>
          <w:rFonts w:ascii="Arial" w:hAnsi="Arial" w:cs="Arial"/>
          <w:lang w:val="en-GB"/>
        </w:rPr>
      </w:pPr>
      <w:r>
        <w:rPr>
          <w:rFonts w:ascii="Arial" w:hAnsi="Arial" w:cs="Arial"/>
          <w:lang w:val="en-GB"/>
        </w:rPr>
        <w:t xml:space="preserve">Colman, H.L. (2020). Facilitating integration and maintaining autonomy: The role of managerial action and interaction in post-acquisition cabability transfer. </w:t>
      </w:r>
      <w:r>
        <w:rPr>
          <w:rFonts w:ascii="Arial" w:hAnsi="Arial" w:cs="Arial"/>
          <w:i/>
          <w:iCs/>
          <w:lang w:val="en-GB"/>
        </w:rPr>
        <w:t>Journal of Business Research</w:t>
      </w:r>
      <w:r>
        <w:rPr>
          <w:rFonts w:ascii="Arial" w:hAnsi="Arial" w:cs="Arial"/>
          <w:lang w:val="en-GB"/>
        </w:rPr>
        <w:t>, 109, pp.148–160. doi:10.1016/j.jbusres.2019.09.063.</w:t>
      </w:r>
    </w:p>
    <w:p w14:paraId="3C9851F0">
      <w:pPr>
        <w:spacing w:line="360" w:lineRule="auto"/>
        <w:jc w:val="both"/>
        <w:rPr>
          <w:rFonts w:ascii="Arial" w:hAnsi="Arial" w:cs="Arial"/>
          <w:lang w:val="en-GB"/>
        </w:rPr>
      </w:pPr>
      <w:r>
        <w:rPr>
          <w:rFonts w:ascii="Arial" w:hAnsi="Arial" w:cs="Arial"/>
          <w:lang w:val="en-GB"/>
        </w:rPr>
        <w:t xml:space="preserve">Commerce Commission (2023). </w:t>
      </w:r>
      <w:r>
        <w:rPr>
          <w:rFonts w:ascii="Arial" w:hAnsi="Arial" w:cs="Arial"/>
          <w:i/>
          <w:iCs/>
          <w:lang w:val="en-GB"/>
        </w:rPr>
        <w:t>Grocery supply code</w:t>
      </w:r>
      <w:r>
        <w:rPr>
          <w:rFonts w:ascii="Arial" w:hAnsi="Arial" w:cs="Arial"/>
          <w:lang w:val="en-GB"/>
        </w:rPr>
        <w:t xml:space="preserve">. [online] </w:t>
      </w:r>
      <w:r>
        <w:rPr>
          <w:rFonts w:ascii="Arial" w:hAnsi="Arial" w:cs="Arial"/>
          <w:i/>
          <w:iCs/>
          <w:lang w:val="en-GB"/>
        </w:rPr>
        <w:t>Commerce Commission</w:t>
      </w:r>
      <w:r>
        <w:rPr>
          <w:rFonts w:ascii="Arial" w:hAnsi="Arial" w:cs="Arial"/>
          <w:lang w:val="en-GB"/>
        </w:rPr>
        <w:t xml:space="preserve">. Available at: </w:t>
      </w:r>
      <w:r>
        <w:fldChar w:fldCharType="begin"/>
      </w:r>
      <w:r>
        <w:instrText xml:space="preserve"> HYPERLINK "https://www.comcom.govt.nz/regulated-industries/grocery/grocery-supply-code/" </w:instrText>
      </w:r>
      <w:r>
        <w:fldChar w:fldCharType="separate"/>
      </w:r>
      <w:r>
        <w:rPr>
          <w:rStyle w:val="15"/>
          <w:rFonts w:ascii="Arial" w:hAnsi="Arial" w:cs="Arial"/>
          <w:lang w:val="en-GB"/>
        </w:rPr>
        <w:t>https://www.comcom.govt.nz/regulated-industries/grocery/grocery-supply-code/</w:t>
      </w:r>
      <w:r>
        <w:rPr>
          <w:rStyle w:val="15"/>
          <w:rFonts w:ascii="Arial" w:hAnsi="Arial" w:cs="Arial"/>
          <w:lang w:val="en-GB"/>
        </w:rPr>
        <w:fldChar w:fldCharType="end"/>
      </w:r>
      <w:r>
        <w:rPr>
          <w:rFonts w:ascii="Arial" w:hAnsi="Arial" w:cs="Arial"/>
          <w:lang w:val="en-GB"/>
        </w:rPr>
        <w:t xml:space="preserve"> [Accessed 10 Aug. 2026].</w:t>
      </w:r>
    </w:p>
    <w:p w14:paraId="3A8C30B1">
      <w:pPr>
        <w:spacing w:line="360" w:lineRule="auto"/>
        <w:jc w:val="both"/>
        <w:rPr>
          <w:rFonts w:ascii="Arial" w:hAnsi="Arial" w:cs="Arial"/>
          <w:lang w:val="en-GB"/>
        </w:rPr>
      </w:pPr>
      <w:r>
        <w:rPr>
          <w:rFonts w:ascii="Arial" w:hAnsi="Arial" w:cs="Arial"/>
          <w:lang w:val="en-GB"/>
        </w:rPr>
        <w:t xml:space="preserve">Commerce Commission (2025). </w:t>
      </w:r>
      <w:r>
        <w:rPr>
          <w:rFonts w:ascii="Arial" w:hAnsi="Arial" w:cs="Arial"/>
          <w:i/>
          <w:iCs/>
          <w:lang w:val="en-GB"/>
        </w:rPr>
        <w:t>Wholesale supply inquiry</w:t>
      </w:r>
      <w:r>
        <w:rPr>
          <w:rFonts w:ascii="Arial" w:hAnsi="Arial" w:cs="Arial"/>
          <w:lang w:val="en-GB"/>
        </w:rPr>
        <w:t xml:space="preserve">. [online] </w:t>
      </w:r>
      <w:r>
        <w:rPr>
          <w:rFonts w:ascii="Arial" w:hAnsi="Arial" w:cs="Arial"/>
          <w:i/>
          <w:iCs/>
          <w:lang w:val="en-GB"/>
        </w:rPr>
        <w:t>Commerce Commission</w:t>
      </w:r>
      <w:r>
        <w:rPr>
          <w:rFonts w:ascii="Arial" w:hAnsi="Arial" w:cs="Arial"/>
          <w:lang w:val="en-GB"/>
        </w:rPr>
        <w:t xml:space="preserve">. Available at: </w:t>
      </w:r>
      <w:r>
        <w:fldChar w:fldCharType="begin"/>
      </w:r>
      <w:r>
        <w:instrText xml:space="preserve"> HYPERLINK "https://www.comcom.govt.nz/regulated-industries/projects/wholesale-supply-inquiry2/" </w:instrText>
      </w:r>
      <w:r>
        <w:fldChar w:fldCharType="separate"/>
      </w:r>
      <w:r>
        <w:rPr>
          <w:rStyle w:val="15"/>
          <w:rFonts w:ascii="Arial" w:hAnsi="Arial" w:cs="Arial"/>
          <w:lang w:val="en-GB"/>
        </w:rPr>
        <w:t>https://www.comcom.govt.nz/regulated-industries/projects/wholesale-supply-inquiry2/</w:t>
      </w:r>
      <w:r>
        <w:rPr>
          <w:rStyle w:val="15"/>
          <w:rFonts w:ascii="Arial" w:hAnsi="Arial" w:cs="Arial"/>
          <w:lang w:val="en-GB"/>
        </w:rPr>
        <w:fldChar w:fldCharType="end"/>
      </w:r>
      <w:r>
        <w:rPr>
          <w:rFonts w:ascii="Arial" w:hAnsi="Arial" w:cs="Arial"/>
          <w:lang w:val="en-GB"/>
        </w:rPr>
        <w:t xml:space="preserve"> [Accessed 10 Aug. 2026].</w:t>
      </w:r>
    </w:p>
    <w:p w14:paraId="2F34BB3C">
      <w:pPr>
        <w:spacing w:line="360" w:lineRule="auto"/>
        <w:jc w:val="both"/>
        <w:rPr>
          <w:rFonts w:ascii="Arial" w:hAnsi="Arial" w:cs="Arial"/>
          <w:lang w:val="en-GB"/>
        </w:rPr>
      </w:pPr>
      <w:r>
        <w:rPr>
          <w:rFonts w:ascii="Arial" w:hAnsi="Arial" w:cs="Arial"/>
          <w:lang w:val="en-GB"/>
        </w:rPr>
        <w:t xml:space="preserve">Commerce Commission (2026). </w:t>
      </w:r>
      <w:r>
        <w:rPr>
          <w:rFonts w:ascii="Arial" w:hAnsi="Arial" w:cs="Arial"/>
          <w:i/>
          <w:iCs/>
          <w:lang w:val="en-GB"/>
        </w:rPr>
        <w:t>Quarter Three Snapshot 2024/25</w:t>
      </w:r>
      <w:r>
        <w:rPr>
          <w:rFonts w:ascii="Arial" w:hAnsi="Arial" w:cs="Arial"/>
          <w:lang w:val="en-GB"/>
        </w:rPr>
        <w:t xml:space="preserve">. [online] Available at: </w:t>
      </w:r>
      <w:r>
        <w:fldChar w:fldCharType="begin"/>
      </w:r>
      <w:r>
        <w:instrText xml:space="preserve"> HYPERLINK "https://www.comcom.govt.nz/__data/assets/pdf_file/0029/367193/Quarterly-snapshot-Q3-January-March-2025.pdf" </w:instrText>
      </w:r>
      <w:r>
        <w:fldChar w:fldCharType="separate"/>
      </w:r>
      <w:r>
        <w:rPr>
          <w:rStyle w:val="15"/>
          <w:rFonts w:ascii="Arial" w:hAnsi="Arial" w:cs="Arial"/>
          <w:lang w:val="en-GB"/>
        </w:rPr>
        <w:t>https://www.comcom.govt.nz/__data/assets/pdf_file/0029/367193/Quarterly-snapshot-Q3-January-March-2025.pdf</w:t>
      </w:r>
      <w:r>
        <w:rPr>
          <w:rStyle w:val="15"/>
          <w:rFonts w:ascii="Arial" w:hAnsi="Arial" w:cs="Arial"/>
          <w:lang w:val="en-GB"/>
        </w:rPr>
        <w:fldChar w:fldCharType="end"/>
      </w:r>
      <w:r>
        <w:rPr>
          <w:rFonts w:ascii="Arial" w:hAnsi="Arial" w:cs="Arial"/>
          <w:lang w:val="en-GB"/>
        </w:rPr>
        <w:t xml:space="preserve">? </w:t>
      </w:r>
    </w:p>
    <w:p w14:paraId="14FFCAD6">
      <w:pPr>
        <w:spacing w:line="360" w:lineRule="auto"/>
        <w:jc w:val="both"/>
        <w:rPr>
          <w:rFonts w:ascii="Arial" w:hAnsi="Arial" w:cs="Arial"/>
          <w:lang w:val="en-GB"/>
        </w:rPr>
      </w:pPr>
      <w:r>
        <w:rPr>
          <w:rFonts w:ascii="Arial" w:hAnsi="Arial" w:cs="Arial"/>
          <w:lang w:val="en-GB"/>
        </w:rPr>
        <w:t xml:space="preserve">Commerce Commission NZ (2025). </w:t>
      </w:r>
      <w:r>
        <w:rPr>
          <w:rFonts w:ascii="Arial" w:hAnsi="Arial" w:cs="Arial"/>
          <w:i/>
          <w:iCs/>
          <w:lang w:val="en-GB"/>
        </w:rPr>
        <w:t>ComCom report highlights geographic inequities in groceries</w:t>
      </w:r>
      <w:r>
        <w:rPr>
          <w:rFonts w:ascii="Arial" w:hAnsi="Arial" w:cs="Arial"/>
          <w:lang w:val="en-GB"/>
        </w:rPr>
        <w:t xml:space="preserve">. [online] </w:t>
      </w:r>
      <w:r>
        <w:rPr>
          <w:rFonts w:ascii="Arial" w:hAnsi="Arial" w:cs="Arial"/>
          <w:i/>
          <w:iCs/>
          <w:lang w:val="en-GB"/>
        </w:rPr>
        <w:t>Commerce Commission</w:t>
      </w:r>
      <w:r>
        <w:rPr>
          <w:rFonts w:ascii="Arial" w:hAnsi="Arial" w:cs="Arial"/>
          <w:lang w:val="en-GB"/>
        </w:rPr>
        <w:t xml:space="preserve">. Available at: </w:t>
      </w:r>
      <w:r>
        <w:fldChar w:fldCharType="begin"/>
      </w:r>
      <w:r>
        <w:instrText xml:space="preserve"> HYPERLINK "https://www.comcom.govt.nz/news-and-media/news-and-events/2025/comcom-report-highlights-geographic-inequities-in-groceries/" </w:instrText>
      </w:r>
      <w:r>
        <w:fldChar w:fldCharType="separate"/>
      </w:r>
      <w:r>
        <w:rPr>
          <w:rStyle w:val="15"/>
          <w:rFonts w:ascii="Arial" w:hAnsi="Arial" w:cs="Arial"/>
          <w:lang w:val="en-GB"/>
        </w:rPr>
        <w:t>https://www.comcom.govt.nz/news-and-media/news-and-events/2025/comcom-report-highlights-geographic-inequities-in-groceries/</w:t>
      </w:r>
      <w:r>
        <w:rPr>
          <w:rStyle w:val="15"/>
          <w:rFonts w:ascii="Arial" w:hAnsi="Arial" w:cs="Arial"/>
          <w:lang w:val="en-GB"/>
        </w:rPr>
        <w:fldChar w:fldCharType="end"/>
      </w:r>
      <w:r>
        <w:rPr>
          <w:rFonts w:ascii="Arial" w:hAnsi="Arial" w:cs="Arial"/>
          <w:lang w:val="en-GB"/>
        </w:rPr>
        <w:t xml:space="preserve"> [Accessed 10 Aug. 2026].</w:t>
      </w:r>
    </w:p>
    <w:p w14:paraId="341525A5">
      <w:pPr>
        <w:spacing w:line="360" w:lineRule="auto"/>
        <w:jc w:val="both"/>
        <w:rPr>
          <w:rFonts w:ascii="Arial" w:hAnsi="Arial" w:cs="Arial"/>
          <w:lang w:val="en-GB"/>
        </w:rPr>
      </w:pPr>
      <w:r>
        <w:rPr>
          <w:rFonts w:ascii="Arial" w:hAnsi="Arial" w:cs="Arial"/>
          <w:lang w:val="en-GB"/>
        </w:rPr>
        <w:t xml:space="preserve">Consumer Protection (2024). </w:t>
      </w:r>
      <w:r>
        <w:rPr>
          <w:rFonts w:ascii="Arial" w:hAnsi="Arial" w:cs="Arial"/>
          <w:i/>
          <w:iCs/>
          <w:lang w:val="en-GB"/>
        </w:rPr>
        <w:t>​​Fair trading act | consumer protection</w:t>
      </w:r>
      <w:r>
        <w:rPr>
          <w:rFonts w:ascii="Arial" w:hAnsi="Arial" w:cs="Arial"/>
          <w:lang w:val="en-GB"/>
        </w:rPr>
        <w:t xml:space="preserve">. [online] </w:t>
      </w:r>
      <w:r>
        <w:rPr>
          <w:rFonts w:ascii="Arial" w:hAnsi="Arial" w:cs="Arial"/>
          <w:i/>
          <w:iCs/>
          <w:lang w:val="en-GB"/>
        </w:rPr>
        <w:t>www.consumerprotection.govt.nz</w:t>
      </w:r>
      <w:r>
        <w:rPr>
          <w:rFonts w:ascii="Arial" w:hAnsi="Arial" w:cs="Arial"/>
          <w:lang w:val="en-GB"/>
        </w:rPr>
        <w:t xml:space="preserve">. Available at: </w:t>
      </w:r>
      <w:r>
        <w:fldChar w:fldCharType="begin"/>
      </w:r>
      <w:r>
        <w:instrText xml:space="preserve"> HYPERLINK "https://www.consumerprotection.govt.nz/general-help/consumer-laws/fair-trading-act" </w:instrText>
      </w:r>
      <w:r>
        <w:fldChar w:fldCharType="separate"/>
      </w:r>
      <w:r>
        <w:rPr>
          <w:rStyle w:val="15"/>
          <w:rFonts w:ascii="Arial" w:hAnsi="Arial" w:cs="Arial"/>
          <w:lang w:val="en-GB"/>
        </w:rPr>
        <w:t>https://www.consumerprotection.govt.nz/general-help/consumer-laws/fair-trading-act</w:t>
      </w:r>
      <w:r>
        <w:rPr>
          <w:rStyle w:val="15"/>
          <w:rFonts w:ascii="Arial" w:hAnsi="Arial" w:cs="Arial"/>
          <w:lang w:val="en-GB"/>
        </w:rPr>
        <w:fldChar w:fldCharType="end"/>
      </w:r>
      <w:r>
        <w:rPr>
          <w:rFonts w:ascii="Arial" w:hAnsi="Arial" w:cs="Arial"/>
          <w:lang w:val="en-GB"/>
        </w:rPr>
        <w:t xml:space="preserve"> [Accessed 10 Aug. 2026].</w:t>
      </w:r>
    </w:p>
    <w:p w14:paraId="2A5203BC">
      <w:pPr>
        <w:spacing w:line="360" w:lineRule="auto"/>
        <w:jc w:val="both"/>
        <w:rPr>
          <w:rFonts w:ascii="Arial" w:hAnsi="Arial" w:cs="Arial"/>
          <w:lang w:val="en-GB"/>
        </w:rPr>
      </w:pPr>
      <w:r>
        <w:rPr>
          <w:rFonts w:ascii="Arial" w:hAnsi="Arial" w:cs="Arial"/>
          <w:lang w:val="en-GB"/>
        </w:rPr>
        <w:t xml:space="preserve">Employment New Zealand (2024). </w:t>
      </w:r>
      <w:r>
        <w:rPr>
          <w:rFonts w:ascii="Arial" w:hAnsi="Arial" w:cs="Arial"/>
          <w:i/>
          <w:iCs/>
          <w:lang w:val="en-GB"/>
        </w:rPr>
        <w:t>Minimum wage rates and types | Employment New Zealand</w:t>
      </w:r>
      <w:r>
        <w:rPr>
          <w:rFonts w:ascii="Arial" w:hAnsi="Arial" w:cs="Arial"/>
          <w:lang w:val="en-GB"/>
        </w:rPr>
        <w:t xml:space="preserve">. [online] </w:t>
      </w:r>
      <w:r>
        <w:rPr>
          <w:rFonts w:ascii="Arial" w:hAnsi="Arial" w:cs="Arial"/>
          <w:i/>
          <w:iCs/>
          <w:lang w:val="en-GB"/>
        </w:rPr>
        <w:t>www.employment.govt.nz</w:t>
      </w:r>
      <w:r>
        <w:rPr>
          <w:rFonts w:ascii="Arial" w:hAnsi="Arial" w:cs="Arial"/>
          <w:lang w:val="en-GB"/>
        </w:rPr>
        <w:t xml:space="preserve">. Available at: </w:t>
      </w:r>
      <w:r>
        <w:fldChar w:fldCharType="begin"/>
      </w:r>
      <w:r>
        <w:instrText xml:space="preserve"> HYPERLINK "https://www.employment.govt.nz/pay-and-hours/pay-and-wages/minimum-wage/minimum-wage-rates-and-types" </w:instrText>
      </w:r>
      <w:r>
        <w:fldChar w:fldCharType="separate"/>
      </w:r>
      <w:r>
        <w:rPr>
          <w:rStyle w:val="15"/>
          <w:rFonts w:ascii="Arial" w:hAnsi="Arial" w:cs="Arial"/>
          <w:lang w:val="en-GB"/>
        </w:rPr>
        <w:t>https://www.employment.govt.nz/pay-and-hours/pay-and-wages/minimum-wage/minimum-wage-rates-and-types</w:t>
      </w:r>
      <w:r>
        <w:rPr>
          <w:rStyle w:val="15"/>
          <w:rFonts w:ascii="Arial" w:hAnsi="Arial" w:cs="Arial"/>
          <w:lang w:val="en-GB"/>
        </w:rPr>
        <w:fldChar w:fldCharType="end"/>
      </w:r>
      <w:r>
        <w:rPr>
          <w:rFonts w:ascii="Arial" w:hAnsi="Arial" w:cs="Arial"/>
          <w:lang w:val="en-GB"/>
        </w:rPr>
        <w:t xml:space="preserve"> [Accessed 10 Aug. 2026].</w:t>
      </w:r>
    </w:p>
    <w:p w14:paraId="27660024">
      <w:pPr>
        <w:spacing w:line="360" w:lineRule="auto"/>
        <w:jc w:val="both"/>
        <w:rPr>
          <w:rFonts w:ascii="Arial" w:hAnsi="Arial" w:cs="Arial"/>
          <w:lang w:val="en-GB"/>
        </w:rPr>
      </w:pPr>
      <w:r>
        <w:rPr>
          <w:rFonts w:ascii="Arial" w:hAnsi="Arial" w:cs="Arial"/>
          <w:lang w:val="en-GB"/>
        </w:rPr>
        <w:t xml:space="preserve">Employment New Zealand (2025). </w:t>
      </w:r>
      <w:r>
        <w:rPr>
          <w:rFonts w:ascii="Arial" w:hAnsi="Arial" w:cs="Arial"/>
          <w:i/>
          <w:iCs/>
          <w:lang w:val="en-GB"/>
        </w:rPr>
        <w:t>Minimum wage rates and types</w:t>
      </w:r>
      <w:r>
        <w:rPr>
          <w:rFonts w:ascii="Arial" w:hAnsi="Arial" w:cs="Arial"/>
          <w:lang w:val="en-GB"/>
        </w:rPr>
        <w:t xml:space="preserve">. [online] </w:t>
      </w:r>
      <w:r>
        <w:rPr>
          <w:rFonts w:ascii="Arial" w:hAnsi="Arial" w:cs="Arial"/>
          <w:i/>
          <w:iCs/>
          <w:lang w:val="en-GB"/>
        </w:rPr>
        <w:t>Govt.nz</w:t>
      </w:r>
      <w:r>
        <w:rPr>
          <w:rFonts w:ascii="Arial" w:hAnsi="Arial" w:cs="Arial"/>
          <w:lang w:val="en-GB"/>
        </w:rPr>
        <w:t xml:space="preserve">. Available at: </w:t>
      </w:r>
      <w:r>
        <w:fldChar w:fldCharType="begin"/>
      </w:r>
      <w:r>
        <w:instrText xml:space="preserve"> HYPERLINK "https://www.employment.govt.nz/pay-and-hours/pay-and-wages/minimum-wage/minimum-wage-rates-and-types" </w:instrText>
      </w:r>
      <w:r>
        <w:fldChar w:fldCharType="separate"/>
      </w:r>
      <w:r>
        <w:rPr>
          <w:rStyle w:val="15"/>
          <w:rFonts w:ascii="Arial" w:hAnsi="Arial" w:cs="Arial"/>
          <w:lang w:val="en-GB"/>
        </w:rPr>
        <w:t>https://www.employment.govt.nz/pay-and-hours/pay-and-wages/minimum-wage/minimum-wage-rates-and-types</w:t>
      </w:r>
      <w:r>
        <w:rPr>
          <w:rStyle w:val="15"/>
          <w:rFonts w:ascii="Arial" w:hAnsi="Arial" w:cs="Arial"/>
          <w:lang w:val="en-GB"/>
        </w:rPr>
        <w:fldChar w:fldCharType="end"/>
      </w:r>
      <w:r>
        <w:rPr>
          <w:rFonts w:ascii="Arial" w:hAnsi="Arial" w:cs="Arial"/>
          <w:lang w:val="en-GB"/>
        </w:rPr>
        <w:t>? [Accessed 10 Aug. 2026].</w:t>
      </w:r>
    </w:p>
    <w:p w14:paraId="0F202B70">
      <w:pPr>
        <w:spacing w:line="360" w:lineRule="auto"/>
        <w:jc w:val="both"/>
        <w:rPr>
          <w:rFonts w:ascii="Arial" w:hAnsi="Arial" w:cs="Arial"/>
          <w:lang w:val="en-GB"/>
        </w:rPr>
      </w:pPr>
      <w:r>
        <w:rPr>
          <w:rFonts w:ascii="Arial" w:hAnsi="Arial" w:cs="Arial"/>
          <w:lang w:val="en-GB"/>
        </w:rPr>
        <w:t xml:space="preserve">Faithfull, M. (2026). First look at new ALDI format set to rollout across the U.S. </w:t>
      </w:r>
      <w:r>
        <w:rPr>
          <w:rFonts w:ascii="Arial" w:hAnsi="Arial" w:cs="Arial"/>
          <w:i/>
          <w:iCs/>
          <w:lang w:val="en-GB"/>
        </w:rPr>
        <w:t>Forbes</w:t>
      </w:r>
      <w:r>
        <w:rPr>
          <w:rFonts w:ascii="Arial" w:hAnsi="Arial" w:cs="Arial"/>
          <w:lang w:val="en-GB"/>
        </w:rPr>
        <w:t xml:space="preserve">. [online] 15 Apr. Available at: </w:t>
      </w:r>
      <w:r>
        <w:fldChar w:fldCharType="begin"/>
      </w:r>
      <w:r>
        <w:instrText xml:space="preserve"> HYPERLINK "https://www.forbes.com/sites/markfaithfull/2026/04/15/first-look-at-new-aldi-format-set-to-rollout-across-the-us/" </w:instrText>
      </w:r>
      <w:r>
        <w:fldChar w:fldCharType="separate"/>
      </w:r>
      <w:r>
        <w:rPr>
          <w:rStyle w:val="15"/>
          <w:rFonts w:ascii="Arial" w:hAnsi="Arial" w:cs="Arial"/>
          <w:lang w:val="en-GB"/>
        </w:rPr>
        <w:t>https://www.forbes.com/sites/markfaithfull/2026/04/15/first-look-at-new-aldi-format-set-to-rollout-across-the-us/</w:t>
      </w:r>
      <w:r>
        <w:rPr>
          <w:rStyle w:val="15"/>
          <w:rFonts w:ascii="Arial" w:hAnsi="Arial" w:cs="Arial"/>
          <w:lang w:val="en-GB"/>
        </w:rPr>
        <w:fldChar w:fldCharType="end"/>
      </w:r>
      <w:r>
        <w:rPr>
          <w:rFonts w:ascii="Arial" w:hAnsi="Arial" w:cs="Arial"/>
          <w:lang w:val="en-GB"/>
        </w:rPr>
        <w:t xml:space="preserve"> [Accessed 10 Aug. 2026].</w:t>
      </w:r>
    </w:p>
    <w:p w14:paraId="602F30AB">
      <w:pPr>
        <w:spacing w:line="360" w:lineRule="auto"/>
        <w:jc w:val="both"/>
        <w:rPr>
          <w:rFonts w:ascii="Arial" w:hAnsi="Arial" w:cs="Arial"/>
          <w:lang w:val="en-GB"/>
        </w:rPr>
      </w:pPr>
      <w:r>
        <w:rPr>
          <w:rFonts w:ascii="Arial" w:hAnsi="Arial" w:cs="Arial"/>
          <w:lang w:val="en-GB"/>
        </w:rPr>
        <w:t xml:space="preserve">Geyskens, Deleersnyder, Dekimpe and Lin (2023). Do consumers benefit from national-brand listings by hard discounters? </w:t>
      </w:r>
      <w:r>
        <w:rPr>
          <w:rFonts w:ascii="Arial" w:hAnsi="Arial" w:cs="Arial"/>
          <w:i/>
          <w:iCs/>
          <w:lang w:val="en-GB"/>
        </w:rPr>
        <w:t>ResearchGate</w:t>
      </w:r>
      <w:r>
        <w:rPr>
          <w:rFonts w:ascii="Arial" w:hAnsi="Arial" w:cs="Arial"/>
          <w:lang w:val="en-GB"/>
        </w:rPr>
        <w:t>. [online] doi:10.1007\/s11747-023-00937-3.</w:t>
      </w:r>
    </w:p>
    <w:p w14:paraId="0D6AE6D1">
      <w:pPr>
        <w:spacing w:line="360" w:lineRule="auto"/>
        <w:jc w:val="both"/>
        <w:rPr>
          <w:rFonts w:ascii="Arial" w:hAnsi="Arial" w:cs="Arial"/>
          <w:lang w:val="en-GB"/>
        </w:rPr>
      </w:pPr>
      <w:r>
        <w:rPr>
          <w:rFonts w:ascii="Arial" w:hAnsi="Arial" w:cs="Arial"/>
          <w:lang w:val="en-GB"/>
        </w:rPr>
        <w:t xml:space="preserve">Goodman-Smith, F., Mirosa, M. and Skeaff, S. (2020). A mixed-methods study of retail food waste in New Zealand. </w:t>
      </w:r>
      <w:r>
        <w:rPr>
          <w:rFonts w:ascii="Arial" w:hAnsi="Arial" w:cs="Arial"/>
          <w:i/>
          <w:iCs/>
          <w:lang w:val="en-GB"/>
        </w:rPr>
        <w:t>Food Policy</w:t>
      </w:r>
      <w:r>
        <w:rPr>
          <w:rFonts w:ascii="Arial" w:hAnsi="Arial" w:cs="Arial"/>
          <w:lang w:val="en-GB"/>
        </w:rPr>
        <w:t>, 92, p.101845. doi:10.1016/j.foodpol.2020.101845.</w:t>
      </w:r>
    </w:p>
    <w:p w14:paraId="59259978">
      <w:pPr>
        <w:spacing w:line="360" w:lineRule="auto"/>
        <w:jc w:val="both"/>
        <w:rPr>
          <w:rFonts w:ascii="Arial" w:hAnsi="Arial" w:cs="Arial"/>
          <w:lang w:val="en-GB"/>
        </w:rPr>
      </w:pPr>
      <w:r>
        <w:rPr>
          <w:rFonts w:ascii="Arial" w:hAnsi="Arial" w:cs="Arial"/>
          <w:lang w:val="en-GB"/>
        </w:rPr>
        <w:t xml:space="preserve">Holpuch, A. (2023). Aldi to buy 400 Winn-Dixie and Harveys Supermarket Stores. </w:t>
      </w:r>
      <w:r>
        <w:rPr>
          <w:rFonts w:ascii="Arial" w:hAnsi="Arial" w:cs="Arial"/>
          <w:i/>
          <w:iCs/>
          <w:lang w:val="en-GB"/>
        </w:rPr>
        <w:t>The New York Times</w:t>
      </w:r>
      <w:r>
        <w:rPr>
          <w:rFonts w:ascii="Arial" w:hAnsi="Arial" w:cs="Arial"/>
          <w:lang w:val="en-GB"/>
        </w:rPr>
        <w:t xml:space="preserve">. [online] 17 Aug. Available at: </w:t>
      </w:r>
      <w:r>
        <w:fldChar w:fldCharType="begin"/>
      </w:r>
      <w:r>
        <w:instrText xml:space="preserve"> HYPERLINK "https://www.nytimes.com/2023/08/17/business/aldi-winn-dixie-harveys-acquisition.html" </w:instrText>
      </w:r>
      <w:r>
        <w:fldChar w:fldCharType="separate"/>
      </w:r>
      <w:r>
        <w:rPr>
          <w:rStyle w:val="15"/>
          <w:rFonts w:ascii="Arial" w:hAnsi="Arial" w:cs="Arial"/>
          <w:lang w:val="en-GB"/>
        </w:rPr>
        <w:t>https://www.nytimes.com/2023/08/17/business/aldi-winn-dixie-harveys-acquisition.html</w:t>
      </w:r>
      <w:r>
        <w:rPr>
          <w:rStyle w:val="15"/>
          <w:rFonts w:ascii="Arial" w:hAnsi="Arial" w:cs="Arial"/>
          <w:lang w:val="en-GB"/>
        </w:rPr>
        <w:fldChar w:fldCharType="end"/>
      </w:r>
      <w:r>
        <w:rPr>
          <w:rFonts w:ascii="Arial" w:hAnsi="Arial" w:cs="Arial"/>
          <w:lang w:val="en-GB"/>
        </w:rPr>
        <w:t xml:space="preserve"> [Accessed 10 Aug. 2026].</w:t>
      </w:r>
    </w:p>
    <w:p w14:paraId="127D7D9E">
      <w:pPr>
        <w:spacing w:line="360" w:lineRule="auto"/>
        <w:jc w:val="both"/>
        <w:rPr>
          <w:rFonts w:ascii="Arial" w:hAnsi="Arial" w:cs="Arial"/>
          <w:lang w:val="en-GB"/>
        </w:rPr>
      </w:pPr>
      <w:r>
        <w:rPr>
          <w:rFonts w:ascii="Arial" w:hAnsi="Arial" w:cs="Arial"/>
          <w:lang w:val="en-GB"/>
        </w:rPr>
        <w:t xml:space="preserve">Johnston, K. (2026). </w:t>
      </w:r>
      <w:r>
        <w:rPr>
          <w:rFonts w:ascii="Arial" w:hAnsi="Arial" w:cs="Arial"/>
          <w:i/>
          <w:iCs/>
          <w:lang w:val="en-GB"/>
        </w:rPr>
        <w:t>Why the government backed away from breaking up supermarkets</w:t>
      </w:r>
      <w:r>
        <w:rPr>
          <w:rFonts w:ascii="Arial" w:hAnsi="Arial" w:cs="Arial"/>
          <w:lang w:val="en-GB"/>
        </w:rPr>
        <w:t xml:space="preserve">. [online] RNZ. Available at: </w:t>
      </w:r>
      <w:r>
        <w:fldChar w:fldCharType="begin"/>
      </w:r>
      <w:r>
        <w:instrText xml:space="preserve"> HYPERLINK "https://www.rnz.co.nz/news/politics/589872/why-the-government-backed-away-from-breaking-up-supermarkets" </w:instrText>
      </w:r>
      <w:r>
        <w:fldChar w:fldCharType="separate"/>
      </w:r>
      <w:r>
        <w:rPr>
          <w:rStyle w:val="15"/>
          <w:rFonts w:ascii="Arial" w:hAnsi="Arial" w:cs="Arial"/>
          <w:lang w:val="en-GB"/>
        </w:rPr>
        <w:t>https://www.rnz.co.nz/news/politics/589872/why-the-government-backed-away-from-breaking-up-supermarkets</w:t>
      </w:r>
      <w:r>
        <w:rPr>
          <w:rStyle w:val="15"/>
          <w:rFonts w:ascii="Arial" w:hAnsi="Arial" w:cs="Arial"/>
          <w:lang w:val="en-GB"/>
        </w:rPr>
        <w:fldChar w:fldCharType="end"/>
      </w:r>
      <w:r>
        <w:rPr>
          <w:rFonts w:ascii="Arial" w:hAnsi="Arial" w:cs="Arial"/>
          <w:lang w:val="en-GB"/>
        </w:rPr>
        <w:t xml:space="preserve"> [Accessed 10 Aug. 2026].</w:t>
      </w:r>
    </w:p>
    <w:p w14:paraId="7348D4E3">
      <w:pPr>
        <w:spacing w:line="360" w:lineRule="auto"/>
        <w:jc w:val="both"/>
        <w:rPr>
          <w:rFonts w:ascii="Arial" w:hAnsi="Arial" w:cs="Arial"/>
          <w:lang w:val="en-GB"/>
        </w:rPr>
      </w:pPr>
      <w:r>
        <w:rPr>
          <w:rFonts w:ascii="Arial" w:hAnsi="Arial" w:cs="Arial"/>
          <w:lang w:val="en-GB"/>
        </w:rPr>
        <w:t xml:space="preserve">Land Information NZ (2023). </w:t>
      </w:r>
      <w:r>
        <w:rPr>
          <w:rFonts w:ascii="Arial" w:hAnsi="Arial" w:cs="Arial"/>
          <w:i/>
          <w:iCs/>
          <w:lang w:val="en-GB"/>
        </w:rPr>
        <w:t>Reform of the overseas investment act</w:t>
      </w:r>
      <w:r>
        <w:rPr>
          <w:rFonts w:ascii="Arial" w:hAnsi="Arial" w:cs="Arial"/>
          <w:lang w:val="en-GB"/>
        </w:rPr>
        <w:t xml:space="preserve">. [online] </w:t>
      </w:r>
      <w:r>
        <w:rPr>
          <w:rFonts w:ascii="Arial" w:hAnsi="Arial" w:cs="Arial"/>
          <w:i/>
          <w:iCs/>
          <w:lang w:val="en-GB"/>
        </w:rPr>
        <w:t>Toitū Te Whenua - Land Information New Zealand</w:t>
      </w:r>
      <w:r>
        <w:rPr>
          <w:rFonts w:ascii="Arial" w:hAnsi="Arial" w:cs="Arial"/>
          <w:lang w:val="en-GB"/>
        </w:rPr>
        <w:t xml:space="preserve">. Available at: </w:t>
      </w:r>
      <w:r>
        <w:fldChar w:fldCharType="begin"/>
      </w:r>
      <w:r>
        <w:instrText xml:space="preserve"> HYPERLINK "https://www.linz.govt.nz/our-work/overseas-investment-regulation/reform-overseas-investment-act" </w:instrText>
      </w:r>
      <w:r>
        <w:fldChar w:fldCharType="separate"/>
      </w:r>
      <w:r>
        <w:rPr>
          <w:rStyle w:val="15"/>
          <w:rFonts w:ascii="Arial" w:hAnsi="Arial" w:cs="Arial"/>
          <w:lang w:val="en-GB"/>
        </w:rPr>
        <w:t>https://www.linz.govt.nz/our-work/overseas-investment-regulation/reform-overseas-investment-act</w:t>
      </w:r>
      <w:r>
        <w:rPr>
          <w:rStyle w:val="15"/>
          <w:rFonts w:ascii="Arial" w:hAnsi="Arial" w:cs="Arial"/>
          <w:lang w:val="en-GB"/>
        </w:rPr>
        <w:fldChar w:fldCharType="end"/>
      </w:r>
      <w:r>
        <w:rPr>
          <w:rFonts w:ascii="Arial" w:hAnsi="Arial" w:cs="Arial"/>
          <w:lang w:val="en-GB"/>
        </w:rPr>
        <w:t xml:space="preserve"> [Accessed 10 Aug. 2026].</w:t>
      </w:r>
    </w:p>
    <w:p w14:paraId="4C1BF509">
      <w:pPr>
        <w:spacing w:line="360" w:lineRule="auto"/>
        <w:jc w:val="both"/>
        <w:rPr>
          <w:rFonts w:ascii="Arial" w:hAnsi="Arial" w:cs="Arial"/>
          <w:lang w:val="en-GB"/>
        </w:rPr>
      </w:pPr>
      <w:r>
        <w:rPr>
          <w:rFonts w:ascii="Arial" w:hAnsi="Arial" w:cs="Arial"/>
          <w:lang w:val="en-GB"/>
        </w:rPr>
        <w:t xml:space="preserve">Meyersohn, N. (2019). </w:t>
      </w:r>
      <w:r>
        <w:rPr>
          <w:rFonts w:ascii="Arial" w:hAnsi="Arial" w:cs="Arial"/>
          <w:i/>
          <w:iCs/>
          <w:lang w:val="en-GB"/>
        </w:rPr>
        <w:t>How a cheap, brutally efficient grocery chain is upending America’s supermarkets</w:t>
      </w:r>
      <w:r>
        <w:rPr>
          <w:rFonts w:ascii="Arial" w:hAnsi="Arial" w:cs="Arial"/>
          <w:lang w:val="en-GB"/>
        </w:rPr>
        <w:t xml:space="preserve">. [online] </w:t>
      </w:r>
      <w:r>
        <w:rPr>
          <w:rFonts w:ascii="Arial" w:hAnsi="Arial" w:cs="Arial"/>
          <w:i/>
          <w:iCs/>
          <w:lang w:val="en-GB"/>
        </w:rPr>
        <w:t>Cnn.com</w:t>
      </w:r>
      <w:r>
        <w:rPr>
          <w:rFonts w:ascii="Arial" w:hAnsi="Arial" w:cs="Arial"/>
          <w:lang w:val="en-GB"/>
        </w:rPr>
        <w:t xml:space="preserve">. CNN. Available at: </w:t>
      </w:r>
      <w:r>
        <w:fldChar w:fldCharType="begin"/>
      </w:r>
      <w:r>
        <w:instrText xml:space="preserve"> HYPERLINK "https://edition.cnn.com/interactive/2019/05/business/aldi-walmart-low-food-prices/index.html" </w:instrText>
      </w:r>
      <w:r>
        <w:fldChar w:fldCharType="separate"/>
      </w:r>
      <w:r>
        <w:rPr>
          <w:rStyle w:val="15"/>
          <w:rFonts w:ascii="Arial" w:hAnsi="Arial" w:cs="Arial"/>
          <w:lang w:val="en-GB"/>
        </w:rPr>
        <w:t>https://edition.cnn.com/interactive/2019/05/business/aldi-walmart-low-food-prices/index.html</w:t>
      </w:r>
      <w:r>
        <w:rPr>
          <w:rStyle w:val="15"/>
          <w:rFonts w:ascii="Arial" w:hAnsi="Arial" w:cs="Arial"/>
          <w:lang w:val="en-GB"/>
        </w:rPr>
        <w:fldChar w:fldCharType="end"/>
      </w:r>
      <w:r>
        <w:rPr>
          <w:rFonts w:ascii="Arial" w:hAnsi="Arial" w:cs="Arial"/>
          <w:lang w:val="en-GB"/>
        </w:rPr>
        <w:t xml:space="preserve"> [Accessed 10 Aug. 2026].</w:t>
      </w:r>
    </w:p>
    <w:p w14:paraId="67943BC0">
      <w:pPr>
        <w:spacing w:line="360" w:lineRule="auto"/>
        <w:jc w:val="both"/>
        <w:rPr>
          <w:rFonts w:ascii="Arial" w:hAnsi="Arial" w:cs="Arial"/>
          <w:lang w:val="en-GB"/>
        </w:rPr>
      </w:pPr>
      <w:r>
        <w:rPr>
          <w:rFonts w:ascii="Arial" w:hAnsi="Arial" w:cs="Arial"/>
          <w:lang w:val="en-GB"/>
        </w:rPr>
        <w:t xml:space="preserve">Ministry for Cities, Environment, Regions &amp; Transport (2025). </w:t>
      </w:r>
      <w:r>
        <w:rPr>
          <w:rFonts w:ascii="Arial" w:hAnsi="Arial" w:cs="Arial"/>
          <w:i/>
          <w:iCs/>
          <w:lang w:val="en-GB"/>
        </w:rPr>
        <w:t>Waste minimisation (plastic and related products) amendment regulations 2025</w:t>
      </w:r>
      <w:r>
        <w:rPr>
          <w:rFonts w:ascii="Arial" w:hAnsi="Arial" w:cs="Arial"/>
          <w:lang w:val="en-GB"/>
        </w:rPr>
        <w:t xml:space="preserve">. [online] </w:t>
      </w:r>
      <w:r>
        <w:rPr>
          <w:rFonts w:ascii="Arial" w:hAnsi="Arial" w:cs="Arial"/>
          <w:i/>
          <w:iCs/>
          <w:lang w:val="en-GB"/>
        </w:rPr>
        <w:t>Ministry for the Environment</w:t>
      </w:r>
      <w:r>
        <w:rPr>
          <w:rFonts w:ascii="Arial" w:hAnsi="Arial" w:cs="Arial"/>
          <w:lang w:val="en-GB"/>
        </w:rPr>
        <w:t xml:space="preserve">. Available at: </w:t>
      </w:r>
      <w:r>
        <w:fldChar w:fldCharType="begin"/>
      </w:r>
      <w:r>
        <w:instrText xml:space="preserve"> HYPERLINK "https://environment.govt.nz/what-government-is-doing/cabinet-papers-and-regulatory-impact-statements/waste-minimisation-plastic-and-related-products-amendment-regulations-2025/" </w:instrText>
      </w:r>
      <w:r>
        <w:fldChar w:fldCharType="separate"/>
      </w:r>
      <w:r>
        <w:rPr>
          <w:rStyle w:val="15"/>
          <w:rFonts w:ascii="Arial" w:hAnsi="Arial" w:cs="Arial"/>
          <w:lang w:val="en-GB"/>
        </w:rPr>
        <w:t>https://environment.govt.nz/what-government-is-doing/cabinet-papers-and-regulatory-impact-statements/waste-minimisation-plastic-and-related-products-amendment-regulations-2025/</w:t>
      </w:r>
      <w:r>
        <w:rPr>
          <w:rStyle w:val="15"/>
          <w:rFonts w:ascii="Arial" w:hAnsi="Arial" w:cs="Arial"/>
          <w:lang w:val="en-GB"/>
        </w:rPr>
        <w:fldChar w:fldCharType="end"/>
      </w:r>
      <w:r>
        <w:rPr>
          <w:rFonts w:ascii="Arial" w:hAnsi="Arial" w:cs="Arial"/>
          <w:lang w:val="en-GB"/>
        </w:rPr>
        <w:t xml:space="preserve"> [Accessed 10 Aug. 2026].</w:t>
      </w:r>
    </w:p>
    <w:p w14:paraId="3CC51AA7">
      <w:pPr>
        <w:spacing w:line="360" w:lineRule="auto"/>
        <w:jc w:val="both"/>
        <w:rPr>
          <w:rFonts w:ascii="Arial" w:hAnsi="Arial" w:cs="Arial"/>
          <w:lang w:val="en-GB"/>
        </w:rPr>
      </w:pPr>
      <w:r>
        <w:rPr>
          <w:rFonts w:ascii="Arial" w:hAnsi="Arial" w:cs="Arial"/>
          <w:lang w:val="en-GB"/>
        </w:rPr>
        <w:t xml:space="preserve">Ministry for Primary Industries (2026). </w:t>
      </w:r>
      <w:r>
        <w:rPr>
          <w:rFonts w:ascii="Arial" w:hAnsi="Arial" w:cs="Arial"/>
          <w:i/>
          <w:iCs/>
          <w:lang w:val="en-GB"/>
        </w:rPr>
        <w:t>New report highlights food safety system at work | NZ government</w:t>
      </w:r>
      <w:r>
        <w:rPr>
          <w:rFonts w:ascii="Arial" w:hAnsi="Arial" w:cs="Arial"/>
          <w:lang w:val="en-GB"/>
        </w:rPr>
        <w:t xml:space="preserve">. [online] MPI_NZ. Available at: </w:t>
      </w:r>
      <w:r>
        <w:fldChar w:fldCharType="begin"/>
      </w:r>
      <w:r>
        <w:instrText xml:space="preserve"> HYPERLINK "https://www.mpi.govt.nz/news/media-releases/new-report-highlights-food-safety-system-at-work-2026" </w:instrText>
      </w:r>
      <w:r>
        <w:fldChar w:fldCharType="separate"/>
      </w:r>
      <w:r>
        <w:rPr>
          <w:rStyle w:val="15"/>
          <w:rFonts w:ascii="Arial" w:hAnsi="Arial" w:cs="Arial"/>
          <w:lang w:val="en-GB"/>
        </w:rPr>
        <w:t>https://www.mpi.govt.nz/news/media-releases/new-report-highlights-food-safety-system-at-work-2026</w:t>
      </w:r>
      <w:r>
        <w:rPr>
          <w:rStyle w:val="15"/>
          <w:rFonts w:ascii="Arial" w:hAnsi="Arial" w:cs="Arial"/>
          <w:lang w:val="en-GB"/>
        </w:rPr>
        <w:fldChar w:fldCharType="end"/>
      </w:r>
      <w:r>
        <w:rPr>
          <w:rFonts w:ascii="Arial" w:hAnsi="Arial" w:cs="Arial"/>
          <w:lang w:val="en-GB"/>
        </w:rPr>
        <w:t xml:space="preserve"> [Accessed 10 Aug. 2026].</w:t>
      </w:r>
    </w:p>
    <w:p w14:paraId="709C53B4">
      <w:pPr>
        <w:spacing w:line="360" w:lineRule="auto"/>
        <w:jc w:val="both"/>
        <w:rPr>
          <w:rFonts w:ascii="Arial" w:hAnsi="Arial" w:cs="Arial"/>
          <w:lang w:val="en-GB"/>
        </w:rPr>
      </w:pPr>
      <w:r>
        <w:rPr>
          <w:rFonts w:ascii="Arial" w:hAnsi="Arial" w:cs="Arial"/>
          <w:lang w:val="en-GB"/>
        </w:rPr>
        <w:t xml:space="preserve">New Zealand Gazette (2025). </w:t>
      </w:r>
      <w:r>
        <w:rPr>
          <w:rFonts w:ascii="Arial" w:hAnsi="Arial" w:cs="Arial"/>
          <w:i/>
          <w:iCs/>
          <w:lang w:val="en-GB"/>
        </w:rPr>
        <w:t>Government Policy Statement on Grocery Competition</w:t>
      </w:r>
      <w:r>
        <w:rPr>
          <w:rFonts w:ascii="Arial" w:hAnsi="Arial" w:cs="Arial"/>
          <w:lang w:val="en-GB"/>
        </w:rPr>
        <w:t xml:space="preserve">. [online] Available at: </w:t>
      </w:r>
      <w:r>
        <w:fldChar w:fldCharType="begin"/>
      </w:r>
      <w:r>
        <w:instrText xml:space="preserve"> HYPERLINK "https://www.fasttrack.govt.nz/__data/assets/pdf_file/0015/17601/Gazette-notice-2025-sl7268-Government-Policy-Statement-on-Grocery-Competition.pdf" </w:instrText>
      </w:r>
      <w:r>
        <w:fldChar w:fldCharType="separate"/>
      </w:r>
      <w:r>
        <w:rPr>
          <w:rStyle w:val="15"/>
          <w:rFonts w:ascii="Arial" w:hAnsi="Arial" w:cs="Arial"/>
          <w:lang w:val="en-GB"/>
        </w:rPr>
        <w:t>https://www.fasttrack.govt.nz/__data/assets/pdf_file/0015/17601/Gazette-notice-2025-sl7268-Government-Policy-Statement-on-Grocery-Competition.pdf</w:t>
      </w:r>
      <w:r>
        <w:rPr>
          <w:rStyle w:val="15"/>
          <w:rFonts w:ascii="Arial" w:hAnsi="Arial" w:cs="Arial"/>
          <w:lang w:val="en-GB"/>
        </w:rPr>
        <w:fldChar w:fldCharType="end"/>
      </w:r>
      <w:r>
        <w:rPr>
          <w:rFonts w:ascii="Arial" w:hAnsi="Arial" w:cs="Arial"/>
          <w:lang w:val="en-GB"/>
        </w:rPr>
        <w:t xml:space="preserve">. </w:t>
      </w:r>
    </w:p>
    <w:p w14:paraId="384414D4">
      <w:pPr>
        <w:spacing w:line="360" w:lineRule="auto"/>
        <w:jc w:val="both"/>
        <w:rPr>
          <w:rFonts w:ascii="Arial" w:hAnsi="Arial" w:cs="Arial"/>
          <w:lang w:val="en-GB"/>
        </w:rPr>
      </w:pPr>
      <w:r>
        <w:rPr>
          <w:rFonts w:ascii="Arial" w:hAnsi="Arial" w:cs="Arial"/>
          <w:lang w:val="en-GB"/>
        </w:rPr>
        <w:t xml:space="preserve">New Zealand Ministry of Foreign Affairs and Trade (2024). </w:t>
      </w:r>
      <w:r>
        <w:rPr>
          <w:rFonts w:ascii="Arial" w:hAnsi="Arial" w:cs="Arial"/>
          <w:i/>
          <w:iCs/>
          <w:lang w:val="en-GB"/>
        </w:rPr>
        <w:t>Closer economic relations (CER)</w:t>
      </w:r>
      <w:r>
        <w:rPr>
          <w:rFonts w:ascii="Arial" w:hAnsi="Arial" w:cs="Arial"/>
          <w:lang w:val="en-GB"/>
        </w:rPr>
        <w:t xml:space="preserve">. [online] New Zealand Ministry of Foreign Affairs and Trade. Available at: </w:t>
      </w:r>
      <w:r>
        <w:fldChar w:fldCharType="begin"/>
      </w:r>
      <w:r>
        <w:instrText xml:space="preserve"> HYPERLINK "http://mfat.govt.nz/en/trade/free-trade-agreements/free-trade-agreements-in-force/nz-australia-closer-economic-relations-cer/cer-overview" </w:instrText>
      </w:r>
      <w:r>
        <w:fldChar w:fldCharType="separate"/>
      </w:r>
      <w:r>
        <w:rPr>
          <w:rStyle w:val="15"/>
          <w:rFonts w:ascii="Arial" w:hAnsi="Arial" w:cs="Arial"/>
          <w:lang w:val="en-GB"/>
        </w:rPr>
        <w:t>http://mfat.govt.nz/en/trade/free-trade-agreements/free-trade-agreements-in-force/nz-australia-closer-economic-relations-cer/cer-overview</w:t>
      </w:r>
      <w:r>
        <w:rPr>
          <w:rStyle w:val="15"/>
          <w:rFonts w:ascii="Arial" w:hAnsi="Arial" w:cs="Arial"/>
          <w:lang w:val="en-GB"/>
        </w:rPr>
        <w:fldChar w:fldCharType="end"/>
      </w:r>
      <w:r>
        <w:rPr>
          <w:rFonts w:ascii="Arial" w:hAnsi="Arial" w:cs="Arial"/>
          <w:lang w:val="en-GB"/>
        </w:rPr>
        <w:t xml:space="preserve"> [Accessed 10 Aug. 2026].</w:t>
      </w:r>
    </w:p>
    <w:p w14:paraId="26DFED59">
      <w:pPr>
        <w:spacing w:line="360" w:lineRule="auto"/>
        <w:jc w:val="both"/>
        <w:rPr>
          <w:rFonts w:ascii="Arial" w:hAnsi="Arial" w:cs="Arial"/>
          <w:lang w:val="en-GB"/>
        </w:rPr>
      </w:pPr>
      <w:r>
        <w:rPr>
          <w:rFonts w:ascii="Arial" w:hAnsi="Arial" w:cs="Arial"/>
          <w:lang w:val="en-GB"/>
        </w:rPr>
        <w:t xml:space="preserve">OCED (2024). </w:t>
      </w:r>
      <w:r>
        <w:rPr>
          <w:rFonts w:ascii="Arial" w:hAnsi="Arial" w:cs="Arial"/>
          <w:i/>
          <w:iCs/>
          <w:lang w:val="en-GB"/>
        </w:rPr>
        <w:t>Revamping competition: OECD economic surveys: New Zealand 2024</w:t>
      </w:r>
      <w:r>
        <w:rPr>
          <w:rFonts w:ascii="Arial" w:hAnsi="Arial" w:cs="Arial"/>
          <w:lang w:val="en-GB"/>
        </w:rPr>
        <w:t xml:space="preserve">. [online] </w:t>
      </w:r>
      <w:r>
        <w:rPr>
          <w:rFonts w:ascii="Arial" w:hAnsi="Arial" w:cs="Arial"/>
          <w:i/>
          <w:iCs/>
          <w:lang w:val="en-GB"/>
        </w:rPr>
        <w:t>OECD</w:t>
      </w:r>
      <w:r>
        <w:rPr>
          <w:rFonts w:ascii="Arial" w:hAnsi="Arial" w:cs="Arial"/>
          <w:lang w:val="en-GB"/>
        </w:rPr>
        <w:t xml:space="preserve">. Available at: </w:t>
      </w:r>
      <w:r>
        <w:fldChar w:fldCharType="begin"/>
      </w:r>
      <w:r>
        <w:instrText xml:space="preserve"> HYPERLINK "https://www.oecd.org/en/publications/oecd-economic-surveys-new-zealand-2024_603809f2-en/full-report/revamping-competition_cfcdb3a5.html" </w:instrText>
      </w:r>
      <w:r>
        <w:fldChar w:fldCharType="separate"/>
      </w:r>
      <w:r>
        <w:rPr>
          <w:rStyle w:val="15"/>
          <w:rFonts w:ascii="Arial" w:hAnsi="Arial" w:cs="Arial"/>
          <w:lang w:val="en-GB"/>
        </w:rPr>
        <w:t>https://www.oecd.org/en/publications/oecd-economic-surveys-new-zealand-2024_603809f2-en/full-report/revamping-competition_cfcdb3a5.html</w:t>
      </w:r>
      <w:r>
        <w:rPr>
          <w:rStyle w:val="15"/>
          <w:rFonts w:ascii="Arial" w:hAnsi="Arial" w:cs="Arial"/>
          <w:lang w:val="en-GB"/>
        </w:rPr>
        <w:fldChar w:fldCharType="end"/>
      </w:r>
      <w:r>
        <w:rPr>
          <w:rFonts w:ascii="Arial" w:hAnsi="Arial" w:cs="Arial"/>
          <w:lang w:val="en-GB"/>
        </w:rPr>
        <w:t xml:space="preserve"> [Accessed 10 Aug. 2026].</w:t>
      </w:r>
    </w:p>
    <w:p w14:paraId="77A12B1F">
      <w:pPr>
        <w:spacing w:line="360" w:lineRule="auto"/>
        <w:jc w:val="both"/>
        <w:rPr>
          <w:rFonts w:ascii="Arial" w:hAnsi="Arial" w:cs="Arial"/>
          <w:lang w:val="en-GB"/>
        </w:rPr>
      </w:pPr>
      <w:r>
        <w:rPr>
          <w:rFonts w:ascii="Arial" w:hAnsi="Arial" w:cs="Arial"/>
          <w:lang w:val="en-GB"/>
        </w:rPr>
        <w:t xml:space="preserve">OCED (2026). </w:t>
      </w:r>
      <w:r>
        <w:rPr>
          <w:rFonts w:ascii="Arial" w:hAnsi="Arial" w:cs="Arial"/>
          <w:i/>
          <w:iCs/>
          <w:lang w:val="en-GB"/>
        </w:rPr>
        <w:t>Executive summary: OECD economic surveys: New Zealand 2026</w:t>
      </w:r>
      <w:r>
        <w:rPr>
          <w:rFonts w:ascii="Arial" w:hAnsi="Arial" w:cs="Arial"/>
          <w:lang w:val="en-GB"/>
        </w:rPr>
        <w:t xml:space="preserve">. [online] OECD. Available at: </w:t>
      </w:r>
      <w:r>
        <w:fldChar w:fldCharType="begin"/>
      </w:r>
      <w:r>
        <w:instrText xml:space="preserve"> HYPERLINK "https://www.oecd.org/en/publications/oecd-economic-surveys-new-zealand-2026_3ec5de98-en/full-report/executive-summary_63e90ec6.html" </w:instrText>
      </w:r>
      <w:r>
        <w:fldChar w:fldCharType="separate"/>
      </w:r>
      <w:r>
        <w:rPr>
          <w:rStyle w:val="15"/>
          <w:rFonts w:ascii="Arial" w:hAnsi="Arial" w:cs="Arial"/>
          <w:lang w:val="en-GB"/>
        </w:rPr>
        <w:t>https://www.oecd.org/en/publications/oecd-economic-surveys-new-zealand-2026_3ec5de98-en/full-report/executive-summary_63e90ec6.html</w:t>
      </w:r>
      <w:r>
        <w:rPr>
          <w:rStyle w:val="15"/>
          <w:rFonts w:ascii="Arial" w:hAnsi="Arial" w:cs="Arial"/>
          <w:lang w:val="en-GB"/>
        </w:rPr>
        <w:fldChar w:fldCharType="end"/>
      </w:r>
      <w:r>
        <w:rPr>
          <w:rFonts w:ascii="Arial" w:hAnsi="Arial" w:cs="Arial"/>
          <w:lang w:val="en-GB"/>
        </w:rPr>
        <w:t xml:space="preserve"> [Accessed 10 Aug. 2026].</w:t>
      </w:r>
    </w:p>
    <w:p w14:paraId="7D004283">
      <w:pPr>
        <w:spacing w:line="360" w:lineRule="auto"/>
        <w:jc w:val="both"/>
        <w:rPr>
          <w:rFonts w:ascii="Arial" w:hAnsi="Arial" w:cs="Arial"/>
          <w:lang w:val="en-GB"/>
        </w:rPr>
      </w:pPr>
      <w:r>
        <w:rPr>
          <w:rFonts w:ascii="Arial" w:hAnsi="Arial" w:cs="Arial"/>
          <w:lang w:val="en-GB"/>
        </w:rPr>
        <w:t xml:space="preserve">Pearson, M. (2026). </w:t>
      </w:r>
      <w:r>
        <w:rPr>
          <w:rFonts w:ascii="Arial" w:hAnsi="Arial" w:cs="Arial"/>
          <w:i/>
          <w:iCs/>
          <w:lang w:val="en-GB"/>
        </w:rPr>
        <w:t>Aldi expansion plans in Europe</w:t>
      </w:r>
      <w:r>
        <w:rPr>
          <w:rFonts w:ascii="Arial" w:hAnsi="Arial" w:cs="Arial"/>
          <w:lang w:val="en-GB"/>
        </w:rPr>
        <w:t xml:space="preserve">. [online] Igd.com. Available at: </w:t>
      </w:r>
      <w:r>
        <w:fldChar w:fldCharType="begin"/>
      </w:r>
      <w:r>
        <w:instrText xml:space="preserve"> HYPERLINK "https://www.igd.com/commercial-insight/retail-analysis/retailers/aldi/articles/aldi-expansion-plans-in-europe/72676" </w:instrText>
      </w:r>
      <w:r>
        <w:fldChar w:fldCharType="separate"/>
      </w:r>
      <w:r>
        <w:rPr>
          <w:rStyle w:val="15"/>
          <w:rFonts w:ascii="Arial" w:hAnsi="Arial" w:cs="Arial"/>
          <w:lang w:val="en-GB"/>
        </w:rPr>
        <w:t>https://www.igd.com/commercial-insight/retail-analysis/retailers/aldi/articles/aldi-expansion-plans-in-europe/72676</w:t>
      </w:r>
      <w:r>
        <w:rPr>
          <w:rStyle w:val="15"/>
          <w:rFonts w:ascii="Arial" w:hAnsi="Arial" w:cs="Arial"/>
          <w:lang w:val="en-GB"/>
        </w:rPr>
        <w:fldChar w:fldCharType="end"/>
      </w:r>
      <w:r>
        <w:rPr>
          <w:rFonts w:ascii="Arial" w:hAnsi="Arial" w:cs="Arial"/>
          <w:lang w:val="en-GB"/>
        </w:rPr>
        <w:t xml:space="preserve"> [Accessed 10 Aug. 2026].</w:t>
      </w:r>
    </w:p>
    <w:p w14:paraId="0E049E58">
      <w:pPr>
        <w:spacing w:line="360" w:lineRule="auto"/>
        <w:jc w:val="both"/>
        <w:rPr>
          <w:rFonts w:ascii="Arial" w:hAnsi="Arial" w:cs="Arial"/>
          <w:lang w:val="en-GB"/>
        </w:rPr>
      </w:pPr>
      <w:r>
        <w:rPr>
          <w:rFonts w:ascii="Arial" w:hAnsi="Arial" w:cs="Arial"/>
          <w:lang w:val="en-GB"/>
        </w:rPr>
        <w:t xml:space="preserve">Rompaey, S. Van (2023). </w:t>
      </w:r>
      <w:r>
        <w:rPr>
          <w:rFonts w:ascii="Arial" w:hAnsi="Arial" w:cs="Arial"/>
          <w:i/>
          <w:iCs/>
          <w:lang w:val="en-GB"/>
        </w:rPr>
        <w:t>Aldi pumps hundreds of millions into French operations - RetailDetail EU</w:t>
      </w:r>
      <w:r>
        <w:rPr>
          <w:rFonts w:ascii="Arial" w:hAnsi="Arial" w:cs="Arial"/>
          <w:lang w:val="en-GB"/>
        </w:rPr>
        <w:t xml:space="preserve">. [online] </w:t>
      </w:r>
      <w:r>
        <w:rPr>
          <w:rFonts w:ascii="Arial" w:hAnsi="Arial" w:cs="Arial"/>
          <w:i/>
          <w:iCs/>
          <w:lang w:val="en-GB"/>
        </w:rPr>
        <w:t>RetailDetail EU</w:t>
      </w:r>
      <w:r>
        <w:rPr>
          <w:rFonts w:ascii="Arial" w:hAnsi="Arial" w:cs="Arial"/>
          <w:lang w:val="en-GB"/>
        </w:rPr>
        <w:t xml:space="preserve">. Available at: </w:t>
      </w:r>
      <w:r>
        <w:fldChar w:fldCharType="begin"/>
      </w:r>
      <w:r>
        <w:instrText xml:space="preserve"> HYPERLINK "https://www.retaildetail.eu/news/food/aldi-pumps-hundreds-of-millions-into-french-operations/" </w:instrText>
      </w:r>
      <w:r>
        <w:fldChar w:fldCharType="separate"/>
      </w:r>
      <w:r>
        <w:rPr>
          <w:rStyle w:val="15"/>
          <w:rFonts w:ascii="Arial" w:hAnsi="Arial" w:cs="Arial"/>
          <w:lang w:val="en-GB"/>
        </w:rPr>
        <w:t>https://www.retaildetail.eu/news/food/aldi-pumps-hundreds-of-millions-into-french-operations/</w:t>
      </w:r>
      <w:r>
        <w:rPr>
          <w:rStyle w:val="15"/>
          <w:rFonts w:ascii="Arial" w:hAnsi="Arial" w:cs="Arial"/>
          <w:lang w:val="en-GB"/>
        </w:rPr>
        <w:fldChar w:fldCharType="end"/>
      </w:r>
      <w:r>
        <w:rPr>
          <w:rFonts w:ascii="Arial" w:hAnsi="Arial" w:cs="Arial"/>
          <w:lang w:val="en-GB"/>
        </w:rPr>
        <w:t xml:space="preserve"> [Accessed 10 Aug. 2026].</w:t>
      </w:r>
    </w:p>
    <w:p w14:paraId="623B4818">
      <w:pPr>
        <w:spacing w:line="360" w:lineRule="auto"/>
        <w:jc w:val="both"/>
        <w:rPr>
          <w:rFonts w:ascii="Arial" w:hAnsi="Arial" w:cs="Arial"/>
          <w:lang w:val="en-GB"/>
        </w:rPr>
      </w:pPr>
      <w:r>
        <w:rPr>
          <w:rFonts w:ascii="Arial" w:hAnsi="Arial" w:cs="Arial"/>
          <w:lang w:val="en-GB"/>
        </w:rPr>
        <w:t xml:space="preserve">Searle, F. (2020). </w:t>
      </w:r>
      <w:r>
        <w:rPr>
          <w:rFonts w:ascii="Arial" w:hAnsi="Arial" w:cs="Arial"/>
          <w:i/>
          <w:iCs/>
          <w:lang w:val="en-GB"/>
        </w:rPr>
        <w:t>Aldi opens 900th UK store amid major expansion</w:t>
      </w:r>
      <w:r>
        <w:rPr>
          <w:rFonts w:ascii="Arial" w:hAnsi="Arial" w:cs="Arial"/>
          <w:lang w:val="en-GB"/>
        </w:rPr>
        <w:t xml:space="preserve">. [online] Fruitnet. Available at: </w:t>
      </w:r>
      <w:r>
        <w:fldChar w:fldCharType="begin"/>
      </w:r>
      <w:r>
        <w:instrText xml:space="preserve"> HYPERLINK "https://www.fruitnet.com/fresh-produce-journal/aldi-opens-900th-uk-store-amid-major-expansion/183315.article" </w:instrText>
      </w:r>
      <w:r>
        <w:fldChar w:fldCharType="separate"/>
      </w:r>
      <w:r>
        <w:rPr>
          <w:rStyle w:val="15"/>
          <w:rFonts w:ascii="Arial" w:hAnsi="Arial" w:cs="Arial"/>
          <w:lang w:val="en-GB"/>
        </w:rPr>
        <w:t>https://www.fruitnet.com/fresh-produce-journal/aldi-opens-900th-uk-store-amid-major-expansion/183315.article</w:t>
      </w:r>
      <w:r>
        <w:rPr>
          <w:rStyle w:val="15"/>
          <w:rFonts w:ascii="Arial" w:hAnsi="Arial" w:cs="Arial"/>
          <w:lang w:val="en-GB"/>
        </w:rPr>
        <w:fldChar w:fldCharType="end"/>
      </w:r>
      <w:r>
        <w:rPr>
          <w:rFonts w:ascii="Arial" w:hAnsi="Arial" w:cs="Arial"/>
          <w:lang w:val="en-GB"/>
        </w:rPr>
        <w:t xml:space="preserve"> [Accessed 10 Aug. 2026].</w:t>
      </w:r>
    </w:p>
    <w:p w14:paraId="1749AE6B">
      <w:pPr>
        <w:spacing w:line="360" w:lineRule="auto"/>
        <w:jc w:val="both"/>
        <w:rPr>
          <w:rFonts w:ascii="Arial" w:hAnsi="Arial" w:cs="Arial"/>
          <w:lang w:val="en-GB"/>
        </w:rPr>
      </w:pPr>
      <w:r>
        <w:rPr>
          <w:rFonts w:ascii="Arial" w:hAnsi="Arial" w:cs="Arial"/>
          <w:lang w:val="en-GB"/>
        </w:rPr>
        <w:t xml:space="preserve">Shirin Yazgulieva (2026). </w:t>
      </w:r>
      <w:r>
        <w:rPr>
          <w:rFonts w:ascii="Arial" w:hAnsi="Arial" w:cs="Arial"/>
          <w:i/>
          <w:iCs/>
          <w:lang w:val="en-GB"/>
        </w:rPr>
        <w:t>How hard discounters can build or damage national brand’s equity</w:t>
      </w:r>
      <w:r>
        <w:rPr>
          <w:rFonts w:ascii="Arial" w:hAnsi="Arial" w:cs="Arial"/>
          <w:lang w:val="en-GB"/>
        </w:rPr>
        <w:t xml:space="preserve">. [online] IJRM Newsletter. Available at: </w:t>
      </w:r>
      <w:r>
        <w:fldChar w:fldCharType="begin"/>
      </w:r>
      <w:r>
        <w:instrText xml:space="preserve"> HYPERLINK "https://www.ijrm-newsletter.com/post/how-hard-discounters-can-build-or-damage-national-brand-s-equity" </w:instrText>
      </w:r>
      <w:r>
        <w:fldChar w:fldCharType="separate"/>
      </w:r>
      <w:r>
        <w:rPr>
          <w:rStyle w:val="15"/>
          <w:rFonts w:ascii="Arial" w:hAnsi="Arial" w:cs="Arial"/>
          <w:lang w:val="en-GB"/>
        </w:rPr>
        <w:t>https://www.ijrm-newsletter.com/post/how-hard-discounters-can-build-or-damage-national-brand-s-equity</w:t>
      </w:r>
      <w:r>
        <w:rPr>
          <w:rStyle w:val="15"/>
          <w:rFonts w:ascii="Arial" w:hAnsi="Arial" w:cs="Arial"/>
          <w:lang w:val="en-GB"/>
        </w:rPr>
        <w:fldChar w:fldCharType="end"/>
      </w:r>
      <w:r>
        <w:rPr>
          <w:rFonts w:ascii="Arial" w:hAnsi="Arial" w:cs="Arial"/>
          <w:lang w:val="en-GB"/>
        </w:rPr>
        <w:t xml:space="preserve"> [Accessed 10 Aug. 2026].</w:t>
      </w:r>
    </w:p>
    <w:p w14:paraId="00B4EF5B">
      <w:pPr>
        <w:spacing w:line="360" w:lineRule="auto"/>
        <w:jc w:val="both"/>
        <w:rPr>
          <w:rFonts w:ascii="Arial" w:hAnsi="Arial" w:cs="Arial"/>
          <w:lang w:val="en-GB"/>
        </w:rPr>
      </w:pPr>
      <w:r>
        <w:rPr>
          <w:rFonts w:ascii="Arial" w:hAnsi="Arial" w:cs="Arial"/>
          <w:lang w:val="en-GB"/>
        </w:rPr>
        <w:t xml:space="preserve">Stats NZ (2026). </w:t>
      </w:r>
      <w:r>
        <w:rPr>
          <w:rFonts w:ascii="Arial" w:hAnsi="Arial" w:cs="Arial"/>
          <w:i/>
          <w:iCs/>
          <w:lang w:val="en-GB"/>
        </w:rPr>
        <w:t>Annual inflation at 4.1 percent in june 2026 | stats NZ</w:t>
      </w:r>
      <w:r>
        <w:rPr>
          <w:rFonts w:ascii="Arial" w:hAnsi="Arial" w:cs="Arial"/>
          <w:lang w:val="en-GB"/>
        </w:rPr>
        <w:t xml:space="preserve">. [online] Govt.nz. Available at: </w:t>
      </w:r>
      <w:r>
        <w:fldChar w:fldCharType="begin"/>
      </w:r>
      <w:r>
        <w:instrText xml:space="preserve"> HYPERLINK "https://www.stats.govt.nz/news/annual-inflation-at-4-1-percent-in-june-2026/" </w:instrText>
      </w:r>
      <w:r>
        <w:fldChar w:fldCharType="separate"/>
      </w:r>
      <w:r>
        <w:rPr>
          <w:rStyle w:val="15"/>
          <w:rFonts w:ascii="Arial" w:hAnsi="Arial" w:cs="Arial"/>
          <w:lang w:val="en-GB"/>
        </w:rPr>
        <w:t>https://www.stats.govt.nz/news/annual-inflation-at-4-1-percent-in-june-2026/</w:t>
      </w:r>
      <w:r>
        <w:rPr>
          <w:rStyle w:val="15"/>
          <w:rFonts w:ascii="Arial" w:hAnsi="Arial" w:cs="Arial"/>
          <w:lang w:val="en-GB"/>
        </w:rPr>
        <w:fldChar w:fldCharType="end"/>
      </w:r>
      <w:r>
        <w:rPr>
          <w:rFonts w:ascii="Arial" w:hAnsi="Arial" w:cs="Arial"/>
          <w:lang w:val="en-GB"/>
        </w:rPr>
        <w:t xml:space="preserve"> [Accessed 10 Aug. 2026].</w:t>
      </w:r>
    </w:p>
    <w:p w14:paraId="384F172D">
      <w:pPr>
        <w:spacing w:line="360" w:lineRule="auto"/>
        <w:jc w:val="both"/>
        <w:rPr>
          <w:rFonts w:ascii="Arial" w:hAnsi="Arial" w:cs="Arial"/>
          <w:lang w:val="en-GB"/>
        </w:rPr>
      </w:pPr>
      <w:r>
        <w:rPr>
          <w:rFonts w:ascii="Arial" w:hAnsi="Arial" w:cs="Arial"/>
          <w:lang w:val="en-GB"/>
        </w:rPr>
        <w:t xml:space="preserve">Stein, C. (2021). </w:t>
      </w:r>
      <w:r>
        <w:rPr>
          <w:rFonts w:ascii="Arial" w:hAnsi="Arial" w:cs="Arial"/>
          <w:i/>
          <w:iCs/>
          <w:lang w:val="en-GB"/>
        </w:rPr>
        <w:t>How retailers can boost performance while expanding globally</w:t>
      </w:r>
      <w:r>
        <w:rPr>
          <w:rFonts w:ascii="Arial" w:hAnsi="Arial" w:cs="Arial"/>
          <w:lang w:val="en-GB"/>
        </w:rPr>
        <w:t xml:space="preserve">. [online] </w:t>
      </w:r>
      <w:r>
        <w:rPr>
          <w:rFonts w:ascii="Arial" w:hAnsi="Arial" w:cs="Arial"/>
          <w:i/>
          <w:iCs/>
          <w:lang w:val="en-GB"/>
        </w:rPr>
        <w:t>Eli Broad College of Business | Michigan State University</w:t>
      </w:r>
      <w:r>
        <w:rPr>
          <w:rFonts w:ascii="Arial" w:hAnsi="Arial" w:cs="Arial"/>
          <w:lang w:val="en-GB"/>
        </w:rPr>
        <w:t xml:space="preserve">. Available at: </w:t>
      </w:r>
      <w:r>
        <w:fldChar w:fldCharType="begin"/>
      </w:r>
      <w:r>
        <w:instrText xml:space="preserve"> HYPERLINK "https://broad.msu.edu/news/how-retailers-can-boost-performance-while-expanding-globally/" </w:instrText>
      </w:r>
      <w:r>
        <w:fldChar w:fldCharType="separate"/>
      </w:r>
      <w:r>
        <w:rPr>
          <w:rStyle w:val="15"/>
          <w:rFonts w:ascii="Arial" w:hAnsi="Arial" w:cs="Arial"/>
          <w:lang w:val="en-GB"/>
        </w:rPr>
        <w:t>https://broad.msu.edu/news/how-retailers-can-boost-performance-while-expanding-globally/</w:t>
      </w:r>
      <w:r>
        <w:rPr>
          <w:rStyle w:val="15"/>
          <w:rFonts w:ascii="Arial" w:hAnsi="Arial" w:cs="Arial"/>
          <w:lang w:val="en-GB"/>
        </w:rPr>
        <w:fldChar w:fldCharType="end"/>
      </w:r>
      <w:r>
        <w:rPr>
          <w:rFonts w:ascii="Arial" w:hAnsi="Arial" w:cs="Arial"/>
          <w:lang w:val="en-GB"/>
        </w:rPr>
        <w:t xml:space="preserve"> [Accessed 10 Aug. 2026].</w:t>
      </w:r>
    </w:p>
    <w:p w14:paraId="4D38FE20">
      <w:pPr>
        <w:spacing w:line="360" w:lineRule="auto"/>
        <w:jc w:val="both"/>
        <w:rPr>
          <w:rFonts w:ascii="Arial" w:hAnsi="Arial" w:cs="Arial"/>
          <w:lang w:val="en-GB"/>
        </w:rPr>
      </w:pPr>
      <w:r>
        <w:rPr>
          <w:rFonts w:ascii="Arial" w:hAnsi="Arial" w:cs="Arial"/>
          <w:lang w:val="en-GB"/>
        </w:rPr>
        <w:t xml:space="preserve">Swoboda, B., Morbe, L. and Hirschmann, J. (2018). International strategy’s effects on retailers’ local implementation and performance. </w:t>
      </w:r>
      <w:r>
        <w:rPr>
          <w:rFonts w:ascii="Arial" w:hAnsi="Arial" w:cs="Arial"/>
          <w:i/>
          <w:iCs/>
          <w:lang w:val="en-GB"/>
        </w:rPr>
        <w:t>International Business Review</w:t>
      </w:r>
      <w:r>
        <w:rPr>
          <w:rFonts w:ascii="Arial" w:hAnsi="Arial" w:cs="Arial"/>
          <w:lang w:val="en-GB"/>
        </w:rPr>
        <w:t>, 27(3), pp.642–653. doi:10.1016/j.ibusrev.2017.11.001.</w:t>
      </w:r>
    </w:p>
    <w:p w14:paraId="1E7A02B2">
      <w:pPr>
        <w:spacing w:line="360" w:lineRule="auto"/>
        <w:jc w:val="both"/>
        <w:rPr>
          <w:rFonts w:ascii="Arial" w:hAnsi="Arial" w:cs="Arial"/>
          <w:lang w:val="en-GB"/>
        </w:rPr>
      </w:pPr>
      <w:r>
        <w:rPr>
          <w:rFonts w:ascii="Arial" w:hAnsi="Arial" w:cs="Arial"/>
          <w:lang w:val="en-GB"/>
        </w:rPr>
        <w:t xml:space="preserve">ter Braak, A., Deleersnyder, B., Geyskens, I. and Dekimpe, M.G. (2013). Does private-label production by national-brand manufacturers create discounter goodwill? </w:t>
      </w:r>
      <w:r>
        <w:rPr>
          <w:rFonts w:ascii="Arial" w:hAnsi="Arial" w:cs="Arial"/>
          <w:i/>
          <w:iCs/>
          <w:lang w:val="en-GB"/>
        </w:rPr>
        <w:t>International Journal of Research in Marketing</w:t>
      </w:r>
      <w:r>
        <w:rPr>
          <w:rFonts w:ascii="Arial" w:hAnsi="Arial" w:cs="Arial"/>
          <w:lang w:val="en-GB"/>
        </w:rPr>
        <w:t>, 30(4), pp.343–357. doi:10.1016/j.ijresmar.2013.03.006.</w:t>
      </w:r>
    </w:p>
    <w:p w14:paraId="49C61DD0">
      <w:pPr>
        <w:spacing w:line="360" w:lineRule="auto"/>
        <w:jc w:val="both"/>
        <w:rPr>
          <w:rFonts w:ascii="Arial" w:hAnsi="Arial" w:cs="Arial"/>
          <w:lang w:val="en-GB"/>
        </w:rPr>
      </w:pPr>
      <w:r>
        <w:rPr>
          <w:rFonts w:ascii="Arial" w:hAnsi="Arial" w:cs="Arial"/>
          <w:lang w:val="en-GB"/>
        </w:rPr>
        <w:t xml:space="preserve">The Treasury - NZ Government (2026). </w:t>
      </w:r>
      <w:r>
        <w:rPr>
          <w:rFonts w:ascii="Arial" w:hAnsi="Arial" w:cs="Arial"/>
          <w:i/>
          <w:iCs/>
          <w:lang w:val="en-GB"/>
        </w:rPr>
        <w:t>Economic outlook - budget 2026 - 28 may 2026</w:t>
      </w:r>
      <w:r>
        <w:rPr>
          <w:rFonts w:ascii="Arial" w:hAnsi="Arial" w:cs="Arial"/>
          <w:lang w:val="en-GB"/>
        </w:rPr>
        <w:t xml:space="preserve">. [online] NZ 2026 Budget. Available at: </w:t>
      </w:r>
      <w:r>
        <w:fldChar w:fldCharType="begin"/>
      </w:r>
      <w:r>
        <w:instrText xml:space="preserve"> HYPERLINK "https://budget.govt.nz/budget/2026/fiscal-strategy-report/economic-outlook.htm" </w:instrText>
      </w:r>
      <w:r>
        <w:fldChar w:fldCharType="separate"/>
      </w:r>
      <w:r>
        <w:rPr>
          <w:rStyle w:val="15"/>
          <w:rFonts w:ascii="Arial" w:hAnsi="Arial" w:cs="Arial"/>
          <w:lang w:val="en-GB"/>
        </w:rPr>
        <w:t>https://budget.govt.nz/budget/2026/fiscal-strategy-report/economic-outlook.htm</w:t>
      </w:r>
      <w:r>
        <w:rPr>
          <w:rStyle w:val="15"/>
          <w:rFonts w:ascii="Arial" w:hAnsi="Arial" w:cs="Arial"/>
          <w:lang w:val="en-GB"/>
        </w:rPr>
        <w:fldChar w:fldCharType="end"/>
      </w:r>
      <w:r>
        <w:rPr>
          <w:rFonts w:ascii="Arial" w:hAnsi="Arial" w:cs="Arial"/>
          <w:lang w:val="en-GB"/>
        </w:rPr>
        <w:t xml:space="preserve"> [Accessed 10 Aug. 2026].</w:t>
      </w:r>
    </w:p>
    <w:p w14:paraId="5072826A">
      <w:pPr>
        <w:spacing w:line="360" w:lineRule="auto"/>
        <w:jc w:val="both"/>
        <w:rPr>
          <w:rFonts w:ascii="Arial" w:hAnsi="Arial" w:cs="Arial"/>
          <w:lang w:val="en-GB"/>
        </w:rPr>
      </w:pPr>
      <w:r>
        <w:rPr>
          <w:rFonts w:ascii="Arial" w:hAnsi="Arial" w:cs="Arial"/>
          <w:lang w:val="en-GB"/>
        </w:rPr>
        <w:t xml:space="preserve">Toitü Te Whenua Land Information New Zealand (2025). </w:t>
      </w:r>
      <w:r>
        <w:rPr>
          <w:rFonts w:ascii="Arial" w:hAnsi="Arial" w:cs="Arial"/>
          <w:i/>
          <w:iCs/>
          <w:lang w:val="en-GB"/>
        </w:rPr>
        <w:t>Update to threshold for Australian investors</w:t>
      </w:r>
      <w:r>
        <w:rPr>
          <w:rFonts w:ascii="Arial" w:hAnsi="Arial" w:cs="Arial"/>
          <w:lang w:val="en-GB"/>
        </w:rPr>
        <w:t xml:space="preserve">. [online] Available at: </w:t>
      </w:r>
      <w:r>
        <w:fldChar w:fldCharType="begin"/>
      </w:r>
      <w:r>
        <w:instrText xml:space="preserve"> HYPERLINK "https://www.linz.govt.nz/news/2025-08/update-threshold-australian-investors" </w:instrText>
      </w:r>
      <w:r>
        <w:fldChar w:fldCharType="separate"/>
      </w:r>
      <w:r>
        <w:rPr>
          <w:rStyle w:val="15"/>
          <w:rFonts w:ascii="Arial" w:hAnsi="Arial" w:cs="Arial"/>
          <w:lang w:val="en-GB"/>
        </w:rPr>
        <w:t>https://www.linz.govt.nz/news/2025-08/update-threshold-australian-investors</w:t>
      </w:r>
      <w:r>
        <w:rPr>
          <w:rStyle w:val="15"/>
          <w:rFonts w:ascii="Arial" w:hAnsi="Arial" w:cs="Arial"/>
          <w:lang w:val="en-GB"/>
        </w:rPr>
        <w:fldChar w:fldCharType="end"/>
      </w:r>
      <w:r>
        <w:rPr>
          <w:rFonts w:ascii="Arial" w:hAnsi="Arial" w:cs="Arial"/>
          <w:lang w:val="en-GB"/>
        </w:rPr>
        <w:t xml:space="preserve">. </w:t>
      </w:r>
    </w:p>
    <w:p w14:paraId="04C107F1">
      <w:pPr>
        <w:spacing w:line="360" w:lineRule="auto"/>
        <w:jc w:val="both"/>
        <w:rPr>
          <w:rFonts w:ascii="Arial" w:hAnsi="Arial" w:cs="Arial"/>
          <w:lang w:val="en-GB"/>
        </w:rPr>
      </w:pPr>
    </w:p>
    <w:sectPr>
      <w:footerReference r:id="rId5" w:type="default"/>
      <w:footerReference r:id="rId6" w:type="even"/>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Vrinda">
    <w:altName w:val="Segoe UI Symbol"/>
    <w:panose1 w:val="020B0502040204020203"/>
    <w:charset w:val="00"/>
    <w:family w:val="swiss"/>
    <w:pitch w:val="default"/>
    <w:sig w:usb0="00000000" w:usb1="00000000" w:usb2="00000000" w:usb3="00000000" w:csb0="00000001" w:csb1="00000000"/>
  </w:font>
  <w:font w:name="Segoe UI Symbol">
    <w:panose1 w:val="020B0502040204020203"/>
    <w:charset w:val="00"/>
    <w:family w:val="swiss"/>
    <w:pitch w:val="default"/>
    <w:sig w:usb0="800001E3" w:usb1="1200FFEF" w:usb2="00040000" w:usb3="04000000" w:csb0="00000001" w:csb1="4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19F" w:csb1="00000000"/>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834648418"/>
      <w:docPartObj>
        <w:docPartGallery w:val="autotext"/>
      </w:docPartObj>
    </w:sdtPr>
    <w:sdtEndPr>
      <w:rPr>
        <w:rStyle w:val="17"/>
      </w:rPr>
    </w:sdtEndPr>
    <w:sdtContent>
      <w:p w14:paraId="18EA0E35">
        <w:pPr>
          <w:pStyle w:val="14"/>
          <w:framePr w:wrap="auto" w:vAnchor="text" w:hAnchor="margin" w:xAlign="right" w:y="1"/>
          <w:rPr>
            <w:rStyle w:val="17"/>
          </w:rPr>
        </w:pPr>
        <w:r>
          <w:rPr>
            <w:rStyle w:val="17"/>
          </w:rPr>
          <w:fldChar w:fldCharType="begin"/>
        </w:r>
        <w:r>
          <w:rPr>
            <w:rStyle w:val="17"/>
          </w:rPr>
          <w:instrText xml:space="preserve"> PAGE </w:instrText>
        </w:r>
        <w:r>
          <w:rPr>
            <w:rStyle w:val="17"/>
          </w:rPr>
          <w:fldChar w:fldCharType="separate"/>
        </w:r>
        <w:r>
          <w:rPr>
            <w:rStyle w:val="17"/>
          </w:rPr>
          <w:t>1</w:t>
        </w:r>
        <w:r>
          <w:rPr>
            <w:rStyle w:val="17"/>
          </w:rPr>
          <w:fldChar w:fldCharType="end"/>
        </w:r>
      </w:p>
    </w:sdtContent>
  </w:sdt>
  <w:p w14:paraId="1CE1AE57">
    <w:pPr>
      <w:pStyle w:val="14"/>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90587436"/>
      <w:docPartObj>
        <w:docPartGallery w:val="autotext"/>
      </w:docPartObj>
    </w:sdtPr>
    <w:sdtEndPr>
      <w:rPr>
        <w:rStyle w:val="17"/>
      </w:rPr>
    </w:sdtEndPr>
    <w:sdtContent>
      <w:p w14:paraId="5E95B637">
        <w:pPr>
          <w:pStyle w:val="14"/>
          <w:framePr w:wrap="auto" w:vAnchor="text" w:hAnchor="margin" w:xAlign="right" w:y="1"/>
          <w:rPr>
            <w:rStyle w:val="17"/>
          </w:rPr>
        </w:pPr>
        <w:r>
          <w:rPr>
            <w:rStyle w:val="17"/>
          </w:rPr>
          <w:fldChar w:fldCharType="begin"/>
        </w:r>
        <w:r>
          <w:rPr>
            <w:rStyle w:val="17"/>
          </w:rPr>
          <w:instrText xml:space="preserve"> PAGE </w:instrText>
        </w:r>
        <w:r>
          <w:rPr>
            <w:rStyle w:val="17"/>
          </w:rPr>
          <w:fldChar w:fldCharType="separate"/>
        </w:r>
        <w:r>
          <w:rPr>
            <w:rStyle w:val="17"/>
          </w:rPr>
          <w:fldChar w:fldCharType="end"/>
        </w:r>
      </w:p>
    </w:sdtContent>
  </w:sdt>
  <w:p w14:paraId="7C1F79EF">
    <w:pPr>
      <w:pStyle w:val="14"/>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6"/>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3C38"/>
    <w:rsid w:val="0001355C"/>
    <w:rsid w:val="00057BDE"/>
    <w:rsid w:val="00100E8B"/>
    <w:rsid w:val="00133E6C"/>
    <w:rsid w:val="001C74E2"/>
    <w:rsid w:val="00260125"/>
    <w:rsid w:val="00285F82"/>
    <w:rsid w:val="002B1928"/>
    <w:rsid w:val="002C0DE2"/>
    <w:rsid w:val="003B7348"/>
    <w:rsid w:val="003C3675"/>
    <w:rsid w:val="003E5FCD"/>
    <w:rsid w:val="003F320B"/>
    <w:rsid w:val="00445383"/>
    <w:rsid w:val="00460D00"/>
    <w:rsid w:val="004B76DB"/>
    <w:rsid w:val="004E1AC1"/>
    <w:rsid w:val="00563BBC"/>
    <w:rsid w:val="005D744B"/>
    <w:rsid w:val="005E0966"/>
    <w:rsid w:val="005F22FE"/>
    <w:rsid w:val="00617D58"/>
    <w:rsid w:val="00643AC4"/>
    <w:rsid w:val="006548F7"/>
    <w:rsid w:val="006665CB"/>
    <w:rsid w:val="006770E0"/>
    <w:rsid w:val="006945B6"/>
    <w:rsid w:val="006B7D17"/>
    <w:rsid w:val="006E30E1"/>
    <w:rsid w:val="00723C38"/>
    <w:rsid w:val="007364FB"/>
    <w:rsid w:val="00745171"/>
    <w:rsid w:val="0078700E"/>
    <w:rsid w:val="00792409"/>
    <w:rsid w:val="007A07BA"/>
    <w:rsid w:val="007A6410"/>
    <w:rsid w:val="007C6572"/>
    <w:rsid w:val="00825D62"/>
    <w:rsid w:val="00835BA8"/>
    <w:rsid w:val="008E6FC3"/>
    <w:rsid w:val="009301AA"/>
    <w:rsid w:val="00933405"/>
    <w:rsid w:val="009B7C79"/>
    <w:rsid w:val="009C0098"/>
    <w:rsid w:val="009E3CC0"/>
    <w:rsid w:val="009F2943"/>
    <w:rsid w:val="00A2416C"/>
    <w:rsid w:val="00A34891"/>
    <w:rsid w:val="00A83AFA"/>
    <w:rsid w:val="00AD30A3"/>
    <w:rsid w:val="00AD3EDC"/>
    <w:rsid w:val="00B3457C"/>
    <w:rsid w:val="00B835BB"/>
    <w:rsid w:val="00BD3CF4"/>
    <w:rsid w:val="00C0430C"/>
    <w:rsid w:val="00C15DB1"/>
    <w:rsid w:val="00C8173E"/>
    <w:rsid w:val="00C83D48"/>
    <w:rsid w:val="00CA086A"/>
    <w:rsid w:val="00CB1BBA"/>
    <w:rsid w:val="00CC364E"/>
    <w:rsid w:val="00D264A4"/>
    <w:rsid w:val="00D93DA5"/>
    <w:rsid w:val="00DA3D52"/>
    <w:rsid w:val="00DA6052"/>
    <w:rsid w:val="00DC165C"/>
    <w:rsid w:val="00E35F4E"/>
    <w:rsid w:val="00E671B1"/>
    <w:rsid w:val="00EA4562"/>
    <w:rsid w:val="00EE1EFC"/>
    <w:rsid w:val="00F9203A"/>
    <w:rsid w:val="00FD714D"/>
    <w:rsid w:val="29663C13"/>
    <w:rsid w:val="6CBD4DD9"/>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standardContextual"/>
    </w:rPr>
  </w:style>
  <w:style w:type="paragraph" w:styleId="2">
    <w:name w:val="heading 1"/>
    <w:basedOn w:val="1"/>
    <w:next w:val="1"/>
    <w:link w:val="24"/>
    <w:autoRedefine/>
    <w:qFormat/>
    <w:uiPriority w:val="9"/>
    <w:pPr>
      <w:keepNext/>
      <w:keepLines/>
      <w:spacing w:after="0" w:line="360" w:lineRule="auto"/>
      <w:jc w:val="center"/>
      <w:outlineLvl w:val="0"/>
    </w:pPr>
    <w:rPr>
      <w:rFonts w:ascii="Times New Roman" w:hAnsi="Times New Roman" w:eastAsia="Times New Roman" w:cs="Times New Roman"/>
      <w:b/>
      <w:kern w:val="0"/>
      <w:sz w:val="28"/>
      <w:szCs w:val="28"/>
      <w:lang w:val="en" w:eastAsia="en-IN" w:bidi="bn-IN"/>
    </w:rPr>
  </w:style>
  <w:style w:type="paragraph" w:styleId="3">
    <w:name w:val="heading 2"/>
    <w:basedOn w:val="1"/>
    <w:next w:val="1"/>
    <w:link w:val="25"/>
    <w:autoRedefine/>
    <w:unhideWhenUsed/>
    <w:qFormat/>
    <w:uiPriority w:val="9"/>
    <w:pPr>
      <w:spacing w:line="360" w:lineRule="auto"/>
      <w:jc w:val="both"/>
      <w:outlineLvl w:val="1"/>
    </w:pPr>
    <w:rPr>
      <w:rFonts w:ascii="Times New Roman" w:hAnsi="Times New Roman" w:cs="Times New Roman"/>
      <w:b/>
      <w:bCs/>
      <w:sz w:val="24"/>
      <w:szCs w:val="24"/>
    </w:rPr>
  </w:style>
  <w:style w:type="paragraph" w:styleId="4">
    <w:name w:val="heading 3"/>
    <w:basedOn w:val="1"/>
    <w:next w:val="1"/>
    <w:link w:val="26"/>
    <w:autoRedefine/>
    <w:unhideWhenUsed/>
    <w:qFormat/>
    <w:uiPriority w:val="9"/>
    <w:pPr>
      <w:spacing w:line="360" w:lineRule="auto"/>
      <w:jc w:val="both"/>
      <w:outlineLvl w:val="2"/>
    </w:pPr>
    <w:rPr>
      <w:rFonts w:ascii="Times New Roman" w:hAnsi="Times New Roman" w:cs="Times New Roman"/>
      <w:b/>
      <w:bCs/>
      <w:sz w:val="24"/>
      <w:szCs w:val="24"/>
    </w:rPr>
  </w:style>
  <w:style w:type="paragraph" w:styleId="5">
    <w:name w:val="heading 4"/>
    <w:basedOn w:val="1"/>
    <w:next w:val="1"/>
    <w:link w:val="27"/>
    <w:autoRedefine/>
    <w:unhideWhenUsed/>
    <w:qFormat/>
    <w:uiPriority w:val="9"/>
    <w:pPr>
      <w:keepNext/>
      <w:keepLines/>
      <w:spacing w:before="160" w:after="120" w:line="480" w:lineRule="auto"/>
      <w:outlineLvl w:val="3"/>
    </w:pPr>
    <w:rPr>
      <w:rFonts w:ascii="Times New Roman" w:hAnsi="Times New Roman" w:eastAsiaTheme="majorEastAsia" w:cstheme="majorBidi"/>
      <w:b/>
      <w:iCs/>
      <w:sz w:val="24"/>
    </w:rPr>
  </w:style>
  <w:style w:type="paragraph" w:styleId="6">
    <w:name w:val="heading 5"/>
    <w:basedOn w:val="1"/>
    <w:next w:val="1"/>
    <w:link w:val="28"/>
    <w:autoRedefine/>
    <w:unhideWhenUsed/>
    <w:qFormat/>
    <w:uiPriority w:val="9"/>
    <w:pPr>
      <w:keepNext/>
      <w:keepLines/>
      <w:spacing w:after="0"/>
      <w:outlineLvl w:val="4"/>
    </w:pPr>
    <w:rPr>
      <w:rFonts w:ascii="Times New Roman" w:hAnsi="Times New Roman" w:eastAsiaTheme="majorEastAsia" w:cstheme="majorBidi"/>
      <w:b/>
      <w:bCs/>
      <w:sz w:val="24"/>
    </w:rPr>
  </w:style>
  <w:style w:type="paragraph" w:styleId="7">
    <w:name w:val="heading 6"/>
    <w:basedOn w:val="1"/>
    <w:next w:val="1"/>
    <w:link w:val="31"/>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2"/>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3"/>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4"/>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FollowedHyperlink"/>
    <w:basedOn w:val="11"/>
    <w:semiHidden/>
    <w:unhideWhenUsed/>
    <w:qFormat/>
    <w:uiPriority w:val="99"/>
    <w:rPr>
      <w:color w:val="954F72" w:themeColor="followedHyperlink"/>
      <w:u w:val="single"/>
      <w14:textFill>
        <w14:solidFill>
          <w14:schemeClr w14:val="folHlink"/>
        </w14:solidFill>
      </w14:textFill>
    </w:rPr>
  </w:style>
  <w:style w:type="paragraph" w:styleId="14">
    <w:name w:val="footer"/>
    <w:basedOn w:val="1"/>
    <w:link w:val="51"/>
    <w:unhideWhenUsed/>
    <w:qFormat/>
    <w:uiPriority w:val="99"/>
    <w:pPr>
      <w:tabs>
        <w:tab w:val="center" w:pos="4513"/>
        <w:tab w:val="right" w:pos="9026"/>
      </w:tabs>
      <w:spacing w:after="0" w:line="240" w:lineRule="auto"/>
    </w:pPr>
  </w:style>
  <w:style w:type="character" w:styleId="15">
    <w:name w:val="Hyperlink"/>
    <w:basedOn w:val="11"/>
    <w:unhideWhenUsed/>
    <w:qFormat/>
    <w:uiPriority w:val="99"/>
    <w:rPr>
      <w:color w:val="0563C1" w:themeColor="hyperlink"/>
      <w:u w:val="single"/>
      <w14:textFill>
        <w14:solidFill>
          <w14:schemeClr w14:val="hlink"/>
        </w14:solidFill>
      </w14:textFill>
    </w:rPr>
  </w:style>
  <w:style w:type="paragraph" w:styleId="16">
    <w:name w:val="Normal (Web)"/>
    <w:basedOn w:val="1"/>
    <w:semiHidden/>
    <w:unhideWhenUsed/>
    <w:uiPriority w:val="99"/>
    <w:rPr>
      <w:rFonts w:ascii="Times New Roman" w:hAnsi="Times New Roman" w:cs="Times New Roman"/>
      <w:sz w:val="24"/>
      <w:szCs w:val="24"/>
    </w:rPr>
  </w:style>
  <w:style w:type="character" w:styleId="17">
    <w:name w:val="page number"/>
    <w:basedOn w:val="11"/>
    <w:semiHidden/>
    <w:unhideWhenUsed/>
    <w:qFormat/>
    <w:uiPriority w:val="99"/>
  </w:style>
  <w:style w:type="paragraph" w:styleId="18">
    <w:name w:val="Subtitle"/>
    <w:basedOn w:val="1"/>
    <w:next w:val="1"/>
    <w:link w:val="3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5"/>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1">
    <w:name w:val="toc 1"/>
    <w:basedOn w:val="1"/>
    <w:next w:val="1"/>
    <w:autoRedefine/>
    <w:unhideWhenUsed/>
    <w:qFormat/>
    <w:uiPriority w:val="39"/>
    <w:pPr>
      <w:spacing w:after="100"/>
    </w:pPr>
  </w:style>
  <w:style w:type="paragraph" w:styleId="22">
    <w:name w:val="toc 2"/>
    <w:basedOn w:val="1"/>
    <w:next w:val="1"/>
    <w:autoRedefine/>
    <w:unhideWhenUsed/>
    <w:qFormat/>
    <w:uiPriority w:val="39"/>
    <w:pPr>
      <w:spacing w:after="100"/>
      <w:ind w:left="220"/>
    </w:pPr>
  </w:style>
  <w:style w:type="paragraph" w:styleId="23">
    <w:name w:val="toc 3"/>
    <w:basedOn w:val="1"/>
    <w:next w:val="1"/>
    <w:autoRedefine/>
    <w:unhideWhenUsed/>
    <w:uiPriority w:val="39"/>
    <w:pPr>
      <w:spacing w:after="100"/>
      <w:ind w:left="440"/>
    </w:pPr>
  </w:style>
  <w:style w:type="character" w:customStyle="1" w:styleId="24">
    <w:name w:val="Heading 1 Char"/>
    <w:basedOn w:val="11"/>
    <w:link w:val="2"/>
    <w:uiPriority w:val="9"/>
    <w:rPr>
      <w:rFonts w:ascii="Times New Roman" w:hAnsi="Times New Roman" w:eastAsia="Times New Roman" w:cs="Times New Roman"/>
      <w:b/>
      <w:kern w:val="0"/>
      <w:sz w:val="28"/>
      <w:szCs w:val="28"/>
      <w:lang w:val="en" w:eastAsia="en-IN" w:bidi="bn-IN"/>
    </w:rPr>
  </w:style>
  <w:style w:type="character" w:customStyle="1" w:styleId="25">
    <w:name w:val="Heading 2 Char"/>
    <w:basedOn w:val="11"/>
    <w:link w:val="3"/>
    <w:qFormat/>
    <w:uiPriority w:val="9"/>
    <w:rPr>
      <w:rFonts w:ascii="Times New Roman" w:hAnsi="Times New Roman" w:cs="Times New Roman"/>
      <w:b/>
      <w:bCs/>
      <w:sz w:val="24"/>
      <w:szCs w:val="24"/>
    </w:rPr>
  </w:style>
  <w:style w:type="character" w:customStyle="1" w:styleId="26">
    <w:name w:val="Heading 3 Char"/>
    <w:basedOn w:val="11"/>
    <w:link w:val="4"/>
    <w:qFormat/>
    <w:uiPriority w:val="9"/>
    <w:rPr>
      <w:rFonts w:ascii="Times New Roman" w:hAnsi="Times New Roman" w:cs="Times New Roman"/>
      <w:b/>
      <w:bCs/>
      <w:sz w:val="24"/>
      <w:szCs w:val="24"/>
    </w:rPr>
  </w:style>
  <w:style w:type="character" w:customStyle="1" w:styleId="27">
    <w:name w:val="Heading 4 Char"/>
    <w:basedOn w:val="11"/>
    <w:link w:val="5"/>
    <w:uiPriority w:val="9"/>
    <w:rPr>
      <w:rFonts w:ascii="Times New Roman" w:hAnsi="Times New Roman" w:eastAsiaTheme="majorEastAsia" w:cstheme="majorBidi"/>
      <w:b/>
      <w:iCs/>
      <w:sz w:val="24"/>
    </w:rPr>
  </w:style>
  <w:style w:type="character" w:customStyle="1" w:styleId="28">
    <w:name w:val="Heading 5 Char"/>
    <w:basedOn w:val="11"/>
    <w:link w:val="6"/>
    <w:qFormat/>
    <w:uiPriority w:val="9"/>
    <w:rPr>
      <w:rFonts w:ascii="Times New Roman" w:hAnsi="Times New Roman" w:eastAsiaTheme="majorEastAsia" w:cstheme="majorBidi"/>
      <w:b/>
      <w:bCs/>
      <w:sz w:val="24"/>
    </w:rPr>
  </w:style>
  <w:style w:type="paragraph" w:customStyle="1" w:styleId="29">
    <w:name w:val="Style1"/>
    <w:basedOn w:val="16"/>
    <w:link w:val="30"/>
    <w:autoRedefine/>
    <w:qFormat/>
    <w:uiPriority w:val="0"/>
    <w:pPr>
      <w:spacing w:after="0" w:line="360" w:lineRule="auto"/>
      <w:jc w:val="both"/>
    </w:pPr>
    <w:rPr>
      <w:rFonts w:asciiTheme="minorHAnsi" w:hAnsiTheme="minorHAnsi" w:cstheme="minorBidi"/>
      <w:b/>
      <w:sz w:val="22"/>
      <w:szCs w:val="22"/>
      <w:lang w:eastAsia="en-IN" w:bidi="bn-IN"/>
    </w:rPr>
  </w:style>
  <w:style w:type="character" w:customStyle="1" w:styleId="30">
    <w:name w:val="Style1 Char"/>
    <w:basedOn w:val="11"/>
    <w:link w:val="29"/>
    <w:qFormat/>
    <w:uiPriority w:val="0"/>
    <w:rPr>
      <w:b/>
      <w:lang w:eastAsia="en-IN" w:bidi="bn-IN"/>
    </w:rPr>
  </w:style>
  <w:style w:type="character" w:customStyle="1" w:styleId="31">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2">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3">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4">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5">
    <w:name w:val="Title Char"/>
    <w:basedOn w:val="11"/>
    <w:link w:val="20"/>
    <w:uiPriority w:val="10"/>
    <w:rPr>
      <w:rFonts w:asciiTheme="majorHAnsi" w:hAnsiTheme="majorHAnsi" w:eastAsiaTheme="majorEastAsia" w:cstheme="majorBidi"/>
      <w:spacing w:val="-10"/>
      <w:kern w:val="28"/>
      <w:sz w:val="56"/>
      <w:szCs w:val="56"/>
    </w:rPr>
  </w:style>
  <w:style w:type="character" w:customStyle="1" w:styleId="36">
    <w:name w:val="Subtitle Char"/>
    <w:basedOn w:val="11"/>
    <w:link w:val="18"/>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7">
    <w:name w:val="Quote"/>
    <w:basedOn w:val="1"/>
    <w:next w:val="1"/>
    <w:link w:val="38"/>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8">
    <w:name w:val="Quote Char"/>
    <w:basedOn w:val="11"/>
    <w:link w:val="37"/>
    <w:uiPriority w:val="29"/>
    <w:rPr>
      <w:i/>
      <w:iCs/>
      <w:color w:val="404040" w:themeColor="text1" w:themeTint="BF"/>
      <w14:textFill>
        <w14:solidFill>
          <w14:schemeClr w14:val="tx1">
            <w14:lumMod w14:val="75000"/>
            <w14:lumOff w14:val="25000"/>
          </w14:schemeClr>
        </w14:solidFill>
      </w14:textFill>
    </w:rPr>
  </w:style>
  <w:style w:type="paragraph" w:styleId="39">
    <w:name w:val="List Paragraph"/>
    <w:basedOn w:val="1"/>
    <w:link w:val="48"/>
    <w:qFormat/>
    <w:uiPriority w:val="1"/>
    <w:pPr>
      <w:ind w:left="720"/>
      <w:contextualSpacing/>
    </w:pPr>
  </w:style>
  <w:style w:type="character" w:customStyle="1" w:styleId="40">
    <w:name w:val="Intense Emphasis"/>
    <w:basedOn w:val="11"/>
    <w:qFormat/>
    <w:uiPriority w:val="21"/>
    <w:rPr>
      <w:i/>
      <w:iCs/>
      <w:color w:val="2F5597" w:themeColor="accent1" w:themeShade="BF"/>
    </w:rPr>
  </w:style>
  <w:style w:type="paragraph" w:styleId="41">
    <w:name w:val="Intense Quote"/>
    <w:basedOn w:val="1"/>
    <w:next w:val="1"/>
    <w:link w:val="42"/>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2">
    <w:name w:val="Intense Quote Char"/>
    <w:basedOn w:val="11"/>
    <w:link w:val="41"/>
    <w:uiPriority w:val="30"/>
    <w:rPr>
      <w:i/>
      <w:iCs/>
      <w:color w:val="2F5597" w:themeColor="accent1" w:themeShade="BF"/>
    </w:rPr>
  </w:style>
  <w:style w:type="character" w:customStyle="1" w:styleId="43">
    <w:name w:val="Intense Reference"/>
    <w:basedOn w:val="11"/>
    <w:qFormat/>
    <w:uiPriority w:val="32"/>
    <w:rPr>
      <w:b/>
      <w:bCs/>
      <w:smallCaps/>
      <w:color w:val="2F5597" w:themeColor="accent1" w:themeShade="BF"/>
      <w:spacing w:val="5"/>
    </w:rPr>
  </w:style>
  <w:style w:type="character" w:customStyle="1" w:styleId="44">
    <w:name w:val="Unresolved Mention"/>
    <w:basedOn w:val="11"/>
    <w:semiHidden/>
    <w:unhideWhenUsed/>
    <w:uiPriority w:val="99"/>
    <w:rPr>
      <w:color w:val="605E5C"/>
      <w:shd w:val="clear" w:color="auto" w:fill="E1DFDD"/>
    </w:rPr>
  </w:style>
  <w:style w:type="table" w:customStyle="1" w:styleId="45">
    <w:name w:val="Grid Table 5 Dark Accent 1"/>
    <w:basedOn w:val="12"/>
    <w:qFormat/>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E2F3" w:themeFill="accent1"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1"/>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1"/>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1"/>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1"/>
      </w:tcPr>
    </w:tblStylePr>
    <w:tblStylePr w:type="band1Vert">
      <w:tcPr>
        <w:shd w:val="clear" w:color="auto" w:fill="B4C6E7" w:themeFill="accent1" w:themeFillTint="66"/>
      </w:tcPr>
    </w:tblStylePr>
    <w:tblStylePr w:type="band1Horz">
      <w:tcPr>
        <w:shd w:val="clear" w:color="auto" w:fill="B4C6E7" w:themeFill="accent1" w:themeFillTint="66"/>
      </w:tcPr>
    </w:tblStylePr>
  </w:style>
  <w:style w:type="table" w:customStyle="1" w:styleId="46">
    <w:name w:val="Grid Table 5 Dark Accent 2"/>
    <w:basedOn w:val="12"/>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BE4D5" w:themeFill="accent2"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D7D31" w:themeFill="accent2"/>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D7D31" w:themeFill="accent2"/>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ED7D31" w:themeFill="accent2"/>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D7D31" w:themeFill="accent2"/>
      </w:tcPr>
    </w:tblStylePr>
    <w:tblStylePr w:type="band1Vert">
      <w:tcPr>
        <w:shd w:val="clear" w:color="auto" w:fill="F7CAAC" w:themeFill="accent2" w:themeFillTint="66"/>
      </w:tcPr>
    </w:tblStylePr>
    <w:tblStylePr w:type="band1Horz">
      <w:tcPr>
        <w:shd w:val="clear" w:color="auto" w:fill="F7CAAC" w:themeFill="accent2" w:themeFillTint="66"/>
      </w:tcPr>
    </w:tblStylePr>
  </w:style>
  <w:style w:type="paragraph" w:customStyle="1" w:styleId="47">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2F5597" w:themeColor="accent1" w:themeShade="BF"/>
      <w:sz w:val="32"/>
      <w:szCs w:val="32"/>
      <w:lang w:val="en-US" w:eastAsia="en-US" w:bidi="ar-SA"/>
      <w14:ligatures w14:val="none"/>
    </w:rPr>
  </w:style>
  <w:style w:type="character" w:customStyle="1" w:styleId="48">
    <w:name w:val="List Paragraph Char"/>
    <w:basedOn w:val="11"/>
    <w:link w:val="39"/>
    <w:qFormat/>
    <w:locked/>
    <w:uiPriority w:val="1"/>
  </w:style>
  <w:style w:type="paragraph" w:customStyle="1" w:styleId="49">
    <w:name w:val="Table Paragraph"/>
    <w:basedOn w:val="1"/>
    <w:qFormat/>
    <w:uiPriority w:val="1"/>
    <w:pPr>
      <w:widowControl w:val="0"/>
      <w:autoSpaceDE w:val="0"/>
      <w:autoSpaceDN w:val="0"/>
      <w:spacing w:after="0" w:line="240" w:lineRule="auto"/>
      <w:ind w:left="107"/>
    </w:pPr>
    <w:rPr>
      <w:rFonts w:ascii="Segoe UI Symbol" w:hAnsi="Segoe UI Symbol" w:eastAsia="Segoe UI Symbol" w:cs="Segoe UI Symbol"/>
      <w:kern w:val="0"/>
      <w:lang w:val="en-US"/>
      <w14:ligatures w14:val="none"/>
    </w:rPr>
  </w:style>
  <w:style w:type="paragraph" w:customStyle="1" w:styleId="50">
    <w:name w:val="p1"/>
    <w:basedOn w:val="1"/>
    <w:uiPriority w:val="0"/>
    <w:pPr>
      <w:spacing w:after="0" w:line="240" w:lineRule="auto"/>
    </w:pPr>
    <w:rPr>
      <w:rFonts w:ascii="Helvetica" w:hAnsi="Helvetica" w:eastAsia="Times New Roman" w:cs="Times New Roman"/>
      <w:color w:val="000000"/>
      <w:kern w:val="0"/>
      <w:sz w:val="18"/>
      <w:szCs w:val="18"/>
      <w:lang w:eastAsia="en-GB"/>
      <w14:ligatures w14:val="none"/>
    </w:rPr>
  </w:style>
  <w:style w:type="character" w:customStyle="1" w:styleId="51">
    <w:name w:val="Footer Char"/>
    <w:basedOn w:val="11"/>
    <w:link w:val="14"/>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customXml" Target="../customXml/item1.xml"/><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39553B0-0778-4F34-A4F2-46BC44C7496C}">
  <ds:schemaRefs/>
</ds:datastoreItem>
</file>

<file path=docProps/app.xml><?xml version="1.0" encoding="utf-8"?>
<Properties xmlns="http://schemas.openxmlformats.org/officeDocument/2006/extended-properties" xmlns:vt="http://schemas.openxmlformats.org/officeDocument/2006/docPropsVTypes">
  <Template>Normal.dotm</Template>
  <Pages>27</Pages>
  <Words>2425</Words>
  <Characters>14704</Characters>
  <Lines>367</Lines>
  <Paragraphs>103</Paragraphs>
  <TotalTime>9</TotalTime>
  <ScaleCrop>false</ScaleCrop>
  <LinksUpToDate>false</LinksUpToDate>
  <CharactersWithSpaces>17413</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2026-08-10T19:29:00Z</dcterms:created>
  <dcterms:modified xsi:type="dcterms:W3CDTF">2026-08-14T10:42:53Z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eyJoZGlkIjoiODRhYjkzYTVlMjEzNTZhYjFmMzI1MTczZjdhODI2YjYifQ==</vt:lpwstr>
  </property>
  <property fmtid="{D5CDD505-2E9C-101B-9397-08002B2CF9AE}" pid="3" name="KSOProductBuildVer">
    <vt:lpwstr>1033-12.1.0.28032</vt:lpwstr>
  </property>
  <property fmtid="{D5CDD505-2E9C-101B-9397-08002B2CF9AE}" pid="4" name="ICV">
    <vt:lpwstr>0CC823B8225143388495E5E8AA32C513_12</vt:lpwstr>
  </property>
</Properties>
</file>