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1167BE">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4DEF1F62">
            <wp:simplePos x="0" y="0"/>
            <wp:positionH relativeFrom="margin">
              <wp:align>left</wp:align>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1167BE">
      <w:pPr>
        <w:spacing w:line="360" w:lineRule="auto"/>
        <w:rPr>
          <w:rFonts w:ascii="Arial" w:hAnsi="Arial" w:cs="Arial"/>
          <w:szCs w:val="24"/>
        </w:rPr>
      </w:pPr>
    </w:p>
    <w:p w14:paraId="554C8C17" w14:textId="77777777" w:rsidR="00C558B0" w:rsidRPr="00594FAC" w:rsidRDefault="00C558B0" w:rsidP="001167BE">
      <w:pPr>
        <w:spacing w:line="360" w:lineRule="auto"/>
        <w:rPr>
          <w:rFonts w:ascii="Arial" w:hAnsi="Arial" w:cs="Arial"/>
          <w:szCs w:val="24"/>
        </w:rPr>
      </w:pPr>
    </w:p>
    <w:p w14:paraId="74A7306F" w14:textId="77777777" w:rsidR="00C558B0" w:rsidRPr="00594FAC" w:rsidRDefault="00C558B0" w:rsidP="001167BE">
      <w:pPr>
        <w:spacing w:line="360" w:lineRule="auto"/>
        <w:rPr>
          <w:rFonts w:ascii="Arial" w:hAnsi="Arial" w:cs="Arial"/>
          <w:szCs w:val="24"/>
        </w:rPr>
      </w:pPr>
    </w:p>
    <w:p w14:paraId="4CFA099C" w14:textId="77777777" w:rsidR="00C558B0" w:rsidRPr="00594FAC" w:rsidRDefault="00C558B0" w:rsidP="001167BE">
      <w:pPr>
        <w:tabs>
          <w:tab w:val="left" w:pos="6540"/>
        </w:tabs>
        <w:spacing w:line="360" w:lineRule="auto"/>
        <w:rPr>
          <w:rFonts w:ascii="Arial" w:hAnsi="Arial" w:cs="Arial"/>
          <w:sz w:val="28"/>
          <w:szCs w:val="28"/>
        </w:rPr>
      </w:pPr>
    </w:p>
    <w:p w14:paraId="2F4F861B" w14:textId="5641CCA6" w:rsidR="00C558B0" w:rsidRPr="000D59D3" w:rsidRDefault="00C558B0" w:rsidP="001167BE">
      <w:pPr>
        <w:tabs>
          <w:tab w:val="left" w:pos="6540"/>
        </w:tabs>
        <w:spacing w:line="360" w:lineRule="auto"/>
        <w:rPr>
          <w:rFonts w:ascii="Arial" w:hAnsi="Arial" w:cs="Arial"/>
          <w:sz w:val="22"/>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0D59D3">
        <w:rPr>
          <w:rFonts w:ascii="Arial" w:hAnsi="Arial" w:cs="Arial"/>
          <w:sz w:val="28"/>
          <w:szCs w:val="28"/>
          <w:lang w:val="nl-NL"/>
        </w:rPr>
        <w:t xml:space="preserve"> </w:t>
      </w:r>
      <w:r w:rsidR="000D59D3">
        <w:rPr>
          <w:rFonts w:ascii="Arial" w:hAnsi="Arial" w:cs="Arial"/>
          <w:sz w:val="22"/>
          <w:lang w:val="nl-NL"/>
        </w:rPr>
        <w:t>Sarah-May Dbinson</w:t>
      </w:r>
    </w:p>
    <w:p w14:paraId="18D88AE2" w14:textId="41350FFB" w:rsidR="00C558B0" w:rsidRPr="00594FAC" w:rsidRDefault="00C558B0" w:rsidP="001167BE">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0D59D3">
        <w:rPr>
          <w:rFonts w:ascii="Arial" w:hAnsi="Arial" w:cs="Arial"/>
          <w:sz w:val="28"/>
          <w:szCs w:val="28"/>
          <w:lang w:val="nl-NL"/>
        </w:rPr>
        <w:t xml:space="preserve"> 2441437</w:t>
      </w:r>
    </w:p>
    <w:p w14:paraId="4654C81C" w14:textId="77777777" w:rsidR="00C558B0" w:rsidRPr="00C96081" w:rsidRDefault="00C558B0" w:rsidP="001167BE">
      <w:pPr>
        <w:tabs>
          <w:tab w:val="left" w:pos="6540"/>
        </w:tabs>
        <w:spacing w:line="360" w:lineRule="auto"/>
        <w:rPr>
          <w:rFonts w:ascii="Arial" w:hAnsi="Arial" w:cs="Arial"/>
          <w:sz w:val="22"/>
          <w:lang w:val="nl-NL"/>
        </w:rPr>
      </w:pPr>
    </w:p>
    <w:p w14:paraId="3D8DA301" w14:textId="0D9F4626" w:rsidR="00C558B0" w:rsidRPr="00C96081" w:rsidRDefault="00C558B0" w:rsidP="001167BE">
      <w:pPr>
        <w:tabs>
          <w:tab w:val="left" w:pos="6540"/>
        </w:tabs>
        <w:spacing w:line="360" w:lineRule="auto"/>
        <w:rPr>
          <w:rFonts w:ascii="Arial" w:hAnsi="Arial" w:cs="Arial"/>
          <w:b/>
          <w:bCs/>
          <w:sz w:val="22"/>
          <w:lang w:val="nl-NL"/>
        </w:rPr>
      </w:pPr>
      <w:r w:rsidRPr="00C96081">
        <w:rPr>
          <w:rFonts w:ascii="Arial" w:hAnsi="Arial" w:cs="Arial"/>
          <w:b/>
          <w:bCs/>
          <w:sz w:val="22"/>
          <w:lang w:val="nl-NL"/>
        </w:rPr>
        <w:t>Module name</w:t>
      </w:r>
      <w:r w:rsidRPr="00C96081">
        <w:rPr>
          <w:rFonts w:ascii="Arial" w:hAnsi="Arial" w:cs="Arial"/>
          <w:sz w:val="22"/>
          <w:lang w:val="nl-NL"/>
        </w:rPr>
        <w:t xml:space="preserve">: </w:t>
      </w:r>
      <w:r w:rsidR="00887FBB" w:rsidRPr="00C96081">
        <w:rPr>
          <w:rFonts w:ascii="Arial" w:hAnsi="Arial" w:cs="Arial"/>
          <w:b/>
          <w:bCs/>
          <w:sz w:val="22"/>
          <w:lang w:val="nl-NL"/>
        </w:rPr>
        <w:t>Principles of Health and Social Care Practice</w:t>
      </w:r>
    </w:p>
    <w:p w14:paraId="3E48CEF6" w14:textId="34265016" w:rsidR="00887FBB" w:rsidRPr="00C96081" w:rsidRDefault="00887FBB" w:rsidP="001167BE">
      <w:pPr>
        <w:tabs>
          <w:tab w:val="left" w:pos="6540"/>
        </w:tabs>
        <w:spacing w:line="360" w:lineRule="auto"/>
        <w:rPr>
          <w:rFonts w:ascii="Arial" w:hAnsi="Arial" w:cs="Arial"/>
          <w:sz w:val="22"/>
          <w:lang w:val="nl-NL"/>
        </w:rPr>
      </w:pPr>
      <w:r w:rsidRPr="00C96081">
        <w:rPr>
          <w:rFonts w:ascii="Arial" w:hAnsi="Arial" w:cs="Arial"/>
          <w:b/>
          <w:bCs/>
          <w:sz w:val="22"/>
          <w:lang w:val="nl-NL"/>
        </w:rPr>
        <w:t>Component: 1</w:t>
      </w:r>
    </w:p>
    <w:p w14:paraId="7DB3261D" w14:textId="54EA5EAC" w:rsidR="00C558B0" w:rsidRPr="00C96081" w:rsidRDefault="00C558B0" w:rsidP="001167BE">
      <w:pPr>
        <w:tabs>
          <w:tab w:val="left" w:pos="6540"/>
        </w:tabs>
        <w:spacing w:line="360" w:lineRule="auto"/>
        <w:rPr>
          <w:rFonts w:ascii="Arial" w:hAnsi="Arial" w:cs="Arial"/>
          <w:sz w:val="22"/>
        </w:rPr>
      </w:pPr>
      <w:r w:rsidRPr="00C96081">
        <w:rPr>
          <w:rFonts w:ascii="Arial" w:hAnsi="Arial" w:cs="Arial"/>
          <w:b/>
          <w:bCs/>
          <w:sz w:val="22"/>
        </w:rPr>
        <w:t>Module code</w:t>
      </w:r>
      <w:r w:rsidRPr="00C96081">
        <w:rPr>
          <w:rFonts w:ascii="Arial" w:hAnsi="Arial" w:cs="Arial"/>
          <w:sz w:val="22"/>
        </w:rPr>
        <w:t>:</w:t>
      </w:r>
      <w:r w:rsidR="00887FBB" w:rsidRPr="00C96081">
        <w:rPr>
          <w:rFonts w:ascii="Arial" w:hAnsi="Arial" w:cs="Arial"/>
          <w:sz w:val="22"/>
        </w:rPr>
        <w:t xml:space="preserve"> </w:t>
      </w:r>
      <w:r w:rsidR="00887FBB" w:rsidRPr="00C96081">
        <w:rPr>
          <w:rFonts w:ascii="Arial" w:hAnsi="Arial" w:cs="Arial"/>
          <w:b/>
          <w:bCs/>
          <w:sz w:val="22"/>
        </w:rPr>
        <w:t xml:space="preserve">BMHP5016 </w:t>
      </w:r>
    </w:p>
    <w:p w14:paraId="5CCA350C" w14:textId="789FE66A" w:rsidR="00C558B0" w:rsidRPr="00C96081" w:rsidRDefault="00C558B0" w:rsidP="001167BE">
      <w:pPr>
        <w:tabs>
          <w:tab w:val="left" w:pos="6540"/>
        </w:tabs>
        <w:spacing w:line="360" w:lineRule="auto"/>
        <w:rPr>
          <w:rFonts w:ascii="Arial" w:hAnsi="Arial" w:cs="Arial"/>
          <w:sz w:val="22"/>
        </w:rPr>
      </w:pPr>
      <w:r w:rsidRPr="00C96081">
        <w:rPr>
          <w:rFonts w:ascii="Arial" w:hAnsi="Arial" w:cs="Arial"/>
          <w:b/>
          <w:bCs/>
          <w:sz w:val="22"/>
        </w:rPr>
        <w:t>Lecturer name</w:t>
      </w:r>
      <w:r w:rsidRPr="00C96081">
        <w:rPr>
          <w:rFonts w:ascii="Arial" w:hAnsi="Arial" w:cs="Arial"/>
          <w:sz w:val="22"/>
        </w:rPr>
        <w:t>:</w:t>
      </w:r>
      <w:r w:rsidR="000D59D3" w:rsidRPr="00C96081">
        <w:rPr>
          <w:rFonts w:ascii="Arial" w:hAnsi="Arial" w:cs="Arial"/>
          <w:sz w:val="22"/>
        </w:rPr>
        <w:t xml:space="preserve"> Dr </w:t>
      </w:r>
      <w:proofErr w:type="spellStart"/>
      <w:r w:rsidR="000D59D3" w:rsidRPr="00C96081">
        <w:rPr>
          <w:rFonts w:ascii="Arial" w:hAnsi="Arial" w:cs="Arial"/>
          <w:sz w:val="22"/>
        </w:rPr>
        <w:t>Itse</w:t>
      </w:r>
      <w:proofErr w:type="spellEnd"/>
      <w:r w:rsidR="000D59D3" w:rsidRPr="00C96081">
        <w:rPr>
          <w:rFonts w:ascii="Arial" w:hAnsi="Arial" w:cs="Arial"/>
          <w:sz w:val="22"/>
        </w:rPr>
        <w:t xml:space="preserve"> Olaoye </w:t>
      </w:r>
    </w:p>
    <w:p w14:paraId="5461F9C8" w14:textId="77777777" w:rsidR="00C558B0" w:rsidRPr="00C96081" w:rsidRDefault="00C558B0" w:rsidP="001167BE">
      <w:pPr>
        <w:tabs>
          <w:tab w:val="left" w:pos="6540"/>
        </w:tabs>
        <w:spacing w:line="360" w:lineRule="auto"/>
        <w:rPr>
          <w:rFonts w:ascii="Arial" w:hAnsi="Arial" w:cs="Arial"/>
          <w:sz w:val="22"/>
        </w:rPr>
      </w:pPr>
    </w:p>
    <w:p w14:paraId="79C715ED" w14:textId="16914D07" w:rsidR="006D2F2D" w:rsidRPr="00C96081" w:rsidRDefault="006D2F2D" w:rsidP="001167BE">
      <w:pPr>
        <w:spacing w:line="360" w:lineRule="auto"/>
        <w:rPr>
          <w:rFonts w:ascii="Arial" w:hAnsi="Arial" w:cs="Arial"/>
          <w:sz w:val="22"/>
        </w:rPr>
      </w:pPr>
      <w:r w:rsidRPr="00C96081">
        <w:rPr>
          <w:rFonts w:ascii="Arial" w:hAnsi="Arial" w:cs="Arial"/>
          <w:sz w:val="22"/>
        </w:rPr>
        <w:br w:type="page"/>
      </w:r>
    </w:p>
    <w:sdt>
      <w:sdtPr>
        <w:id w:val="63245318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378E19C" w14:textId="094E1071" w:rsidR="00FD7751" w:rsidRDefault="00FD7751">
          <w:pPr>
            <w:pStyle w:val="TOCHeading"/>
          </w:pPr>
          <w:r>
            <w:t>Contents</w:t>
          </w:r>
        </w:p>
        <w:p w14:paraId="50DDDD87" w14:textId="71988411" w:rsidR="00FD7751" w:rsidRDefault="00FD7751">
          <w:pPr>
            <w:pStyle w:val="TOC1"/>
            <w:tabs>
              <w:tab w:val="right" w:leader="dot" w:pos="9016"/>
            </w:tabs>
            <w:rPr>
              <w:noProof/>
            </w:rPr>
          </w:pPr>
          <w:r>
            <w:fldChar w:fldCharType="begin"/>
          </w:r>
          <w:r>
            <w:instrText xml:space="preserve"> TOC \o "1-3" \h \z \u </w:instrText>
          </w:r>
          <w:r>
            <w:fldChar w:fldCharType="separate"/>
          </w:r>
          <w:hyperlink w:anchor="_Toc235981720" w:history="1">
            <w:r w:rsidRPr="00DA009B">
              <w:rPr>
                <w:rStyle w:val="Hyperlink"/>
                <w:noProof/>
              </w:rPr>
              <w:t>Task 1:</w:t>
            </w:r>
            <w:r>
              <w:rPr>
                <w:noProof/>
                <w:webHidden/>
              </w:rPr>
              <w:tab/>
            </w:r>
            <w:r>
              <w:rPr>
                <w:noProof/>
                <w:webHidden/>
              </w:rPr>
              <w:fldChar w:fldCharType="begin"/>
            </w:r>
            <w:r>
              <w:rPr>
                <w:noProof/>
                <w:webHidden/>
              </w:rPr>
              <w:instrText xml:space="preserve"> PAGEREF _Toc235981720 \h </w:instrText>
            </w:r>
            <w:r>
              <w:rPr>
                <w:noProof/>
                <w:webHidden/>
              </w:rPr>
            </w:r>
            <w:r>
              <w:rPr>
                <w:noProof/>
                <w:webHidden/>
              </w:rPr>
              <w:fldChar w:fldCharType="separate"/>
            </w:r>
            <w:r>
              <w:rPr>
                <w:noProof/>
                <w:webHidden/>
              </w:rPr>
              <w:t>3</w:t>
            </w:r>
            <w:r>
              <w:rPr>
                <w:noProof/>
                <w:webHidden/>
              </w:rPr>
              <w:fldChar w:fldCharType="end"/>
            </w:r>
          </w:hyperlink>
        </w:p>
        <w:p w14:paraId="6A8859D5" w14:textId="0307EEA6" w:rsidR="00FD7751" w:rsidRDefault="00FD7751">
          <w:pPr>
            <w:pStyle w:val="TOC1"/>
            <w:tabs>
              <w:tab w:val="right" w:leader="dot" w:pos="9016"/>
            </w:tabs>
            <w:rPr>
              <w:noProof/>
            </w:rPr>
          </w:pPr>
          <w:hyperlink w:anchor="_Toc235981721" w:history="1">
            <w:r w:rsidRPr="00DA009B">
              <w:rPr>
                <w:rStyle w:val="Hyperlink"/>
                <w:noProof/>
              </w:rPr>
              <w:t>Task 2:</w:t>
            </w:r>
            <w:r>
              <w:rPr>
                <w:noProof/>
                <w:webHidden/>
              </w:rPr>
              <w:tab/>
            </w:r>
            <w:r>
              <w:rPr>
                <w:noProof/>
                <w:webHidden/>
              </w:rPr>
              <w:fldChar w:fldCharType="begin"/>
            </w:r>
            <w:r>
              <w:rPr>
                <w:noProof/>
                <w:webHidden/>
              </w:rPr>
              <w:instrText xml:space="preserve"> PAGEREF _Toc235981721 \h </w:instrText>
            </w:r>
            <w:r>
              <w:rPr>
                <w:noProof/>
                <w:webHidden/>
              </w:rPr>
            </w:r>
            <w:r>
              <w:rPr>
                <w:noProof/>
                <w:webHidden/>
              </w:rPr>
              <w:fldChar w:fldCharType="separate"/>
            </w:r>
            <w:r>
              <w:rPr>
                <w:noProof/>
                <w:webHidden/>
              </w:rPr>
              <w:t>4</w:t>
            </w:r>
            <w:r>
              <w:rPr>
                <w:noProof/>
                <w:webHidden/>
              </w:rPr>
              <w:fldChar w:fldCharType="end"/>
            </w:r>
          </w:hyperlink>
        </w:p>
        <w:p w14:paraId="0BEB3FC3" w14:textId="56B06790" w:rsidR="00FD7751" w:rsidRDefault="00FD7751">
          <w:pPr>
            <w:pStyle w:val="TOC1"/>
            <w:tabs>
              <w:tab w:val="right" w:leader="dot" w:pos="9016"/>
            </w:tabs>
            <w:rPr>
              <w:noProof/>
            </w:rPr>
          </w:pPr>
          <w:hyperlink w:anchor="_Toc235981722" w:history="1">
            <w:r w:rsidRPr="00DA009B">
              <w:rPr>
                <w:rStyle w:val="Hyperlink"/>
                <w:noProof/>
              </w:rPr>
              <w:t>Task 3:</w:t>
            </w:r>
            <w:r>
              <w:rPr>
                <w:noProof/>
                <w:webHidden/>
              </w:rPr>
              <w:tab/>
            </w:r>
            <w:r>
              <w:rPr>
                <w:noProof/>
                <w:webHidden/>
              </w:rPr>
              <w:fldChar w:fldCharType="begin"/>
            </w:r>
            <w:r>
              <w:rPr>
                <w:noProof/>
                <w:webHidden/>
              </w:rPr>
              <w:instrText xml:space="preserve"> PAGEREF _Toc235981722 \h </w:instrText>
            </w:r>
            <w:r>
              <w:rPr>
                <w:noProof/>
                <w:webHidden/>
              </w:rPr>
            </w:r>
            <w:r>
              <w:rPr>
                <w:noProof/>
                <w:webHidden/>
              </w:rPr>
              <w:fldChar w:fldCharType="separate"/>
            </w:r>
            <w:r>
              <w:rPr>
                <w:noProof/>
                <w:webHidden/>
              </w:rPr>
              <w:t>5</w:t>
            </w:r>
            <w:r>
              <w:rPr>
                <w:noProof/>
                <w:webHidden/>
              </w:rPr>
              <w:fldChar w:fldCharType="end"/>
            </w:r>
          </w:hyperlink>
        </w:p>
        <w:p w14:paraId="5AF9C739" w14:textId="3960343C" w:rsidR="00FD7751" w:rsidRDefault="00FD7751">
          <w:pPr>
            <w:pStyle w:val="TOC1"/>
            <w:tabs>
              <w:tab w:val="right" w:leader="dot" w:pos="9016"/>
            </w:tabs>
            <w:rPr>
              <w:noProof/>
            </w:rPr>
          </w:pPr>
          <w:hyperlink w:anchor="_Toc235981723" w:history="1">
            <w:r w:rsidRPr="00DA009B">
              <w:rPr>
                <w:rStyle w:val="Hyperlink"/>
                <w:noProof/>
              </w:rPr>
              <w:t>Conclusion</w:t>
            </w:r>
            <w:r>
              <w:rPr>
                <w:noProof/>
                <w:webHidden/>
              </w:rPr>
              <w:tab/>
            </w:r>
            <w:r>
              <w:rPr>
                <w:noProof/>
                <w:webHidden/>
              </w:rPr>
              <w:fldChar w:fldCharType="begin"/>
            </w:r>
            <w:r>
              <w:rPr>
                <w:noProof/>
                <w:webHidden/>
              </w:rPr>
              <w:instrText xml:space="preserve"> PAGEREF _Toc235981723 \h </w:instrText>
            </w:r>
            <w:r>
              <w:rPr>
                <w:noProof/>
                <w:webHidden/>
              </w:rPr>
            </w:r>
            <w:r>
              <w:rPr>
                <w:noProof/>
                <w:webHidden/>
              </w:rPr>
              <w:fldChar w:fldCharType="separate"/>
            </w:r>
            <w:r>
              <w:rPr>
                <w:noProof/>
                <w:webHidden/>
              </w:rPr>
              <w:t>8</w:t>
            </w:r>
            <w:r>
              <w:rPr>
                <w:noProof/>
                <w:webHidden/>
              </w:rPr>
              <w:fldChar w:fldCharType="end"/>
            </w:r>
          </w:hyperlink>
        </w:p>
        <w:p w14:paraId="3B5CB611" w14:textId="0FF3A1FE" w:rsidR="00FD7751" w:rsidRDefault="00FD7751">
          <w:pPr>
            <w:pStyle w:val="TOC1"/>
            <w:tabs>
              <w:tab w:val="right" w:leader="dot" w:pos="9016"/>
            </w:tabs>
            <w:rPr>
              <w:noProof/>
            </w:rPr>
          </w:pPr>
          <w:hyperlink w:anchor="_Toc235981724" w:history="1">
            <w:r w:rsidRPr="00DA009B">
              <w:rPr>
                <w:rStyle w:val="Hyperlink"/>
                <w:noProof/>
              </w:rPr>
              <w:t>References</w:t>
            </w:r>
            <w:r>
              <w:rPr>
                <w:noProof/>
                <w:webHidden/>
              </w:rPr>
              <w:tab/>
            </w:r>
            <w:r>
              <w:rPr>
                <w:noProof/>
                <w:webHidden/>
              </w:rPr>
              <w:fldChar w:fldCharType="begin"/>
            </w:r>
            <w:r>
              <w:rPr>
                <w:noProof/>
                <w:webHidden/>
              </w:rPr>
              <w:instrText xml:space="preserve"> PAGEREF _Toc235981724 \h </w:instrText>
            </w:r>
            <w:r>
              <w:rPr>
                <w:noProof/>
                <w:webHidden/>
              </w:rPr>
            </w:r>
            <w:r>
              <w:rPr>
                <w:noProof/>
                <w:webHidden/>
              </w:rPr>
              <w:fldChar w:fldCharType="separate"/>
            </w:r>
            <w:r>
              <w:rPr>
                <w:noProof/>
                <w:webHidden/>
              </w:rPr>
              <w:t>8</w:t>
            </w:r>
            <w:r>
              <w:rPr>
                <w:noProof/>
                <w:webHidden/>
              </w:rPr>
              <w:fldChar w:fldCharType="end"/>
            </w:r>
          </w:hyperlink>
        </w:p>
        <w:p w14:paraId="6F73E47A" w14:textId="109A44CC" w:rsidR="00FD7751" w:rsidRDefault="00FD7751">
          <w:r>
            <w:rPr>
              <w:b/>
              <w:bCs/>
              <w:noProof/>
            </w:rPr>
            <w:fldChar w:fldCharType="end"/>
          </w:r>
        </w:p>
      </w:sdtContent>
    </w:sdt>
    <w:p w14:paraId="3F5EB707" w14:textId="5303C6BE" w:rsidR="00124CE8" w:rsidRPr="00124CE8" w:rsidRDefault="00124CE8" w:rsidP="00124CE8">
      <w:pPr>
        <w:spacing w:line="360" w:lineRule="auto"/>
        <w:rPr>
          <w:rFonts w:ascii="Arial" w:hAnsi="Arial" w:cs="Arial"/>
          <w:b/>
          <w:bCs/>
          <w:sz w:val="22"/>
        </w:rPr>
      </w:pPr>
    </w:p>
    <w:p w14:paraId="3E447FB2" w14:textId="77777777" w:rsidR="00EA5EC0" w:rsidRPr="00EA5EC0" w:rsidRDefault="00EA5EC0" w:rsidP="00EA5EC0"/>
    <w:p w14:paraId="327B4649" w14:textId="77777777" w:rsidR="00B21FE6" w:rsidRPr="00C96081" w:rsidRDefault="00B21FE6" w:rsidP="001167BE">
      <w:pPr>
        <w:spacing w:line="360" w:lineRule="auto"/>
        <w:rPr>
          <w:rFonts w:ascii="Arial" w:hAnsi="Arial" w:cs="Arial"/>
          <w:sz w:val="22"/>
        </w:rPr>
      </w:pPr>
    </w:p>
    <w:p w14:paraId="388A7857" w14:textId="77777777" w:rsidR="00B21FE6" w:rsidRPr="00C96081" w:rsidRDefault="00B21FE6" w:rsidP="001167BE">
      <w:pPr>
        <w:spacing w:line="360" w:lineRule="auto"/>
        <w:rPr>
          <w:rFonts w:ascii="Arial" w:hAnsi="Arial" w:cs="Arial"/>
          <w:sz w:val="22"/>
        </w:rPr>
      </w:pPr>
    </w:p>
    <w:p w14:paraId="7381AAD5" w14:textId="77777777" w:rsidR="00B21FE6" w:rsidRPr="00C96081" w:rsidRDefault="00B21FE6" w:rsidP="001167BE">
      <w:pPr>
        <w:spacing w:line="360" w:lineRule="auto"/>
        <w:rPr>
          <w:rFonts w:ascii="Arial" w:hAnsi="Arial" w:cs="Arial"/>
          <w:sz w:val="22"/>
        </w:rPr>
      </w:pPr>
    </w:p>
    <w:p w14:paraId="6498F677" w14:textId="5B3425DF" w:rsidR="00B21FE6" w:rsidRPr="00C96081" w:rsidRDefault="00B21FE6" w:rsidP="001167BE">
      <w:pPr>
        <w:spacing w:line="360" w:lineRule="auto"/>
        <w:rPr>
          <w:rFonts w:ascii="Arial" w:hAnsi="Arial" w:cs="Arial"/>
          <w:sz w:val="22"/>
        </w:rPr>
      </w:pPr>
      <w:r w:rsidRPr="00C96081">
        <w:rPr>
          <w:rFonts w:ascii="Arial" w:hAnsi="Arial" w:cs="Arial"/>
          <w:sz w:val="22"/>
        </w:rPr>
        <w:br w:type="page"/>
      </w:r>
    </w:p>
    <w:p w14:paraId="3DFA326C" w14:textId="426D40DC" w:rsidR="009E778E" w:rsidRPr="00C96081" w:rsidRDefault="00A11336" w:rsidP="003F5F81">
      <w:pPr>
        <w:pStyle w:val="Heading1"/>
      </w:pPr>
      <w:bookmarkStart w:id="0" w:name="_Toc235981720"/>
      <w:r w:rsidRPr="00C96081">
        <w:lastRenderedPageBreak/>
        <w:t>Task 1:</w:t>
      </w:r>
      <w:bookmarkEnd w:id="0"/>
      <w:r w:rsidRPr="00C96081">
        <w:t xml:space="preserve"> </w:t>
      </w:r>
    </w:p>
    <w:p w14:paraId="518989E4" w14:textId="59BB10DC" w:rsidR="009E778E" w:rsidRPr="00C96081" w:rsidRDefault="00C60B7E" w:rsidP="00C60B7E">
      <w:pPr>
        <w:spacing w:after="0" w:line="360" w:lineRule="auto"/>
        <w:rPr>
          <w:rFonts w:ascii="Arial" w:eastAsia="Arial" w:hAnsi="Arial" w:cs="Arial"/>
          <w:sz w:val="22"/>
        </w:rPr>
      </w:pPr>
      <w:r w:rsidRPr="00C60B7E">
        <w:rPr>
          <w:rFonts w:ascii="Arial" w:hAnsi="Arial" w:cs="Arial"/>
          <w:color w:val="242424"/>
          <w:sz w:val="22"/>
          <w:shd w:val="clear" w:color="auto" w:fill="FFFFFF"/>
        </w:rPr>
        <w:t>The principles of person-centred care, partnership working and ethical practice are central to delivering effective care within the UK. These principles ensure individuals are treated with dignity, respect and compassion while encouraging professionals to work collaboratively and make informed decisions that place the individual’s needs first. The Care Act 2014 reinforces these principles by placing the service user’s wellbeing, choice and independence at the centre of care planning.</w:t>
      </w:r>
      <w:r w:rsidRPr="00C60B7E">
        <w:rPr>
          <w:rFonts w:ascii="Arial" w:hAnsi="Arial" w:cs="Arial"/>
          <w:color w:val="242424"/>
          <w:sz w:val="22"/>
        </w:rPr>
        <w:br/>
      </w:r>
      <w:r w:rsidRPr="00C60B7E">
        <w:rPr>
          <w:rFonts w:ascii="Arial" w:hAnsi="Arial" w:cs="Arial"/>
          <w:color w:val="242424"/>
          <w:sz w:val="22"/>
        </w:rPr>
        <w:br/>
      </w:r>
      <w:r w:rsidRPr="00C60B7E">
        <w:rPr>
          <w:rFonts w:ascii="Arial" w:hAnsi="Arial" w:cs="Arial"/>
          <w:color w:val="242424"/>
          <w:sz w:val="22"/>
          <w:shd w:val="clear" w:color="auto" w:fill="FFFFFF"/>
        </w:rPr>
        <w:t>Person-centred care is based on recognising that every individual has needs, preferences and life experiences. Health and social care professionals should involve individuals in planning and making decisions about their own care wherever possible, promoting dignity, independence and choice. Jobe, Lindberg and Engström (2020) argue that person-centred practice helps professionals understand what is important to the individual, making it easier to provide care that reflects their needs, preferences and personal circumstances. The principles of person-centred care can also be linked to Maslow’s Hierarchy of Needs, as meeting an individual’s physical, emotional and social needs is essential for supporting overall wellbeing.</w:t>
      </w:r>
      <w:r w:rsidRPr="00C60B7E">
        <w:rPr>
          <w:rFonts w:ascii="Arial" w:hAnsi="Arial" w:cs="Arial"/>
          <w:color w:val="242424"/>
          <w:sz w:val="22"/>
        </w:rPr>
        <w:br/>
      </w:r>
      <w:r w:rsidRPr="00C60B7E">
        <w:rPr>
          <w:rFonts w:ascii="Arial" w:hAnsi="Arial" w:cs="Arial"/>
          <w:color w:val="242424"/>
          <w:sz w:val="22"/>
        </w:rPr>
        <w:br/>
      </w:r>
      <w:r w:rsidRPr="00C60B7E">
        <w:rPr>
          <w:rFonts w:ascii="Arial" w:hAnsi="Arial" w:cs="Arial"/>
          <w:color w:val="242424"/>
          <w:sz w:val="22"/>
          <w:shd w:val="clear" w:color="auto" w:fill="FFFFFF"/>
        </w:rPr>
        <w:t>Partnership working is another essential principle within health and social care. It relies on professionals, organisations, individuals and their families working together to achieve the best possible outcomes. Good communication and shared decision-making allow professionals to combine their knowledge and skills, resulting in coordinated and effective care. Rivas et al. (2025) emphasise that meaningful partnership working is particularly important when supporting under-represented groups, as collaboration helps reduce health inequalities and ensures care reflects the needs of diverse communities. This is supported by the National Institute for Health and Care Excellence (2016), which highlights that effective communication and collaborative working are essential for providing coordinated, person-centred care for individuals with complex needs.</w:t>
      </w:r>
      <w:r w:rsidRPr="00C60B7E">
        <w:rPr>
          <w:rFonts w:ascii="Arial" w:hAnsi="Arial" w:cs="Arial"/>
          <w:color w:val="242424"/>
          <w:sz w:val="22"/>
        </w:rPr>
        <w:br/>
      </w:r>
      <w:r w:rsidRPr="00C60B7E">
        <w:rPr>
          <w:rFonts w:ascii="Arial" w:hAnsi="Arial" w:cs="Arial"/>
          <w:color w:val="242424"/>
          <w:sz w:val="22"/>
        </w:rPr>
        <w:br/>
      </w:r>
      <w:r w:rsidRPr="00C60B7E">
        <w:rPr>
          <w:rFonts w:ascii="Arial" w:hAnsi="Arial" w:cs="Arial"/>
          <w:color w:val="242424"/>
          <w:sz w:val="22"/>
          <w:shd w:val="clear" w:color="auto" w:fill="FFFFFF"/>
        </w:rPr>
        <w:t>Providing ethical care is also a key responsibility for health and social care professionals. It requires decisions that respect an individual’s rights while considering the principles of autonomy, beneficence, non-maleficence and justice. The Health and Care Professions Council (2024) states that professionals must act with honesty, integrity, compassion and respect, ensuring individuals’ rights, dignity and wellbeing remain central to decision-making.</w:t>
      </w:r>
      <w:r w:rsidRPr="00C60B7E">
        <w:rPr>
          <w:rFonts w:ascii="Arial" w:hAnsi="Arial" w:cs="Arial"/>
          <w:color w:val="242424"/>
          <w:sz w:val="22"/>
        </w:rPr>
        <w:br/>
      </w:r>
      <w:r w:rsidRPr="00C60B7E">
        <w:rPr>
          <w:rFonts w:ascii="Arial" w:hAnsi="Arial" w:cs="Arial"/>
          <w:color w:val="242424"/>
          <w:sz w:val="22"/>
        </w:rPr>
        <w:br/>
      </w:r>
      <w:r w:rsidRPr="00C60B7E">
        <w:rPr>
          <w:rFonts w:ascii="Arial" w:hAnsi="Arial" w:cs="Arial"/>
          <w:color w:val="242424"/>
          <w:sz w:val="22"/>
          <w:shd w:val="clear" w:color="auto" w:fill="FFFFFF"/>
        </w:rPr>
        <w:t xml:space="preserve">Overall, person-centred care, partnership working and ethical practice are closely connected and support the delivery of safe, compassionate and high-quality care. When applied </w:t>
      </w:r>
      <w:r w:rsidRPr="0031381B">
        <w:rPr>
          <w:rFonts w:ascii="Arial" w:hAnsi="Arial" w:cs="Arial"/>
          <w:color w:val="242424"/>
          <w:sz w:val="22"/>
          <w:shd w:val="clear" w:color="auto" w:fill="FFFFFF"/>
        </w:rPr>
        <w:lastRenderedPageBreak/>
        <w:t>effectively, they enable professionals to meet individual needs, improve collaboration and make ethical decisions that promote positive outcomes.</w:t>
      </w:r>
    </w:p>
    <w:p w14:paraId="0E77052B" w14:textId="77777777" w:rsidR="00A11336" w:rsidRPr="00C96081" w:rsidRDefault="00A11336" w:rsidP="00582677">
      <w:pPr>
        <w:spacing w:after="0" w:line="360" w:lineRule="auto"/>
        <w:rPr>
          <w:rFonts w:ascii="Arial" w:eastAsia="Arial" w:hAnsi="Arial" w:cs="Arial"/>
          <w:sz w:val="22"/>
        </w:rPr>
      </w:pPr>
    </w:p>
    <w:p w14:paraId="4047907E" w14:textId="75B75498" w:rsidR="00A11336" w:rsidRPr="00C96081" w:rsidRDefault="00A11336" w:rsidP="00CA491E">
      <w:pPr>
        <w:spacing w:after="0" w:line="360" w:lineRule="auto"/>
        <w:rPr>
          <w:rFonts w:ascii="Arial" w:eastAsia="Arial" w:hAnsi="Arial" w:cs="Arial"/>
          <w:b/>
          <w:bCs/>
          <w:sz w:val="22"/>
        </w:rPr>
      </w:pPr>
      <w:bookmarkStart w:id="1" w:name="_Toc235981721"/>
      <w:r w:rsidRPr="003F5F81">
        <w:rPr>
          <w:rStyle w:val="Heading1Char"/>
        </w:rPr>
        <w:t>Task 2:</w:t>
      </w:r>
      <w:bookmarkEnd w:id="1"/>
      <w:r w:rsidRPr="00C96081">
        <w:rPr>
          <w:rFonts w:ascii="Arial" w:eastAsia="Arial" w:hAnsi="Arial" w:cs="Arial"/>
          <w:b/>
          <w:bCs/>
          <w:sz w:val="22"/>
        </w:rPr>
        <w:t xml:space="preserve"> </w:t>
      </w:r>
      <w:r w:rsidR="00502AEF" w:rsidRPr="00CA491E">
        <w:rPr>
          <w:rFonts w:ascii="Arial" w:hAnsi="Arial" w:cs="Arial"/>
          <w:color w:val="242424"/>
          <w:sz w:val="22"/>
          <w:shd w:val="clear" w:color="auto" w:fill="FFFFFF"/>
        </w:rPr>
        <w:t>The principles of health and social care are important in ensuring people receive safe, effective and high-quality care. A qualitative study by Antonsen et al. (2024) shows how using a person-centred approach can improve both patients’ experiences and their health outcomes. The study explored the experiences of socially marginalised patients in hospital who were supported by specialist social nurses. By taking the time to understand each person’s circumstances, listening without judgement and building trusting relationships, the nurses helped patients feel respected, supported and more willing to engage with their care.</w:t>
      </w:r>
      <w:r w:rsidR="00502AEF" w:rsidRPr="00CA491E">
        <w:rPr>
          <w:rFonts w:ascii="Arial" w:hAnsi="Arial" w:cs="Arial"/>
          <w:color w:val="242424"/>
          <w:sz w:val="22"/>
        </w:rPr>
        <w:br/>
      </w:r>
      <w:r w:rsidR="00502AEF" w:rsidRPr="00CA491E">
        <w:rPr>
          <w:rFonts w:ascii="Arial" w:hAnsi="Arial" w:cs="Arial"/>
          <w:color w:val="242424"/>
          <w:sz w:val="22"/>
        </w:rPr>
        <w:br/>
      </w:r>
      <w:r w:rsidR="00502AEF" w:rsidRPr="00CA491E">
        <w:rPr>
          <w:rFonts w:ascii="Arial" w:hAnsi="Arial" w:cs="Arial"/>
          <w:color w:val="242424"/>
          <w:sz w:val="22"/>
          <w:shd w:val="clear" w:color="auto" w:fill="FFFFFF"/>
        </w:rPr>
        <w:t>One of the main principles shown in this study is person-centred care. McCormack et al. (2021) describe person-centred care as recognising people as individuals whose values, preferences and experiences should influence the care they receive. This means looking beyond a person’s condition and considering the wider factors that affect their health and wellbeing. In the study, the social nurses got to know each patient, listened without judgement and involved them in decisions about their care. As a result, patients felt valued and were more willing to engage with healthcare services, leading to a more positive experience (Health Foundation, 2016).</w:t>
      </w:r>
      <w:r w:rsidR="00502AEF" w:rsidRPr="00CA491E">
        <w:rPr>
          <w:rFonts w:ascii="Arial" w:hAnsi="Arial" w:cs="Arial"/>
          <w:color w:val="242424"/>
          <w:sz w:val="22"/>
        </w:rPr>
        <w:br/>
      </w:r>
      <w:r w:rsidR="00502AEF" w:rsidRPr="00CA491E">
        <w:rPr>
          <w:rFonts w:ascii="Arial" w:hAnsi="Arial" w:cs="Arial"/>
          <w:color w:val="242424"/>
          <w:sz w:val="22"/>
        </w:rPr>
        <w:br/>
      </w:r>
      <w:r w:rsidR="00502AEF" w:rsidRPr="00CA491E">
        <w:rPr>
          <w:rFonts w:ascii="Arial" w:hAnsi="Arial" w:cs="Arial"/>
          <w:color w:val="242424"/>
          <w:sz w:val="22"/>
          <w:shd w:val="clear" w:color="auto" w:fill="FFFFFF"/>
        </w:rPr>
        <w:t>Effective communication also played an important role throughout the study. Ratna (2019) explains that communication helps professionals understand people’s needs, build trust and involve them in decisions about their care. This was reflected in the way the social nurses listened carefully, showed empathy and created a safe environment where patients felt comfortable sharing their experiences. Because patients felt listened to and understood, they became more confident in the support they were receiving and remained engaged with their care.</w:t>
      </w:r>
      <w:r w:rsidR="00502AEF" w:rsidRPr="00CA491E">
        <w:rPr>
          <w:rFonts w:ascii="Arial" w:hAnsi="Arial" w:cs="Arial"/>
          <w:color w:val="242424"/>
          <w:sz w:val="22"/>
        </w:rPr>
        <w:br/>
      </w:r>
      <w:r w:rsidR="00502AEF" w:rsidRPr="00CA491E">
        <w:rPr>
          <w:rFonts w:ascii="Arial" w:hAnsi="Arial" w:cs="Arial"/>
          <w:color w:val="242424"/>
          <w:sz w:val="22"/>
        </w:rPr>
        <w:br/>
      </w:r>
      <w:r w:rsidR="00502AEF" w:rsidRPr="00CA491E">
        <w:rPr>
          <w:rFonts w:ascii="Arial" w:hAnsi="Arial" w:cs="Arial"/>
          <w:color w:val="242424"/>
          <w:sz w:val="22"/>
          <w:shd w:val="clear" w:color="auto" w:fill="FFFFFF"/>
        </w:rPr>
        <w:t xml:space="preserve">The study also highlights the importance of equality, diversity and inclusion. Many of the patients had experienced stigma and barriers to accessing healthcare because of their personal circumstances. Rather than using the same approach for everyone, the social nurses adapted their support to meet </w:t>
      </w:r>
      <w:r w:rsidR="009C7243" w:rsidRPr="00CA491E">
        <w:rPr>
          <w:rFonts w:ascii="Arial" w:hAnsi="Arial" w:cs="Arial"/>
          <w:color w:val="242424"/>
          <w:sz w:val="22"/>
          <w:shd w:val="clear" w:color="auto" w:fill="FFFFFF"/>
        </w:rPr>
        <w:t>everyone’s</w:t>
      </w:r>
      <w:r w:rsidR="00502AEF" w:rsidRPr="00CA491E">
        <w:rPr>
          <w:rFonts w:ascii="Arial" w:hAnsi="Arial" w:cs="Arial"/>
          <w:color w:val="242424"/>
          <w:sz w:val="22"/>
          <w:shd w:val="clear" w:color="auto" w:fill="FFFFFF"/>
        </w:rPr>
        <w:t xml:space="preserve"> needs. The Equality Act (2010) promotes equal treatment and protects individuals from discrimination, helping to ensure everyone has fair access to healthcare services. By recognising the barriers these patients faced and tailoring the support they provided, the professionals created a more inclusive experience </w:t>
      </w:r>
      <w:r w:rsidR="00502AEF" w:rsidRPr="00CA491E">
        <w:rPr>
          <w:rFonts w:ascii="Arial" w:hAnsi="Arial" w:cs="Arial"/>
          <w:color w:val="242424"/>
          <w:sz w:val="22"/>
          <w:shd w:val="clear" w:color="auto" w:fill="FFFFFF"/>
        </w:rPr>
        <w:lastRenderedPageBreak/>
        <w:t>and improved the quality of care.</w:t>
      </w:r>
      <w:r w:rsidR="00502AEF" w:rsidRPr="00CA491E">
        <w:rPr>
          <w:rFonts w:ascii="Arial" w:hAnsi="Arial" w:cs="Arial"/>
          <w:color w:val="242424"/>
          <w:sz w:val="22"/>
        </w:rPr>
        <w:br/>
      </w:r>
      <w:r w:rsidR="00502AEF" w:rsidRPr="00CA491E">
        <w:rPr>
          <w:rFonts w:ascii="Arial" w:hAnsi="Arial" w:cs="Arial"/>
          <w:color w:val="242424"/>
          <w:sz w:val="22"/>
        </w:rPr>
        <w:br/>
      </w:r>
      <w:r w:rsidR="00502AEF" w:rsidRPr="00CA491E">
        <w:rPr>
          <w:rFonts w:ascii="Arial" w:hAnsi="Arial" w:cs="Arial"/>
          <w:color w:val="242424"/>
          <w:sz w:val="22"/>
          <w:shd w:val="clear" w:color="auto" w:fill="FFFFFF"/>
        </w:rPr>
        <w:t xml:space="preserve">Overall, this case study demonstrates how applying the principles of health and social care can positively influence the care people receive. Taking the time to understand </w:t>
      </w:r>
      <w:r w:rsidR="0031445E" w:rsidRPr="00CA491E">
        <w:rPr>
          <w:rFonts w:ascii="Arial" w:hAnsi="Arial" w:cs="Arial"/>
          <w:color w:val="242424"/>
          <w:sz w:val="22"/>
          <w:shd w:val="clear" w:color="auto" w:fill="FFFFFF"/>
        </w:rPr>
        <w:t>everyone</w:t>
      </w:r>
      <w:r w:rsidR="00502AEF" w:rsidRPr="00CA491E">
        <w:rPr>
          <w:rFonts w:ascii="Arial" w:hAnsi="Arial" w:cs="Arial"/>
          <w:color w:val="242424"/>
          <w:sz w:val="22"/>
          <w:shd w:val="clear" w:color="auto" w:fill="FFFFFF"/>
        </w:rPr>
        <w:t>, communicate effectively and provide inclusive, person-centred support helped patients feel more involved in their care and encouraged better experiences within healthcare services</w:t>
      </w:r>
      <w:r w:rsidR="00502AEF">
        <w:rPr>
          <w:rFonts w:ascii="Segoe UI" w:hAnsi="Segoe UI" w:cs="Segoe UI"/>
          <w:color w:val="242424"/>
          <w:sz w:val="22"/>
          <w:shd w:val="clear" w:color="auto" w:fill="FFFFFF"/>
        </w:rPr>
        <w:t>.</w:t>
      </w:r>
    </w:p>
    <w:p w14:paraId="3DDDCA6F" w14:textId="3085B6C9" w:rsidR="00A11336" w:rsidRPr="003F5F81" w:rsidRDefault="00A11336" w:rsidP="003F5F81">
      <w:pPr>
        <w:pStyle w:val="Heading1"/>
      </w:pPr>
      <w:bookmarkStart w:id="2" w:name="_Toc235981722"/>
      <w:r w:rsidRPr="003F5F81">
        <w:t>Task 3:</w:t>
      </w:r>
      <w:bookmarkEnd w:id="2"/>
      <w:r w:rsidRPr="003F5F81">
        <w:t xml:space="preserve"> </w:t>
      </w:r>
    </w:p>
    <w:p w14:paraId="375EF3F4" w14:textId="6AE95554" w:rsidR="00B37332" w:rsidRDefault="00B37332" w:rsidP="00FD5760">
      <w:pPr>
        <w:spacing w:after="0" w:line="360" w:lineRule="auto"/>
        <w:rPr>
          <w:rFonts w:ascii="Arial" w:hAnsi="Arial" w:cs="Arial"/>
          <w:color w:val="242424"/>
          <w:sz w:val="22"/>
          <w:shd w:val="clear" w:color="auto" w:fill="FFFFFF"/>
        </w:rPr>
      </w:pPr>
      <w:r w:rsidRPr="00B37332">
        <w:rPr>
          <w:rFonts w:ascii="Arial" w:hAnsi="Arial" w:cs="Arial"/>
          <w:color w:val="242424"/>
          <w:sz w:val="22"/>
          <w:shd w:val="clear" w:color="auto" w:fill="FFFFFF"/>
        </w:rPr>
        <w:t>This reflection uses Gibbs’ Reflective Cycle (1988) to explore how completing the case study by Antonsen et al. (2024) has developed my understanding of person-centred care, effective communication, partnership working and ethical practice. It has also encouraged me to think about how these principles will influence my future practice as a children’s residential support worker and the type of professional I want to become.</w:t>
      </w:r>
      <w:r w:rsidRPr="00B37332">
        <w:rPr>
          <w:rFonts w:ascii="Arial" w:hAnsi="Arial" w:cs="Arial"/>
          <w:color w:val="242424"/>
          <w:sz w:val="22"/>
        </w:rPr>
        <w:br/>
      </w:r>
      <w:r w:rsidRPr="00B37332">
        <w:rPr>
          <w:rFonts w:ascii="Arial" w:hAnsi="Arial" w:cs="Arial"/>
          <w:color w:val="242424"/>
          <w:sz w:val="22"/>
        </w:rPr>
        <w:br/>
      </w:r>
      <w:r w:rsidRPr="00B37332">
        <w:rPr>
          <w:rFonts w:ascii="Arial" w:hAnsi="Arial" w:cs="Arial"/>
          <w:color w:val="242424"/>
          <w:sz w:val="22"/>
          <w:shd w:val="clear" w:color="auto" w:fill="FFFFFF"/>
        </w:rPr>
        <w:t xml:space="preserve">Before completing this assignment, I understood that person-centred care involved meeting an individual’s needs and involving them in decisions about their care. However, after analysing the case study by Antonsen et al. (2024), I realised that person-centred care goes much further than this. The experiences of the socially marginalised patients showed how previous experiences of stigma, discrimination and exclusion can affect </w:t>
      </w:r>
      <w:r w:rsidR="0070637F">
        <w:rPr>
          <w:rFonts w:ascii="Arial" w:hAnsi="Arial" w:cs="Arial"/>
          <w:color w:val="242424"/>
          <w:sz w:val="22"/>
          <w:shd w:val="clear" w:color="auto" w:fill="FFFFFF"/>
        </w:rPr>
        <w:t xml:space="preserve">somebody’s </w:t>
      </w:r>
      <w:r w:rsidRPr="00B37332">
        <w:rPr>
          <w:rFonts w:ascii="Arial" w:hAnsi="Arial" w:cs="Arial"/>
          <w:color w:val="242424"/>
          <w:sz w:val="22"/>
          <w:shd w:val="clear" w:color="auto" w:fill="FFFFFF"/>
        </w:rPr>
        <w:t>willingness to trust professionals or engage with support. This made me recognise that building trust takes time and cannot be achieved through a single interaction. Instead, it is developed by treating people with dignity, listening without judgement and respecting their experiences. McCormack et al. (2021) explain that person-centred practice focuses on understanding an individual’s values, preferences and life experiences. Reflecting on this has reinforced the importance of seeing the person first rather than focusing only on their circumstances or diagnosis.</w:t>
      </w:r>
      <w:r w:rsidRPr="00B37332">
        <w:rPr>
          <w:rFonts w:ascii="Arial" w:hAnsi="Arial" w:cs="Arial"/>
          <w:color w:val="242424"/>
          <w:sz w:val="22"/>
        </w:rPr>
        <w:br/>
      </w:r>
      <w:r w:rsidRPr="00B37332">
        <w:rPr>
          <w:rFonts w:ascii="Arial" w:hAnsi="Arial" w:cs="Arial"/>
          <w:color w:val="242424"/>
          <w:sz w:val="22"/>
        </w:rPr>
        <w:br/>
      </w:r>
      <w:r w:rsidRPr="00B37332">
        <w:rPr>
          <w:rFonts w:ascii="Arial" w:hAnsi="Arial" w:cs="Arial"/>
          <w:color w:val="242424"/>
          <w:sz w:val="22"/>
          <w:shd w:val="clear" w:color="auto" w:fill="FFFFFF"/>
        </w:rPr>
        <w:t>Using Gibbs’ Reflective Cycle (1988) encouraged me to think about how I would apply this in my own practice. If I was supporting a child or young person who had experienced trauma or had lost trust in professionals, I would take the time to build a positive relationship before expecting them to engage with support. I would make sure they felt listened to, involve them in decisions wherever appropriate and adapt my approach to meet their individual needs. Reflecting on the case study has helped me understand that building relationships is just as important as providing practical support. Without trust, it is much harder for professionals to achieve positive outcomes.</w:t>
      </w:r>
      <w:r w:rsidRPr="00B37332">
        <w:rPr>
          <w:rFonts w:ascii="Arial" w:hAnsi="Arial" w:cs="Arial"/>
          <w:color w:val="242424"/>
          <w:sz w:val="22"/>
        </w:rPr>
        <w:br/>
      </w:r>
      <w:r w:rsidRPr="00B37332">
        <w:rPr>
          <w:rFonts w:ascii="Arial" w:hAnsi="Arial" w:cs="Arial"/>
          <w:color w:val="242424"/>
          <w:sz w:val="22"/>
        </w:rPr>
        <w:br/>
      </w:r>
      <w:r w:rsidRPr="00B37332">
        <w:rPr>
          <w:rFonts w:ascii="Arial" w:hAnsi="Arial" w:cs="Arial"/>
          <w:color w:val="242424"/>
          <w:sz w:val="22"/>
          <w:shd w:val="clear" w:color="auto" w:fill="FFFFFF"/>
        </w:rPr>
        <w:t xml:space="preserve">The case study also developed my understanding of effective communication. Before </w:t>
      </w:r>
      <w:r w:rsidRPr="00B37332">
        <w:rPr>
          <w:rFonts w:ascii="Arial" w:hAnsi="Arial" w:cs="Arial"/>
          <w:color w:val="242424"/>
          <w:sz w:val="22"/>
          <w:shd w:val="clear" w:color="auto" w:fill="FFFFFF"/>
        </w:rPr>
        <w:lastRenderedPageBreak/>
        <w:t>studying this module, I thought communication was mainly about sharing information. I now understand that good communication also involves active listening, empathy and creating an environment where people feel comfortable expressing themselves. Ratna (2019) highlights that effective communication is essential for developing therapeutic relationships, and this was clearly demonstrated throughout the case study. The patients became more engaged with their care because they felt listened to and respected. This is supported by NICE (2021), which states that involving people in shared decision-making improves communication, engagement and the quality of care they receive.</w:t>
      </w:r>
      <w:r w:rsidRPr="00B37332">
        <w:rPr>
          <w:rFonts w:ascii="Arial" w:hAnsi="Arial" w:cs="Arial"/>
          <w:color w:val="242424"/>
          <w:sz w:val="22"/>
        </w:rPr>
        <w:br/>
      </w:r>
      <w:r w:rsidRPr="00B37332">
        <w:rPr>
          <w:rFonts w:ascii="Arial" w:hAnsi="Arial" w:cs="Arial"/>
          <w:color w:val="242424"/>
          <w:sz w:val="22"/>
        </w:rPr>
        <w:br/>
      </w:r>
      <w:r w:rsidRPr="00B37332">
        <w:rPr>
          <w:rFonts w:ascii="Arial" w:hAnsi="Arial" w:cs="Arial"/>
          <w:color w:val="242424"/>
          <w:sz w:val="22"/>
          <w:shd w:val="clear" w:color="auto" w:fill="FFFFFF"/>
        </w:rPr>
        <w:t>As a future children’s residential support worker, this has made me think more carefully about how I communicate with children and young people. Many children living in residential care have experienced abuse, neglect or instability and may find it difficult to trust adults. Because of this, I will need to communicate with patience, consistency and empathy while adapting my approach to meet each child’s individual needs. I now understand that the way professionals communicate can have a significant impact on whether a child feels safe, valued and willing to accept support.</w:t>
      </w:r>
      <w:r w:rsidRPr="00B37332">
        <w:rPr>
          <w:rFonts w:ascii="Arial" w:hAnsi="Arial" w:cs="Arial"/>
          <w:color w:val="242424"/>
          <w:sz w:val="22"/>
        </w:rPr>
        <w:br/>
      </w:r>
      <w:r w:rsidRPr="00B37332">
        <w:rPr>
          <w:rFonts w:ascii="Arial" w:hAnsi="Arial" w:cs="Arial"/>
          <w:color w:val="242424"/>
          <w:sz w:val="22"/>
        </w:rPr>
        <w:br/>
      </w:r>
      <w:r w:rsidRPr="00B37332">
        <w:rPr>
          <w:rFonts w:ascii="Arial" w:hAnsi="Arial" w:cs="Arial"/>
          <w:color w:val="242424"/>
          <w:sz w:val="22"/>
          <w:shd w:val="clear" w:color="auto" w:fill="FFFFFF"/>
        </w:rPr>
        <w:t>The case study also helped me appreciate how closely person-centred care, communication and partnership working are connected. The positive outcomes described by Antonsen et al. (2024) were achieved because professionals worked together while keeping the individual’s needs at the centre of every decision. This reflects the Health and Care Act (2022), which promotes integrated working across health and social care services to improve outcomes. Reflecting on this has shown me that no professional can meet every need alone. Working collaboratively, respecting each other’s knowledge and sharing information appropriately are all essential for providing safe and effective care.</w:t>
      </w:r>
    </w:p>
    <w:p w14:paraId="771A5BD2"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r w:rsidRPr="00613AF0">
        <w:rPr>
          <w:rFonts w:ascii="Arial" w:eastAsia="Times New Roman" w:hAnsi="Arial" w:cs="Arial"/>
          <w:color w:val="242424"/>
          <w:sz w:val="23"/>
          <w:szCs w:val="23"/>
          <w:lang w:eastAsia="en-GB"/>
        </w:rPr>
        <w:t>Reflecting on the case study also made me think more about the importance of ethical practice within health and social care. The way the professionals treated patients with dignity, respect and compassion showed how important it is to provide care that protects people’s rights regardless of their background or circumstances. This links closely to the Equality Act (2010), which aims to protect individuals from discrimination and promote equal access to services. Reading the case study made me reflect on my own values and how they could influence the way I work. I have realised that it is important to remain open-minded, avoid making assumptions and treat every individual fairly. As a future children’s residential support worker, I want every child to feel listened to, respected and valued, no matter what they have experienced before coming into care.</w:t>
      </w:r>
    </w:p>
    <w:p w14:paraId="4941779B"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p>
    <w:p w14:paraId="6F9659EF"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r w:rsidRPr="00613AF0">
        <w:rPr>
          <w:rFonts w:ascii="Arial" w:eastAsia="Times New Roman" w:hAnsi="Arial" w:cs="Arial"/>
          <w:color w:val="242424"/>
          <w:sz w:val="23"/>
          <w:szCs w:val="23"/>
          <w:lang w:eastAsia="en-GB"/>
        </w:rPr>
        <w:lastRenderedPageBreak/>
        <w:t xml:space="preserve">Completing this assignment has also helped me identify both my strengths and the areas I still need to develop. One of my strengths is building positive relationships by showing empathy, patience and understanding. I believe these qualities are especially important when working with children and young people because many may have experienced trauma, neglect or unstable family relationships. The case study reinforced that trust cannot be rushed and that professionals need to be consistent if they want individuals to feel safe enough to engage with support. McCormack et al. (2021) explain that person-centred care is built around understanding </w:t>
      </w:r>
      <w:proofErr w:type="gramStart"/>
      <w:r w:rsidRPr="00613AF0">
        <w:rPr>
          <w:rFonts w:ascii="Arial" w:eastAsia="Times New Roman" w:hAnsi="Arial" w:cs="Arial"/>
          <w:color w:val="242424"/>
          <w:sz w:val="23"/>
          <w:szCs w:val="23"/>
          <w:lang w:eastAsia="en-GB"/>
        </w:rPr>
        <w:t>each individual’s</w:t>
      </w:r>
      <w:proofErr w:type="gramEnd"/>
      <w:r w:rsidRPr="00613AF0">
        <w:rPr>
          <w:rFonts w:ascii="Arial" w:eastAsia="Times New Roman" w:hAnsi="Arial" w:cs="Arial"/>
          <w:color w:val="242424"/>
          <w:sz w:val="23"/>
          <w:szCs w:val="23"/>
          <w:lang w:eastAsia="en-GB"/>
        </w:rPr>
        <w:t xml:space="preserve"> experiences and preferences, which has reinforced the importance of adapting my approach to meet each child’s needs rather than expecting every child to respond in the same way.</w:t>
      </w:r>
    </w:p>
    <w:p w14:paraId="760523DA"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p>
    <w:p w14:paraId="3E3D501E"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r w:rsidRPr="00613AF0">
        <w:rPr>
          <w:rFonts w:ascii="Arial" w:eastAsia="Times New Roman" w:hAnsi="Arial" w:cs="Arial"/>
          <w:color w:val="242424"/>
          <w:sz w:val="23"/>
          <w:szCs w:val="23"/>
          <w:lang w:eastAsia="en-GB"/>
        </w:rPr>
        <w:t>At the same time, I recognise that there are areas where I need to continue developing. Although I understand the importance of challenging poor practice and speaking up for vulnerable individuals, I know that this is something I will become more confident with through experience. It can be difficult to challenge more experienced professionals, but I understand that safeguarding children and promoting their wellbeing must always come first. </w:t>
      </w:r>
      <w:r w:rsidRPr="00613AF0">
        <w:rPr>
          <w:rFonts w:ascii="Arial" w:eastAsia="Times New Roman" w:hAnsi="Arial" w:cs="Arial"/>
          <w:i/>
          <w:iCs/>
          <w:color w:val="242424"/>
          <w:sz w:val="23"/>
          <w:szCs w:val="23"/>
          <w:lang w:eastAsia="en-GB"/>
        </w:rPr>
        <w:t>Working Together to Safeguard Children</w:t>
      </w:r>
      <w:r w:rsidRPr="00613AF0">
        <w:rPr>
          <w:rFonts w:ascii="Arial" w:eastAsia="Times New Roman" w:hAnsi="Arial" w:cs="Arial"/>
          <w:color w:val="242424"/>
          <w:sz w:val="23"/>
          <w:szCs w:val="23"/>
          <w:lang w:eastAsia="en-GB"/>
        </w:rPr>
        <w:t xml:space="preserve"> (Department for Education, 2023) explains that safeguarding is everyone’s responsibility and that professionals must work together, share information appropriately and </w:t>
      </w:r>
      <w:proofErr w:type="gramStart"/>
      <w:r w:rsidRPr="00613AF0">
        <w:rPr>
          <w:rFonts w:ascii="Arial" w:eastAsia="Times New Roman" w:hAnsi="Arial" w:cs="Arial"/>
          <w:color w:val="242424"/>
          <w:sz w:val="23"/>
          <w:szCs w:val="23"/>
          <w:lang w:eastAsia="en-GB"/>
        </w:rPr>
        <w:t>take action</w:t>
      </w:r>
      <w:proofErr w:type="gramEnd"/>
      <w:r w:rsidRPr="00613AF0">
        <w:rPr>
          <w:rFonts w:ascii="Arial" w:eastAsia="Times New Roman" w:hAnsi="Arial" w:cs="Arial"/>
          <w:color w:val="242424"/>
          <w:sz w:val="23"/>
          <w:szCs w:val="23"/>
          <w:lang w:eastAsia="en-GB"/>
        </w:rPr>
        <w:t xml:space="preserve"> whenever there are concerns about a child’s welfare. Reflecting on this has made me realise that being a good practitioner sometimes means having difficult conversations if it helps to protect a child.</w:t>
      </w:r>
    </w:p>
    <w:p w14:paraId="5137545B" w14:textId="77777777"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p>
    <w:p w14:paraId="52AC0F82" w14:textId="36BB3581" w:rsidR="00613AF0" w:rsidRP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r w:rsidRPr="00613AF0">
        <w:rPr>
          <w:rFonts w:ascii="Arial" w:eastAsia="Times New Roman" w:hAnsi="Arial" w:cs="Arial"/>
          <w:color w:val="242424"/>
          <w:sz w:val="23"/>
          <w:szCs w:val="23"/>
          <w:lang w:eastAsia="en-GB"/>
        </w:rPr>
        <w:t xml:space="preserve">I also understand that becoming a good practitioner is an ongoing learning process. Health and social care </w:t>
      </w:r>
      <w:r w:rsidR="009C7243" w:rsidRPr="00613AF0">
        <w:rPr>
          <w:rFonts w:ascii="Arial" w:eastAsia="Times New Roman" w:hAnsi="Arial" w:cs="Arial"/>
          <w:color w:val="242424"/>
          <w:sz w:val="23"/>
          <w:szCs w:val="23"/>
          <w:lang w:eastAsia="en-GB"/>
        </w:rPr>
        <w:t>continue</w:t>
      </w:r>
      <w:r w:rsidRPr="00613AF0">
        <w:rPr>
          <w:rFonts w:ascii="Arial" w:eastAsia="Times New Roman" w:hAnsi="Arial" w:cs="Arial"/>
          <w:color w:val="242424"/>
          <w:sz w:val="23"/>
          <w:szCs w:val="23"/>
          <w:lang w:eastAsia="en-GB"/>
        </w:rPr>
        <w:t xml:space="preserve"> to change through new legislation, research and professional guidance, so it is important that I keep developing my knowledge throughout my career. To do this, I plan to take part in continuing professional development (CPD) by attending training, reading current evidence-based research and keeping up to date with changes in legislation. I also intend to continue using Gibbs’ Reflective Cycle (1988) throughout my career because regular reflection will help me recognise what has gone well, identify areas where I can improve and continue developing my professional practice.</w:t>
      </w:r>
    </w:p>
    <w:p w14:paraId="2DDBD002" w14:textId="77777777" w:rsidR="00613AF0" w:rsidRPr="00613AF0" w:rsidRDefault="00613AF0" w:rsidP="00613AF0">
      <w:pPr>
        <w:shd w:val="clear" w:color="auto" w:fill="FFFFFF"/>
        <w:spacing w:after="0" w:line="240" w:lineRule="auto"/>
        <w:textAlignment w:val="baseline"/>
        <w:rPr>
          <w:rFonts w:ascii="Arial" w:eastAsia="Times New Roman" w:hAnsi="Arial" w:cs="Arial"/>
          <w:color w:val="242424"/>
          <w:sz w:val="23"/>
          <w:szCs w:val="23"/>
          <w:lang w:eastAsia="en-GB"/>
        </w:rPr>
      </w:pPr>
    </w:p>
    <w:p w14:paraId="64C7B823" w14:textId="77777777" w:rsidR="00613AF0" w:rsidRDefault="00613AF0" w:rsidP="00FD5760">
      <w:pPr>
        <w:shd w:val="clear" w:color="auto" w:fill="FFFFFF"/>
        <w:spacing w:after="0" w:line="360" w:lineRule="auto"/>
        <w:textAlignment w:val="baseline"/>
        <w:rPr>
          <w:rFonts w:ascii="Arial" w:eastAsia="Times New Roman" w:hAnsi="Arial" w:cs="Arial"/>
          <w:color w:val="242424"/>
          <w:sz w:val="23"/>
          <w:szCs w:val="23"/>
          <w:lang w:eastAsia="en-GB"/>
        </w:rPr>
      </w:pPr>
      <w:r w:rsidRPr="00613AF0">
        <w:rPr>
          <w:rFonts w:ascii="Arial" w:eastAsia="Times New Roman" w:hAnsi="Arial" w:cs="Arial"/>
          <w:color w:val="242424"/>
          <w:sz w:val="23"/>
          <w:szCs w:val="23"/>
          <w:lang w:eastAsia="en-GB"/>
        </w:rPr>
        <w:t xml:space="preserve">Overall, completing this reflection has helped me understand that being an effective health and social care professional is about much more than having the right knowledge. It also involves treating people with dignity, communicating effectively, working well with </w:t>
      </w:r>
      <w:r w:rsidRPr="00613AF0">
        <w:rPr>
          <w:rFonts w:ascii="Arial" w:eastAsia="Times New Roman" w:hAnsi="Arial" w:cs="Arial"/>
          <w:color w:val="242424"/>
          <w:sz w:val="23"/>
          <w:szCs w:val="23"/>
          <w:lang w:eastAsia="en-GB"/>
        </w:rPr>
        <w:lastRenderedPageBreak/>
        <w:t>other professionals and reflecting on practice to improve the care provided. Looking back at the case study by Antonsen et al. (2024), I feel more confident in my understanding of the principles that will guide my future practice. Although I know I still have more to learn, I am committed to continuing my professional development and providing compassionate, person-centred care that promotes the safety, wellbeing and best interests of every child I support.</w:t>
      </w:r>
    </w:p>
    <w:p w14:paraId="7B4376B0" w14:textId="77777777" w:rsidR="00985C79" w:rsidRPr="00613AF0" w:rsidRDefault="00985C79" w:rsidP="00FD5760">
      <w:pPr>
        <w:shd w:val="clear" w:color="auto" w:fill="FFFFFF"/>
        <w:spacing w:after="0" w:line="360" w:lineRule="auto"/>
        <w:textAlignment w:val="baseline"/>
        <w:rPr>
          <w:rFonts w:ascii="Arial" w:eastAsia="Times New Roman" w:hAnsi="Arial" w:cs="Arial"/>
          <w:color w:val="242424"/>
          <w:sz w:val="23"/>
          <w:szCs w:val="23"/>
          <w:lang w:eastAsia="en-GB"/>
        </w:rPr>
      </w:pPr>
    </w:p>
    <w:p w14:paraId="787C0A93" w14:textId="0487CEA3" w:rsidR="00613AF0" w:rsidRPr="00985C79" w:rsidRDefault="00985C79" w:rsidP="00985C79">
      <w:pPr>
        <w:pStyle w:val="Heading1"/>
        <w:rPr>
          <w:szCs w:val="22"/>
        </w:rPr>
      </w:pPr>
      <w:bookmarkStart w:id="3" w:name="_Toc235981723"/>
      <w:r w:rsidRPr="00985C79">
        <w:t>Conclusion</w:t>
      </w:r>
      <w:bookmarkEnd w:id="3"/>
      <w:r w:rsidRPr="00985C79">
        <w:t xml:space="preserve"> </w:t>
      </w:r>
    </w:p>
    <w:p w14:paraId="62434F1D" w14:textId="34018504" w:rsidR="0053785D" w:rsidRPr="00FD5760" w:rsidRDefault="0053785D" w:rsidP="00FD5760">
      <w:pPr>
        <w:spacing w:after="0" w:line="360" w:lineRule="auto"/>
        <w:rPr>
          <w:rFonts w:ascii="Arial" w:eastAsia="Times New Roman" w:hAnsi="Arial" w:cs="Arial"/>
          <w:sz w:val="23"/>
          <w:szCs w:val="23"/>
          <w:lang w:eastAsia="en-GB"/>
        </w:rPr>
      </w:pPr>
      <w:r w:rsidRPr="0053785D">
        <w:rPr>
          <w:rFonts w:ascii="Arial" w:eastAsia="Times New Roman" w:hAnsi="Arial" w:cs="Arial"/>
          <w:sz w:val="22"/>
          <w:lang w:eastAsia="en-GB"/>
        </w:rPr>
        <w:t xml:space="preserve"> </w:t>
      </w:r>
      <w:r w:rsidRPr="00FD5760">
        <w:rPr>
          <w:rFonts w:ascii="Arial" w:eastAsia="Times New Roman" w:hAnsi="Arial" w:cs="Arial"/>
          <w:sz w:val="23"/>
          <w:szCs w:val="23"/>
          <w:lang w:eastAsia="en-GB"/>
        </w:rPr>
        <w:t xml:space="preserve">In conclusion </w:t>
      </w:r>
      <w:r w:rsidRPr="00FD5760">
        <w:rPr>
          <w:rFonts w:ascii="Arial" w:eastAsia="Times New Roman" w:hAnsi="Arial" w:cs="Arial"/>
          <w:sz w:val="23"/>
          <w:szCs w:val="23"/>
          <w:lang w:eastAsia="en-GB"/>
        </w:rPr>
        <w:t xml:space="preserve">completing this assignment has helped me develop a much better understanding of the principles of person-centred care, partnership working and ethical practice, and how important they are in health and social care. Looking at the case study and reflecting on my own learning has </w:t>
      </w:r>
      <w:r w:rsidR="00302823">
        <w:rPr>
          <w:rFonts w:ascii="Arial" w:eastAsia="Times New Roman" w:hAnsi="Arial" w:cs="Arial"/>
          <w:sz w:val="23"/>
          <w:szCs w:val="23"/>
          <w:lang w:eastAsia="en-GB"/>
        </w:rPr>
        <w:t xml:space="preserve">shown me </w:t>
      </w:r>
      <w:r w:rsidRPr="00FD5760">
        <w:rPr>
          <w:rFonts w:ascii="Arial" w:eastAsia="Times New Roman" w:hAnsi="Arial" w:cs="Arial"/>
          <w:sz w:val="23"/>
          <w:szCs w:val="23"/>
          <w:lang w:eastAsia="en-GB"/>
        </w:rPr>
        <w:t>that providing good care is about meeting someone’s need</w:t>
      </w:r>
      <w:r w:rsidR="005D2986">
        <w:rPr>
          <w:rFonts w:ascii="Arial" w:eastAsia="Times New Roman" w:hAnsi="Arial" w:cs="Arial"/>
          <w:sz w:val="23"/>
          <w:szCs w:val="23"/>
          <w:lang w:eastAsia="en-GB"/>
        </w:rPr>
        <w:t>s,</w:t>
      </w:r>
      <w:r w:rsidRPr="00FD5760">
        <w:rPr>
          <w:rFonts w:ascii="Arial" w:eastAsia="Times New Roman" w:hAnsi="Arial" w:cs="Arial"/>
          <w:sz w:val="23"/>
          <w:szCs w:val="23"/>
          <w:lang w:eastAsia="en-GB"/>
        </w:rPr>
        <w:t xml:space="preserve"> </w:t>
      </w:r>
      <w:proofErr w:type="gramStart"/>
      <w:r w:rsidRPr="00FD5760">
        <w:rPr>
          <w:rFonts w:ascii="Arial" w:eastAsia="Times New Roman" w:hAnsi="Arial" w:cs="Arial"/>
          <w:sz w:val="23"/>
          <w:szCs w:val="23"/>
          <w:lang w:eastAsia="en-GB"/>
        </w:rPr>
        <w:t>It</w:t>
      </w:r>
      <w:proofErr w:type="gramEnd"/>
      <w:r w:rsidRPr="00FD5760">
        <w:rPr>
          <w:rFonts w:ascii="Arial" w:eastAsia="Times New Roman" w:hAnsi="Arial" w:cs="Arial"/>
          <w:sz w:val="23"/>
          <w:szCs w:val="23"/>
          <w:lang w:eastAsia="en-GB"/>
        </w:rPr>
        <w:t xml:space="preserve"> is about building trust, communicating effectively, treating people with dignity and working </w:t>
      </w:r>
      <w:r w:rsidR="00BD6A4F">
        <w:rPr>
          <w:rFonts w:ascii="Arial" w:eastAsia="Times New Roman" w:hAnsi="Arial" w:cs="Arial"/>
          <w:sz w:val="23"/>
          <w:szCs w:val="23"/>
          <w:lang w:eastAsia="en-GB"/>
        </w:rPr>
        <w:t>wit</w:t>
      </w:r>
      <w:r w:rsidR="00544D99">
        <w:rPr>
          <w:rFonts w:ascii="Arial" w:eastAsia="Times New Roman" w:hAnsi="Arial" w:cs="Arial"/>
          <w:sz w:val="23"/>
          <w:szCs w:val="23"/>
          <w:lang w:eastAsia="en-GB"/>
        </w:rPr>
        <w:t>h</w:t>
      </w:r>
      <w:r w:rsidRPr="00FD5760">
        <w:rPr>
          <w:rFonts w:ascii="Arial" w:eastAsia="Times New Roman" w:hAnsi="Arial" w:cs="Arial"/>
          <w:sz w:val="23"/>
          <w:szCs w:val="23"/>
          <w:lang w:eastAsia="en-GB"/>
        </w:rPr>
        <w:t xml:space="preserve"> other professionals to achieve the best outcomes. I know I still have areas to develop, but this assignment has given me more confidence in the values and skills I will need as a future children’s residential support worker. I will continue to build on my knowledge and use reflection to improve my practice, so I can provide safe, compassionate and person-centred care for every child I support.</w:t>
      </w:r>
    </w:p>
    <w:p w14:paraId="280D0B57" w14:textId="77777777" w:rsidR="00166231" w:rsidRPr="0053785D" w:rsidRDefault="00166231" w:rsidP="00F157F4">
      <w:pPr>
        <w:spacing w:after="0" w:line="360" w:lineRule="auto"/>
        <w:rPr>
          <w:rFonts w:ascii="Arial" w:eastAsia="Arial" w:hAnsi="Arial" w:cs="Arial"/>
          <w:b/>
          <w:bCs/>
          <w:sz w:val="22"/>
        </w:rPr>
      </w:pPr>
    </w:p>
    <w:p w14:paraId="5A789721" w14:textId="468D4BEB" w:rsidR="006D2F2D" w:rsidRPr="001D345E" w:rsidRDefault="006D2F2D" w:rsidP="00DB5F7C">
      <w:pPr>
        <w:pStyle w:val="Heading1"/>
      </w:pPr>
      <w:bookmarkStart w:id="4" w:name="_Toc235981724"/>
      <w:r w:rsidRPr="001D345E">
        <w:t>Reference</w:t>
      </w:r>
      <w:r w:rsidR="001D345E" w:rsidRPr="001D345E">
        <w:t>s</w:t>
      </w:r>
      <w:bookmarkEnd w:id="4"/>
    </w:p>
    <w:p w14:paraId="7A0A7205" w14:textId="55A5A19D"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Pr>
          <w:rFonts w:ascii="Arial" w:eastAsia="Times New Roman" w:hAnsi="Arial" w:cs="Arial"/>
          <w:color w:val="242424"/>
          <w:sz w:val="23"/>
          <w:szCs w:val="23"/>
          <w:lang w:eastAsia="en-GB"/>
        </w:rPr>
        <w:fldChar w:fldCharType="begin"/>
      </w:r>
      <w:r w:rsidR="000835A3">
        <w:rPr>
          <w:rFonts w:ascii="Arial" w:eastAsia="Times New Roman" w:hAnsi="Arial" w:cs="Arial"/>
          <w:color w:val="242424"/>
          <w:sz w:val="23"/>
          <w:szCs w:val="23"/>
          <w:lang w:eastAsia="en-GB"/>
        </w:rPr>
        <w:instrText>HYPERLINK "https://d.docs.live.net/5f3b0524e35e3aba/Documents/Antonsen, L.K., Lassen, A.T., Nielsen, D. and Østervang, C. (2024) ‘Receiving person-centred care in a hospital—A qualitative study of socially marginalised patients’ experiences of social nursing’, Scandinavian Journal of Caring Sciences, 38(1), pp. 220–230. Available at: https:/doi.org/10.1111/scs.13212 (Accessed: 3 July 2026)."</w:instrText>
      </w:r>
      <w:r w:rsidR="000835A3">
        <w:rPr>
          <w:rFonts w:ascii="Arial" w:eastAsia="Times New Roman" w:hAnsi="Arial" w:cs="Arial"/>
          <w:color w:val="242424"/>
          <w:sz w:val="23"/>
          <w:szCs w:val="23"/>
          <w:lang w:eastAsia="en-GB"/>
        </w:rPr>
      </w:r>
      <w:r>
        <w:rPr>
          <w:rFonts w:ascii="Arial" w:eastAsia="Times New Roman" w:hAnsi="Arial" w:cs="Arial"/>
          <w:color w:val="242424"/>
          <w:sz w:val="23"/>
          <w:szCs w:val="23"/>
          <w:lang w:eastAsia="en-GB"/>
        </w:rPr>
        <w:fldChar w:fldCharType="separate"/>
      </w:r>
      <w:r w:rsidRPr="00C61392">
        <w:rPr>
          <w:rStyle w:val="Hyperlink"/>
          <w:rFonts w:ascii="Arial" w:eastAsia="Times New Roman" w:hAnsi="Arial" w:cs="Arial"/>
          <w:sz w:val="23"/>
          <w:szCs w:val="23"/>
          <w:lang w:eastAsia="en-GB"/>
        </w:rPr>
        <w:t>Antonsen, L.K., Lassen, A.T., Nielsen, D. and Østervang, C. (2024) ‘Receiving person-centred care in a hospital—A qualitative study of socially marginalised patients’ experiences of social nursing’, </w:t>
      </w:r>
      <w:r w:rsidRPr="00C61392">
        <w:rPr>
          <w:rStyle w:val="Hyperlink"/>
          <w:rFonts w:ascii="Arial" w:eastAsia="Times New Roman" w:hAnsi="Arial" w:cs="Arial"/>
          <w:i/>
          <w:iCs/>
          <w:sz w:val="23"/>
          <w:szCs w:val="23"/>
          <w:lang w:eastAsia="en-GB"/>
        </w:rPr>
        <w:t>Scandinavian Journal of Caring Sciences</w:t>
      </w:r>
      <w:r w:rsidRPr="00C61392">
        <w:rPr>
          <w:rStyle w:val="Hyperlink"/>
          <w:rFonts w:ascii="Arial" w:eastAsia="Times New Roman" w:hAnsi="Arial" w:cs="Arial"/>
          <w:sz w:val="23"/>
          <w:szCs w:val="23"/>
          <w:lang w:eastAsia="en-GB"/>
        </w:rPr>
        <w:t>, 38(1), pp. 220–230. Available at: https://doi.org/10.1111/scs.13212 (Accessed: 3 July 2026).</w:t>
      </w:r>
    </w:p>
    <w:p w14:paraId="7DC5132A"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0C7D1B16"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Care Act 2014. c.23. London: The Stationery Office. Available at: https://www.legislation.gov.uk/ukpga/2014/23/contents (Accessed: 3 July 2026).</w:t>
      </w:r>
    </w:p>
    <w:p w14:paraId="3684D2F7"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209E1B82"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Department for Education (2023) </w:t>
      </w:r>
      <w:r w:rsidRPr="00C61392">
        <w:rPr>
          <w:rStyle w:val="Hyperlink"/>
          <w:rFonts w:ascii="Arial" w:eastAsia="Times New Roman" w:hAnsi="Arial" w:cs="Arial"/>
          <w:i/>
          <w:iCs/>
          <w:sz w:val="23"/>
          <w:szCs w:val="23"/>
          <w:lang w:eastAsia="en-GB"/>
        </w:rPr>
        <w:t>Working Together to Safeguard Children: A guide to multi-agency working to help, protect and promote the welfare of children</w:t>
      </w:r>
      <w:r w:rsidRPr="00C61392">
        <w:rPr>
          <w:rStyle w:val="Hyperlink"/>
          <w:rFonts w:ascii="Arial" w:eastAsia="Times New Roman" w:hAnsi="Arial" w:cs="Arial"/>
          <w:sz w:val="23"/>
          <w:szCs w:val="23"/>
          <w:lang w:eastAsia="en-GB"/>
        </w:rPr>
        <w:t>. London: Department for Education. Available at: https://www.gov.uk/government/publications/working-together-to-safeguard-children–2 (Accessed: 3 July 2026).</w:t>
      </w:r>
    </w:p>
    <w:p w14:paraId="6C921288"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3ADDD01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Equality Act 2010. c.15. London: The Stationery Office. Available at: https://www.legislation.gov.uk/ukpga/2010/15/contents (Accessed: 3 July 2026).</w:t>
      </w:r>
    </w:p>
    <w:p w14:paraId="6A85A0CE"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2376E87D"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Gibbs, G. (1988) </w:t>
      </w:r>
      <w:r w:rsidRPr="00C61392">
        <w:rPr>
          <w:rStyle w:val="Hyperlink"/>
          <w:rFonts w:ascii="Arial" w:eastAsia="Times New Roman" w:hAnsi="Arial" w:cs="Arial"/>
          <w:i/>
          <w:iCs/>
          <w:sz w:val="23"/>
          <w:szCs w:val="23"/>
          <w:lang w:eastAsia="en-GB"/>
        </w:rPr>
        <w:t>Learning by Doing: A Guide to Teaching and Learning Methods</w:t>
      </w:r>
      <w:r w:rsidRPr="00C61392">
        <w:rPr>
          <w:rStyle w:val="Hyperlink"/>
          <w:rFonts w:ascii="Arial" w:eastAsia="Times New Roman" w:hAnsi="Arial" w:cs="Arial"/>
          <w:sz w:val="23"/>
          <w:szCs w:val="23"/>
          <w:lang w:eastAsia="en-GB"/>
        </w:rPr>
        <w:t>. Oxford: Oxford Polytechnic.</w:t>
      </w:r>
    </w:p>
    <w:p w14:paraId="23C1BB3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5A38ACA2"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lastRenderedPageBreak/>
        <w:t>Health and Care Act 2022. c.31. London: The Stationery Office. Available at: https://www.legislation.gov.uk/ukpga/2022/31/contents (Accessed: 3 July 2026).</w:t>
      </w:r>
    </w:p>
    <w:p w14:paraId="4B43B9C3"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003A51C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Health and Care Professions Council (2024) </w:t>
      </w:r>
      <w:r w:rsidRPr="00C61392">
        <w:rPr>
          <w:rStyle w:val="Hyperlink"/>
          <w:rFonts w:ascii="Arial" w:eastAsia="Times New Roman" w:hAnsi="Arial" w:cs="Arial"/>
          <w:i/>
          <w:iCs/>
          <w:sz w:val="23"/>
          <w:szCs w:val="23"/>
          <w:lang w:eastAsia="en-GB"/>
        </w:rPr>
        <w:t>Standards of conduct, performance and ethics</w:t>
      </w:r>
      <w:r w:rsidRPr="00C61392">
        <w:rPr>
          <w:rStyle w:val="Hyperlink"/>
          <w:rFonts w:ascii="Arial" w:eastAsia="Times New Roman" w:hAnsi="Arial" w:cs="Arial"/>
          <w:sz w:val="23"/>
          <w:szCs w:val="23"/>
          <w:lang w:eastAsia="en-GB"/>
        </w:rPr>
        <w:t>. Available at: https://www.hcpc-uk.org/standards/standards-of-conduct-performance-and-ethics/ (Accessed: 3 July 2026).</w:t>
      </w:r>
    </w:p>
    <w:p w14:paraId="5860BE6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127621B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Health Foundation (2016) </w:t>
      </w:r>
      <w:r w:rsidRPr="00C61392">
        <w:rPr>
          <w:rStyle w:val="Hyperlink"/>
          <w:rFonts w:ascii="Arial" w:eastAsia="Times New Roman" w:hAnsi="Arial" w:cs="Arial"/>
          <w:i/>
          <w:iCs/>
          <w:sz w:val="23"/>
          <w:szCs w:val="23"/>
          <w:lang w:eastAsia="en-GB"/>
        </w:rPr>
        <w:t>Person-centred care made simple: What everyone should know about person-centred care</w:t>
      </w:r>
      <w:r w:rsidRPr="00C61392">
        <w:rPr>
          <w:rStyle w:val="Hyperlink"/>
          <w:rFonts w:ascii="Arial" w:eastAsia="Times New Roman" w:hAnsi="Arial" w:cs="Arial"/>
          <w:sz w:val="23"/>
          <w:szCs w:val="23"/>
          <w:lang w:eastAsia="en-GB"/>
        </w:rPr>
        <w:t>. London: The Health Foundation. Available at: https://www.health.org.uk/publications/person-centred-care-made-simple (Accessed: 3 July 2026).</w:t>
      </w:r>
    </w:p>
    <w:p w14:paraId="58F8EBC2"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60794FB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Jobe, I., Lindberg, B. and Engström, Å. (2020) ‘Health and social care professionals’ experiences of collaborative planning—Applying the person-centred practice framework’, </w:t>
      </w:r>
      <w:r w:rsidRPr="00C61392">
        <w:rPr>
          <w:rStyle w:val="Hyperlink"/>
          <w:rFonts w:ascii="Arial" w:eastAsia="Times New Roman" w:hAnsi="Arial" w:cs="Arial"/>
          <w:i/>
          <w:iCs/>
          <w:sz w:val="23"/>
          <w:szCs w:val="23"/>
          <w:lang w:eastAsia="en-GB"/>
        </w:rPr>
        <w:t>Nursing Open</w:t>
      </w:r>
      <w:r w:rsidRPr="00C61392">
        <w:rPr>
          <w:rStyle w:val="Hyperlink"/>
          <w:rFonts w:ascii="Arial" w:eastAsia="Times New Roman" w:hAnsi="Arial" w:cs="Arial"/>
          <w:sz w:val="23"/>
          <w:szCs w:val="23"/>
          <w:lang w:eastAsia="en-GB"/>
        </w:rPr>
        <w:t>, 7(6), pp. 2019–2028.</w:t>
      </w:r>
    </w:p>
    <w:p w14:paraId="28F4CC78"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5254E405"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Maslow, A.H. (1943) ‘A theory of human motivation’, </w:t>
      </w:r>
      <w:r w:rsidRPr="00C61392">
        <w:rPr>
          <w:rStyle w:val="Hyperlink"/>
          <w:rFonts w:ascii="Arial" w:eastAsia="Times New Roman" w:hAnsi="Arial" w:cs="Arial"/>
          <w:i/>
          <w:iCs/>
          <w:sz w:val="23"/>
          <w:szCs w:val="23"/>
          <w:lang w:eastAsia="en-GB"/>
        </w:rPr>
        <w:t>Psychological Review</w:t>
      </w:r>
      <w:r w:rsidRPr="00C61392">
        <w:rPr>
          <w:rStyle w:val="Hyperlink"/>
          <w:rFonts w:ascii="Arial" w:eastAsia="Times New Roman" w:hAnsi="Arial" w:cs="Arial"/>
          <w:sz w:val="23"/>
          <w:szCs w:val="23"/>
          <w:lang w:eastAsia="en-GB"/>
        </w:rPr>
        <w:t>, 50(4), pp. 370–396.</w:t>
      </w:r>
    </w:p>
    <w:p w14:paraId="1DBC7826"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625A0598"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McCormack, B., McCance, T. and Wilson, V. (2021) </w:t>
      </w:r>
      <w:r w:rsidRPr="00C61392">
        <w:rPr>
          <w:rStyle w:val="Hyperlink"/>
          <w:rFonts w:ascii="Arial" w:eastAsia="Times New Roman" w:hAnsi="Arial" w:cs="Arial"/>
          <w:i/>
          <w:iCs/>
          <w:sz w:val="23"/>
          <w:szCs w:val="23"/>
          <w:lang w:eastAsia="en-GB"/>
        </w:rPr>
        <w:t>Person-Centred Systems: A Person-Centred Practice Framework</w:t>
      </w:r>
      <w:r w:rsidRPr="00C61392">
        <w:rPr>
          <w:rStyle w:val="Hyperlink"/>
          <w:rFonts w:ascii="Arial" w:eastAsia="Times New Roman" w:hAnsi="Arial" w:cs="Arial"/>
          <w:sz w:val="23"/>
          <w:szCs w:val="23"/>
          <w:lang w:eastAsia="en-GB"/>
        </w:rPr>
        <w:t xml:space="preserve">. 2nd </w:t>
      </w:r>
      <w:proofErr w:type="spellStart"/>
      <w:r w:rsidRPr="00C61392">
        <w:rPr>
          <w:rStyle w:val="Hyperlink"/>
          <w:rFonts w:ascii="Arial" w:eastAsia="Times New Roman" w:hAnsi="Arial" w:cs="Arial"/>
          <w:sz w:val="23"/>
          <w:szCs w:val="23"/>
          <w:lang w:eastAsia="en-GB"/>
        </w:rPr>
        <w:t>edn</w:t>
      </w:r>
      <w:proofErr w:type="spellEnd"/>
      <w:r w:rsidRPr="00C61392">
        <w:rPr>
          <w:rStyle w:val="Hyperlink"/>
          <w:rFonts w:ascii="Arial" w:eastAsia="Times New Roman" w:hAnsi="Arial" w:cs="Arial"/>
          <w:sz w:val="23"/>
          <w:szCs w:val="23"/>
          <w:lang w:eastAsia="en-GB"/>
        </w:rPr>
        <w:t>. Oxford: Wiley-Blackwell.</w:t>
      </w:r>
    </w:p>
    <w:p w14:paraId="32959679"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2FBA7C45"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National Institute for Health and Care Excellence (2016) </w:t>
      </w:r>
      <w:r w:rsidRPr="00C61392">
        <w:rPr>
          <w:rStyle w:val="Hyperlink"/>
          <w:rFonts w:ascii="Arial" w:eastAsia="Times New Roman" w:hAnsi="Arial" w:cs="Arial"/>
          <w:i/>
          <w:iCs/>
          <w:sz w:val="23"/>
          <w:szCs w:val="23"/>
          <w:lang w:eastAsia="en-GB"/>
        </w:rPr>
        <w:t>Multimorbidity: clinical assessment and management (NG56)</w:t>
      </w:r>
      <w:r w:rsidRPr="00C61392">
        <w:rPr>
          <w:rStyle w:val="Hyperlink"/>
          <w:rFonts w:ascii="Arial" w:eastAsia="Times New Roman" w:hAnsi="Arial" w:cs="Arial"/>
          <w:sz w:val="23"/>
          <w:szCs w:val="23"/>
          <w:lang w:eastAsia="en-GB"/>
        </w:rPr>
        <w:t>. Available at: https://www.nice.org.uk/guidance/ng56 (Accessed: 3 July 2026).</w:t>
      </w:r>
    </w:p>
    <w:p w14:paraId="203E3484"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0D717071"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National Institute for Health and Care Excellence (2021) </w:t>
      </w:r>
      <w:r w:rsidRPr="00C61392">
        <w:rPr>
          <w:rStyle w:val="Hyperlink"/>
          <w:rFonts w:ascii="Arial" w:eastAsia="Times New Roman" w:hAnsi="Arial" w:cs="Arial"/>
          <w:i/>
          <w:iCs/>
          <w:sz w:val="23"/>
          <w:szCs w:val="23"/>
          <w:lang w:eastAsia="en-GB"/>
        </w:rPr>
        <w:t>Shared decision making (NG197)</w:t>
      </w:r>
      <w:r w:rsidRPr="00C61392">
        <w:rPr>
          <w:rStyle w:val="Hyperlink"/>
          <w:rFonts w:ascii="Arial" w:eastAsia="Times New Roman" w:hAnsi="Arial" w:cs="Arial"/>
          <w:sz w:val="23"/>
          <w:szCs w:val="23"/>
          <w:lang w:eastAsia="en-GB"/>
        </w:rPr>
        <w:t>. London: NICE. Available at: https://www.nice.org.uk/guidance/ng197 (Accessed: 3 July 2026).</w:t>
      </w:r>
    </w:p>
    <w:p w14:paraId="53F35346"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p>
    <w:p w14:paraId="38CE956C" w14:textId="7777777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sidRPr="00C61392">
        <w:rPr>
          <w:rStyle w:val="Hyperlink"/>
          <w:rFonts w:ascii="Arial" w:eastAsia="Times New Roman" w:hAnsi="Arial" w:cs="Arial"/>
          <w:sz w:val="23"/>
          <w:szCs w:val="23"/>
          <w:lang w:eastAsia="en-GB"/>
        </w:rPr>
        <w:t>Ratna, H. (2019) ‘The importance of effective communication in healthcare practice’, </w:t>
      </w:r>
      <w:r w:rsidRPr="00C61392">
        <w:rPr>
          <w:rStyle w:val="Hyperlink"/>
          <w:rFonts w:ascii="Arial" w:eastAsia="Times New Roman" w:hAnsi="Arial" w:cs="Arial"/>
          <w:i/>
          <w:iCs/>
          <w:sz w:val="23"/>
          <w:szCs w:val="23"/>
          <w:lang w:eastAsia="en-GB"/>
        </w:rPr>
        <w:t>Harvard Public Health Review</w:t>
      </w:r>
      <w:r w:rsidRPr="00C61392">
        <w:rPr>
          <w:rStyle w:val="Hyperlink"/>
          <w:rFonts w:ascii="Arial" w:eastAsia="Times New Roman" w:hAnsi="Arial" w:cs="Arial"/>
          <w:sz w:val="23"/>
          <w:szCs w:val="23"/>
          <w:lang w:eastAsia="en-GB"/>
        </w:rPr>
        <w:t>, 23, pp. 1–6.</w:t>
      </w:r>
    </w:p>
    <w:p w14:paraId="684726C6" w14:textId="24EDD147" w:rsidR="00C61392" w:rsidRPr="00C61392" w:rsidRDefault="00C61392" w:rsidP="00C61392">
      <w:pPr>
        <w:shd w:val="clear" w:color="auto" w:fill="FFFFFF"/>
        <w:spacing w:after="0" w:line="240" w:lineRule="auto"/>
        <w:textAlignment w:val="baseline"/>
        <w:rPr>
          <w:rStyle w:val="Hyperlink"/>
          <w:rFonts w:ascii="Arial" w:eastAsia="Times New Roman" w:hAnsi="Arial" w:cs="Arial"/>
          <w:sz w:val="23"/>
          <w:szCs w:val="23"/>
          <w:lang w:eastAsia="en-GB"/>
        </w:rPr>
      </w:pPr>
      <w:r>
        <w:rPr>
          <w:rFonts w:ascii="Arial" w:eastAsia="Times New Roman" w:hAnsi="Arial" w:cs="Arial"/>
          <w:color w:val="242424"/>
          <w:sz w:val="23"/>
          <w:szCs w:val="23"/>
          <w:lang w:eastAsia="en-GB"/>
        </w:rPr>
        <w:fldChar w:fldCharType="end"/>
      </w:r>
      <w:r>
        <w:rPr>
          <w:rFonts w:ascii="Arial" w:eastAsia="Times New Roman" w:hAnsi="Arial" w:cs="Arial"/>
          <w:color w:val="242424"/>
          <w:sz w:val="23"/>
          <w:szCs w:val="23"/>
          <w:lang w:eastAsia="en-GB"/>
        </w:rPr>
        <w:fldChar w:fldCharType="begin"/>
      </w:r>
      <w:r w:rsidR="000835A3">
        <w:rPr>
          <w:rFonts w:ascii="Arial" w:eastAsia="Times New Roman" w:hAnsi="Arial" w:cs="Arial"/>
          <w:color w:val="242424"/>
          <w:sz w:val="23"/>
          <w:szCs w:val="23"/>
          <w:lang w:eastAsia="en-GB"/>
        </w:rPr>
        <w:instrText>HYPERLINK "https://d.docs.live.net/5f3b0524e35e3aba/Documents/Antonsen, L.K., Lassen, A.T., Nielsen, D. and Østervang, C. (2024) ‘Receiving person-centred care in a hospital—A qualitative study of socially marginalised patients’ experiences of social nursing’, Scandinavian Journal of Caring Sciences, 38(1), pp. 220–230. Available at: https:/doi.org/10.1111/scs.13212 (Accessed: 3 July 2026)."</w:instrText>
      </w:r>
      <w:r w:rsidR="000835A3">
        <w:rPr>
          <w:rFonts w:ascii="Arial" w:eastAsia="Times New Roman" w:hAnsi="Arial" w:cs="Arial"/>
          <w:color w:val="242424"/>
          <w:sz w:val="23"/>
          <w:szCs w:val="23"/>
          <w:lang w:eastAsia="en-GB"/>
        </w:rPr>
      </w:r>
      <w:r>
        <w:rPr>
          <w:rFonts w:ascii="Arial" w:eastAsia="Times New Roman" w:hAnsi="Arial" w:cs="Arial"/>
          <w:color w:val="242424"/>
          <w:sz w:val="23"/>
          <w:szCs w:val="23"/>
          <w:lang w:eastAsia="en-GB"/>
        </w:rPr>
        <w:fldChar w:fldCharType="separate"/>
      </w:r>
    </w:p>
    <w:p w14:paraId="0CA77245" w14:textId="062D3334" w:rsidR="00C61392" w:rsidRPr="00C61392" w:rsidRDefault="00C61392" w:rsidP="00C61392">
      <w:pPr>
        <w:shd w:val="clear" w:color="auto" w:fill="FFFFFF"/>
        <w:spacing w:after="0" w:line="240" w:lineRule="auto"/>
        <w:textAlignment w:val="baseline"/>
        <w:rPr>
          <w:rFonts w:ascii="Arial" w:eastAsia="Times New Roman" w:hAnsi="Arial" w:cs="Arial"/>
          <w:color w:val="242424"/>
          <w:sz w:val="23"/>
          <w:szCs w:val="23"/>
          <w:lang w:eastAsia="en-GB"/>
        </w:rPr>
      </w:pPr>
      <w:r w:rsidRPr="00C61392">
        <w:rPr>
          <w:rStyle w:val="Hyperlink"/>
          <w:rFonts w:ascii="Arial" w:eastAsia="Times New Roman" w:hAnsi="Arial" w:cs="Arial"/>
          <w:sz w:val="23"/>
          <w:szCs w:val="23"/>
          <w:lang w:eastAsia="en-GB"/>
        </w:rPr>
        <w:t>Rivas, C., Moore, A.P., Anand, K., Awan, F., Begum, S., Heera, N., Kumar, S., Shah, S., Shahid, Y. and Thomson, A. (2025) ‘Working in partnership with people from under-represented groups to develop person-centred social and health care practices: methodological insights from the CICADA study’, </w:t>
      </w:r>
      <w:r w:rsidRPr="00C61392">
        <w:rPr>
          <w:rStyle w:val="Hyperlink"/>
          <w:rFonts w:ascii="Arial" w:eastAsia="Times New Roman" w:hAnsi="Arial" w:cs="Arial"/>
          <w:i/>
          <w:iCs/>
          <w:sz w:val="23"/>
          <w:szCs w:val="23"/>
          <w:lang w:eastAsia="en-GB"/>
        </w:rPr>
        <w:t>Frontiers in Health Services</w:t>
      </w:r>
      <w:r w:rsidRPr="00C61392">
        <w:rPr>
          <w:rStyle w:val="Hyperlink"/>
          <w:rFonts w:ascii="Arial" w:eastAsia="Times New Roman" w:hAnsi="Arial" w:cs="Arial"/>
          <w:sz w:val="23"/>
          <w:szCs w:val="23"/>
          <w:lang w:eastAsia="en-GB"/>
        </w:rPr>
        <w:t>, 5, p. 1563354.</w:t>
      </w:r>
      <w:r>
        <w:rPr>
          <w:rFonts w:ascii="Arial" w:eastAsia="Times New Roman" w:hAnsi="Arial" w:cs="Arial"/>
          <w:color w:val="242424"/>
          <w:sz w:val="23"/>
          <w:szCs w:val="23"/>
          <w:lang w:eastAsia="en-GB"/>
        </w:rPr>
        <w:fldChar w:fldCharType="end"/>
      </w:r>
    </w:p>
    <w:p w14:paraId="1E243764" w14:textId="77777777" w:rsidR="006D2F2D" w:rsidRPr="001D345E" w:rsidRDefault="006D2F2D" w:rsidP="00594FAC">
      <w:pPr>
        <w:spacing w:line="360" w:lineRule="auto"/>
        <w:rPr>
          <w:rFonts w:ascii="Arial" w:hAnsi="Arial" w:cs="Arial"/>
          <w:sz w:val="22"/>
        </w:rPr>
      </w:pPr>
    </w:p>
    <w:sectPr w:rsidR="006D2F2D" w:rsidRPr="001D345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A7320" w14:textId="77777777" w:rsidR="000835A3" w:rsidRDefault="000835A3" w:rsidP="00B21FE6">
      <w:pPr>
        <w:spacing w:after="0" w:line="240" w:lineRule="auto"/>
      </w:pPr>
      <w:r>
        <w:separator/>
      </w:r>
    </w:p>
  </w:endnote>
  <w:endnote w:type="continuationSeparator" w:id="0">
    <w:p w14:paraId="414CC80F" w14:textId="77777777" w:rsidR="000835A3" w:rsidRDefault="000835A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4AA6A" w14:textId="77777777" w:rsidR="000835A3" w:rsidRDefault="000835A3" w:rsidP="00B21FE6">
      <w:pPr>
        <w:spacing w:after="0" w:line="240" w:lineRule="auto"/>
      </w:pPr>
      <w:r>
        <w:separator/>
      </w:r>
    </w:p>
  </w:footnote>
  <w:footnote w:type="continuationSeparator" w:id="0">
    <w:p w14:paraId="4783E7FC" w14:textId="77777777" w:rsidR="000835A3" w:rsidRDefault="000835A3"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939578"/>
      <w:docPartObj>
        <w:docPartGallery w:val="Page Numbers (Top of Page)"/>
        <w:docPartUnique/>
      </w:docPartObj>
    </w:sdtPr>
    <w:sdtEndPr>
      <w:rPr>
        <w:noProof/>
      </w:rPr>
    </w:sdtEndPr>
    <w:sdtContent>
      <w:p w14:paraId="61A60A21" w14:textId="02C31511" w:rsidR="00EA5EC0" w:rsidRDefault="00EA5EC0">
        <w:pPr>
          <w:pStyle w:val="Header"/>
        </w:pPr>
        <w:r>
          <w:fldChar w:fldCharType="begin"/>
        </w:r>
        <w:r>
          <w:instrText xml:space="preserve"> PAGE   \* MERGEFORMAT </w:instrText>
        </w:r>
        <w:r>
          <w:fldChar w:fldCharType="separate"/>
        </w:r>
        <w:r>
          <w:rPr>
            <w:noProof/>
          </w:rPr>
          <w:t>2</w:t>
        </w:r>
        <w:r>
          <w:rPr>
            <w:noProof/>
          </w:rPr>
          <w:fldChar w:fldCharType="end"/>
        </w:r>
      </w:p>
    </w:sdtContent>
  </w:sdt>
  <w:p w14:paraId="063BDB1C" w14:textId="77777777" w:rsidR="00EA5EC0" w:rsidRDefault="00EA5E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835A3"/>
    <w:rsid w:val="000939C5"/>
    <w:rsid w:val="0009410D"/>
    <w:rsid w:val="000D59D3"/>
    <w:rsid w:val="001167BE"/>
    <w:rsid w:val="00124CE8"/>
    <w:rsid w:val="001327A1"/>
    <w:rsid w:val="001333C2"/>
    <w:rsid w:val="00166231"/>
    <w:rsid w:val="001D345E"/>
    <w:rsid w:val="001E1D17"/>
    <w:rsid w:val="00220640"/>
    <w:rsid w:val="002B7018"/>
    <w:rsid w:val="002D0046"/>
    <w:rsid w:val="002D39BD"/>
    <w:rsid w:val="002E1D0F"/>
    <w:rsid w:val="002E2CEB"/>
    <w:rsid w:val="002F20C7"/>
    <w:rsid w:val="00302823"/>
    <w:rsid w:val="0031381B"/>
    <w:rsid w:val="0031445E"/>
    <w:rsid w:val="00317E3D"/>
    <w:rsid w:val="00350D4F"/>
    <w:rsid w:val="00352733"/>
    <w:rsid w:val="00390A0F"/>
    <w:rsid w:val="0039479C"/>
    <w:rsid w:val="003B6BD3"/>
    <w:rsid w:val="003C1846"/>
    <w:rsid w:val="003D6968"/>
    <w:rsid w:val="003F5F81"/>
    <w:rsid w:val="0043408B"/>
    <w:rsid w:val="004F5B88"/>
    <w:rsid w:val="004F6FA4"/>
    <w:rsid w:val="00501347"/>
    <w:rsid w:val="00502AEF"/>
    <w:rsid w:val="0053785D"/>
    <w:rsid w:val="00544D99"/>
    <w:rsid w:val="005649EF"/>
    <w:rsid w:val="0058218C"/>
    <w:rsid w:val="00582677"/>
    <w:rsid w:val="00594FAC"/>
    <w:rsid w:val="005D2986"/>
    <w:rsid w:val="00610A5B"/>
    <w:rsid w:val="00610B79"/>
    <w:rsid w:val="00613AF0"/>
    <w:rsid w:val="00642FFB"/>
    <w:rsid w:val="006524ED"/>
    <w:rsid w:val="00665A5F"/>
    <w:rsid w:val="006D2F2D"/>
    <w:rsid w:val="006D5A5D"/>
    <w:rsid w:val="006E1FF9"/>
    <w:rsid w:val="006E38AB"/>
    <w:rsid w:val="006E6B02"/>
    <w:rsid w:val="0070637F"/>
    <w:rsid w:val="00737FAD"/>
    <w:rsid w:val="00785886"/>
    <w:rsid w:val="007C7429"/>
    <w:rsid w:val="007F3A6A"/>
    <w:rsid w:val="008024F7"/>
    <w:rsid w:val="008666FA"/>
    <w:rsid w:val="00887FBB"/>
    <w:rsid w:val="008F6D4B"/>
    <w:rsid w:val="0092451C"/>
    <w:rsid w:val="00942592"/>
    <w:rsid w:val="00985C79"/>
    <w:rsid w:val="009C7243"/>
    <w:rsid w:val="009E5C5F"/>
    <w:rsid w:val="009E778E"/>
    <w:rsid w:val="00A105ED"/>
    <w:rsid w:val="00A11336"/>
    <w:rsid w:val="00A63D50"/>
    <w:rsid w:val="00AB2ADF"/>
    <w:rsid w:val="00AE7DDA"/>
    <w:rsid w:val="00B14E15"/>
    <w:rsid w:val="00B21FE6"/>
    <w:rsid w:val="00B224BC"/>
    <w:rsid w:val="00B3453C"/>
    <w:rsid w:val="00B37332"/>
    <w:rsid w:val="00BC79FE"/>
    <w:rsid w:val="00BD6A4F"/>
    <w:rsid w:val="00BF0820"/>
    <w:rsid w:val="00C00D0F"/>
    <w:rsid w:val="00C10266"/>
    <w:rsid w:val="00C37FA3"/>
    <w:rsid w:val="00C558B0"/>
    <w:rsid w:val="00C572CC"/>
    <w:rsid w:val="00C60B7E"/>
    <w:rsid w:val="00C61392"/>
    <w:rsid w:val="00C820C0"/>
    <w:rsid w:val="00C96081"/>
    <w:rsid w:val="00CA491E"/>
    <w:rsid w:val="00CB0355"/>
    <w:rsid w:val="00CE021A"/>
    <w:rsid w:val="00D00A38"/>
    <w:rsid w:val="00D031B6"/>
    <w:rsid w:val="00D506EF"/>
    <w:rsid w:val="00D545BA"/>
    <w:rsid w:val="00D66C96"/>
    <w:rsid w:val="00D80944"/>
    <w:rsid w:val="00D87F53"/>
    <w:rsid w:val="00DA28CA"/>
    <w:rsid w:val="00DB5F7C"/>
    <w:rsid w:val="00E076C8"/>
    <w:rsid w:val="00E57842"/>
    <w:rsid w:val="00E81204"/>
    <w:rsid w:val="00E82420"/>
    <w:rsid w:val="00EA5EC0"/>
    <w:rsid w:val="00F157F4"/>
    <w:rsid w:val="00F47C8A"/>
    <w:rsid w:val="00F81510"/>
    <w:rsid w:val="00FA6248"/>
    <w:rsid w:val="00FD5760"/>
    <w:rsid w:val="00FD77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425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C61392"/>
    <w:rPr>
      <w:color w:val="0563C1" w:themeColor="hyperlink"/>
      <w:u w:val="single"/>
    </w:rPr>
  </w:style>
  <w:style w:type="character" w:styleId="UnresolvedMention">
    <w:name w:val="Unresolved Mention"/>
    <w:basedOn w:val="DefaultParagraphFont"/>
    <w:uiPriority w:val="99"/>
    <w:semiHidden/>
    <w:unhideWhenUsed/>
    <w:rsid w:val="00C61392"/>
    <w:rPr>
      <w:color w:val="605E5C"/>
      <w:shd w:val="clear" w:color="auto" w:fill="E1DFDD"/>
    </w:rPr>
  </w:style>
  <w:style w:type="character" w:customStyle="1" w:styleId="Heading1Char">
    <w:name w:val="Heading 1 Char"/>
    <w:basedOn w:val="DefaultParagraphFont"/>
    <w:link w:val="Heading1"/>
    <w:uiPriority w:val="9"/>
    <w:rsid w:val="009425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2ADF"/>
    <w:pPr>
      <w:spacing w:line="259" w:lineRule="auto"/>
      <w:outlineLvl w:val="9"/>
    </w:pPr>
    <w:rPr>
      <w:lang w:val="en-US"/>
    </w:rPr>
  </w:style>
  <w:style w:type="paragraph" w:styleId="TOC1">
    <w:name w:val="toc 1"/>
    <w:basedOn w:val="Normal"/>
    <w:next w:val="Normal"/>
    <w:autoRedefine/>
    <w:uiPriority w:val="39"/>
    <w:unhideWhenUsed/>
    <w:rsid w:val="00FD77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B65CF-C075-4B8E-B205-29EAA2707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2864</Words>
  <Characters>16331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sarahdobinson23@icloud.com</cp:lastModifiedBy>
  <cp:revision>2</cp:revision>
  <dcterms:created xsi:type="dcterms:W3CDTF">2026-07-26T17:10:00Z</dcterms:created>
  <dcterms:modified xsi:type="dcterms:W3CDTF">2026-07-26T17:10:00Z</dcterms:modified>
</cp:coreProperties>
</file>