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charts/chart10.xml" ContentType="application/vnd.openxmlformats-officedocument.drawingml.chart+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docProps/app.xml" ContentType="application/vnd.openxmlformats-officedocument.extended-properties+xml"/>
  <Override PartName="/word/settings.xml" ContentType="application/vnd.openxmlformats-officedocument.wordprocessingml.settings+xml"/>
  <Override PartName="/word/charts/chart6.xml" ContentType="application/vnd.openxmlformats-officedocument.drawingml.chart+xml"/>
  <Override PartName="/word/charts/chart7.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charts/chart3.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charts/chart11.xml" ContentType="application/vnd.openxmlformats-officedocument.drawingml.char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645F" w:rsidRDefault="001B645F"/>
    <w:p w:rsidR="00877DBF" w:rsidRDefault="001B645F">
      <w:r w:rsidRPr="001B645F">
        <w:rPr>
          <w:noProof/>
        </w:rPr>
        <w:drawing>
          <wp:inline distT="0" distB="0" distL="0" distR="0">
            <wp:extent cx="3009900" cy="2000250"/>
            <wp:effectExtent l="1905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 cstate="print"/>
                    <a:srcRect/>
                    <a:stretch>
                      <a:fillRect/>
                    </a:stretch>
                  </pic:blipFill>
                  <pic:spPr bwMode="auto">
                    <a:xfrm>
                      <a:off x="0" y="0"/>
                      <a:ext cx="3009900" cy="2000250"/>
                    </a:xfrm>
                    <a:prstGeom prst="rect">
                      <a:avLst/>
                    </a:prstGeom>
                    <a:noFill/>
                    <a:ln w="9525">
                      <a:noFill/>
                      <a:miter lim="800000"/>
                      <a:headEnd/>
                      <a:tailEnd/>
                    </a:ln>
                  </pic:spPr>
                </pic:pic>
              </a:graphicData>
            </a:graphic>
          </wp:inline>
        </w:drawing>
      </w:r>
    </w:p>
    <w:p w:rsidR="000071DD" w:rsidRDefault="00877DBF">
      <w:r>
        <w:t xml:space="preserve">                                                                                       </w:t>
      </w:r>
    </w:p>
    <w:p w:rsidR="000071DD" w:rsidRDefault="000071DD"/>
    <w:p w:rsidR="000071DD" w:rsidRDefault="000071DD"/>
    <w:p w:rsidR="000071DD" w:rsidRPr="000071DD" w:rsidRDefault="000071DD">
      <w:pPr>
        <w:rPr>
          <w:sz w:val="48"/>
          <w:szCs w:val="48"/>
        </w:rPr>
      </w:pPr>
      <w:r>
        <w:rPr>
          <w:sz w:val="48"/>
          <w:szCs w:val="48"/>
        </w:rPr>
        <w:t>ASSIGNMENT OF FINANCIAL MANAGEMENT</w:t>
      </w:r>
    </w:p>
    <w:p w:rsidR="000071DD" w:rsidRDefault="000071DD"/>
    <w:p w:rsidR="000071DD" w:rsidRDefault="000071DD"/>
    <w:p w:rsidR="000071DD" w:rsidRDefault="000071DD"/>
    <w:p w:rsidR="000071DD" w:rsidRDefault="000071DD"/>
    <w:p w:rsidR="000071DD" w:rsidRDefault="000071DD"/>
    <w:p w:rsidR="00877DBF" w:rsidRDefault="000071DD">
      <w:pPr>
        <w:rPr>
          <w:sz w:val="28"/>
          <w:szCs w:val="28"/>
        </w:rPr>
      </w:pPr>
      <w:r>
        <w:t xml:space="preserve">                                                                                       </w:t>
      </w:r>
      <w:r w:rsidR="00877DBF">
        <w:t xml:space="preserve">       </w:t>
      </w:r>
      <w:r w:rsidR="00877DBF">
        <w:rPr>
          <w:sz w:val="28"/>
          <w:szCs w:val="28"/>
        </w:rPr>
        <w:t>STUDENT NAME: NEHA RANI</w:t>
      </w:r>
    </w:p>
    <w:p w:rsidR="00877DBF" w:rsidRDefault="00877DBF">
      <w:pPr>
        <w:rPr>
          <w:sz w:val="28"/>
          <w:szCs w:val="28"/>
        </w:rPr>
      </w:pPr>
      <w:r>
        <w:rPr>
          <w:sz w:val="28"/>
          <w:szCs w:val="28"/>
        </w:rPr>
        <w:t xml:space="preserve">                                                                         </w:t>
      </w:r>
      <w:r w:rsidR="000071DD">
        <w:rPr>
          <w:sz w:val="28"/>
          <w:szCs w:val="28"/>
        </w:rPr>
        <w:t xml:space="preserve"> </w:t>
      </w:r>
      <w:r>
        <w:rPr>
          <w:sz w:val="28"/>
          <w:szCs w:val="28"/>
        </w:rPr>
        <w:t>STUDENT ID: 1920677</w:t>
      </w:r>
    </w:p>
    <w:p w:rsidR="001B645F" w:rsidRPr="00877DBF" w:rsidRDefault="00877DBF">
      <w:pPr>
        <w:rPr>
          <w:sz w:val="28"/>
          <w:szCs w:val="28"/>
        </w:rPr>
      </w:pPr>
      <w:r>
        <w:rPr>
          <w:sz w:val="28"/>
          <w:szCs w:val="28"/>
        </w:rPr>
        <w:t xml:space="preserve">                                   </w:t>
      </w:r>
      <w:r>
        <w:t xml:space="preserve">                                                 </w:t>
      </w:r>
      <w:r>
        <w:rPr>
          <w:sz w:val="28"/>
          <w:szCs w:val="28"/>
        </w:rPr>
        <w:t>SUBMITTED TO:</w:t>
      </w:r>
    </w:p>
    <w:p w:rsidR="001B645F" w:rsidRDefault="000071DD" w:rsidP="00877DBF">
      <w:pPr>
        <w:jc w:val="center"/>
        <w:rPr>
          <w:sz w:val="28"/>
          <w:szCs w:val="28"/>
        </w:rPr>
      </w:pPr>
      <w:r>
        <w:rPr>
          <w:sz w:val="28"/>
          <w:szCs w:val="28"/>
        </w:rPr>
        <w:t xml:space="preserve">                                             </w:t>
      </w:r>
      <w:r w:rsidR="00877DBF">
        <w:rPr>
          <w:sz w:val="28"/>
          <w:szCs w:val="28"/>
        </w:rPr>
        <w:t>COURSE CODE: LCMB7002</w:t>
      </w:r>
    </w:p>
    <w:p w:rsidR="000071DD" w:rsidRPr="00877DBF" w:rsidRDefault="000071DD" w:rsidP="00877DBF">
      <w:pPr>
        <w:jc w:val="center"/>
        <w:rPr>
          <w:sz w:val="28"/>
          <w:szCs w:val="28"/>
        </w:rPr>
      </w:pPr>
    </w:p>
    <w:p w:rsidR="001B645F" w:rsidRDefault="001B645F">
      <w:r>
        <w:br w:type="page"/>
      </w:r>
    </w:p>
    <w:p w:rsidR="00117D41" w:rsidRDefault="00117D41" w:rsidP="0002160B">
      <w:pPr>
        <w:rPr>
          <w:rFonts w:cstheme="minorHAnsi"/>
          <w:b/>
          <w:sz w:val="24"/>
          <w:szCs w:val="24"/>
        </w:rPr>
      </w:pPr>
    </w:p>
    <w:tbl>
      <w:tblPr>
        <w:tblStyle w:val="TableGrid"/>
        <w:tblpPr w:leftFromText="180" w:rightFromText="180" w:vertAnchor="text" w:horzAnchor="margin" w:tblpY="320"/>
        <w:tblW w:w="97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304"/>
        <w:gridCol w:w="6969"/>
        <w:gridCol w:w="1493"/>
      </w:tblGrid>
      <w:tr w:rsidR="00384654" w:rsidTr="00384654">
        <w:trPr>
          <w:trHeight w:val="666"/>
        </w:trPr>
        <w:tc>
          <w:tcPr>
            <w:tcW w:w="1304" w:type="dxa"/>
          </w:tcPr>
          <w:p w:rsidR="00384654" w:rsidRPr="00384654" w:rsidRDefault="00384654" w:rsidP="006D780A">
            <w:pPr>
              <w:rPr>
                <w:rFonts w:cstheme="minorHAnsi"/>
                <w:b/>
                <w:sz w:val="24"/>
                <w:szCs w:val="24"/>
              </w:rPr>
            </w:pPr>
            <w:r>
              <w:rPr>
                <w:rFonts w:cstheme="minorHAnsi"/>
                <w:b/>
                <w:sz w:val="24"/>
                <w:szCs w:val="24"/>
              </w:rPr>
              <w:t>Serial no.</w:t>
            </w:r>
          </w:p>
        </w:tc>
        <w:tc>
          <w:tcPr>
            <w:tcW w:w="6969" w:type="dxa"/>
          </w:tcPr>
          <w:p w:rsidR="00384654" w:rsidRPr="00384654" w:rsidRDefault="005D7FB8" w:rsidP="006D780A">
            <w:pPr>
              <w:rPr>
                <w:rFonts w:cstheme="minorHAnsi"/>
                <w:b/>
                <w:sz w:val="24"/>
                <w:szCs w:val="24"/>
              </w:rPr>
            </w:pPr>
            <w:r>
              <w:rPr>
                <w:rFonts w:cstheme="minorHAnsi"/>
              </w:rPr>
              <w:t xml:space="preserve">   </w:t>
            </w:r>
            <w:r w:rsidR="00384654">
              <w:rPr>
                <w:rFonts w:cstheme="minorHAnsi"/>
              </w:rPr>
              <w:t xml:space="preserve">  </w:t>
            </w:r>
            <w:r>
              <w:rPr>
                <w:rFonts w:cstheme="minorHAnsi"/>
                <w:b/>
                <w:sz w:val="24"/>
                <w:szCs w:val="24"/>
              </w:rPr>
              <w:t>Content</w:t>
            </w:r>
          </w:p>
        </w:tc>
        <w:tc>
          <w:tcPr>
            <w:tcW w:w="1493" w:type="dxa"/>
          </w:tcPr>
          <w:p w:rsidR="00384654" w:rsidRPr="00384654" w:rsidRDefault="00384654" w:rsidP="006D780A">
            <w:pPr>
              <w:rPr>
                <w:rFonts w:cstheme="minorHAnsi"/>
                <w:b/>
                <w:sz w:val="24"/>
                <w:szCs w:val="24"/>
              </w:rPr>
            </w:pPr>
            <w:r>
              <w:rPr>
                <w:rFonts w:cstheme="minorHAnsi"/>
                <w:b/>
                <w:sz w:val="24"/>
                <w:szCs w:val="24"/>
              </w:rPr>
              <w:t>Page no.</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Pr="00384654" w:rsidRDefault="00384654" w:rsidP="006D780A">
            <w:pPr>
              <w:rPr>
                <w:rFonts w:cstheme="minorHAnsi"/>
                <w:b/>
                <w:sz w:val="24"/>
                <w:szCs w:val="24"/>
              </w:rPr>
            </w:pPr>
            <w:r>
              <w:rPr>
                <w:rFonts w:cstheme="minorHAnsi"/>
                <w:b/>
                <w:sz w:val="24"/>
                <w:szCs w:val="24"/>
              </w:rPr>
              <w:t>1</w:t>
            </w:r>
          </w:p>
        </w:tc>
        <w:tc>
          <w:tcPr>
            <w:tcW w:w="6974" w:type="dxa"/>
          </w:tcPr>
          <w:p w:rsidR="006D780A" w:rsidRDefault="006D780A" w:rsidP="006D780A">
            <w:pPr>
              <w:rPr>
                <w:rFonts w:cstheme="minorHAnsi"/>
                <w:b/>
                <w:sz w:val="24"/>
                <w:szCs w:val="24"/>
              </w:rPr>
            </w:pPr>
            <w:r>
              <w:rPr>
                <w:rFonts w:cstheme="minorHAnsi"/>
                <w:b/>
                <w:sz w:val="24"/>
                <w:szCs w:val="24"/>
              </w:rPr>
              <w:t>Introduction</w:t>
            </w:r>
          </w:p>
        </w:tc>
        <w:tc>
          <w:tcPr>
            <w:tcW w:w="1488" w:type="dxa"/>
          </w:tcPr>
          <w:p w:rsidR="006D780A" w:rsidRDefault="00384654" w:rsidP="006D780A">
            <w:pPr>
              <w:rPr>
                <w:rFonts w:cstheme="minorHAnsi"/>
                <w:b/>
                <w:sz w:val="24"/>
                <w:szCs w:val="24"/>
              </w:rPr>
            </w:pPr>
            <w:r>
              <w:rPr>
                <w:rFonts w:cstheme="minorHAnsi"/>
                <w:b/>
                <w:sz w:val="24"/>
                <w:szCs w:val="24"/>
              </w:rPr>
              <w:t>3</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Default="00384654" w:rsidP="006D780A">
            <w:pPr>
              <w:rPr>
                <w:rFonts w:cstheme="minorHAnsi"/>
                <w:b/>
                <w:sz w:val="24"/>
                <w:szCs w:val="24"/>
              </w:rPr>
            </w:pPr>
            <w:r>
              <w:rPr>
                <w:rFonts w:cstheme="minorHAnsi"/>
                <w:b/>
                <w:sz w:val="24"/>
                <w:szCs w:val="24"/>
              </w:rPr>
              <w:t>2</w:t>
            </w:r>
          </w:p>
        </w:tc>
        <w:tc>
          <w:tcPr>
            <w:tcW w:w="6974" w:type="dxa"/>
          </w:tcPr>
          <w:p w:rsidR="006D780A" w:rsidRDefault="006D780A" w:rsidP="006D780A">
            <w:pPr>
              <w:rPr>
                <w:rFonts w:cstheme="minorHAnsi"/>
                <w:b/>
                <w:sz w:val="24"/>
                <w:szCs w:val="24"/>
              </w:rPr>
            </w:pPr>
            <w:r>
              <w:rPr>
                <w:rFonts w:cstheme="minorHAnsi"/>
                <w:b/>
                <w:sz w:val="24"/>
                <w:szCs w:val="24"/>
              </w:rPr>
              <w:t>Financial analysis, data and methodology</w:t>
            </w:r>
          </w:p>
        </w:tc>
        <w:tc>
          <w:tcPr>
            <w:tcW w:w="1488" w:type="dxa"/>
          </w:tcPr>
          <w:p w:rsidR="006D780A" w:rsidRDefault="00384654" w:rsidP="006D780A">
            <w:pPr>
              <w:rPr>
                <w:rFonts w:cstheme="minorHAnsi"/>
                <w:b/>
                <w:sz w:val="24"/>
                <w:szCs w:val="24"/>
              </w:rPr>
            </w:pPr>
            <w:r>
              <w:rPr>
                <w:rFonts w:cstheme="minorHAnsi"/>
                <w:b/>
                <w:sz w:val="24"/>
                <w:szCs w:val="24"/>
              </w:rPr>
              <w:t>4</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55"/>
        </w:trPr>
        <w:tc>
          <w:tcPr>
            <w:tcW w:w="1304" w:type="dxa"/>
          </w:tcPr>
          <w:p w:rsidR="006D780A" w:rsidRDefault="00384654" w:rsidP="006D780A">
            <w:pPr>
              <w:rPr>
                <w:rFonts w:cstheme="minorHAnsi"/>
                <w:b/>
                <w:sz w:val="24"/>
                <w:szCs w:val="24"/>
              </w:rPr>
            </w:pPr>
            <w:r>
              <w:rPr>
                <w:rFonts w:cstheme="minorHAnsi"/>
                <w:b/>
                <w:sz w:val="24"/>
                <w:szCs w:val="24"/>
              </w:rPr>
              <w:t>3</w:t>
            </w:r>
          </w:p>
        </w:tc>
        <w:tc>
          <w:tcPr>
            <w:tcW w:w="6974" w:type="dxa"/>
          </w:tcPr>
          <w:p w:rsidR="006D780A" w:rsidRDefault="006D780A" w:rsidP="006D780A">
            <w:pPr>
              <w:rPr>
                <w:rFonts w:cstheme="minorHAnsi"/>
                <w:b/>
                <w:sz w:val="24"/>
                <w:szCs w:val="24"/>
              </w:rPr>
            </w:pPr>
            <w:r>
              <w:rPr>
                <w:rFonts w:cstheme="minorHAnsi"/>
                <w:b/>
                <w:sz w:val="24"/>
                <w:szCs w:val="24"/>
              </w:rPr>
              <w:t>Liquidity ratios</w:t>
            </w:r>
          </w:p>
        </w:tc>
        <w:tc>
          <w:tcPr>
            <w:tcW w:w="1488" w:type="dxa"/>
          </w:tcPr>
          <w:p w:rsidR="006D780A" w:rsidRDefault="00384654" w:rsidP="006D780A">
            <w:pPr>
              <w:rPr>
                <w:rFonts w:cstheme="minorHAnsi"/>
                <w:b/>
                <w:sz w:val="24"/>
                <w:szCs w:val="24"/>
              </w:rPr>
            </w:pPr>
            <w:r>
              <w:rPr>
                <w:rFonts w:cstheme="minorHAnsi"/>
                <w:b/>
                <w:sz w:val="24"/>
                <w:szCs w:val="24"/>
              </w:rPr>
              <w:t>5</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Default="00384654" w:rsidP="006D780A">
            <w:pPr>
              <w:rPr>
                <w:rFonts w:cstheme="minorHAnsi"/>
                <w:b/>
                <w:sz w:val="24"/>
                <w:szCs w:val="24"/>
              </w:rPr>
            </w:pPr>
            <w:r>
              <w:rPr>
                <w:rFonts w:cstheme="minorHAnsi"/>
                <w:b/>
                <w:sz w:val="24"/>
                <w:szCs w:val="24"/>
              </w:rPr>
              <w:t>4</w:t>
            </w:r>
          </w:p>
        </w:tc>
        <w:tc>
          <w:tcPr>
            <w:tcW w:w="6974" w:type="dxa"/>
          </w:tcPr>
          <w:p w:rsidR="006D780A" w:rsidRDefault="006D780A" w:rsidP="006D780A">
            <w:pPr>
              <w:rPr>
                <w:rFonts w:cstheme="minorHAnsi"/>
                <w:b/>
                <w:sz w:val="24"/>
                <w:szCs w:val="24"/>
              </w:rPr>
            </w:pPr>
            <w:r>
              <w:rPr>
                <w:rFonts w:cstheme="minorHAnsi"/>
                <w:b/>
                <w:sz w:val="24"/>
                <w:szCs w:val="24"/>
              </w:rPr>
              <w:t>Activity ratios</w:t>
            </w:r>
          </w:p>
        </w:tc>
        <w:tc>
          <w:tcPr>
            <w:tcW w:w="1488" w:type="dxa"/>
          </w:tcPr>
          <w:p w:rsidR="006D780A" w:rsidRDefault="00384654" w:rsidP="006D780A">
            <w:pPr>
              <w:rPr>
                <w:rFonts w:cstheme="minorHAnsi"/>
                <w:b/>
                <w:sz w:val="24"/>
                <w:szCs w:val="24"/>
              </w:rPr>
            </w:pPr>
            <w:r>
              <w:rPr>
                <w:rFonts w:cstheme="minorHAnsi"/>
                <w:b/>
                <w:sz w:val="24"/>
                <w:szCs w:val="24"/>
              </w:rPr>
              <w:t>9</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Default="00384654" w:rsidP="006D780A">
            <w:pPr>
              <w:rPr>
                <w:rFonts w:cstheme="minorHAnsi"/>
                <w:b/>
                <w:sz w:val="24"/>
                <w:szCs w:val="24"/>
              </w:rPr>
            </w:pPr>
            <w:r>
              <w:rPr>
                <w:rFonts w:cstheme="minorHAnsi"/>
                <w:b/>
                <w:sz w:val="24"/>
                <w:szCs w:val="24"/>
              </w:rPr>
              <w:t>5</w:t>
            </w:r>
          </w:p>
        </w:tc>
        <w:tc>
          <w:tcPr>
            <w:tcW w:w="6974" w:type="dxa"/>
          </w:tcPr>
          <w:p w:rsidR="006D780A" w:rsidRDefault="006D780A" w:rsidP="006D780A">
            <w:pPr>
              <w:rPr>
                <w:rFonts w:cstheme="minorHAnsi"/>
                <w:b/>
                <w:sz w:val="24"/>
                <w:szCs w:val="24"/>
              </w:rPr>
            </w:pPr>
            <w:r>
              <w:rPr>
                <w:rFonts w:cstheme="minorHAnsi"/>
                <w:b/>
                <w:sz w:val="24"/>
                <w:szCs w:val="24"/>
              </w:rPr>
              <w:t>Debt ratios</w:t>
            </w:r>
          </w:p>
        </w:tc>
        <w:tc>
          <w:tcPr>
            <w:tcW w:w="1488" w:type="dxa"/>
          </w:tcPr>
          <w:p w:rsidR="006D780A" w:rsidRDefault="00384654" w:rsidP="006D780A">
            <w:pPr>
              <w:rPr>
                <w:rFonts w:cstheme="minorHAnsi"/>
                <w:b/>
                <w:sz w:val="24"/>
                <w:szCs w:val="24"/>
              </w:rPr>
            </w:pPr>
            <w:r>
              <w:rPr>
                <w:rFonts w:cstheme="minorHAnsi"/>
                <w:b/>
                <w:sz w:val="24"/>
                <w:szCs w:val="24"/>
              </w:rPr>
              <w:t>12</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55"/>
        </w:trPr>
        <w:tc>
          <w:tcPr>
            <w:tcW w:w="1304" w:type="dxa"/>
          </w:tcPr>
          <w:p w:rsidR="006D780A" w:rsidRDefault="00384654" w:rsidP="006D780A">
            <w:pPr>
              <w:rPr>
                <w:rFonts w:cstheme="minorHAnsi"/>
                <w:b/>
                <w:sz w:val="24"/>
                <w:szCs w:val="24"/>
              </w:rPr>
            </w:pPr>
            <w:r>
              <w:rPr>
                <w:rFonts w:cstheme="minorHAnsi"/>
                <w:b/>
                <w:sz w:val="24"/>
                <w:szCs w:val="24"/>
              </w:rPr>
              <w:t>6</w:t>
            </w:r>
          </w:p>
        </w:tc>
        <w:tc>
          <w:tcPr>
            <w:tcW w:w="6974" w:type="dxa"/>
          </w:tcPr>
          <w:p w:rsidR="006D780A" w:rsidRDefault="006D780A" w:rsidP="006D780A">
            <w:pPr>
              <w:rPr>
                <w:rFonts w:cstheme="minorHAnsi"/>
                <w:b/>
                <w:sz w:val="24"/>
                <w:szCs w:val="24"/>
              </w:rPr>
            </w:pPr>
            <w:r>
              <w:rPr>
                <w:rFonts w:cstheme="minorHAnsi"/>
                <w:b/>
                <w:sz w:val="24"/>
                <w:szCs w:val="24"/>
              </w:rPr>
              <w:t>Profitability ratios</w:t>
            </w:r>
          </w:p>
        </w:tc>
        <w:tc>
          <w:tcPr>
            <w:tcW w:w="1488" w:type="dxa"/>
          </w:tcPr>
          <w:p w:rsidR="006D780A" w:rsidRDefault="00384654" w:rsidP="006D780A">
            <w:pPr>
              <w:rPr>
                <w:rFonts w:cstheme="minorHAnsi"/>
                <w:b/>
                <w:sz w:val="24"/>
                <w:szCs w:val="24"/>
              </w:rPr>
            </w:pPr>
            <w:r>
              <w:rPr>
                <w:rFonts w:cstheme="minorHAnsi"/>
                <w:b/>
                <w:sz w:val="24"/>
                <w:szCs w:val="24"/>
              </w:rPr>
              <w:t>15</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Default="00384654" w:rsidP="006D780A">
            <w:pPr>
              <w:rPr>
                <w:rFonts w:cstheme="minorHAnsi"/>
                <w:b/>
                <w:sz w:val="24"/>
                <w:szCs w:val="24"/>
              </w:rPr>
            </w:pPr>
            <w:r>
              <w:rPr>
                <w:rFonts w:cstheme="minorHAnsi"/>
                <w:b/>
                <w:sz w:val="24"/>
                <w:szCs w:val="24"/>
              </w:rPr>
              <w:t>7</w:t>
            </w:r>
          </w:p>
        </w:tc>
        <w:tc>
          <w:tcPr>
            <w:tcW w:w="6974" w:type="dxa"/>
          </w:tcPr>
          <w:p w:rsidR="006D780A" w:rsidRDefault="006D780A" w:rsidP="006D780A">
            <w:pPr>
              <w:rPr>
                <w:rFonts w:cstheme="minorHAnsi"/>
                <w:b/>
                <w:sz w:val="24"/>
                <w:szCs w:val="24"/>
              </w:rPr>
            </w:pPr>
            <w:r>
              <w:rPr>
                <w:rFonts w:cstheme="minorHAnsi"/>
                <w:b/>
                <w:sz w:val="24"/>
                <w:szCs w:val="24"/>
              </w:rPr>
              <w:t>Suggestions</w:t>
            </w:r>
          </w:p>
        </w:tc>
        <w:tc>
          <w:tcPr>
            <w:tcW w:w="1488" w:type="dxa"/>
          </w:tcPr>
          <w:p w:rsidR="006D780A" w:rsidRDefault="00384654" w:rsidP="006D780A">
            <w:pPr>
              <w:rPr>
                <w:rFonts w:cstheme="minorHAnsi"/>
                <w:b/>
                <w:sz w:val="24"/>
                <w:szCs w:val="24"/>
              </w:rPr>
            </w:pPr>
            <w:r>
              <w:rPr>
                <w:rFonts w:cstheme="minorHAnsi"/>
                <w:b/>
                <w:sz w:val="24"/>
                <w:szCs w:val="24"/>
              </w:rPr>
              <w:t>18</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29"/>
        </w:trPr>
        <w:tc>
          <w:tcPr>
            <w:tcW w:w="1304" w:type="dxa"/>
          </w:tcPr>
          <w:p w:rsidR="006D780A" w:rsidRDefault="00384654" w:rsidP="006D780A">
            <w:pPr>
              <w:rPr>
                <w:rFonts w:cstheme="minorHAnsi"/>
                <w:b/>
                <w:sz w:val="24"/>
                <w:szCs w:val="24"/>
              </w:rPr>
            </w:pPr>
            <w:r>
              <w:rPr>
                <w:rFonts w:cstheme="minorHAnsi"/>
                <w:b/>
                <w:sz w:val="24"/>
                <w:szCs w:val="24"/>
              </w:rPr>
              <w:t>8</w:t>
            </w:r>
          </w:p>
        </w:tc>
        <w:tc>
          <w:tcPr>
            <w:tcW w:w="6974" w:type="dxa"/>
          </w:tcPr>
          <w:p w:rsidR="006D780A" w:rsidRDefault="006D780A" w:rsidP="007817EE">
            <w:pPr>
              <w:rPr>
                <w:rFonts w:cstheme="minorHAnsi"/>
                <w:b/>
                <w:sz w:val="24"/>
                <w:szCs w:val="24"/>
              </w:rPr>
            </w:pPr>
            <w:r>
              <w:rPr>
                <w:rFonts w:cstheme="minorHAnsi"/>
                <w:b/>
                <w:sz w:val="24"/>
                <w:szCs w:val="24"/>
              </w:rPr>
              <w:t xml:space="preserve">Payback period </w:t>
            </w:r>
          </w:p>
        </w:tc>
        <w:tc>
          <w:tcPr>
            <w:tcW w:w="1488" w:type="dxa"/>
          </w:tcPr>
          <w:p w:rsidR="006D780A" w:rsidRDefault="00384654" w:rsidP="006D780A">
            <w:pPr>
              <w:rPr>
                <w:rFonts w:cstheme="minorHAnsi"/>
                <w:b/>
                <w:sz w:val="24"/>
                <w:szCs w:val="24"/>
              </w:rPr>
            </w:pPr>
            <w:r>
              <w:rPr>
                <w:rFonts w:cstheme="minorHAnsi"/>
                <w:b/>
                <w:sz w:val="24"/>
                <w:szCs w:val="24"/>
              </w:rPr>
              <w:t>20</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55"/>
        </w:trPr>
        <w:tc>
          <w:tcPr>
            <w:tcW w:w="1304" w:type="dxa"/>
          </w:tcPr>
          <w:p w:rsidR="006D780A" w:rsidRDefault="00384654" w:rsidP="006D780A">
            <w:pPr>
              <w:rPr>
                <w:rFonts w:cstheme="minorHAnsi"/>
                <w:b/>
                <w:sz w:val="24"/>
                <w:szCs w:val="24"/>
              </w:rPr>
            </w:pPr>
            <w:r>
              <w:rPr>
                <w:rFonts w:cstheme="minorHAnsi"/>
                <w:b/>
                <w:sz w:val="24"/>
                <w:szCs w:val="24"/>
              </w:rPr>
              <w:t>9</w:t>
            </w:r>
          </w:p>
        </w:tc>
        <w:tc>
          <w:tcPr>
            <w:tcW w:w="6974" w:type="dxa"/>
          </w:tcPr>
          <w:p w:rsidR="006D780A" w:rsidRDefault="007817EE" w:rsidP="007817EE">
            <w:pPr>
              <w:rPr>
                <w:rFonts w:cstheme="minorHAnsi"/>
                <w:b/>
                <w:sz w:val="24"/>
                <w:szCs w:val="24"/>
              </w:rPr>
            </w:pPr>
            <w:r>
              <w:rPr>
                <w:rFonts w:cstheme="minorHAnsi"/>
                <w:b/>
                <w:sz w:val="24"/>
                <w:szCs w:val="24"/>
              </w:rPr>
              <w:t>Avera</w:t>
            </w:r>
            <w:r w:rsidR="006D780A">
              <w:rPr>
                <w:rFonts w:cstheme="minorHAnsi"/>
                <w:b/>
                <w:sz w:val="24"/>
                <w:szCs w:val="24"/>
              </w:rPr>
              <w:t>g</w:t>
            </w:r>
            <w:r>
              <w:rPr>
                <w:rFonts w:cstheme="minorHAnsi"/>
                <w:b/>
                <w:sz w:val="24"/>
                <w:szCs w:val="24"/>
              </w:rPr>
              <w:t>e</w:t>
            </w:r>
            <w:r w:rsidR="006D780A">
              <w:rPr>
                <w:rFonts w:cstheme="minorHAnsi"/>
                <w:b/>
                <w:sz w:val="24"/>
                <w:szCs w:val="24"/>
              </w:rPr>
              <w:t xml:space="preserve"> rate of return </w:t>
            </w:r>
          </w:p>
        </w:tc>
        <w:tc>
          <w:tcPr>
            <w:tcW w:w="1488" w:type="dxa"/>
          </w:tcPr>
          <w:p w:rsidR="006D780A" w:rsidRDefault="00384654" w:rsidP="006D780A">
            <w:pPr>
              <w:rPr>
                <w:rFonts w:cstheme="minorHAnsi"/>
                <w:b/>
                <w:sz w:val="24"/>
                <w:szCs w:val="24"/>
              </w:rPr>
            </w:pPr>
            <w:r>
              <w:rPr>
                <w:rFonts w:cstheme="minorHAnsi"/>
                <w:b/>
                <w:sz w:val="24"/>
                <w:szCs w:val="24"/>
              </w:rPr>
              <w:t>22</w:t>
            </w:r>
          </w:p>
        </w:tc>
      </w:tr>
      <w:tr w:rsidR="006D780A" w:rsidTr="006D780A">
        <w:tblPrEx>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tblPrEx>
        <w:trPr>
          <w:trHeight w:val="555"/>
        </w:trPr>
        <w:tc>
          <w:tcPr>
            <w:tcW w:w="1304" w:type="dxa"/>
            <w:tcBorders>
              <w:right w:val="single" w:sz="4" w:space="0" w:color="auto"/>
            </w:tcBorders>
          </w:tcPr>
          <w:p w:rsidR="006D780A" w:rsidRDefault="00384654" w:rsidP="006D780A">
            <w:pPr>
              <w:rPr>
                <w:rFonts w:cstheme="minorHAnsi"/>
                <w:b/>
                <w:sz w:val="24"/>
                <w:szCs w:val="24"/>
              </w:rPr>
            </w:pPr>
            <w:r>
              <w:rPr>
                <w:rFonts w:cstheme="minorHAnsi"/>
                <w:b/>
                <w:sz w:val="24"/>
                <w:szCs w:val="24"/>
              </w:rPr>
              <w:t>10</w:t>
            </w:r>
          </w:p>
        </w:tc>
        <w:tc>
          <w:tcPr>
            <w:tcW w:w="6974" w:type="dxa"/>
            <w:tcBorders>
              <w:left w:val="single" w:sz="4" w:space="0" w:color="auto"/>
            </w:tcBorders>
          </w:tcPr>
          <w:p w:rsidR="006D780A" w:rsidRDefault="006D780A" w:rsidP="007817EE">
            <w:pPr>
              <w:rPr>
                <w:rFonts w:cstheme="minorHAnsi"/>
                <w:b/>
                <w:sz w:val="24"/>
                <w:szCs w:val="24"/>
              </w:rPr>
            </w:pPr>
            <w:r>
              <w:rPr>
                <w:rFonts w:cstheme="minorHAnsi"/>
                <w:b/>
                <w:sz w:val="24"/>
                <w:szCs w:val="24"/>
              </w:rPr>
              <w:t xml:space="preserve">Net present value </w:t>
            </w:r>
          </w:p>
        </w:tc>
        <w:tc>
          <w:tcPr>
            <w:tcW w:w="1488" w:type="dxa"/>
          </w:tcPr>
          <w:p w:rsidR="006D780A" w:rsidRDefault="00384654" w:rsidP="006D780A">
            <w:pPr>
              <w:rPr>
                <w:rFonts w:cstheme="minorHAnsi"/>
                <w:b/>
                <w:sz w:val="24"/>
                <w:szCs w:val="24"/>
              </w:rPr>
            </w:pPr>
            <w:r>
              <w:rPr>
                <w:rFonts w:cstheme="minorHAnsi"/>
                <w:b/>
                <w:sz w:val="24"/>
                <w:szCs w:val="24"/>
              </w:rPr>
              <w:t>23</w:t>
            </w:r>
          </w:p>
        </w:tc>
      </w:tr>
      <w:tr w:rsidR="006D780A" w:rsidTr="00384654">
        <w:trPr>
          <w:trHeight w:val="574"/>
        </w:trPr>
        <w:tc>
          <w:tcPr>
            <w:tcW w:w="1304" w:type="dxa"/>
          </w:tcPr>
          <w:p w:rsidR="006D780A" w:rsidRDefault="00384654" w:rsidP="006D780A">
            <w:pPr>
              <w:rPr>
                <w:rFonts w:cstheme="minorHAnsi"/>
                <w:b/>
                <w:sz w:val="24"/>
                <w:szCs w:val="24"/>
              </w:rPr>
            </w:pPr>
            <w:r>
              <w:rPr>
                <w:rFonts w:cstheme="minorHAnsi"/>
                <w:b/>
                <w:sz w:val="24"/>
                <w:szCs w:val="24"/>
              </w:rPr>
              <w:t>11</w:t>
            </w:r>
          </w:p>
        </w:tc>
        <w:tc>
          <w:tcPr>
            <w:tcW w:w="6968" w:type="dxa"/>
          </w:tcPr>
          <w:p w:rsidR="006D780A" w:rsidRDefault="00384654" w:rsidP="006D780A">
            <w:pPr>
              <w:rPr>
                <w:rFonts w:cstheme="minorHAnsi"/>
                <w:b/>
                <w:sz w:val="24"/>
                <w:szCs w:val="24"/>
              </w:rPr>
            </w:pPr>
            <w:r>
              <w:rPr>
                <w:rFonts w:cstheme="minorHAnsi"/>
                <w:b/>
                <w:sz w:val="24"/>
                <w:szCs w:val="24"/>
              </w:rPr>
              <w:t>Conclusion</w:t>
            </w:r>
          </w:p>
        </w:tc>
        <w:tc>
          <w:tcPr>
            <w:tcW w:w="1494" w:type="dxa"/>
          </w:tcPr>
          <w:p w:rsidR="006D780A" w:rsidRDefault="00384654" w:rsidP="006D780A">
            <w:pPr>
              <w:rPr>
                <w:rFonts w:cstheme="minorHAnsi"/>
                <w:b/>
                <w:sz w:val="24"/>
                <w:szCs w:val="24"/>
              </w:rPr>
            </w:pPr>
            <w:r>
              <w:rPr>
                <w:rFonts w:cstheme="minorHAnsi"/>
                <w:b/>
                <w:sz w:val="24"/>
                <w:szCs w:val="24"/>
              </w:rPr>
              <w:t>24</w:t>
            </w:r>
          </w:p>
        </w:tc>
      </w:tr>
      <w:tr w:rsidR="006D780A" w:rsidTr="00384654">
        <w:trPr>
          <w:trHeight w:val="529"/>
        </w:trPr>
        <w:tc>
          <w:tcPr>
            <w:tcW w:w="1304" w:type="dxa"/>
          </w:tcPr>
          <w:p w:rsidR="006D780A" w:rsidRDefault="00384654" w:rsidP="006D780A">
            <w:pPr>
              <w:rPr>
                <w:rFonts w:cstheme="minorHAnsi"/>
                <w:b/>
                <w:sz w:val="24"/>
                <w:szCs w:val="24"/>
              </w:rPr>
            </w:pPr>
            <w:r>
              <w:rPr>
                <w:rFonts w:cstheme="minorHAnsi"/>
                <w:b/>
                <w:sz w:val="24"/>
                <w:szCs w:val="24"/>
              </w:rPr>
              <w:t>12</w:t>
            </w:r>
          </w:p>
        </w:tc>
        <w:tc>
          <w:tcPr>
            <w:tcW w:w="6968" w:type="dxa"/>
          </w:tcPr>
          <w:p w:rsidR="006D780A" w:rsidRDefault="00384654" w:rsidP="006D780A">
            <w:pPr>
              <w:rPr>
                <w:rFonts w:cstheme="minorHAnsi"/>
                <w:b/>
                <w:sz w:val="24"/>
                <w:szCs w:val="24"/>
              </w:rPr>
            </w:pPr>
            <w:r>
              <w:rPr>
                <w:rFonts w:cstheme="minorHAnsi"/>
                <w:b/>
                <w:sz w:val="24"/>
                <w:szCs w:val="24"/>
              </w:rPr>
              <w:t>References</w:t>
            </w:r>
          </w:p>
        </w:tc>
        <w:tc>
          <w:tcPr>
            <w:tcW w:w="1494" w:type="dxa"/>
          </w:tcPr>
          <w:p w:rsidR="006D780A" w:rsidRDefault="00384654" w:rsidP="006D780A">
            <w:pPr>
              <w:rPr>
                <w:rFonts w:cstheme="minorHAnsi"/>
                <w:b/>
                <w:sz w:val="24"/>
                <w:szCs w:val="24"/>
              </w:rPr>
            </w:pPr>
            <w:r>
              <w:rPr>
                <w:rFonts w:cstheme="minorHAnsi"/>
                <w:b/>
                <w:sz w:val="24"/>
                <w:szCs w:val="24"/>
              </w:rPr>
              <w:t>25</w:t>
            </w:r>
          </w:p>
        </w:tc>
      </w:tr>
    </w:tbl>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117D41" w:rsidRDefault="00117D41" w:rsidP="0002160B">
      <w:pPr>
        <w:rPr>
          <w:rFonts w:cstheme="minorHAnsi"/>
          <w:b/>
          <w:sz w:val="24"/>
          <w:szCs w:val="24"/>
        </w:rPr>
      </w:pPr>
    </w:p>
    <w:p w:rsidR="00946CC7" w:rsidRPr="00946CC7" w:rsidRDefault="0002160B" w:rsidP="0002160B">
      <w:pPr>
        <w:rPr>
          <w:rFonts w:cstheme="minorHAnsi"/>
          <w:sz w:val="24"/>
          <w:szCs w:val="24"/>
        </w:rPr>
      </w:pPr>
      <w:r w:rsidRPr="00864B60">
        <w:rPr>
          <w:rFonts w:cstheme="minorHAnsi"/>
          <w:b/>
          <w:sz w:val="24"/>
          <w:szCs w:val="24"/>
        </w:rPr>
        <w:lastRenderedPageBreak/>
        <w:t xml:space="preserve">Introduction: </w:t>
      </w:r>
      <w:r w:rsidR="00946CC7">
        <w:rPr>
          <w:rFonts w:cstheme="minorHAnsi"/>
          <w:sz w:val="24"/>
          <w:szCs w:val="24"/>
        </w:rPr>
        <w:t xml:space="preserve"> The Coca-Cola </w:t>
      </w:r>
      <w:r w:rsidR="00946CC7" w:rsidRPr="00946CC7">
        <w:rPr>
          <w:rFonts w:cstheme="minorHAnsi"/>
          <w:sz w:val="24"/>
          <w:szCs w:val="24"/>
        </w:rPr>
        <w:t>is an organization which is situated in America  merged under the General Corporation Law of Delaware and settled in Atlanta, Georgia. The Coca-Cola Corporation is interested in the social case, the retailing and advancement of syrups for non-alcoholic prizes. Coca-Cola, made by drug master John Stith Pemberton in 1886, is developed by the association.</w:t>
      </w:r>
    </w:p>
    <w:p w:rsidR="007422A3" w:rsidRDefault="00B85A1E" w:rsidP="0002160B">
      <w:pPr>
        <w:rPr>
          <w:rFonts w:cstheme="minorHAnsi"/>
          <w:sz w:val="24"/>
          <w:szCs w:val="24"/>
        </w:rPr>
      </w:pPr>
      <w:r>
        <w:rPr>
          <w:rFonts w:cstheme="minorHAnsi"/>
          <w:sz w:val="24"/>
          <w:szCs w:val="24"/>
        </w:rPr>
        <w:t>Since 1889 this association has been working to enhance</w:t>
      </w:r>
      <w:r w:rsidR="007144D4" w:rsidRPr="007144D4">
        <w:rPr>
          <w:rFonts w:cstheme="minorHAnsi"/>
          <w:sz w:val="24"/>
          <w:szCs w:val="24"/>
        </w:rPr>
        <w:t xml:space="preserve"> dispersal system. </w:t>
      </w:r>
      <w:r w:rsidRPr="00B85A1E">
        <w:rPr>
          <w:rFonts w:cstheme="minorHAnsi"/>
          <w:sz w:val="24"/>
          <w:szCs w:val="24"/>
        </w:rPr>
        <w:t>In general, the organisation transmits syrup concentrate, after that sold to different bottlers around the world who hold excellent zones.</w:t>
      </w:r>
      <w:r>
        <w:rPr>
          <w:rFonts w:cstheme="minorHAnsi"/>
          <w:sz w:val="24"/>
          <w:szCs w:val="24"/>
        </w:rPr>
        <w:t xml:space="preserve"> </w:t>
      </w:r>
      <w:r w:rsidR="007422A3" w:rsidRPr="007422A3">
        <w:rPr>
          <w:rFonts w:cstheme="minorHAnsi"/>
          <w:sz w:val="24"/>
          <w:szCs w:val="24"/>
        </w:rPr>
        <w:t>This Corporation is the biggest maker of plastic waste on the planet.</w:t>
      </w:r>
    </w:p>
    <w:p w:rsidR="007144D4" w:rsidRPr="00864B60" w:rsidRDefault="00245D64" w:rsidP="0002160B">
      <w:pPr>
        <w:rPr>
          <w:rFonts w:cstheme="minorHAnsi"/>
          <w:sz w:val="24"/>
          <w:szCs w:val="24"/>
        </w:rPr>
      </w:pPr>
      <w:r w:rsidRPr="00245D64">
        <w:rPr>
          <w:rFonts w:cstheme="minorHAnsi"/>
          <w:sz w:val="24"/>
          <w:szCs w:val="24"/>
        </w:rPr>
        <w:t>Drug specialist John Stith Pemberton built up the Coca-Cola drink in July 1886 to assist cerebral pain, ultimately to be placed as a remedial incentive at a deal in medical stores, Pemberton began mixing experiments and turned up during the extended period of May, the latest thing, it w</w:t>
      </w:r>
      <w:r>
        <w:rPr>
          <w:rFonts w:cstheme="minorHAnsi"/>
          <w:sz w:val="24"/>
          <w:szCs w:val="24"/>
        </w:rPr>
        <w:t>as available at the right place. Frank M. Robinson gave the name and created logo of this corporation.</w:t>
      </w:r>
      <w:r w:rsidR="00A77636" w:rsidRPr="00A77636">
        <w:t xml:space="preserve"> </w:t>
      </w:r>
      <w:r w:rsidR="00A77636" w:rsidRPr="00A77636">
        <w:rPr>
          <w:rFonts w:cstheme="minorHAnsi"/>
          <w:sz w:val="24"/>
          <w:szCs w:val="24"/>
        </w:rPr>
        <w:t>John had taken a break and left to gain ground with Robinson, near selling Coca-Cola in disconnection. With the little speculation, he progressed and prevailing in the reward.</w:t>
      </w:r>
      <w:r w:rsidR="00A77636">
        <w:rPr>
          <w:rFonts w:cstheme="minorHAnsi"/>
          <w:sz w:val="24"/>
          <w:szCs w:val="24"/>
        </w:rPr>
        <w:t xml:space="preserve"> I</w:t>
      </w:r>
      <w:r w:rsidR="00A77636" w:rsidRPr="00A77636">
        <w:rPr>
          <w:rFonts w:cstheme="minorHAnsi"/>
          <w:sz w:val="24"/>
          <w:szCs w:val="24"/>
        </w:rPr>
        <w:t>n Chi Ltd on January 30, 2016</w:t>
      </w:r>
      <w:r w:rsidR="00A77636">
        <w:rPr>
          <w:rFonts w:cstheme="minorHAnsi"/>
          <w:sz w:val="24"/>
          <w:szCs w:val="24"/>
        </w:rPr>
        <w:t xml:space="preserve">  t</w:t>
      </w:r>
      <w:r w:rsidR="00A77636" w:rsidRPr="00A77636">
        <w:rPr>
          <w:rFonts w:cstheme="minorHAnsi"/>
          <w:sz w:val="24"/>
          <w:szCs w:val="24"/>
        </w:rPr>
        <w:t>he C</w:t>
      </w:r>
      <w:r w:rsidR="00A77636">
        <w:rPr>
          <w:rFonts w:cstheme="minorHAnsi"/>
          <w:sz w:val="24"/>
          <w:szCs w:val="24"/>
        </w:rPr>
        <w:t>orporation procured a 40% stake</w:t>
      </w:r>
      <w:r w:rsidR="00A77636" w:rsidRPr="00A77636">
        <w:rPr>
          <w:rFonts w:cstheme="minorHAnsi"/>
          <w:sz w:val="24"/>
          <w:szCs w:val="24"/>
        </w:rPr>
        <w:t xml:space="preserve"> and extra 60% stake in the same company on January 30, 2019.</w:t>
      </w:r>
    </w:p>
    <w:p w:rsidR="007D7547" w:rsidRPr="00864B60" w:rsidRDefault="007D7547" w:rsidP="00551545">
      <w:pPr>
        <w:rPr>
          <w:rFonts w:cstheme="minorHAnsi"/>
          <w:b/>
          <w:sz w:val="32"/>
          <w:szCs w:val="32"/>
        </w:rPr>
      </w:pPr>
      <w:r w:rsidRPr="00864B60">
        <w:rPr>
          <w:rFonts w:cstheme="minorHAnsi"/>
          <w:b/>
          <w:sz w:val="24"/>
          <w:szCs w:val="24"/>
        </w:rPr>
        <w:t xml:space="preserve">                      </w:t>
      </w:r>
      <w:r w:rsidRPr="00864B60">
        <w:rPr>
          <w:rFonts w:cstheme="minorHAnsi"/>
          <w:b/>
          <w:sz w:val="32"/>
          <w:szCs w:val="32"/>
        </w:rPr>
        <w:t>Fin</w:t>
      </w:r>
      <w:r w:rsidR="007817EE">
        <w:rPr>
          <w:rFonts w:cstheme="minorHAnsi"/>
          <w:b/>
          <w:sz w:val="32"/>
          <w:szCs w:val="32"/>
        </w:rPr>
        <w:t>ancial analysis of</w:t>
      </w:r>
      <w:r w:rsidRPr="00864B60">
        <w:rPr>
          <w:rFonts w:cstheme="minorHAnsi"/>
          <w:b/>
          <w:sz w:val="32"/>
          <w:szCs w:val="32"/>
        </w:rPr>
        <w:t xml:space="preserve"> Company</w:t>
      </w:r>
    </w:p>
    <w:p w:rsidR="006F0976" w:rsidRPr="00864B60" w:rsidRDefault="006F0976" w:rsidP="006F0976">
      <w:pPr>
        <w:rPr>
          <w:rFonts w:cstheme="minorHAnsi"/>
          <w:sz w:val="24"/>
          <w:szCs w:val="24"/>
        </w:rPr>
      </w:pPr>
      <w:r w:rsidRPr="00864B60">
        <w:rPr>
          <w:rFonts w:cstheme="minorHAnsi"/>
          <w:sz w:val="24"/>
          <w:szCs w:val="24"/>
        </w:rPr>
        <w:t xml:space="preserve">As it was expressed in the presentation, this segment will zero in on the monetary examination of The Coca Cola Company dominatingly dependent on execution proportions. A couple of proportions depend on various types of organization's benefit. The idea of productivity is the base for a dynamic for financial specialists. On the off chance that the financial specialists are fulfilled at that point the business fills the need. The choice if to put resources into The Coca Cola Company will be founded on proportion examination. The hotspot for the examination will dominatingly be the pay explanations, asset reports also, income articulations. </w:t>
      </w:r>
      <w:r w:rsidR="007144D4" w:rsidRPr="007144D4">
        <w:rPr>
          <w:rFonts w:cstheme="minorHAnsi"/>
          <w:sz w:val="24"/>
          <w:szCs w:val="24"/>
        </w:rPr>
        <w:t>The imperative steps in financial extent examination have been followed. The picked extents have been resolved subject to the compensation clarifications, bookkeeping reports and pay explanations. These will be unraveled in conclusion the judgment will be formed on the conveyed information. First thing, the accentuation will be on a short evaluation accessible position. Moreover, advantage, efficiency and liquidity extents will be analyzed. Thirdly, adventure extents will be investigated close by explaining The Coca Cola Company's benefit methodology. Finally, the preparing extents will be inspected similarly as extents subject to the offer expense.</w:t>
      </w:r>
    </w:p>
    <w:p w:rsidR="006D780A" w:rsidRDefault="006D780A" w:rsidP="006F0976">
      <w:pPr>
        <w:spacing w:line="360" w:lineRule="auto"/>
        <w:jc w:val="both"/>
        <w:rPr>
          <w:rFonts w:cstheme="minorHAnsi"/>
          <w:sz w:val="24"/>
          <w:szCs w:val="24"/>
        </w:rPr>
      </w:pPr>
    </w:p>
    <w:p w:rsidR="006D780A" w:rsidRDefault="006D780A" w:rsidP="006F0976">
      <w:pPr>
        <w:spacing w:line="360" w:lineRule="auto"/>
        <w:jc w:val="both"/>
        <w:rPr>
          <w:rFonts w:cstheme="minorHAnsi"/>
          <w:sz w:val="24"/>
          <w:szCs w:val="24"/>
        </w:rPr>
      </w:pPr>
    </w:p>
    <w:p w:rsidR="006F0976" w:rsidRDefault="007817EE" w:rsidP="006F0976">
      <w:pPr>
        <w:spacing w:line="360" w:lineRule="auto"/>
        <w:jc w:val="both"/>
        <w:rPr>
          <w:rFonts w:cstheme="minorHAnsi"/>
          <w:b/>
          <w:bCs/>
          <w:sz w:val="24"/>
          <w:szCs w:val="24"/>
        </w:rPr>
      </w:pPr>
      <w:r>
        <w:rPr>
          <w:rFonts w:cstheme="minorHAnsi"/>
          <w:b/>
          <w:bCs/>
          <w:sz w:val="24"/>
          <w:szCs w:val="24"/>
        </w:rPr>
        <w:lastRenderedPageBreak/>
        <w:t>Data</w:t>
      </w:r>
    </w:p>
    <w:p w:rsidR="001639B7" w:rsidRDefault="00831EFC" w:rsidP="006F0976">
      <w:pPr>
        <w:spacing w:line="360" w:lineRule="auto"/>
        <w:rPr>
          <w:rFonts w:asciiTheme="majorBidi" w:hAnsiTheme="majorBidi" w:cstheme="majorBidi"/>
          <w:sz w:val="24"/>
          <w:szCs w:val="24"/>
        </w:rPr>
      </w:pPr>
      <w:r w:rsidRPr="00831EFC">
        <w:rPr>
          <w:rFonts w:cstheme="minorHAnsi"/>
          <w:bCs/>
          <w:sz w:val="24"/>
          <w:szCs w:val="24"/>
        </w:rPr>
        <w:t>The survey depends on data accumulated from the Coca Cola Company's Yahoo Finance. For the years 2016, 2017, 2018 and 2019, the financial data accumulated was from the Income Statement and Balance Sheet to coordinate a money related examination using the extents of liquidity, activity, commitment and efficiency.</w:t>
      </w:r>
      <w:r w:rsidR="006F0976" w:rsidRPr="003404F2">
        <w:rPr>
          <w:rFonts w:asciiTheme="majorBidi" w:hAnsiTheme="majorBidi" w:cstheme="majorBidi"/>
          <w:sz w:val="24"/>
          <w:szCs w:val="24"/>
        </w:rPr>
        <w:t xml:space="preserve">                               </w:t>
      </w:r>
    </w:p>
    <w:p w:rsidR="006F0976" w:rsidRDefault="001639B7" w:rsidP="006F0976">
      <w:pPr>
        <w:spacing w:line="360" w:lineRule="auto"/>
        <w:rPr>
          <w:rFonts w:cstheme="minorHAnsi"/>
          <w:sz w:val="24"/>
          <w:szCs w:val="24"/>
        </w:rPr>
      </w:pPr>
      <w:r w:rsidRPr="00864B60">
        <w:rPr>
          <w:rFonts w:cstheme="minorHAnsi"/>
          <w:sz w:val="24"/>
          <w:szCs w:val="24"/>
        </w:rPr>
        <w:t xml:space="preserve">                                 </w:t>
      </w:r>
      <w:r w:rsidR="006F0976" w:rsidRPr="00864B60">
        <w:rPr>
          <w:rFonts w:cstheme="minorHAnsi"/>
          <w:sz w:val="24"/>
          <w:szCs w:val="24"/>
        </w:rPr>
        <w:t xml:space="preserve">  Table 1: Fin</w:t>
      </w:r>
      <w:r w:rsidR="00444E9D">
        <w:rPr>
          <w:rFonts w:cstheme="minorHAnsi"/>
          <w:sz w:val="24"/>
          <w:szCs w:val="24"/>
        </w:rPr>
        <w:t xml:space="preserve">ancial Data </w:t>
      </w:r>
      <w:r w:rsidR="006F0976" w:rsidRPr="00864B60">
        <w:rPr>
          <w:rFonts w:cstheme="minorHAnsi"/>
          <w:sz w:val="24"/>
          <w:szCs w:val="24"/>
        </w:rPr>
        <w:tab/>
      </w:r>
    </w:p>
    <w:tbl>
      <w:tblPr>
        <w:tblStyle w:val="TableGrid"/>
        <w:tblpPr w:leftFromText="180" w:rightFromText="180" w:vertAnchor="text" w:horzAnchor="margin" w:tblpY="5303"/>
        <w:tblW w:w="0" w:type="auto"/>
        <w:tblLook w:val="04A0"/>
      </w:tblPr>
      <w:tblGrid>
        <w:gridCol w:w="1870"/>
        <w:gridCol w:w="1870"/>
        <w:gridCol w:w="1870"/>
        <w:gridCol w:w="1870"/>
        <w:gridCol w:w="1870"/>
      </w:tblGrid>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Item/Year</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2019</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2018</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2017</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2016</w:t>
            </w: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Current Assets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20,411,000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30,634,000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36,545,000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34,010,000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Current Liabilities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26,973,000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29,223,000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27,194,000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26,532,000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Inventories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3,379,000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2,766,000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2,655,000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2,675,000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Cash</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11,175,000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15,964,000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20,675,000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22,201,000</w:t>
            </w: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Receivables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3,971,000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3,396,000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3,667,000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3,856,000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Total Assets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86,381,000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83,216,000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87,896,000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87,270,000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Total Liabilities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65,283,000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64,158,000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lastRenderedPageBreak/>
              <w:t>68,919,000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lastRenderedPageBreak/>
              <w:t>64,050,000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lastRenderedPageBreak/>
              <w:t>Total Equity</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18,981,000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16,981,000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17,072,000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23,062,000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Sales</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37,266,000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31,856,000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35,410,000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41,863,000</w:t>
            </w:r>
          </w:p>
          <w:p w:rsidR="007144D4" w:rsidRPr="00864B60" w:rsidRDefault="007144D4" w:rsidP="00581480">
            <w:pPr>
              <w:jc w:val="both"/>
              <w:rPr>
                <w:rFonts w:cstheme="minorHAnsi"/>
                <w:sz w:val="24"/>
                <w:szCs w:val="24"/>
              </w:rPr>
            </w:pP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Cost of Goods Sold</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14,619,000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11,770,000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13,256,000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16,465,000</w:t>
            </w: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EBIT</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10,533,000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9,781,000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9,427,000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8,626,000</w:t>
            </w:r>
          </w:p>
          <w:p w:rsidR="007144D4" w:rsidRPr="00864B60" w:rsidRDefault="007144D4" w:rsidP="00581480">
            <w:pPr>
              <w:jc w:val="both"/>
              <w:rPr>
                <w:rFonts w:cstheme="minorHAnsi"/>
                <w:sz w:val="24"/>
                <w:szCs w:val="24"/>
              </w:rPr>
            </w:pPr>
          </w:p>
        </w:tc>
      </w:tr>
      <w:tr w:rsidR="007144D4" w:rsidRPr="00864B60" w:rsidTr="00581480">
        <w:trPr>
          <w:trHeight w:val="61"/>
        </w:trPr>
        <w:tc>
          <w:tcPr>
            <w:tcW w:w="1870" w:type="dxa"/>
          </w:tcPr>
          <w:p w:rsidR="007144D4" w:rsidRPr="00864B60" w:rsidRDefault="007144D4" w:rsidP="00581480">
            <w:pPr>
              <w:jc w:val="both"/>
              <w:rPr>
                <w:rFonts w:cstheme="minorHAnsi"/>
                <w:sz w:val="24"/>
                <w:szCs w:val="24"/>
              </w:rPr>
            </w:pPr>
            <w:r w:rsidRPr="00864B60">
              <w:rPr>
                <w:rFonts w:cstheme="minorHAnsi"/>
                <w:sz w:val="24"/>
                <w:szCs w:val="24"/>
              </w:rPr>
              <w:t>Interest</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946,000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919,000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841,000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733,000</w:t>
            </w:r>
          </w:p>
        </w:tc>
      </w:tr>
      <w:tr w:rsidR="007144D4" w:rsidRPr="00864B60" w:rsidTr="00581480">
        <w:tc>
          <w:tcPr>
            <w:tcW w:w="1870" w:type="dxa"/>
          </w:tcPr>
          <w:p w:rsidR="007144D4" w:rsidRPr="00864B60" w:rsidRDefault="007144D4" w:rsidP="00581480">
            <w:pPr>
              <w:jc w:val="both"/>
              <w:rPr>
                <w:rFonts w:cstheme="minorHAnsi"/>
                <w:sz w:val="24"/>
                <w:szCs w:val="24"/>
              </w:rPr>
            </w:pPr>
            <w:r w:rsidRPr="00864B60">
              <w:rPr>
                <w:rFonts w:cstheme="minorHAnsi"/>
                <w:sz w:val="24"/>
                <w:szCs w:val="24"/>
              </w:rPr>
              <w:t>Net Income</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8,920,000</w:t>
            </w: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6,434,000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1,248,000</w:t>
            </w:r>
          </w:p>
          <w:p w:rsidR="007144D4" w:rsidRPr="00864B60" w:rsidRDefault="007144D4" w:rsidP="00581480">
            <w:pPr>
              <w:jc w:val="both"/>
              <w:rPr>
                <w:rFonts w:cstheme="minorHAnsi"/>
                <w:sz w:val="24"/>
                <w:szCs w:val="24"/>
              </w:rPr>
            </w:pPr>
          </w:p>
        </w:tc>
        <w:tc>
          <w:tcPr>
            <w:tcW w:w="1870" w:type="dxa"/>
          </w:tcPr>
          <w:p w:rsidR="007144D4" w:rsidRPr="00864B60" w:rsidRDefault="007144D4" w:rsidP="00581480">
            <w:pPr>
              <w:jc w:val="both"/>
              <w:rPr>
                <w:rFonts w:cstheme="minorHAnsi"/>
                <w:sz w:val="24"/>
                <w:szCs w:val="24"/>
              </w:rPr>
            </w:pPr>
            <w:r w:rsidRPr="00864B60">
              <w:rPr>
                <w:rFonts w:cstheme="minorHAnsi"/>
                <w:sz w:val="24"/>
                <w:szCs w:val="24"/>
              </w:rPr>
              <w:t>6,527,000</w:t>
            </w:r>
          </w:p>
          <w:p w:rsidR="007144D4" w:rsidRPr="00864B60" w:rsidRDefault="007144D4" w:rsidP="00581480">
            <w:pPr>
              <w:jc w:val="both"/>
              <w:rPr>
                <w:rFonts w:cstheme="minorHAnsi"/>
                <w:sz w:val="24"/>
                <w:szCs w:val="24"/>
              </w:rPr>
            </w:pPr>
          </w:p>
        </w:tc>
      </w:tr>
    </w:tbl>
    <w:p w:rsidR="007144D4" w:rsidRPr="00864B60" w:rsidRDefault="007144D4" w:rsidP="006F0976">
      <w:pPr>
        <w:spacing w:line="360" w:lineRule="auto"/>
        <w:rPr>
          <w:rFonts w:cstheme="minorHAnsi"/>
          <w:sz w:val="24"/>
          <w:szCs w:val="24"/>
        </w:rPr>
      </w:pPr>
    </w:p>
    <w:p w:rsidR="001639B7" w:rsidRPr="00864B60" w:rsidRDefault="006F0976" w:rsidP="006F0976">
      <w:pPr>
        <w:spacing w:line="360" w:lineRule="auto"/>
        <w:jc w:val="both"/>
        <w:rPr>
          <w:rFonts w:cstheme="minorHAnsi"/>
          <w:sz w:val="24"/>
          <w:szCs w:val="24"/>
        </w:rPr>
      </w:pPr>
      <w:r w:rsidRPr="00864B60">
        <w:rPr>
          <w:rFonts w:cstheme="minorHAnsi"/>
          <w:sz w:val="24"/>
          <w:szCs w:val="24"/>
        </w:rPr>
        <w:t xml:space="preserve">                            All numbers in thousands, Source: Yahoo Finance</w:t>
      </w:r>
      <w:r w:rsidR="001639B7" w:rsidRPr="00864B60">
        <w:rPr>
          <w:rFonts w:cstheme="minorHAnsi"/>
          <w:sz w:val="24"/>
          <w:szCs w:val="24"/>
        </w:rPr>
        <w:t xml:space="preserve"> </w:t>
      </w:r>
    </w:p>
    <w:p w:rsidR="003404F2" w:rsidRPr="00864B60" w:rsidRDefault="003404F2" w:rsidP="006F0976">
      <w:pPr>
        <w:spacing w:line="360" w:lineRule="auto"/>
        <w:jc w:val="both"/>
        <w:rPr>
          <w:rFonts w:cstheme="minorHAnsi"/>
          <w:b/>
          <w:sz w:val="24"/>
          <w:szCs w:val="24"/>
        </w:rPr>
      </w:pPr>
      <w:r w:rsidRPr="00864B60">
        <w:rPr>
          <w:rFonts w:cstheme="minorHAnsi"/>
        </w:rPr>
        <w:t xml:space="preserve"> </w:t>
      </w:r>
      <w:r w:rsidRPr="00864B60">
        <w:rPr>
          <w:rFonts w:cstheme="minorHAnsi"/>
          <w:b/>
          <w:sz w:val="24"/>
          <w:szCs w:val="24"/>
        </w:rPr>
        <w:t xml:space="preserve">Liquidity Ratios </w:t>
      </w:r>
    </w:p>
    <w:p w:rsidR="00AD0C46" w:rsidRDefault="00AD0C46" w:rsidP="00D14090">
      <w:pPr>
        <w:spacing w:line="360" w:lineRule="auto"/>
        <w:jc w:val="both"/>
        <w:rPr>
          <w:rFonts w:cstheme="minorHAnsi"/>
          <w:sz w:val="24"/>
          <w:szCs w:val="24"/>
        </w:rPr>
      </w:pPr>
      <w:r w:rsidRPr="00AD0C46">
        <w:rPr>
          <w:rFonts w:cstheme="minorHAnsi"/>
          <w:sz w:val="24"/>
          <w:szCs w:val="24"/>
        </w:rPr>
        <w:t>Liquidity degree is a huge class of cash related counts used to choose the limit of a committed individual to follow current responsibility commitments without raising outer capital. Liquidity degree tests the limit of a relationship to pay responsibility commitments and its thriving preferred position by estimating figures, including the current degree, quickly.</w:t>
      </w:r>
    </w:p>
    <w:p w:rsidR="00D14090" w:rsidRPr="00D14090" w:rsidRDefault="00AD0C46" w:rsidP="00D14090">
      <w:pPr>
        <w:spacing w:line="360" w:lineRule="auto"/>
        <w:jc w:val="both"/>
        <w:rPr>
          <w:rFonts w:cstheme="minorHAnsi"/>
          <w:sz w:val="24"/>
          <w:szCs w:val="24"/>
        </w:rPr>
      </w:pPr>
      <w:r w:rsidRPr="00AD0C46">
        <w:rPr>
          <w:rFonts w:cstheme="minorHAnsi"/>
          <w:sz w:val="24"/>
          <w:szCs w:val="24"/>
        </w:rPr>
        <w:t>Liquidity is the capacity to rapidly and fiscally change resources into money. The degree of liquidity is valuable when utilized in an equivalent structure. This assessment might be either outside or inward.</w:t>
      </w:r>
    </w:p>
    <w:p w:rsidR="00D14090" w:rsidRPr="00D14090" w:rsidRDefault="009343D9" w:rsidP="00D14090">
      <w:pPr>
        <w:spacing w:line="360" w:lineRule="auto"/>
        <w:jc w:val="both"/>
        <w:rPr>
          <w:rFonts w:cstheme="minorHAnsi"/>
          <w:sz w:val="24"/>
          <w:szCs w:val="24"/>
        </w:rPr>
      </w:pPr>
      <w:r w:rsidRPr="009343D9">
        <w:rPr>
          <w:rFonts w:cstheme="minorHAnsi"/>
          <w:sz w:val="24"/>
          <w:szCs w:val="24"/>
        </w:rPr>
        <w:t>For instance, within audit of liquidity augmentations incorporates the utilization of various bookkeeping periods, spoken to utilizing tantamount bookkeeping approachs. Standing apart past timeframes from current permit controllers for activities to follow organization changes. A higher liquidity level shows that this affiliation is fluid and considers remarkable liabilities if all else fails.</w:t>
      </w:r>
    </w:p>
    <w:p w:rsidR="009343D9" w:rsidRDefault="009343D9" w:rsidP="00D14090">
      <w:pPr>
        <w:spacing w:line="360" w:lineRule="auto"/>
        <w:jc w:val="both"/>
        <w:rPr>
          <w:rFonts w:cstheme="minorHAnsi"/>
          <w:sz w:val="24"/>
          <w:szCs w:val="24"/>
        </w:rPr>
      </w:pPr>
    </w:p>
    <w:p w:rsidR="009343D9" w:rsidRDefault="009343D9" w:rsidP="009343D9">
      <w:pPr>
        <w:spacing w:line="360" w:lineRule="auto"/>
        <w:jc w:val="both"/>
        <w:rPr>
          <w:rFonts w:cstheme="minorHAnsi"/>
          <w:sz w:val="24"/>
          <w:szCs w:val="24"/>
        </w:rPr>
      </w:pPr>
      <w:r w:rsidRPr="009343D9">
        <w:rPr>
          <w:rFonts w:cstheme="minorHAnsi"/>
          <w:sz w:val="24"/>
          <w:szCs w:val="24"/>
        </w:rPr>
        <w:lastRenderedPageBreak/>
        <w:t>Of course, outer assessment incorporates the separation of the Coca Cola affiliation's liquidity reaches to another or a whole industry. This data is useful in considering the fundamental plans of the Coca Cola affiliation identifying with its rivals while creating benchmark objections.</w:t>
      </w:r>
      <w:r>
        <w:rPr>
          <w:rFonts w:cstheme="minorHAnsi"/>
          <w:sz w:val="24"/>
          <w:szCs w:val="24"/>
        </w:rPr>
        <w:t xml:space="preserve"> </w:t>
      </w:r>
      <w:r w:rsidR="000E370A" w:rsidRPr="000E370A">
        <w:rPr>
          <w:rFonts w:cstheme="minorHAnsi"/>
          <w:sz w:val="24"/>
          <w:szCs w:val="24"/>
        </w:rPr>
        <w:t>When glancing through experiences, liquidity degree evaluation may not be as astounding as changed affiliations require distinctive subsidizing structures. Liquidity in relationship of modified sizes in various geographical zones is less earth shattering for looking.</w:t>
      </w:r>
    </w:p>
    <w:p w:rsidR="00E753E2" w:rsidRPr="00864B60" w:rsidRDefault="009343D9" w:rsidP="009343D9">
      <w:pPr>
        <w:spacing w:line="360" w:lineRule="auto"/>
        <w:jc w:val="both"/>
        <w:rPr>
          <w:rFonts w:cstheme="minorHAnsi"/>
          <w:sz w:val="24"/>
          <w:szCs w:val="24"/>
        </w:rPr>
      </w:pPr>
      <w:r>
        <w:rPr>
          <w:rFonts w:cstheme="minorHAnsi"/>
          <w:sz w:val="24"/>
          <w:szCs w:val="24"/>
        </w:rPr>
        <w:t xml:space="preserve">                                          </w:t>
      </w:r>
      <w:r w:rsidR="00E753E2" w:rsidRPr="00864B60">
        <w:rPr>
          <w:rFonts w:cstheme="minorHAnsi"/>
          <w:sz w:val="24"/>
          <w:szCs w:val="24"/>
        </w:rPr>
        <w:t xml:space="preserve">Table 2: Liquidity Ratios </w:t>
      </w:r>
    </w:p>
    <w:tbl>
      <w:tblPr>
        <w:tblStyle w:val="TableGrid"/>
        <w:tblW w:w="10668" w:type="dxa"/>
        <w:tblInd w:w="-646" w:type="dxa"/>
        <w:tblLook w:val="04A0"/>
      </w:tblPr>
      <w:tblGrid>
        <w:gridCol w:w="1870"/>
        <w:gridCol w:w="1870"/>
        <w:gridCol w:w="1870"/>
        <w:gridCol w:w="1870"/>
        <w:gridCol w:w="1870"/>
        <w:gridCol w:w="1318"/>
      </w:tblGrid>
      <w:tr w:rsidR="00E626EF" w:rsidRPr="00864B60" w:rsidTr="00903AE4">
        <w:tc>
          <w:tcPr>
            <w:tcW w:w="1870" w:type="dxa"/>
          </w:tcPr>
          <w:p w:rsidR="00E626EF" w:rsidRPr="00864B60" w:rsidRDefault="00E626EF" w:rsidP="005515D2">
            <w:pPr>
              <w:spacing w:line="360" w:lineRule="auto"/>
              <w:jc w:val="center"/>
              <w:rPr>
                <w:rFonts w:cstheme="minorHAnsi"/>
                <w:sz w:val="24"/>
                <w:szCs w:val="24"/>
              </w:rPr>
            </w:pPr>
            <w:bookmarkStart w:id="0" w:name="OLE_LINK1"/>
            <w:r w:rsidRPr="00864B60">
              <w:rPr>
                <w:rFonts w:cstheme="minorHAnsi"/>
                <w:sz w:val="24"/>
                <w:szCs w:val="24"/>
              </w:rPr>
              <w:t>Ratio/Year</w:t>
            </w:r>
          </w:p>
        </w:tc>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2019</w:t>
            </w:r>
          </w:p>
        </w:tc>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2018</w:t>
            </w:r>
          </w:p>
        </w:tc>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2017</w:t>
            </w:r>
          </w:p>
        </w:tc>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2016</w:t>
            </w:r>
          </w:p>
        </w:tc>
        <w:tc>
          <w:tcPr>
            <w:tcW w:w="1318" w:type="dxa"/>
            <w:tcBorders>
              <w:top w:val="single" w:sz="4" w:space="0" w:color="auto"/>
              <w:bottom w:val="single" w:sz="4" w:space="0" w:color="auto"/>
              <w:right w:val="single" w:sz="4" w:space="0" w:color="auto"/>
            </w:tcBorders>
            <w:shd w:val="clear" w:color="auto" w:fill="auto"/>
          </w:tcPr>
          <w:p w:rsidR="00E626EF" w:rsidRPr="00903AE4" w:rsidRDefault="00E626EF">
            <w:pPr>
              <w:rPr>
                <w:sz w:val="24"/>
                <w:szCs w:val="24"/>
              </w:rPr>
            </w:pPr>
            <w:r w:rsidRPr="00903AE4">
              <w:rPr>
                <w:sz w:val="24"/>
                <w:szCs w:val="24"/>
              </w:rPr>
              <w:t>PepsiCo 2019</w:t>
            </w:r>
          </w:p>
        </w:tc>
      </w:tr>
      <w:tr w:rsidR="00E626EF" w:rsidRPr="00864B60" w:rsidTr="00903AE4">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Current Ratio</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0.76</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1.05</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1.34</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1.28</w:t>
            </w:r>
          </w:p>
        </w:tc>
        <w:tc>
          <w:tcPr>
            <w:tcW w:w="1318" w:type="dxa"/>
            <w:tcBorders>
              <w:top w:val="single" w:sz="4" w:space="0" w:color="auto"/>
              <w:bottom w:val="single" w:sz="4" w:space="0" w:color="auto"/>
              <w:right w:val="single" w:sz="4" w:space="0" w:color="auto"/>
            </w:tcBorders>
            <w:shd w:val="clear" w:color="auto" w:fill="auto"/>
          </w:tcPr>
          <w:p w:rsidR="00E626EF" w:rsidRPr="00903AE4" w:rsidRDefault="00E626EF">
            <w:pPr>
              <w:rPr>
                <w:sz w:val="24"/>
                <w:szCs w:val="24"/>
              </w:rPr>
            </w:pPr>
            <w:r w:rsidRPr="00903AE4">
              <w:rPr>
                <w:sz w:val="24"/>
                <w:szCs w:val="24"/>
              </w:rPr>
              <w:t>0.86</w:t>
            </w:r>
          </w:p>
        </w:tc>
      </w:tr>
      <w:tr w:rsidR="00E626EF" w:rsidRPr="00864B60" w:rsidTr="00903AE4">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Quick Ratio</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0.63</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0.95</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1.25</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1.18</w:t>
            </w:r>
          </w:p>
        </w:tc>
        <w:tc>
          <w:tcPr>
            <w:tcW w:w="1318" w:type="dxa"/>
            <w:tcBorders>
              <w:top w:val="single" w:sz="4" w:space="0" w:color="auto"/>
              <w:bottom w:val="single" w:sz="4" w:space="0" w:color="auto"/>
              <w:right w:val="single" w:sz="4" w:space="0" w:color="auto"/>
            </w:tcBorders>
            <w:shd w:val="clear" w:color="auto" w:fill="auto"/>
          </w:tcPr>
          <w:p w:rsidR="00E626EF" w:rsidRPr="00903AE4" w:rsidRDefault="00E626EF">
            <w:pPr>
              <w:rPr>
                <w:sz w:val="24"/>
                <w:szCs w:val="24"/>
              </w:rPr>
            </w:pPr>
            <w:r w:rsidRPr="00903AE4">
              <w:rPr>
                <w:sz w:val="24"/>
                <w:szCs w:val="24"/>
              </w:rPr>
              <w:t>0.66</w:t>
            </w:r>
          </w:p>
        </w:tc>
      </w:tr>
      <w:tr w:rsidR="00E626EF" w:rsidRPr="00864B60" w:rsidTr="00903AE4">
        <w:tc>
          <w:tcPr>
            <w:tcW w:w="1870" w:type="dxa"/>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Cash Ratio</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0.41</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0.55</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0.76</w:t>
            </w:r>
          </w:p>
        </w:tc>
        <w:tc>
          <w:tcPr>
            <w:tcW w:w="1870" w:type="dxa"/>
            <w:vAlign w:val="center"/>
          </w:tcPr>
          <w:p w:rsidR="00E626EF" w:rsidRPr="00864B60" w:rsidRDefault="00E626EF" w:rsidP="005515D2">
            <w:pPr>
              <w:spacing w:line="360" w:lineRule="auto"/>
              <w:jc w:val="center"/>
              <w:rPr>
                <w:rFonts w:cstheme="minorHAnsi"/>
                <w:sz w:val="24"/>
                <w:szCs w:val="24"/>
              </w:rPr>
            </w:pPr>
            <w:r w:rsidRPr="00864B60">
              <w:rPr>
                <w:rFonts w:cstheme="minorHAnsi"/>
                <w:sz w:val="24"/>
                <w:szCs w:val="24"/>
              </w:rPr>
              <w:t>0.84</w:t>
            </w:r>
          </w:p>
        </w:tc>
        <w:tc>
          <w:tcPr>
            <w:tcW w:w="1318" w:type="dxa"/>
            <w:tcBorders>
              <w:top w:val="single" w:sz="4" w:space="0" w:color="auto"/>
              <w:bottom w:val="single" w:sz="4" w:space="0" w:color="auto"/>
              <w:right w:val="single" w:sz="4" w:space="0" w:color="auto"/>
            </w:tcBorders>
            <w:shd w:val="clear" w:color="auto" w:fill="auto"/>
          </w:tcPr>
          <w:p w:rsidR="00E626EF" w:rsidRPr="00903AE4" w:rsidRDefault="00E626EF">
            <w:pPr>
              <w:rPr>
                <w:sz w:val="24"/>
                <w:szCs w:val="24"/>
              </w:rPr>
            </w:pPr>
            <w:r w:rsidRPr="00903AE4">
              <w:rPr>
                <w:sz w:val="24"/>
                <w:szCs w:val="24"/>
              </w:rPr>
              <w:t>0.28</w:t>
            </w:r>
          </w:p>
        </w:tc>
      </w:tr>
      <w:bookmarkEnd w:id="0"/>
    </w:tbl>
    <w:p w:rsidR="00E753E2" w:rsidRPr="00864B60" w:rsidRDefault="00E753E2" w:rsidP="00E753E2">
      <w:pPr>
        <w:spacing w:line="360" w:lineRule="auto"/>
        <w:jc w:val="both"/>
        <w:rPr>
          <w:rFonts w:cstheme="minorHAnsi"/>
          <w:sz w:val="24"/>
          <w:szCs w:val="24"/>
        </w:rPr>
      </w:pPr>
    </w:p>
    <w:p w:rsidR="00363F68" w:rsidRPr="00864B60" w:rsidRDefault="00363F68" w:rsidP="00363F68">
      <w:pPr>
        <w:spacing w:line="360" w:lineRule="auto"/>
        <w:jc w:val="both"/>
        <w:rPr>
          <w:rFonts w:cstheme="minorHAnsi"/>
          <w:sz w:val="24"/>
          <w:szCs w:val="24"/>
        </w:rPr>
      </w:pPr>
    </w:p>
    <w:p w:rsidR="003404F2" w:rsidRPr="00864B60" w:rsidRDefault="003404F2" w:rsidP="006F0976">
      <w:pPr>
        <w:spacing w:line="360" w:lineRule="auto"/>
        <w:jc w:val="both"/>
        <w:rPr>
          <w:rFonts w:cstheme="minorHAnsi"/>
          <w:b/>
          <w:sz w:val="24"/>
          <w:szCs w:val="24"/>
        </w:rPr>
      </w:pPr>
    </w:p>
    <w:p w:rsidR="006F0976" w:rsidRPr="00864B60" w:rsidRDefault="006F0976" w:rsidP="006F0976">
      <w:pPr>
        <w:spacing w:line="360" w:lineRule="auto"/>
        <w:jc w:val="both"/>
        <w:rPr>
          <w:rFonts w:cstheme="minorHAnsi"/>
          <w:sz w:val="24"/>
          <w:szCs w:val="24"/>
        </w:rPr>
      </w:pPr>
    </w:p>
    <w:p w:rsidR="006F0976" w:rsidRPr="00864B60" w:rsidRDefault="006F0976" w:rsidP="006F0976">
      <w:pPr>
        <w:spacing w:line="360" w:lineRule="auto"/>
        <w:jc w:val="both"/>
        <w:rPr>
          <w:rFonts w:cstheme="minorHAnsi"/>
          <w:sz w:val="24"/>
          <w:szCs w:val="24"/>
        </w:rPr>
      </w:pPr>
    </w:p>
    <w:p w:rsidR="006F0976" w:rsidRPr="00864B60" w:rsidRDefault="006F0976" w:rsidP="006F0976">
      <w:pPr>
        <w:spacing w:line="360" w:lineRule="auto"/>
        <w:jc w:val="both"/>
        <w:rPr>
          <w:rFonts w:cstheme="minorHAnsi"/>
          <w:sz w:val="24"/>
          <w:szCs w:val="24"/>
        </w:rPr>
      </w:pPr>
    </w:p>
    <w:p w:rsidR="00E753E2" w:rsidRPr="00864B60" w:rsidRDefault="00E753E2" w:rsidP="00E753E2">
      <w:pPr>
        <w:spacing w:line="360" w:lineRule="auto"/>
        <w:jc w:val="center"/>
        <w:rPr>
          <w:rFonts w:cstheme="minorHAnsi"/>
          <w:sz w:val="24"/>
          <w:szCs w:val="24"/>
        </w:rPr>
      </w:pPr>
      <w:r w:rsidRPr="00864B60">
        <w:rPr>
          <w:rFonts w:cstheme="minorHAnsi"/>
          <w:sz w:val="24"/>
          <w:szCs w:val="24"/>
        </w:rPr>
        <w:t xml:space="preserve">Figure 1: Current Ratio </w:t>
      </w:r>
    </w:p>
    <w:p w:rsidR="00E753E2" w:rsidRPr="00864B60" w:rsidRDefault="00E753E2" w:rsidP="00DD6827">
      <w:pPr>
        <w:spacing w:line="360" w:lineRule="auto"/>
        <w:rPr>
          <w:rFonts w:cstheme="minorHAnsi"/>
          <w:sz w:val="24"/>
          <w:szCs w:val="24"/>
        </w:rPr>
      </w:pPr>
      <w:r w:rsidRPr="00864B60">
        <w:rPr>
          <w:rFonts w:cstheme="minorHAnsi"/>
          <w:noProof/>
          <w:sz w:val="24"/>
          <w:szCs w:val="24"/>
        </w:rPr>
        <w:drawing>
          <wp:anchor distT="0" distB="0" distL="114300" distR="114300" simplePos="0" relativeHeight="251658240" behindDoc="0" locked="0" layoutInCell="1" allowOverlap="1">
            <wp:simplePos x="0" y="0"/>
            <wp:positionH relativeFrom="column">
              <wp:posOffset>983411</wp:posOffset>
            </wp:positionH>
            <wp:positionV relativeFrom="paragraph">
              <wp:align>top</wp:align>
            </wp:positionV>
            <wp:extent cx="4567926" cy="2739126"/>
            <wp:effectExtent l="19050" t="0" r="23124" b="4074"/>
            <wp:wrapSquare wrapText="bothSides"/>
            <wp:docPr id="2" name="Chart 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7F8AB45D-26FC-5847-97AF-C91A2A6C87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p>
    <w:p w:rsidR="00E753E2" w:rsidRPr="00864B60" w:rsidRDefault="00E753E2" w:rsidP="00E753E2">
      <w:pPr>
        <w:spacing w:line="360" w:lineRule="auto"/>
        <w:jc w:val="center"/>
        <w:rPr>
          <w:rFonts w:cstheme="minorHAnsi"/>
          <w:sz w:val="24"/>
          <w:szCs w:val="24"/>
        </w:rPr>
      </w:pPr>
    </w:p>
    <w:p w:rsidR="006F0976" w:rsidRPr="00864B60" w:rsidRDefault="006F0976" w:rsidP="006F0976">
      <w:pPr>
        <w:spacing w:line="360" w:lineRule="auto"/>
        <w:jc w:val="both"/>
        <w:rPr>
          <w:rFonts w:cstheme="minorHAnsi"/>
          <w:b/>
          <w:bCs/>
          <w:sz w:val="24"/>
          <w:szCs w:val="24"/>
        </w:rPr>
      </w:pPr>
    </w:p>
    <w:p w:rsidR="00DD6827" w:rsidRPr="00864B60" w:rsidRDefault="00DD6827" w:rsidP="006F0976">
      <w:pPr>
        <w:rPr>
          <w:rFonts w:cstheme="minorHAnsi"/>
          <w:b/>
          <w:sz w:val="24"/>
          <w:szCs w:val="24"/>
        </w:rPr>
      </w:pPr>
    </w:p>
    <w:p w:rsidR="00DD6827" w:rsidRPr="00864B60" w:rsidRDefault="00DD6827" w:rsidP="00DD6827">
      <w:pPr>
        <w:rPr>
          <w:rFonts w:cstheme="minorHAnsi"/>
          <w:sz w:val="24"/>
          <w:szCs w:val="24"/>
        </w:rPr>
      </w:pPr>
    </w:p>
    <w:p w:rsidR="00DD6827" w:rsidRPr="00864B60" w:rsidRDefault="00DD6827" w:rsidP="00DD6827">
      <w:pPr>
        <w:rPr>
          <w:rFonts w:cstheme="minorHAnsi"/>
          <w:sz w:val="24"/>
          <w:szCs w:val="24"/>
        </w:rPr>
      </w:pPr>
    </w:p>
    <w:p w:rsidR="00DD6827" w:rsidRPr="00864B60" w:rsidRDefault="00DD6827" w:rsidP="00DD6827">
      <w:pPr>
        <w:rPr>
          <w:rFonts w:cstheme="minorHAnsi"/>
          <w:sz w:val="24"/>
          <w:szCs w:val="24"/>
        </w:rPr>
      </w:pPr>
    </w:p>
    <w:p w:rsidR="00DD6827" w:rsidRPr="00864B60" w:rsidRDefault="00DD6827" w:rsidP="00DD6827">
      <w:pPr>
        <w:rPr>
          <w:rFonts w:cstheme="minorHAnsi"/>
          <w:sz w:val="24"/>
          <w:szCs w:val="24"/>
        </w:rPr>
      </w:pPr>
    </w:p>
    <w:p w:rsidR="00FD33F2" w:rsidRDefault="00FD33F2" w:rsidP="00FD33F2">
      <w:pPr>
        <w:spacing w:line="360" w:lineRule="auto"/>
        <w:rPr>
          <w:rFonts w:cstheme="minorHAnsi"/>
          <w:sz w:val="24"/>
          <w:szCs w:val="24"/>
        </w:rPr>
      </w:pPr>
      <w:r w:rsidRPr="00FD33F2">
        <w:t xml:space="preserve"> </w:t>
      </w:r>
      <w:r w:rsidR="00444E9D">
        <w:rPr>
          <w:rFonts w:cstheme="minorHAnsi"/>
          <w:sz w:val="24"/>
          <w:szCs w:val="24"/>
        </w:rPr>
        <w:t>The current extent depicts</w:t>
      </w:r>
      <w:r w:rsidR="00444E9D" w:rsidRPr="00444E9D">
        <w:rPr>
          <w:rFonts w:cstheme="minorHAnsi"/>
          <w:sz w:val="24"/>
          <w:szCs w:val="24"/>
        </w:rPr>
        <w:t xml:space="preserve"> the organization's capacity to cover the blazing responsibility. As appeared in the chart, in 2016, the Coca Cola affiliation recorded a current degree of 1.28 and having a current degree of more than 1 is useful for the affiliation that Coca Cola gathers can cover the transient responsibility. The current degree reached out to 1.34 in 2017, which is as yet adequate to keep hanging for the following two years to 1.05 and 0.76 because of the abatement in current resources. This without a doubt shows that the association is challenging liquidity issues.</w:t>
      </w:r>
      <w:r>
        <w:rPr>
          <w:rFonts w:cstheme="minorHAnsi"/>
          <w:sz w:val="24"/>
          <w:szCs w:val="24"/>
        </w:rPr>
        <w:t xml:space="preserve">                </w:t>
      </w:r>
    </w:p>
    <w:p w:rsidR="00FD33F2" w:rsidRDefault="00FD33F2" w:rsidP="00FD33F2">
      <w:pPr>
        <w:spacing w:line="360" w:lineRule="auto"/>
        <w:rPr>
          <w:rFonts w:cstheme="minorHAnsi"/>
          <w:sz w:val="24"/>
          <w:szCs w:val="24"/>
        </w:rPr>
      </w:pPr>
    </w:p>
    <w:p w:rsidR="00FD33F2" w:rsidRDefault="00FD33F2" w:rsidP="00FD33F2">
      <w:pPr>
        <w:spacing w:line="360" w:lineRule="auto"/>
        <w:rPr>
          <w:rFonts w:cstheme="minorHAnsi"/>
          <w:sz w:val="24"/>
          <w:szCs w:val="24"/>
        </w:rPr>
      </w:pPr>
    </w:p>
    <w:p w:rsidR="00FD33F2" w:rsidRDefault="00FD33F2" w:rsidP="00FD33F2">
      <w:pPr>
        <w:spacing w:line="360" w:lineRule="auto"/>
        <w:rPr>
          <w:rFonts w:cstheme="minorHAnsi"/>
          <w:sz w:val="24"/>
          <w:szCs w:val="24"/>
        </w:rPr>
      </w:pPr>
    </w:p>
    <w:p w:rsidR="00FD33F2" w:rsidRDefault="00FD33F2" w:rsidP="00FD33F2">
      <w:pPr>
        <w:spacing w:line="360" w:lineRule="auto"/>
        <w:rPr>
          <w:rFonts w:cstheme="minorHAnsi"/>
          <w:sz w:val="24"/>
          <w:szCs w:val="24"/>
        </w:rPr>
      </w:pPr>
    </w:p>
    <w:p w:rsidR="00DD6827" w:rsidRPr="00864B60" w:rsidRDefault="00FD33F2" w:rsidP="00FD33F2">
      <w:pPr>
        <w:spacing w:line="360" w:lineRule="auto"/>
        <w:rPr>
          <w:rFonts w:cstheme="minorHAnsi"/>
          <w:sz w:val="24"/>
          <w:szCs w:val="24"/>
        </w:rPr>
      </w:pPr>
      <w:r>
        <w:rPr>
          <w:rFonts w:cstheme="minorHAnsi"/>
          <w:sz w:val="24"/>
          <w:szCs w:val="24"/>
        </w:rPr>
        <w:t xml:space="preserve">                  Figure 2: Quick R</w:t>
      </w:r>
      <w:r w:rsidR="00DD6827" w:rsidRPr="00864B60">
        <w:rPr>
          <w:rFonts w:cstheme="minorHAnsi"/>
          <w:sz w:val="24"/>
          <w:szCs w:val="24"/>
        </w:rPr>
        <w:t xml:space="preserve">atio </w:t>
      </w:r>
    </w:p>
    <w:p w:rsidR="00DD6827" w:rsidRPr="00864B60" w:rsidRDefault="00DD6827" w:rsidP="00DD6827">
      <w:pPr>
        <w:tabs>
          <w:tab w:val="left" w:pos="1725"/>
        </w:tabs>
        <w:rPr>
          <w:rFonts w:cstheme="minorHAnsi"/>
          <w:sz w:val="24"/>
          <w:szCs w:val="24"/>
        </w:rPr>
      </w:pPr>
      <w:r w:rsidRPr="00864B60">
        <w:rPr>
          <w:rFonts w:cstheme="minorHAnsi"/>
          <w:noProof/>
          <w:sz w:val="24"/>
          <w:szCs w:val="24"/>
        </w:rPr>
        <w:drawing>
          <wp:inline distT="0" distB="0" distL="0" distR="0">
            <wp:extent cx="4572000" cy="2743200"/>
            <wp:effectExtent l="0" t="0" r="12700" b="12700"/>
            <wp:docPr id="13" name="Chart 13">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ACFDC640-2CC2-7A43-808C-6DDA1F88A06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FD33F2" w:rsidRDefault="00444E9D" w:rsidP="00DD6827">
      <w:pPr>
        <w:spacing w:line="360" w:lineRule="auto"/>
        <w:jc w:val="center"/>
        <w:rPr>
          <w:rFonts w:cstheme="minorHAnsi"/>
          <w:sz w:val="24"/>
          <w:szCs w:val="24"/>
        </w:rPr>
      </w:pPr>
      <w:r>
        <w:rPr>
          <w:rFonts w:cstheme="minorHAnsi"/>
          <w:sz w:val="24"/>
          <w:szCs w:val="24"/>
        </w:rPr>
        <w:lastRenderedPageBreak/>
        <w:t>R</w:t>
      </w:r>
      <w:r w:rsidR="00FD33F2" w:rsidRPr="00FD33F2">
        <w:rPr>
          <w:rFonts w:cstheme="minorHAnsi"/>
          <w:sz w:val="24"/>
          <w:szCs w:val="24"/>
        </w:rPr>
        <w:t>isk proportion bases on using the current assets for cover the commitment. Likewise to the current extent, the brisk proportion extended from 1.18 to 1.25 from 2016 to 2017. What's more, a short time later declined to 0.95 in 2018 and 0.63 in 2019 in vie</w:t>
      </w:r>
      <w:r w:rsidR="00FD33F2">
        <w:rPr>
          <w:rFonts w:cstheme="minorHAnsi"/>
          <w:sz w:val="24"/>
          <w:szCs w:val="24"/>
        </w:rPr>
        <w:t>w of reducing in current assets.</w:t>
      </w:r>
    </w:p>
    <w:p w:rsidR="00DD6827" w:rsidRPr="00864B60" w:rsidRDefault="00DD6827" w:rsidP="00DD6827">
      <w:pPr>
        <w:spacing w:line="360" w:lineRule="auto"/>
        <w:jc w:val="center"/>
        <w:rPr>
          <w:rFonts w:cstheme="minorHAnsi"/>
          <w:sz w:val="24"/>
          <w:szCs w:val="24"/>
        </w:rPr>
      </w:pPr>
      <w:r w:rsidRPr="00864B60">
        <w:rPr>
          <w:rFonts w:cstheme="minorHAnsi"/>
          <w:sz w:val="24"/>
          <w:szCs w:val="24"/>
        </w:rPr>
        <w:t xml:space="preserve">Figure 3: Cash Ratio of </w:t>
      </w:r>
    </w:p>
    <w:p w:rsidR="00DD6827" w:rsidRPr="00864B60" w:rsidRDefault="00626973" w:rsidP="00DD6827">
      <w:pPr>
        <w:tabs>
          <w:tab w:val="left" w:pos="1725"/>
        </w:tabs>
        <w:rPr>
          <w:rFonts w:cstheme="minorHAnsi"/>
          <w:sz w:val="24"/>
          <w:szCs w:val="24"/>
        </w:rPr>
      </w:pPr>
      <w:r w:rsidRPr="00864B60">
        <w:rPr>
          <w:rFonts w:cstheme="minorHAnsi"/>
          <w:noProof/>
          <w:sz w:val="24"/>
          <w:szCs w:val="24"/>
        </w:rPr>
        <w:drawing>
          <wp:inline distT="0" distB="0" distL="0" distR="0">
            <wp:extent cx="4567926" cy="2739126"/>
            <wp:effectExtent l="19050" t="0" r="23124" b="4074"/>
            <wp:docPr id="7" name="Chart 7">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71CC0110-A4B6-5A4B-AA67-DE787FF876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44E9D" w:rsidRPr="00444E9D" w:rsidRDefault="00444E9D" w:rsidP="00444E9D">
      <w:pPr>
        <w:spacing w:line="360" w:lineRule="auto"/>
        <w:rPr>
          <w:rFonts w:cstheme="minorHAnsi"/>
          <w:sz w:val="24"/>
          <w:szCs w:val="24"/>
        </w:rPr>
      </w:pPr>
      <w:r w:rsidRPr="00444E9D">
        <w:rPr>
          <w:rFonts w:cstheme="minorHAnsi"/>
          <w:sz w:val="24"/>
          <w:szCs w:val="24"/>
        </w:rPr>
        <w:t xml:space="preserve">The extent of cash induces the utilization of the most fluid resources for current liabilities to pay. The diagram uncovers that the money size of Coca Cola kept on crumbling from 0.84 to 0.41 for quite a while at the most recent. The money level is additionally dropping similarly as the past two liquidity increments. </w:t>
      </w:r>
    </w:p>
    <w:p w:rsidR="00444E9D" w:rsidRDefault="00444E9D" w:rsidP="00444E9D">
      <w:pPr>
        <w:spacing w:line="360" w:lineRule="auto"/>
        <w:rPr>
          <w:rFonts w:cstheme="minorHAnsi"/>
          <w:sz w:val="24"/>
          <w:szCs w:val="24"/>
        </w:rPr>
      </w:pPr>
      <w:r w:rsidRPr="00444E9D">
        <w:rPr>
          <w:rFonts w:cstheme="minorHAnsi"/>
          <w:sz w:val="24"/>
          <w:szCs w:val="24"/>
        </w:rPr>
        <w:t>Generally speaking, as all the liquidity extent utilized appeared, Coca cola liquidity has been crumbling in the course of the most recent couple of years. This can raise an admonition that their working capital isn't sufficiently overseen by Coca Cola.</w:t>
      </w:r>
    </w:p>
    <w:p w:rsidR="007817EE" w:rsidRDefault="00626973" w:rsidP="00444E9D">
      <w:pPr>
        <w:spacing w:line="360" w:lineRule="auto"/>
        <w:rPr>
          <w:rFonts w:cstheme="minorHAnsi"/>
          <w:b/>
          <w:sz w:val="24"/>
          <w:szCs w:val="24"/>
        </w:rPr>
      </w:pPr>
      <w:r w:rsidRPr="00864B60">
        <w:rPr>
          <w:rFonts w:cstheme="minorHAnsi"/>
          <w:b/>
          <w:sz w:val="24"/>
          <w:szCs w:val="24"/>
        </w:rPr>
        <w:t>Activity Ratios</w:t>
      </w:r>
    </w:p>
    <w:p w:rsidR="00B40778" w:rsidRPr="007817EE" w:rsidRDefault="007817EE" w:rsidP="00626973">
      <w:pPr>
        <w:spacing w:line="360" w:lineRule="auto"/>
        <w:rPr>
          <w:rFonts w:cstheme="minorHAnsi"/>
          <w:b/>
          <w:sz w:val="24"/>
          <w:szCs w:val="24"/>
        </w:rPr>
      </w:pPr>
      <w:r>
        <w:rPr>
          <w:rFonts w:cstheme="minorHAnsi"/>
          <w:sz w:val="24"/>
          <w:szCs w:val="24"/>
        </w:rPr>
        <w:t xml:space="preserve"> </w:t>
      </w:r>
      <w:r w:rsidR="00E87CEE" w:rsidRPr="00E87CEE">
        <w:rPr>
          <w:rFonts w:cstheme="minorHAnsi"/>
          <w:sz w:val="24"/>
          <w:szCs w:val="24"/>
        </w:rPr>
        <w:t>A movement proportion is a type of monetary metric that shows how successfully a business use its accounting report resources for create deals and cash.</w:t>
      </w:r>
      <w:r w:rsidR="000E370A">
        <w:rPr>
          <w:rFonts w:cstheme="minorHAnsi"/>
          <w:sz w:val="24"/>
          <w:szCs w:val="24"/>
        </w:rPr>
        <w:t xml:space="preserve"> </w:t>
      </w:r>
      <w:r w:rsidR="00E87CEE" w:rsidRPr="00E87CEE">
        <w:rPr>
          <w:rFonts w:cstheme="minorHAnsi"/>
          <w:sz w:val="24"/>
          <w:szCs w:val="24"/>
        </w:rPr>
        <w:t xml:space="preserve">Activity proportions, typically alluded to as efficiency proportions, help investigators measure how a business performs stock </w:t>
      </w:r>
      <w:r w:rsidR="00E87CEE" w:rsidRPr="00E87CEE">
        <w:rPr>
          <w:rFonts w:cstheme="minorHAnsi"/>
          <w:sz w:val="24"/>
          <w:szCs w:val="24"/>
        </w:rPr>
        <w:lastRenderedPageBreak/>
        <w:t>administration, which is critical to its operational smoothness and in general financial wellbeing.</w:t>
      </w:r>
      <w:r w:rsidR="00B40778" w:rsidRPr="00864B60">
        <w:rPr>
          <w:rFonts w:cstheme="minorHAnsi"/>
          <w:sz w:val="24"/>
          <w:szCs w:val="24"/>
        </w:rPr>
        <w:t xml:space="preserve">            </w:t>
      </w:r>
    </w:p>
    <w:p w:rsidR="00B40778" w:rsidRPr="00864B60" w:rsidRDefault="00B40778" w:rsidP="00626973">
      <w:pPr>
        <w:spacing w:line="360" w:lineRule="auto"/>
        <w:rPr>
          <w:rFonts w:cstheme="minorHAnsi"/>
          <w:sz w:val="24"/>
          <w:szCs w:val="24"/>
        </w:rPr>
      </w:pPr>
    </w:p>
    <w:p w:rsidR="00B40778" w:rsidRPr="00864B60" w:rsidRDefault="00B40778" w:rsidP="00626973">
      <w:pPr>
        <w:spacing w:line="360" w:lineRule="auto"/>
        <w:rPr>
          <w:rFonts w:cstheme="minorHAnsi"/>
          <w:sz w:val="24"/>
          <w:szCs w:val="24"/>
        </w:rPr>
      </w:pPr>
      <w:r w:rsidRPr="00864B60">
        <w:rPr>
          <w:rFonts w:cstheme="minorHAnsi"/>
          <w:sz w:val="24"/>
          <w:szCs w:val="24"/>
        </w:rPr>
        <w:t xml:space="preserve">                     Table 3: Activity Ratios </w:t>
      </w:r>
    </w:p>
    <w:tbl>
      <w:tblPr>
        <w:tblStyle w:val="TableGrid"/>
        <w:tblW w:w="10247" w:type="dxa"/>
        <w:tblLook w:val="04A0"/>
      </w:tblPr>
      <w:tblGrid>
        <w:gridCol w:w="2494"/>
        <w:gridCol w:w="1690"/>
        <w:gridCol w:w="1691"/>
        <w:gridCol w:w="1691"/>
        <w:gridCol w:w="1692"/>
        <w:gridCol w:w="989"/>
      </w:tblGrid>
      <w:tr w:rsidR="00903AE4" w:rsidRPr="00864B60" w:rsidTr="00903AE4">
        <w:tc>
          <w:tcPr>
            <w:tcW w:w="2515" w:type="dxa"/>
          </w:tcPr>
          <w:p w:rsidR="00903AE4" w:rsidRPr="00864B60" w:rsidRDefault="00903AE4" w:rsidP="005515D2">
            <w:pPr>
              <w:spacing w:line="360" w:lineRule="auto"/>
              <w:jc w:val="center"/>
              <w:rPr>
                <w:rFonts w:cstheme="minorHAnsi"/>
                <w:sz w:val="24"/>
                <w:szCs w:val="24"/>
              </w:rPr>
            </w:pPr>
            <w:bookmarkStart w:id="1" w:name="OLE_LINK2"/>
            <w:r w:rsidRPr="00864B60">
              <w:rPr>
                <w:rFonts w:cstheme="minorHAnsi"/>
                <w:sz w:val="24"/>
                <w:szCs w:val="24"/>
              </w:rPr>
              <w:t>Ratio/Year</w:t>
            </w:r>
          </w:p>
        </w:tc>
        <w:tc>
          <w:tcPr>
            <w:tcW w:w="1708"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2019</w:t>
            </w:r>
          </w:p>
        </w:tc>
        <w:tc>
          <w:tcPr>
            <w:tcW w:w="1709"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2018</w:t>
            </w:r>
          </w:p>
        </w:tc>
        <w:tc>
          <w:tcPr>
            <w:tcW w:w="1709"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2017</w:t>
            </w:r>
          </w:p>
        </w:tc>
        <w:tc>
          <w:tcPr>
            <w:tcW w:w="1709" w:type="dxa"/>
            <w:tcBorders>
              <w:right w:val="single" w:sz="4" w:space="0" w:color="auto"/>
            </w:tcBorders>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2016</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903AE4" w:rsidRPr="00903AE4" w:rsidRDefault="00903AE4">
            <w:pPr>
              <w:rPr>
                <w:sz w:val="24"/>
                <w:szCs w:val="24"/>
              </w:rPr>
            </w:pPr>
            <w:r>
              <w:rPr>
                <w:sz w:val="24"/>
                <w:szCs w:val="24"/>
              </w:rPr>
              <w:t>PepsiCo 2019</w:t>
            </w:r>
          </w:p>
        </w:tc>
      </w:tr>
      <w:bookmarkEnd w:id="1"/>
      <w:tr w:rsidR="00903AE4" w:rsidRPr="00864B60" w:rsidTr="00903AE4">
        <w:tc>
          <w:tcPr>
            <w:tcW w:w="2515"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Inventory Turnover</w:t>
            </w:r>
          </w:p>
        </w:tc>
        <w:tc>
          <w:tcPr>
            <w:tcW w:w="1708"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4.33</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4.26</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4.99</w:t>
            </w:r>
          </w:p>
        </w:tc>
        <w:tc>
          <w:tcPr>
            <w:tcW w:w="1709" w:type="dxa"/>
            <w:tcBorders>
              <w:bottom w:val="single" w:sz="4" w:space="0" w:color="auto"/>
              <w:right w:val="single" w:sz="4" w:space="0" w:color="auto"/>
            </w:tcBorders>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6.16</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903AE4" w:rsidRPr="00864B60" w:rsidRDefault="00903AE4">
            <w:r>
              <w:t>8.29</w:t>
            </w:r>
          </w:p>
        </w:tc>
      </w:tr>
      <w:tr w:rsidR="00903AE4" w:rsidRPr="00864B60" w:rsidTr="00903AE4">
        <w:tc>
          <w:tcPr>
            <w:tcW w:w="2515"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Receivable Turnover</w:t>
            </w:r>
          </w:p>
        </w:tc>
        <w:tc>
          <w:tcPr>
            <w:tcW w:w="1708"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9.38</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9.38</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9.66</w:t>
            </w:r>
          </w:p>
        </w:tc>
        <w:tc>
          <w:tcPr>
            <w:tcW w:w="1709" w:type="dxa"/>
            <w:tcBorders>
              <w:right w:val="single" w:sz="4" w:space="0" w:color="auto"/>
            </w:tcBorders>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10.86</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903AE4" w:rsidRPr="00864B60" w:rsidRDefault="00285A10">
            <w:r>
              <w:t>7.8</w:t>
            </w:r>
          </w:p>
        </w:tc>
      </w:tr>
      <w:tr w:rsidR="00903AE4" w:rsidRPr="00864B60" w:rsidTr="00903AE4">
        <w:tc>
          <w:tcPr>
            <w:tcW w:w="2515" w:type="dxa"/>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Total Asset Turnover</w:t>
            </w:r>
          </w:p>
        </w:tc>
        <w:tc>
          <w:tcPr>
            <w:tcW w:w="1708"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0.43</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0.38</w:t>
            </w:r>
          </w:p>
        </w:tc>
        <w:tc>
          <w:tcPr>
            <w:tcW w:w="1709" w:type="dxa"/>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0.40</w:t>
            </w:r>
          </w:p>
        </w:tc>
        <w:tc>
          <w:tcPr>
            <w:tcW w:w="1709" w:type="dxa"/>
            <w:tcBorders>
              <w:right w:val="single" w:sz="4" w:space="0" w:color="auto"/>
            </w:tcBorders>
            <w:vAlign w:val="center"/>
          </w:tcPr>
          <w:p w:rsidR="00903AE4" w:rsidRPr="00864B60" w:rsidRDefault="00903AE4" w:rsidP="005515D2">
            <w:pPr>
              <w:spacing w:line="360" w:lineRule="auto"/>
              <w:jc w:val="center"/>
              <w:rPr>
                <w:rFonts w:cstheme="minorHAnsi"/>
                <w:sz w:val="24"/>
                <w:szCs w:val="24"/>
              </w:rPr>
            </w:pPr>
            <w:r w:rsidRPr="00864B60">
              <w:rPr>
                <w:rFonts w:cstheme="minorHAnsi"/>
                <w:sz w:val="24"/>
                <w:szCs w:val="24"/>
              </w:rPr>
              <w:t>0.48</w:t>
            </w:r>
          </w:p>
        </w:tc>
        <w:tc>
          <w:tcPr>
            <w:tcW w:w="897" w:type="dxa"/>
            <w:tcBorders>
              <w:top w:val="single" w:sz="4" w:space="0" w:color="auto"/>
              <w:left w:val="single" w:sz="4" w:space="0" w:color="auto"/>
              <w:bottom w:val="single" w:sz="4" w:space="0" w:color="auto"/>
              <w:right w:val="single" w:sz="4" w:space="0" w:color="auto"/>
            </w:tcBorders>
            <w:shd w:val="clear" w:color="auto" w:fill="auto"/>
          </w:tcPr>
          <w:p w:rsidR="00903AE4" w:rsidRPr="00864B60" w:rsidRDefault="00903AE4">
            <w:r>
              <w:t>0.8</w:t>
            </w:r>
            <w:r w:rsidR="00285A10">
              <w:t>3</w:t>
            </w:r>
          </w:p>
        </w:tc>
      </w:tr>
    </w:tbl>
    <w:p w:rsidR="00B40778" w:rsidRPr="00864B60" w:rsidRDefault="00B40778" w:rsidP="00B40778">
      <w:pPr>
        <w:spacing w:line="360" w:lineRule="auto"/>
        <w:jc w:val="both"/>
        <w:rPr>
          <w:rFonts w:cstheme="minorHAnsi"/>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0F6B67" w:rsidRDefault="000F6B67" w:rsidP="00B40778">
      <w:pPr>
        <w:spacing w:line="360" w:lineRule="auto"/>
        <w:jc w:val="center"/>
        <w:rPr>
          <w:rFonts w:cstheme="minorHAnsi"/>
          <w:sz w:val="24"/>
          <w:szCs w:val="24"/>
        </w:rPr>
      </w:pPr>
    </w:p>
    <w:p w:rsidR="00B40778" w:rsidRPr="00864B60" w:rsidRDefault="00B40778" w:rsidP="00B40778">
      <w:pPr>
        <w:spacing w:line="360" w:lineRule="auto"/>
        <w:jc w:val="center"/>
        <w:rPr>
          <w:rFonts w:cstheme="minorHAnsi"/>
          <w:sz w:val="24"/>
          <w:szCs w:val="24"/>
        </w:rPr>
      </w:pPr>
      <w:r w:rsidRPr="00864B60">
        <w:rPr>
          <w:rFonts w:cstheme="minorHAnsi"/>
          <w:sz w:val="24"/>
          <w:szCs w:val="24"/>
        </w:rPr>
        <w:t xml:space="preserve">Figure 4: Inventory Turnover </w:t>
      </w:r>
    </w:p>
    <w:p w:rsidR="00864B60" w:rsidRPr="00864B60" w:rsidRDefault="00B40778" w:rsidP="00864B60">
      <w:pPr>
        <w:spacing w:line="360" w:lineRule="auto"/>
        <w:jc w:val="center"/>
        <w:rPr>
          <w:rFonts w:cstheme="minorHAnsi"/>
          <w:sz w:val="24"/>
          <w:szCs w:val="24"/>
        </w:rPr>
      </w:pPr>
      <w:r w:rsidRPr="00864B60">
        <w:rPr>
          <w:rFonts w:cstheme="minorHAnsi"/>
          <w:noProof/>
          <w:sz w:val="24"/>
          <w:szCs w:val="24"/>
        </w:rPr>
        <w:lastRenderedPageBreak/>
        <w:drawing>
          <wp:inline distT="0" distB="0" distL="0" distR="0">
            <wp:extent cx="4572000" cy="2743200"/>
            <wp:effectExtent l="0" t="0" r="12700" b="12700"/>
            <wp:docPr id="11" name="Chart 11">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4E34DBB5-7ADB-E046-A51B-7D3DC146CF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B40778" w:rsidRPr="00864B60" w:rsidRDefault="00B40778" w:rsidP="00B40778">
      <w:pPr>
        <w:spacing w:line="360" w:lineRule="auto"/>
        <w:jc w:val="center"/>
        <w:rPr>
          <w:rFonts w:cstheme="minorHAnsi"/>
          <w:sz w:val="24"/>
          <w:szCs w:val="24"/>
        </w:rPr>
      </w:pPr>
    </w:p>
    <w:p w:rsidR="00B40778" w:rsidRDefault="00B40778" w:rsidP="00B40778">
      <w:pPr>
        <w:spacing w:line="360" w:lineRule="auto"/>
        <w:jc w:val="center"/>
        <w:rPr>
          <w:rFonts w:asciiTheme="majorBidi" w:hAnsiTheme="majorBidi" w:cstheme="majorBidi"/>
          <w:sz w:val="24"/>
          <w:szCs w:val="24"/>
        </w:rPr>
      </w:pPr>
    </w:p>
    <w:p w:rsidR="00B40778" w:rsidRDefault="00E87CEE" w:rsidP="00B40778">
      <w:pPr>
        <w:spacing w:line="360" w:lineRule="auto"/>
        <w:jc w:val="center"/>
        <w:rPr>
          <w:rFonts w:asciiTheme="majorBidi" w:hAnsiTheme="majorBidi" w:cstheme="majorBidi"/>
          <w:sz w:val="24"/>
          <w:szCs w:val="24"/>
        </w:rPr>
      </w:pPr>
      <w:r w:rsidRPr="00E87CEE">
        <w:rPr>
          <w:rFonts w:asciiTheme="majorBidi" w:hAnsiTheme="majorBidi" w:cstheme="majorBidi"/>
          <w:sz w:val="24"/>
          <w:szCs w:val="24"/>
        </w:rPr>
        <w:t>Coca Cola stock turnover in 2016 was 6.16 events then it continued reducing for the following a long time to get 4.99 in 2017 and 4.26 in 2018. There was slight augmentation to 4.33 events in 2019. The decreasing in stock turnover extent shows that Coca Cola things where sold more delayed than it used to. The time period of sensible ease of use of Coca Cola things is long as the thing require quite a while to pass, in any case, coca cola faced bother selling their thing speedier over the latest 3 years diverged from the previous years, anyway it is so far a nice extent.</w:t>
      </w:r>
    </w:p>
    <w:p w:rsidR="00B40778" w:rsidRDefault="00B40778" w:rsidP="00B40778">
      <w:pPr>
        <w:spacing w:line="360" w:lineRule="auto"/>
        <w:jc w:val="center"/>
        <w:rPr>
          <w:rFonts w:asciiTheme="majorBidi" w:hAnsiTheme="majorBidi" w:cstheme="majorBidi"/>
          <w:sz w:val="24"/>
          <w:szCs w:val="24"/>
        </w:rPr>
      </w:pPr>
    </w:p>
    <w:p w:rsidR="00B40778" w:rsidRDefault="00B40778" w:rsidP="00B40778">
      <w:pPr>
        <w:spacing w:line="360" w:lineRule="auto"/>
        <w:jc w:val="center"/>
        <w:rPr>
          <w:rFonts w:asciiTheme="majorBidi" w:hAnsiTheme="majorBidi" w:cstheme="majorBidi"/>
          <w:sz w:val="24"/>
          <w:szCs w:val="24"/>
        </w:rPr>
      </w:pPr>
    </w:p>
    <w:p w:rsidR="00B40778" w:rsidRDefault="00B40778" w:rsidP="00B40778">
      <w:pPr>
        <w:spacing w:line="360" w:lineRule="auto"/>
        <w:jc w:val="center"/>
        <w:rPr>
          <w:rFonts w:asciiTheme="majorBidi" w:hAnsiTheme="majorBidi" w:cstheme="majorBidi"/>
          <w:sz w:val="24"/>
          <w:szCs w:val="24"/>
        </w:rPr>
      </w:pPr>
    </w:p>
    <w:p w:rsidR="00B40778" w:rsidRDefault="00B40778" w:rsidP="00B40778">
      <w:pPr>
        <w:spacing w:line="360" w:lineRule="auto"/>
        <w:jc w:val="center"/>
        <w:rPr>
          <w:rFonts w:asciiTheme="majorBidi" w:hAnsiTheme="majorBidi" w:cstheme="majorBidi"/>
          <w:sz w:val="24"/>
          <w:szCs w:val="24"/>
        </w:rPr>
      </w:pPr>
    </w:p>
    <w:p w:rsidR="00B40778" w:rsidRDefault="00B40778" w:rsidP="00B40778">
      <w:pPr>
        <w:spacing w:line="360" w:lineRule="auto"/>
        <w:jc w:val="center"/>
        <w:rPr>
          <w:rFonts w:cstheme="minorHAnsi"/>
          <w:sz w:val="24"/>
          <w:szCs w:val="24"/>
        </w:rPr>
      </w:pPr>
      <w:r w:rsidRPr="000F6B67">
        <w:rPr>
          <w:rFonts w:cstheme="minorHAnsi"/>
          <w:sz w:val="24"/>
          <w:szCs w:val="24"/>
        </w:rPr>
        <w:lastRenderedPageBreak/>
        <w:t xml:space="preserve">Figure 5: Receivables Turnover </w:t>
      </w:r>
      <w:r w:rsidRPr="00B40778">
        <w:rPr>
          <w:rFonts w:asciiTheme="majorBidi" w:hAnsiTheme="majorBidi" w:cstheme="majorBidi"/>
          <w:noProof/>
          <w:sz w:val="24"/>
          <w:szCs w:val="24"/>
        </w:rPr>
        <w:drawing>
          <wp:inline distT="0" distB="0" distL="0" distR="0">
            <wp:extent cx="4572000" cy="2743200"/>
            <wp:effectExtent l="0" t="0" r="12700" b="12700"/>
            <wp:docPr id="10" name="Chart 10">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C0BBD7BB-2F7C-D846-8E9E-F88A7A11029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964684" w:rsidRDefault="00964684" w:rsidP="00864B60">
      <w:pPr>
        <w:spacing w:line="360" w:lineRule="auto"/>
        <w:jc w:val="center"/>
        <w:rPr>
          <w:rFonts w:cstheme="minorHAnsi"/>
          <w:sz w:val="24"/>
          <w:szCs w:val="24"/>
        </w:rPr>
      </w:pPr>
    </w:p>
    <w:p w:rsidR="00964684" w:rsidRDefault="00964684" w:rsidP="00864B60">
      <w:pPr>
        <w:spacing w:line="360" w:lineRule="auto"/>
        <w:jc w:val="center"/>
        <w:rPr>
          <w:rFonts w:cstheme="minorHAnsi"/>
          <w:sz w:val="24"/>
          <w:szCs w:val="24"/>
        </w:rPr>
      </w:pPr>
    </w:p>
    <w:p w:rsidR="00964684" w:rsidRDefault="00D67F93" w:rsidP="00864B60">
      <w:pPr>
        <w:spacing w:line="360" w:lineRule="auto"/>
        <w:jc w:val="center"/>
        <w:rPr>
          <w:rFonts w:cstheme="minorHAnsi"/>
          <w:sz w:val="24"/>
          <w:szCs w:val="24"/>
        </w:rPr>
      </w:pPr>
      <w:r w:rsidRPr="00D67F93">
        <w:rPr>
          <w:rFonts w:cstheme="minorHAnsi"/>
          <w:sz w:val="24"/>
          <w:szCs w:val="24"/>
        </w:rPr>
        <w:t>Receivable turnover is the period expected to accumulate receivables from customers. Coca Cola receivable turnover was 10.86 in 2016 and 9.38 in 2019, the extent reduced to some degree. A respectable receivable turn extent is 10 and we can say Coca Cola is performing satisfactory which shows a good cash the board. Despite the way that Coca Cola does a huge part of the its business around the globe, they are keeping a fair extent.</w:t>
      </w:r>
    </w:p>
    <w:p w:rsidR="00964684" w:rsidRDefault="00964684" w:rsidP="00864B60">
      <w:pPr>
        <w:spacing w:line="360" w:lineRule="auto"/>
        <w:jc w:val="center"/>
        <w:rPr>
          <w:rFonts w:cstheme="minorHAnsi"/>
          <w:sz w:val="24"/>
          <w:szCs w:val="24"/>
        </w:rPr>
      </w:pPr>
    </w:p>
    <w:p w:rsidR="00964684" w:rsidRDefault="00964684" w:rsidP="00864B60">
      <w:pPr>
        <w:spacing w:line="360" w:lineRule="auto"/>
        <w:jc w:val="center"/>
        <w:rPr>
          <w:rFonts w:cstheme="minorHAnsi"/>
          <w:sz w:val="24"/>
          <w:szCs w:val="24"/>
        </w:rPr>
      </w:pPr>
    </w:p>
    <w:p w:rsidR="00964684" w:rsidRDefault="00964684" w:rsidP="00864B60">
      <w:pPr>
        <w:spacing w:line="360" w:lineRule="auto"/>
        <w:jc w:val="center"/>
        <w:rPr>
          <w:rFonts w:cstheme="minorHAnsi"/>
          <w:sz w:val="24"/>
          <w:szCs w:val="24"/>
        </w:rPr>
      </w:pPr>
    </w:p>
    <w:p w:rsidR="00964684" w:rsidRDefault="00964684" w:rsidP="00864B60">
      <w:pPr>
        <w:spacing w:line="360" w:lineRule="auto"/>
        <w:jc w:val="center"/>
        <w:rPr>
          <w:rFonts w:cstheme="minorHAnsi"/>
          <w:sz w:val="24"/>
          <w:szCs w:val="24"/>
        </w:rPr>
      </w:pPr>
    </w:p>
    <w:p w:rsidR="000E1467" w:rsidRPr="000E1467" w:rsidRDefault="00864B60" w:rsidP="000E1467">
      <w:pPr>
        <w:spacing w:line="360" w:lineRule="auto"/>
        <w:jc w:val="center"/>
        <w:rPr>
          <w:rFonts w:asciiTheme="majorBidi" w:hAnsiTheme="majorBidi" w:cstheme="majorBidi"/>
          <w:b/>
          <w:sz w:val="24"/>
          <w:szCs w:val="24"/>
        </w:rPr>
      </w:pPr>
      <w:r w:rsidRPr="000F6B67">
        <w:rPr>
          <w:rFonts w:cstheme="minorHAnsi"/>
          <w:sz w:val="24"/>
          <w:szCs w:val="24"/>
        </w:rPr>
        <w:lastRenderedPageBreak/>
        <w:t xml:space="preserve">Figure 6: Total Assets Turnover </w:t>
      </w:r>
      <w:r w:rsidRPr="00864B60">
        <w:rPr>
          <w:rFonts w:asciiTheme="majorBidi" w:hAnsiTheme="majorBidi" w:cstheme="majorBidi"/>
          <w:noProof/>
          <w:sz w:val="24"/>
          <w:szCs w:val="24"/>
        </w:rPr>
        <w:drawing>
          <wp:inline distT="0" distB="0" distL="0" distR="0">
            <wp:extent cx="4572000" cy="2743200"/>
            <wp:effectExtent l="0" t="0" r="12700" b="12700"/>
            <wp:docPr id="12" name="Chart 12">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1C34DAEE-43E9-0744-B408-9A32121CE7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0E1467" w:rsidRPr="0027779D" w:rsidRDefault="000E1467" w:rsidP="000E1467">
      <w:pPr>
        <w:spacing w:line="360" w:lineRule="auto"/>
        <w:jc w:val="center"/>
        <w:rPr>
          <w:rFonts w:cstheme="minorHAnsi"/>
          <w:sz w:val="24"/>
          <w:szCs w:val="24"/>
        </w:rPr>
      </w:pPr>
      <w:r w:rsidRPr="0027779D">
        <w:rPr>
          <w:rFonts w:cstheme="minorHAnsi"/>
          <w:sz w:val="24"/>
          <w:szCs w:val="24"/>
        </w:rPr>
        <w:t xml:space="preserve">This diagram shows the outright asset turnover extent which checks the limit of the firm to make bargains from assets. Coca Cola had an extent of 0.48 in 2016 which by then reduced the following year to 0.40 obviously to 0.38 in 2018 and this communicates that the efficiency of Coca-Cola in using its assets for make bargains has declined. The lessening can in like manner be associated back to the decrease in stock turnover. In any case, there were a slight extension in the extent in 2019 to 0.43. </w:t>
      </w:r>
    </w:p>
    <w:p w:rsidR="000E1467" w:rsidRPr="000E1467" w:rsidRDefault="000E1467" w:rsidP="000E1467">
      <w:pPr>
        <w:spacing w:line="360" w:lineRule="auto"/>
        <w:jc w:val="center"/>
        <w:rPr>
          <w:rFonts w:asciiTheme="majorBidi" w:hAnsiTheme="majorBidi" w:cstheme="majorBidi"/>
          <w:b/>
          <w:sz w:val="24"/>
          <w:szCs w:val="24"/>
        </w:rPr>
      </w:pPr>
    </w:p>
    <w:p w:rsidR="000E370A" w:rsidRDefault="000E1467" w:rsidP="000E1467">
      <w:pPr>
        <w:spacing w:line="360" w:lineRule="auto"/>
        <w:jc w:val="center"/>
        <w:rPr>
          <w:rFonts w:cstheme="minorHAnsi"/>
          <w:sz w:val="24"/>
          <w:szCs w:val="24"/>
        </w:rPr>
      </w:pPr>
      <w:r w:rsidRPr="0027779D">
        <w:rPr>
          <w:rFonts w:cstheme="minorHAnsi"/>
          <w:sz w:val="24"/>
          <w:szCs w:val="24"/>
        </w:rPr>
        <w:t xml:space="preserve">Action proportion demonstrated that Coca Cola's ability to sell their thing decrease the past three years and their best stock turnover was in 2016 was 6.16 events. Moreover, the association also experience a slight decrease in the profitability in social affair the receivables, in any case their utilization of assets for make pay extended the new years. </w:t>
      </w:r>
    </w:p>
    <w:p w:rsidR="000E1467" w:rsidRPr="000E370A" w:rsidRDefault="00A42C52" w:rsidP="000E370A">
      <w:pPr>
        <w:spacing w:line="360" w:lineRule="auto"/>
        <w:rPr>
          <w:rFonts w:cstheme="minorHAnsi"/>
          <w:b/>
          <w:sz w:val="24"/>
          <w:szCs w:val="24"/>
        </w:rPr>
      </w:pPr>
      <w:r w:rsidRPr="000E370A">
        <w:rPr>
          <w:rFonts w:cstheme="minorHAnsi"/>
          <w:b/>
          <w:sz w:val="24"/>
          <w:szCs w:val="24"/>
        </w:rPr>
        <w:t>D</w:t>
      </w:r>
      <w:r w:rsidR="000E370A" w:rsidRPr="000E370A">
        <w:rPr>
          <w:rFonts w:cstheme="minorHAnsi"/>
          <w:b/>
          <w:sz w:val="24"/>
          <w:szCs w:val="24"/>
        </w:rPr>
        <w:t xml:space="preserve">ebt Ratios </w:t>
      </w:r>
      <w:r w:rsidRPr="000E370A">
        <w:rPr>
          <w:rFonts w:cstheme="minorHAnsi"/>
          <w:b/>
          <w:sz w:val="24"/>
          <w:szCs w:val="24"/>
        </w:rPr>
        <w:t xml:space="preserve"> </w:t>
      </w:r>
    </w:p>
    <w:p w:rsidR="00F71EF3" w:rsidRDefault="00F71EF3" w:rsidP="00485C02">
      <w:pPr>
        <w:spacing w:line="360" w:lineRule="auto"/>
        <w:jc w:val="both"/>
        <w:rPr>
          <w:rFonts w:cstheme="minorHAnsi"/>
          <w:sz w:val="24"/>
          <w:szCs w:val="24"/>
        </w:rPr>
      </w:pPr>
      <w:r>
        <w:rPr>
          <w:rFonts w:cstheme="minorHAnsi"/>
          <w:sz w:val="24"/>
          <w:szCs w:val="24"/>
        </w:rPr>
        <w:t xml:space="preserve">It reveals financial condition of the firm. </w:t>
      </w:r>
      <w:r w:rsidRPr="00F71EF3">
        <w:rPr>
          <w:rFonts w:cstheme="minorHAnsi"/>
          <w:sz w:val="24"/>
          <w:szCs w:val="24"/>
        </w:rPr>
        <w:t>A financial extent assessing the level of an association's impact is the commitment extent. The extent of the commitment is described as the extent between full scale commitment and complete assets, imparted as a decimal or rate. It will in general be unraveled as the size of an association's assets that are subsidized by commitment.</w:t>
      </w:r>
    </w:p>
    <w:p w:rsidR="000F446E" w:rsidRDefault="000F446E" w:rsidP="000F446E">
      <w:pPr>
        <w:spacing w:line="360" w:lineRule="auto"/>
        <w:jc w:val="both"/>
        <w:rPr>
          <w:rFonts w:cstheme="minorHAnsi"/>
          <w:sz w:val="24"/>
          <w:szCs w:val="24"/>
        </w:rPr>
      </w:pPr>
      <w:r w:rsidRPr="000F446E">
        <w:rPr>
          <w:rFonts w:cstheme="minorHAnsi"/>
          <w:sz w:val="24"/>
          <w:szCs w:val="24"/>
        </w:rPr>
        <w:lastRenderedPageBreak/>
        <w:t>An extent more imperative than 1 shows that assets are upheld by a huge section of commitment. With everything taken into account, there are a more noteworthy number of liabilities for the association than assets. A high rate likewise shows that if financing costs were to rise out of the blue, an association could put itself in danger of default on its advances.</w:t>
      </w:r>
      <w:r>
        <w:rPr>
          <w:rFonts w:cstheme="minorHAnsi"/>
          <w:sz w:val="24"/>
          <w:szCs w:val="24"/>
        </w:rPr>
        <w:t xml:space="preserve"> </w:t>
      </w:r>
      <w:r w:rsidRPr="000F446E">
        <w:rPr>
          <w:rFonts w:cstheme="minorHAnsi"/>
          <w:sz w:val="24"/>
          <w:szCs w:val="24"/>
        </w:rPr>
        <w:t>An extent under 1 methods the manner by which worth finances a more conspicuous piece of</w:t>
      </w:r>
      <w:r>
        <w:rPr>
          <w:rFonts w:cstheme="minorHAnsi"/>
          <w:sz w:val="24"/>
          <w:szCs w:val="24"/>
        </w:rPr>
        <w:t xml:space="preserve"> the assets of an association. </w:t>
      </w:r>
      <w:r w:rsidRPr="000F446E">
        <w:rPr>
          <w:rFonts w:cstheme="minorHAnsi"/>
          <w:sz w:val="24"/>
          <w:szCs w:val="24"/>
        </w:rPr>
        <w:t>The commitment proportion as a rule alludes to the commitment to-assets proportion.</w:t>
      </w:r>
    </w:p>
    <w:p w:rsidR="00485C02" w:rsidRPr="00FB7DDE" w:rsidRDefault="00485C02" w:rsidP="00485C02">
      <w:pPr>
        <w:spacing w:line="360" w:lineRule="auto"/>
        <w:jc w:val="both"/>
        <w:rPr>
          <w:rFonts w:asciiTheme="majorBidi" w:hAnsiTheme="majorBidi" w:cstheme="majorBidi"/>
        </w:rPr>
      </w:pPr>
    </w:p>
    <w:p w:rsidR="00485C02" w:rsidRPr="00485C02" w:rsidRDefault="00485C02" w:rsidP="00485C02">
      <w:pPr>
        <w:spacing w:line="360" w:lineRule="auto"/>
        <w:jc w:val="center"/>
        <w:rPr>
          <w:rFonts w:cstheme="minorHAnsi"/>
          <w:sz w:val="24"/>
          <w:szCs w:val="24"/>
        </w:rPr>
      </w:pPr>
      <w:r w:rsidRPr="00485C02">
        <w:rPr>
          <w:rFonts w:cstheme="minorHAnsi"/>
          <w:sz w:val="24"/>
          <w:szCs w:val="24"/>
        </w:rPr>
        <w:t xml:space="preserve">Table 4: Debt Ratios </w:t>
      </w:r>
    </w:p>
    <w:tbl>
      <w:tblPr>
        <w:tblStyle w:val="TableGrid"/>
        <w:tblW w:w="10369" w:type="dxa"/>
        <w:tblLook w:val="04A0"/>
      </w:tblPr>
      <w:tblGrid>
        <w:gridCol w:w="2695"/>
        <w:gridCol w:w="1663"/>
        <w:gridCol w:w="1664"/>
        <w:gridCol w:w="1664"/>
        <w:gridCol w:w="1664"/>
        <w:gridCol w:w="1019"/>
      </w:tblGrid>
      <w:tr w:rsidR="00285A10" w:rsidRPr="00485C02" w:rsidTr="00285A10">
        <w:tc>
          <w:tcPr>
            <w:tcW w:w="2695" w:type="dxa"/>
          </w:tcPr>
          <w:p w:rsidR="00285A10" w:rsidRPr="00485C02" w:rsidRDefault="00285A10" w:rsidP="005515D2">
            <w:pPr>
              <w:spacing w:line="360" w:lineRule="auto"/>
              <w:jc w:val="center"/>
              <w:rPr>
                <w:rFonts w:cstheme="minorHAnsi"/>
                <w:sz w:val="24"/>
                <w:szCs w:val="24"/>
              </w:rPr>
            </w:pPr>
            <w:bookmarkStart w:id="2" w:name="OLE_LINK3"/>
            <w:r w:rsidRPr="00485C02">
              <w:rPr>
                <w:rFonts w:cstheme="minorHAnsi"/>
                <w:sz w:val="24"/>
                <w:szCs w:val="24"/>
              </w:rPr>
              <w:t>Ratio/Year</w:t>
            </w:r>
          </w:p>
        </w:tc>
        <w:tc>
          <w:tcPr>
            <w:tcW w:w="1663" w:type="dxa"/>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2019</w:t>
            </w:r>
          </w:p>
        </w:tc>
        <w:tc>
          <w:tcPr>
            <w:tcW w:w="1664" w:type="dxa"/>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2018</w:t>
            </w:r>
          </w:p>
        </w:tc>
        <w:tc>
          <w:tcPr>
            <w:tcW w:w="1664" w:type="dxa"/>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2017</w:t>
            </w:r>
          </w:p>
        </w:tc>
        <w:tc>
          <w:tcPr>
            <w:tcW w:w="1664" w:type="dxa"/>
            <w:tcBorders>
              <w:bottom w:val="single" w:sz="4" w:space="0" w:color="auto"/>
            </w:tcBorders>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2016</w:t>
            </w:r>
          </w:p>
        </w:tc>
        <w:tc>
          <w:tcPr>
            <w:tcW w:w="1019" w:type="dxa"/>
            <w:tcBorders>
              <w:top w:val="single" w:sz="4" w:space="0" w:color="auto"/>
              <w:bottom w:val="single" w:sz="4" w:space="0" w:color="auto"/>
              <w:right w:val="single" w:sz="4" w:space="0" w:color="auto"/>
            </w:tcBorders>
            <w:shd w:val="clear" w:color="auto" w:fill="auto"/>
          </w:tcPr>
          <w:p w:rsidR="00285A10" w:rsidRPr="00285A10" w:rsidRDefault="00285A10">
            <w:pPr>
              <w:rPr>
                <w:sz w:val="24"/>
                <w:szCs w:val="24"/>
              </w:rPr>
            </w:pPr>
            <w:r>
              <w:rPr>
                <w:sz w:val="24"/>
                <w:szCs w:val="24"/>
              </w:rPr>
              <w:t>PepsiCo 2019</w:t>
            </w:r>
          </w:p>
        </w:tc>
      </w:tr>
      <w:tr w:rsidR="00285A10" w:rsidRPr="00485C02" w:rsidTr="00285A10">
        <w:tc>
          <w:tcPr>
            <w:tcW w:w="2695" w:type="dxa"/>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Debt Ratio</w:t>
            </w:r>
          </w:p>
        </w:tc>
        <w:tc>
          <w:tcPr>
            <w:tcW w:w="1663"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76%</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77%</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78%</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73%</w:t>
            </w:r>
          </w:p>
        </w:tc>
        <w:tc>
          <w:tcPr>
            <w:tcW w:w="1019" w:type="dxa"/>
            <w:tcBorders>
              <w:top w:val="single" w:sz="4" w:space="0" w:color="auto"/>
              <w:bottom w:val="single" w:sz="4" w:space="0" w:color="auto"/>
              <w:right w:val="single" w:sz="4" w:space="0" w:color="auto"/>
            </w:tcBorders>
            <w:shd w:val="clear" w:color="auto" w:fill="auto"/>
          </w:tcPr>
          <w:p w:rsidR="00285A10" w:rsidRPr="00485C02" w:rsidRDefault="00285A10"/>
        </w:tc>
      </w:tr>
      <w:tr w:rsidR="00285A10" w:rsidRPr="00485C02" w:rsidTr="00285A10">
        <w:tc>
          <w:tcPr>
            <w:tcW w:w="2695" w:type="dxa"/>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Times Interest Earned Ratio</w:t>
            </w:r>
          </w:p>
        </w:tc>
        <w:tc>
          <w:tcPr>
            <w:tcW w:w="1663"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11.13</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10.64</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11.21</w:t>
            </w:r>
          </w:p>
        </w:tc>
        <w:tc>
          <w:tcPr>
            <w:tcW w:w="1664" w:type="dxa"/>
            <w:vAlign w:val="center"/>
          </w:tcPr>
          <w:p w:rsidR="00285A10" w:rsidRPr="00485C02" w:rsidRDefault="00285A10" w:rsidP="005515D2">
            <w:pPr>
              <w:spacing w:line="360" w:lineRule="auto"/>
              <w:jc w:val="center"/>
              <w:rPr>
                <w:rFonts w:cstheme="minorHAnsi"/>
                <w:sz w:val="24"/>
                <w:szCs w:val="24"/>
              </w:rPr>
            </w:pPr>
            <w:r w:rsidRPr="00485C02">
              <w:rPr>
                <w:rFonts w:cstheme="minorHAnsi"/>
                <w:sz w:val="24"/>
                <w:szCs w:val="24"/>
              </w:rPr>
              <w:t>11.77</w:t>
            </w:r>
          </w:p>
        </w:tc>
        <w:tc>
          <w:tcPr>
            <w:tcW w:w="1019" w:type="dxa"/>
            <w:tcBorders>
              <w:top w:val="single" w:sz="4" w:space="0" w:color="auto"/>
              <w:bottom w:val="single" w:sz="4" w:space="0" w:color="auto"/>
              <w:right w:val="single" w:sz="4" w:space="0" w:color="auto"/>
            </w:tcBorders>
            <w:shd w:val="clear" w:color="auto" w:fill="auto"/>
          </w:tcPr>
          <w:p w:rsidR="00285A10" w:rsidRPr="00485C02" w:rsidRDefault="00285A10"/>
        </w:tc>
      </w:tr>
      <w:bookmarkEnd w:id="2"/>
    </w:tbl>
    <w:p w:rsidR="00485C02" w:rsidRDefault="00485C02" w:rsidP="00485C02">
      <w:pPr>
        <w:spacing w:line="360" w:lineRule="auto"/>
        <w:jc w:val="center"/>
        <w:rPr>
          <w:rFonts w:asciiTheme="majorBidi" w:hAnsiTheme="majorBidi" w:cstheme="majorBidi"/>
        </w:rPr>
      </w:pPr>
    </w:p>
    <w:p w:rsidR="00485C02" w:rsidRPr="00581480" w:rsidRDefault="00485C02" w:rsidP="00581480">
      <w:pPr>
        <w:spacing w:line="360" w:lineRule="auto"/>
        <w:jc w:val="center"/>
        <w:rPr>
          <w:rFonts w:cstheme="minorHAnsi"/>
          <w:sz w:val="24"/>
          <w:szCs w:val="24"/>
        </w:rPr>
      </w:pPr>
      <w:r w:rsidRPr="00485C02">
        <w:rPr>
          <w:rFonts w:cstheme="minorHAnsi"/>
          <w:sz w:val="24"/>
          <w:szCs w:val="24"/>
        </w:rPr>
        <w:t>Figure 7:</w:t>
      </w:r>
      <w:r w:rsidR="00581480">
        <w:rPr>
          <w:rFonts w:cstheme="minorHAnsi"/>
          <w:sz w:val="24"/>
          <w:szCs w:val="24"/>
        </w:rPr>
        <w:t xml:space="preserve"> Debt Ratio </w:t>
      </w:r>
    </w:p>
    <w:p w:rsidR="00485C02" w:rsidRDefault="00485C02" w:rsidP="00581480">
      <w:pPr>
        <w:spacing w:line="360" w:lineRule="auto"/>
        <w:rPr>
          <w:rFonts w:cstheme="minorHAnsi"/>
          <w:sz w:val="24"/>
          <w:szCs w:val="24"/>
        </w:rPr>
      </w:pPr>
      <w:r w:rsidRPr="00485C02">
        <w:rPr>
          <w:rFonts w:cstheme="minorHAnsi"/>
          <w:noProof/>
          <w:sz w:val="24"/>
          <w:szCs w:val="24"/>
        </w:rPr>
        <w:drawing>
          <wp:anchor distT="0" distB="0" distL="114300" distR="114300" simplePos="0" relativeHeight="251659264" behindDoc="0" locked="0" layoutInCell="1" allowOverlap="1">
            <wp:simplePos x="0" y="0"/>
            <wp:positionH relativeFrom="column">
              <wp:posOffset>1190445</wp:posOffset>
            </wp:positionH>
            <wp:positionV relativeFrom="paragraph">
              <wp:align>top</wp:align>
            </wp:positionV>
            <wp:extent cx="4567926" cy="2739126"/>
            <wp:effectExtent l="19050" t="0" r="23124" b="4074"/>
            <wp:wrapSquare wrapText="bothSides"/>
            <wp:docPr id="14" name="Chart 14">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291FC2FD-043C-7644-BD68-289C3E98C9F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r w:rsidR="00581480">
        <w:rPr>
          <w:rFonts w:cstheme="minorHAnsi"/>
          <w:sz w:val="24"/>
          <w:szCs w:val="24"/>
        </w:rPr>
        <w:br w:type="textWrapping" w:clear="all"/>
      </w:r>
      <w:r w:rsidR="00581480" w:rsidRPr="00581480">
        <w:rPr>
          <w:rFonts w:cstheme="minorHAnsi"/>
          <w:sz w:val="24"/>
          <w:szCs w:val="24"/>
        </w:rPr>
        <w:t xml:space="preserve">Obligation proportion shows the proportion of assets that were financed by obligation. The graph points out the Coca Cola Debt extent extended by 5% from 73% in 2016 to 78% in 2017 in </w:t>
      </w:r>
      <w:r w:rsidR="00581480" w:rsidRPr="00581480">
        <w:rPr>
          <w:rFonts w:cstheme="minorHAnsi"/>
          <w:sz w:val="24"/>
          <w:szCs w:val="24"/>
        </w:rPr>
        <w:lastRenderedPageBreak/>
        <w:t>view of extension in hard and fast liabilities and a while later decreased to 77% in 2018 and 76% in 2019. The drop in the extent from 2017 to 2019 shows that Coca Cola dependence on obligation decreased at this point high.</w:t>
      </w:r>
    </w:p>
    <w:p w:rsidR="00581480" w:rsidRDefault="00581480" w:rsidP="0031568B">
      <w:pPr>
        <w:spacing w:line="360" w:lineRule="auto"/>
        <w:jc w:val="center"/>
        <w:rPr>
          <w:rFonts w:cstheme="minorHAnsi"/>
          <w:sz w:val="24"/>
          <w:szCs w:val="24"/>
        </w:rPr>
      </w:pPr>
    </w:p>
    <w:p w:rsidR="00485C02" w:rsidRDefault="00581480" w:rsidP="0031568B">
      <w:pPr>
        <w:spacing w:line="360" w:lineRule="auto"/>
        <w:jc w:val="center"/>
        <w:rPr>
          <w:rFonts w:cstheme="minorHAnsi"/>
          <w:sz w:val="24"/>
          <w:szCs w:val="24"/>
        </w:rPr>
      </w:pPr>
      <w:r>
        <w:rPr>
          <w:rFonts w:cstheme="minorHAnsi"/>
          <w:sz w:val="24"/>
          <w:szCs w:val="24"/>
        </w:rPr>
        <w:t xml:space="preserve">             </w:t>
      </w:r>
      <w:r w:rsidR="0031568B" w:rsidRPr="0031568B">
        <w:rPr>
          <w:rFonts w:cstheme="minorHAnsi"/>
          <w:sz w:val="24"/>
          <w:szCs w:val="24"/>
        </w:rPr>
        <w:t xml:space="preserve">Figure 8: Times Interest Earned Ratio </w:t>
      </w:r>
      <w:r w:rsidR="0031568B" w:rsidRPr="0031568B">
        <w:rPr>
          <w:rFonts w:cstheme="minorHAnsi"/>
          <w:noProof/>
          <w:sz w:val="24"/>
          <w:szCs w:val="24"/>
        </w:rPr>
        <w:drawing>
          <wp:inline distT="0" distB="0" distL="0" distR="0">
            <wp:extent cx="4572000" cy="2743200"/>
            <wp:effectExtent l="0" t="0" r="12700" b="12700"/>
            <wp:docPr id="4" name="Chart 15">
              <a:extLst xmlns:a="http://schemas.openxmlformats.org/drawingml/2006/main">
                <a:ext uri="{FF2B5EF4-FFF2-40B4-BE49-F238E27FC236}">
                  <a16:creationId xmlns:a16="http://schemas.microsoft.com/office/drawing/2014/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id="{2ABA99D6-518D-C545-8C1E-EF9249D80C9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581480" w:rsidRPr="00581480" w:rsidRDefault="00581480" w:rsidP="00581480">
      <w:pPr>
        <w:spacing w:line="360" w:lineRule="auto"/>
        <w:rPr>
          <w:rFonts w:cstheme="minorHAnsi"/>
          <w:sz w:val="24"/>
          <w:szCs w:val="24"/>
        </w:rPr>
      </w:pPr>
      <w:r w:rsidRPr="00581480">
        <w:rPr>
          <w:rFonts w:cstheme="minorHAnsi"/>
          <w:sz w:val="24"/>
          <w:szCs w:val="24"/>
        </w:rPr>
        <w:t xml:space="preserve">Times revenue acquired extent shows the limit of a business to cover the excellent portions using EBIT. Coca Cola experienced a diminishing in events income obtained extent from 11.7 in 2016 to 10.64 in 2018 which infers they went up against challenges in covering interest due to decrease in arrangements, anyway in 2019 they were more pleasing as the extent extended to 11.43. </w:t>
      </w:r>
    </w:p>
    <w:p w:rsidR="00581480" w:rsidRPr="00581480" w:rsidRDefault="00581480" w:rsidP="00581480">
      <w:pPr>
        <w:spacing w:line="360" w:lineRule="auto"/>
        <w:rPr>
          <w:rFonts w:cstheme="minorHAnsi"/>
          <w:sz w:val="24"/>
          <w:szCs w:val="24"/>
        </w:rPr>
      </w:pPr>
    </w:p>
    <w:p w:rsidR="00117D41" w:rsidRPr="00581480" w:rsidRDefault="00581480" w:rsidP="00581480">
      <w:pPr>
        <w:spacing w:line="360" w:lineRule="auto"/>
        <w:rPr>
          <w:rFonts w:cstheme="minorHAnsi"/>
          <w:sz w:val="24"/>
          <w:szCs w:val="24"/>
        </w:rPr>
      </w:pPr>
      <w:r w:rsidRPr="00581480">
        <w:rPr>
          <w:rFonts w:cstheme="minorHAnsi"/>
          <w:sz w:val="24"/>
          <w:szCs w:val="24"/>
        </w:rPr>
        <w:t>The obligation extent examination of Coca Cola doesn't look extraordinary as the association move on obligation energetically to finance obligation they have shown a headway in decreasing it Moreover, Coca cola defied issues with the Time interest obtained extent from 2016 to 2018 anyway it started to improve in 2019.</w:t>
      </w:r>
    </w:p>
    <w:p w:rsidR="00117D41" w:rsidRDefault="00117D41" w:rsidP="0031568B">
      <w:pPr>
        <w:spacing w:line="360" w:lineRule="auto"/>
        <w:rPr>
          <w:rFonts w:cstheme="minorHAnsi"/>
          <w:b/>
          <w:sz w:val="24"/>
          <w:szCs w:val="24"/>
        </w:rPr>
      </w:pPr>
    </w:p>
    <w:p w:rsidR="000F446E" w:rsidRPr="000F446E" w:rsidRDefault="000F446E" w:rsidP="00581480">
      <w:pPr>
        <w:spacing w:line="360" w:lineRule="auto"/>
        <w:rPr>
          <w:rFonts w:cstheme="minorHAnsi"/>
          <w:sz w:val="24"/>
          <w:szCs w:val="24"/>
        </w:rPr>
      </w:pPr>
      <w:r>
        <w:rPr>
          <w:rFonts w:cstheme="minorHAnsi"/>
          <w:sz w:val="24"/>
          <w:szCs w:val="24"/>
        </w:rPr>
        <w:lastRenderedPageBreak/>
        <w:t>Productuvity</w:t>
      </w:r>
      <w:r w:rsidRPr="000F446E">
        <w:rPr>
          <w:rFonts w:cstheme="minorHAnsi"/>
          <w:sz w:val="24"/>
          <w:szCs w:val="24"/>
        </w:rPr>
        <w:t xml:space="preserve"> ratios: Productivity ratios are long-term monetary measurements used to quantify an enterprise's ability to deliver benefits compared to its deals, work costs, accounting report resources, or investor value, using information as expected from a particular point.</w:t>
      </w:r>
    </w:p>
    <w:p w:rsidR="00581480" w:rsidRDefault="006F5DB9" w:rsidP="00581480">
      <w:pPr>
        <w:spacing w:line="360" w:lineRule="auto"/>
        <w:rPr>
          <w:rFonts w:cstheme="minorHAnsi"/>
          <w:sz w:val="24"/>
          <w:szCs w:val="24"/>
        </w:rPr>
      </w:pPr>
      <w:r w:rsidRPr="006F5DB9">
        <w:rPr>
          <w:rFonts w:cstheme="minorHAnsi"/>
          <w:sz w:val="24"/>
          <w:szCs w:val="24"/>
        </w:rPr>
        <w:t>For most advantage territories, having more value near the degree of a contender or comparative with a similar degree from a past period exhibits that the affiliation is progressing charmingly.</w:t>
      </w:r>
      <w:r>
        <w:rPr>
          <w:rFonts w:cstheme="minorHAnsi"/>
          <w:sz w:val="24"/>
          <w:szCs w:val="24"/>
        </w:rPr>
        <w:t xml:space="preserve"> </w:t>
      </w:r>
      <w:r w:rsidR="00581480" w:rsidRPr="00581480">
        <w:rPr>
          <w:rFonts w:cstheme="minorHAnsi"/>
          <w:sz w:val="24"/>
          <w:szCs w:val="24"/>
        </w:rPr>
        <w:t xml:space="preserve">Benefit extents are most significant when stood out from tantamount associations, the association's own arrangement of encounters, or ordinary proportions for the association's business. For example, net generally income is conceivably the most-used efficiency or edge extents. Net advantage is the difference among pay and the costs of creation—called cost of product sold (COGS). A couple of adventures experience inconsistency in their exercises, for instance, the retail business. Retailers consistently experience by and large higher salaries and benefit during the year-end Christmas season. In like manner, </w:t>
      </w:r>
      <w:r>
        <w:rPr>
          <w:rFonts w:cstheme="minorHAnsi"/>
          <w:sz w:val="24"/>
          <w:szCs w:val="24"/>
        </w:rPr>
        <w:t>l</w:t>
      </w:r>
      <w:r w:rsidRPr="006F5DB9">
        <w:rPr>
          <w:rFonts w:cstheme="minorHAnsi"/>
          <w:sz w:val="24"/>
          <w:szCs w:val="24"/>
        </w:rPr>
        <w:t>ooking at the last quarter net of a retailer would not be helpful</w:t>
      </w:r>
      <w:r>
        <w:rPr>
          <w:rFonts w:cstheme="minorHAnsi"/>
          <w:sz w:val="24"/>
          <w:szCs w:val="24"/>
        </w:rPr>
        <w:t xml:space="preserve"> by and large revenue</w:t>
      </w:r>
      <w:r w:rsidR="00581480" w:rsidRPr="00581480">
        <w:rPr>
          <w:rFonts w:cstheme="minorHAnsi"/>
          <w:sz w:val="24"/>
          <w:szCs w:val="24"/>
        </w:rPr>
        <w:t xml:space="preserve"> w</w:t>
      </w:r>
      <w:r>
        <w:rPr>
          <w:rFonts w:cstheme="minorHAnsi"/>
          <w:sz w:val="24"/>
          <w:szCs w:val="24"/>
        </w:rPr>
        <w:t>ith its first-quarter net revenue</w:t>
      </w:r>
      <w:r w:rsidR="00581480" w:rsidRPr="00581480">
        <w:rPr>
          <w:rFonts w:cstheme="minorHAnsi"/>
          <w:sz w:val="24"/>
          <w:szCs w:val="24"/>
        </w:rPr>
        <w:t xml:space="preserve"> since they are not direct basically indistinguishable. </w:t>
      </w:r>
      <w:r w:rsidRPr="006F5DB9">
        <w:rPr>
          <w:rFonts w:cstheme="minorHAnsi"/>
          <w:sz w:val="24"/>
          <w:szCs w:val="24"/>
        </w:rPr>
        <w:t>Having a gander last quarter at a retailer's</w:t>
      </w:r>
      <w:r>
        <w:rPr>
          <w:rFonts w:cstheme="minorHAnsi"/>
          <w:sz w:val="24"/>
          <w:szCs w:val="24"/>
        </w:rPr>
        <w:t xml:space="preserve"> </w:t>
      </w:r>
      <w:r w:rsidR="00581480" w:rsidRPr="00581480">
        <w:rPr>
          <w:rFonts w:cstheme="minorHAnsi"/>
          <w:sz w:val="24"/>
          <w:szCs w:val="24"/>
        </w:rPr>
        <w:t xml:space="preserve">generally speaking income </w:t>
      </w:r>
      <w:r>
        <w:rPr>
          <w:rFonts w:cstheme="minorHAnsi"/>
          <w:sz w:val="24"/>
          <w:szCs w:val="24"/>
        </w:rPr>
        <w:t>with its last quarter net revenue</w:t>
      </w:r>
      <w:r w:rsidR="00581480" w:rsidRPr="00581480">
        <w:rPr>
          <w:rFonts w:cstheme="minorHAnsi"/>
          <w:sz w:val="24"/>
          <w:szCs w:val="24"/>
        </w:rPr>
        <w:t xml:space="preserve"> from the prior year would be certainly more valuable.</w:t>
      </w:r>
    </w:p>
    <w:p w:rsidR="00581480" w:rsidRDefault="00A84F70" w:rsidP="00A84F70">
      <w:pPr>
        <w:spacing w:line="360" w:lineRule="auto"/>
        <w:rPr>
          <w:rFonts w:cstheme="minorHAnsi"/>
          <w:sz w:val="24"/>
          <w:szCs w:val="24"/>
        </w:rPr>
      </w:pPr>
      <w:r w:rsidRPr="00A84F70">
        <w:rPr>
          <w:rFonts w:cstheme="minorHAnsi"/>
          <w:b/>
          <w:sz w:val="24"/>
          <w:szCs w:val="24"/>
        </w:rPr>
        <w:t xml:space="preserve">Illustration of How to Use Profitability Ratios </w:t>
      </w:r>
      <w:r>
        <w:rPr>
          <w:rFonts w:cstheme="minorHAnsi"/>
          <w:b/>
          <w:sz w:val="24"/>
          <w:szCs w:val="24"/>
        </w:rPr>
        <w:t xml:space="preserve">: </w:t>
      </w:r>
      <w:r w:rsidR="00581480" w:rsidRPr="00581480">
        <w:rPr>
          <w:rFonts w:cstheme="minorHAnsi"/>
          <w:sz w:val="24"/>
          <w:szCs w:val="24"/>
        </w:rPr>
        <w:t>Profitability extents are maybe the most standard estimations used in financial examination, and they overall fall into two classes—edge extents and bring extents back. Edge extents give understanding, from a couple of exceptional focuses, on an association's ability to change bargains into an advantage. Return extents offer a couple of unmistakable ways to deal with take a gander at how well an association makes a return for its speculators. A couple of occurrences of efficiency extents are the net income, return on assets (ROA), and benefit for esteem (ROE).</w:t>
      </w:r>
    </w:p>
    <w:p w:rsidR="00285A10" w:rsidRDefault="00285A10" w:rsidP="00285A10">
      <w:pPr>
        <w:spacing w:line="360" w:lineRule="auto"/>
        <w:jc w:val="center"/>
        <w:rPr>
          <w:rFonts w:cstheme="minorHAnsi"/>
          <w:sz w:val="24"/>
          <w:szCs w:val="24"/>
        </w:rPr>
      </w:pPr>
    </w:p>
    <w:p w:rsidR="00285A10" w:rsidRDefault="00285A10" w:rsidP="00285A10">
      <w:pPr>
        <w:spacing w:line="360" w:lineRule="auto"/>
        <w:jc w:val="center"/>
        <w:rPr>
          <w:rFonts w:cstheme="minorHAnsi"/>
          <w:sz w:val="24"/>
          <w:szCs w:val="24"/>
        </w:rPr>
      </w:pPr>
    </w:p>
    <w:p w:rsidR="00285A10" w:rsidRDefault="00285A10" w:rsidP="00285A10">
      <w:pPr>
        <w:spacing w:line="360" w:lineRule="auto"/>
        <w:jc w:val="center"/>
        <w:rPr>
          <w:rFonts w:cstheme="minorHAnsi"/>
          <w:sz w:val="24"/>
          <w:szCs w:val="24"/>
        </w:rPr>
      </w:pPr>
    </w:p>
    <w:p w:rsidR="00285A10" w:rsidRDefault="00285A10" w:rsidP="00285A10">
      <w:pPr>
        <w:spacing w:line="360" w:lineRule="auto"/>
        <w:jc w:val="center"/>
        <w:rPr>
          <w:rFonts w:cstheme="minorHAnsi"/>
          <w:sz w:val="24"/>
          <w:szCs w:val="24"/>
        </w:rPr>
      </w:pPr>
    </w:p>
    <w:p w:rsidR="00285A10" w:rsidRPr="00194441" w:rsidRDefault="00285A10" w:rsidP="00285A10">
      <w:pPr>
        <w:spacing w:line="360" w:lineRule="auto"/>
        <w:jc w:val="center"/>
        <w:rPr>
          <w:rFonts w:cstheme="minorHAnsi"/>
          <w:sz w:val="24"/>
          <w:szCs w:val="24"/>
        </w:rPr>
      </w:pPr>
      <w:r w:rsidRPr="00194441">
        <w:rPr>
          <w:rFonts w:cstheme="minorHAnsi"/>
          <w:sz w:val="24"/>
          <w:szCs w:val="24"/>
        </w:rPr>
        <w:lastRenderedPageBreak/>
        <w:t xml:space="preserve">Table 5: Profitability Ratios </w:t>
      </w:r>
    </w:p>
    <w:tbl>
      <w:tblPr>
        <w:tblStyle w:val="TableGrid"/>
        <w:tblW w:w="10627" w:type="dxa"/>
        <w:tblLook w:val="04A0"/>
      </w:tblPr>
      <w:tblGrid>
        <w:gridCol w:w="1870"/>
        <w:gridCol w:w="1870"/>
        <w:gridCol w:w="1870"/>
        <w:gridCol w:w="1870"/>
        <w:gridCol w:w="1870"/>
        <w:gridCol w:w="1277"/>
      </w:tblGrid>
      <w:tr w:rsidR="00B80E98" w:rsidRPr="00194441" w:rsidTr="00B80E98">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Ratio/Year</w:t>
            </w:r>
          </w:p>
        </w:tc>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2019</w:t>
            </w:r>
          </w:p>
        </w:tc>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2018</w:t>
            </w:r>
          </w:p>
        </w:tc>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2017</w:t>
            </w:r>
          </w:p>
        </w:tc>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2016</w:t>
            </w:r>
          </w:p>
        </w:tc>
        <w:tc>
          <w:tcPr>
            <w:tcW w:w="1277" w:type="dxa"/>
            <w:tcBorders>
              <w:top w:val="single" w:sz="4" w:space="0" w:color="auto"/>
              <w:bottom w:val="single" w:sz="4" w:space="0" w:color="auto"/>
              <w:right w:val="single" w:sz="4" w:space="0" w:color="auto"/>
            </w:tcBorders>
            <w:shd w:val="clear" w:color="auto" w:fill="auto"/>
          </w:tcPr>
          <w:p w:rsidR="00B80E98" w:rsidRPr="00194441" w:rsidRDefault="00B80E98">
            <w:pPr>
              <w:rPr>
                <w:rFonts w:cstheme="minorHAnsi"/>
                <w:sz w:val="24"/>
                <w:szCs w:val="24"/>
              </w:rPr>
            </w:pPr>
            <w:r>
              <w:rPr>
                <w:rFonts w:cstheme="minorHAnsi"/>
                <w:sz w:val="24"/>
                <w:szCs w:val="24"/>
              </w:rPr>
              <w:t>PepsiCo 2019</w:t>
            </w:r>
          </w:p>
        </w:tc>
      </w:tr>
      <w:tr w:rsidR="00B80E98" w:rsidRPr="00194441" w:rsidTr="00B80E98">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Return on Equity</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47%</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38%</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7%</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28%</w:t>
            </w:r>
          </w:p>
        </w:tc>
        <w:tc>
          <w:tcPr>
            <w:tcW w:w="1277" w:type="dxa"/>
            <w:tcBorders>
              <w:top w:val="single" w:sz="4" w:space="0" w:color="auto"/>
              <w:bottom w:val="single" w:sz="4" w:space="0" w:color="auto"/>
              <w:right w:val="single" w:sz="4" w:space="0" w:color="auto"/>
            </w:tcBorders>
            <w:shd w:val="clear" w:color="auto" w:fill="auto"/>
          </w:tcPr>
          <w:p w:rsidR="00B80E98" w:rsidRPr="00194441" w:rsidRDefault="008B0D85">
            <w:pPr>
              <w:rPr>
                <w:rFonts w:cstheme="minorHAnsi"/>
                <w:sz w:val="24"/>
                <w:szCs w:val="24"/>
              </w:rPr>
            </w:pPr>
            <w:r>
              <w:rPr>
                <w:rFonts w:cstheme="minorHAnsi"/>
                <w:sz w:val="24"/>
                <w:szCs w:val="24"/>
              </w:rPr>
              <w:t>50.95%</w:t>
            </w:r>
          </w:p>
        </w:tc>
      </w:tr>
      <w:tr w:rsidR="00B80E98" w:rsidRPr="00194441" w:rsidTr="00B80E98">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Return on Assets</w:t>
            </w:r>
          </w:p>
        </w:tc>
        <w:tc>
          <w:tcPr>
            <w:tcW w:w="1870" w:type="dxa"/>
            <w:vAlign w:val="bottom"/>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10%</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8%</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1%</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7%</w:t>
            </w:r>
          </w:p>
        </w:tc>
        <w:tc>
          <w:tcPr>
            <w:tcW w:w="1277" w:type="dxa"/>
            <w:tcBorders>
              <w:top w:val="single" w:sz="4" w:space="0" w:color="auto"/>
              <w:bottom w:val="single" w:sz="4" w:space="0" w:color="auto"/>
              <w:right w:val="single" w:sz="4" w:space="0" w:color="auto"/>
            </w:tcBorders>
            <w:shd w:val="clear" w:color="auto" w:fill="auto"/>
          </w:tcPr>
          <w:p w:rsidR="00B80E98" w:rsidRPr="00194441" w:rsidRDefault="008B0D85">
            <w:pPr>
              <w:rPr>
                <w:rFonts w:cstheme="minorHAnsi"/>
                <w:sz w:val="24"/>
                <w:szCs w:val="24"/>
              </w:rPr>
            </w:pPr>
            <w:r>
              <w:rPr>
                <w:rFonts w:cstheme="minorHAnsi"/>
                <w:sz w:val="24"/>
                <w:szCs w:val="24"/>
              </w:rPr>
              <w:t>9.54%</w:t>
            </w:r>
          </w:p>
        </w:tc>
      </w:tr>
      <w:tr w:rsidR="00B80E98" w:rsidRPr="00194441" w:rsidTr="00B80E98">
        <w:tc>
          <w:tcPr>
            <w:tcW w:w="1870" w:type="dxa"/>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Profit Margin</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24%</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20%</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4%</w:t>
            </w:r>
          </w:p>
        </w:tc>
        <w:tc>
          <w:tcPr>
            <w:tcW w:w="1870" w:type="dxa"/>
            <w:vAlign w:val="center"/>
          </w:tcPr>
          <w:p w:rsidR="00B80E98" w:rsidRPr="00194441" w:rsidRDefault="00B80E98" w:rsidP="005515D2">
            <w:pPr>
              <w:spacing w:line="360" w:lineRule="auto"/>
              <w:jc w:val="center"/>
              <w:rPr>
                <w:rFonts w:cstheme="minorHAnsi"/>
                <w:sz w:val="24"/>
                <w:szCs w:val="24"/>
              </w:rPr>
            </w:pPr>
            <w:r w:rsidRPr="00194441">
              <w:rPr>
                <w:rFonts w:cstheme="minorHAnsi"/>
                <w:sz w:val="24"/>
                <w:szCs w:val="24"/>
              </w:rPr>
              <w:t>16%</w:t>
            </w:r>
          </w:p>
        </w:tc>
        <w:tc>
          <w:tcPr>
            <w:tcW w:w="1277" w:type="dxa"/>
            <w:tcBorders>
              <w:top w:val="single" w:sz="4" w:space="0" w:color="auto"/>
              <w:bottom w:val="single" w:sz="4" w:space="0" w:color="auto"/>
              <w:right w:val="single" w:sz="4" w:space="0" w:color="auto"/>
            </w:tcBorders>
            <w:shd w:val="clear" w:color="auto" w:fill="auto"/>
          </w:tcPr>
          <w:p w:rsidR="00B80E98" w:rsidRPr="00194441" w:rsidRDefault="008B0D85">
            <w:pPr>
              <w:rPr>
                <w:rFonts w:cstheme="minorHAnsi"/>
                <w:sz w:val="24"/>
                <w:szCs w:val="24"/>
              </w:rPr>
            </w:pPr>
            <w:r>
              <w:rPr>
                <w:rFonts w:cstheme="minorHAnsi"/>
                <w:sz w:val="24"/>
                <w:szCs w:val="24"/>
              </w:rPr>
              <w:t>15.3%</w:t>
            </w:r>
          </w:p>
        </w:tc>
      </w:tr>
    </w:tbl>
    <w:p w:rsidR="00194441" w:rsidRDefault="00194441" w:rsidP="00194441">
      <w:pPr>
        <w:spacing w:line="360" w:lineRule="auto"/>
        <w:rPr>
          <w:rFonts w:cstheme="minorHAnsi"/>
          <w:sz w:val="24"/>
          <w:szCs w:val="24"/>
        </w:rPr>
      </w:pPr>
      <w:r>
        <w:rPr>
          <w:rFonts w:cstheme="minorHAnsi"/>
          <w:sz w:val="24"/>
          <w:szCs w:val="24"/>
        </w:rPr>
        <w:t xml:space="preserve">   </w:t>
      </w:r>
    </w:p>
    <w:p w:rsidR="00B40778" w:rsidRPr="00A84F70" w:rsidRDefault="00194441" w:rsidP="00626973">
      <w:pPr>
        <w:spacing w:line="360" w:lineRule="auto"/>
        <w:rPr>
          <w:rFonts w:cstheme="minorHAnsi"/>
          <w:sz w:val="24"/>
          <w:szCs w:val="24"/>
        </w:rPr>
      </w:pPr>
      <w:r>
        <w:rPr>
          <w:rFonts w:cstheme="minorHAnsi"/>
          <w:sz w:val="24"/>
          <w:szCs w:val="24"/>
        </w:rPr>
        <w:t xml:space="preserve">                             </w:t>
      </w:r>
      <w:r w:rsidRPr="00194441">
        <w:rPr>
          <w:rFonts w:cstheme="minorHAnsi"/>
          <w:sz w:val="24"/>
          <w:szCs w:val="24"/>
        </w:rPr>
        <w:t xml:space="preserve">Figure 9: Return on Equity </w:t>
      </w:r>
    </w:p>
    <w:p w:rsidR="00B80E98" w:rsidRDefault="00194441" w:rsidP="00DD6827">
      <w:pPr>
        <w:tabs>
          <w:tab w:val="left" w:pos="1725"/>
        </w:tabs>
      </w:pPr>
      <w:r w:rsidRPr="00194441">
        <w:rPr>
          <w:rFonts w:cstheme="minorHAnsi"/>
          <w:noProof/>
          <w:sz w:val="24"/>
          <w:szCs w:val="24"/>
        </w:rPr>
        <w:drawing>
          <wp:inline distT="0" distB="0" distL="0" distR="0">
            <wp:extent cx="4572000" cy="2743200"/>
            <wp:effectExtent l="0" t="0" r="12700" b="12700"/>
            <wp:docPr id="16" name="Chart 16">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21117153-286B-F448-9B7D-2B2DCF681CA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r w:rsidR="00B80E98" w:rsidRPr="00B80E98">
        <w:t xml:space="preserve"> </w:t>
      </w:r>
    </w:p>
    <w:p w:rsidR="00B80E98" w:rsidRPr="00B80E98" w:rsidRDefault="003111F0" w:rsidP="00DD6827">
      <w:pPr>
        <w:tabs>
          <w:tab w:val="left" w:pos="1725"/>
        </w:tabs>
        <w:rPr>
          <w:rFonts w:cstheme="minorHAnsi"/>
          <w:sz w:val="24"/>
          <w:szCs w:val="24"/>
        </w:rPr>
      </w:pPr>
      <w:r w:rsidRPr="003111F0">
        <w:rPr>
          <w:rFonts w:cstheme="minorHAnsi"/>
          <w:sz w:val="24"/>
          <w:szCs w:val="24"/>
        </w:rPr>
        <w:t>Profit for value evaluates how much advantage were made using the theorists responsibilities. Coca cola return on worth reduced enormously in 2017 to 7% when it was 28% in 2016 due to diminish in net increase. Furthermore, as the net increase extended the accompanying two years the benefit for esteem extent moreover extended to 38% in 2018 and 47% in 2019. The higher the benefit for esteem the better as it checks the viability of the association and it furthermore attracts monetary experts to the business (Al Muhairi and Nobanee, 2019).</w:t>
      </w:r>
    </w:p>
    <w:p w:rsidR="00194441" w:rsidRDefault="00194441" w:rsidP="00194441">
      <w:pPr>
        <w:spacing w:line="360" w:lineRule="auto"/>
        <w:jc w:val="center"/>
        <w:rPr>
          <w:rFonts w:cstheme="minorHAnsi"/>
          <w:sz w:val="24"/>
          <w:szCs w:val="24"/>
        </w:rPr>
      </w:pPr>
      <w:r w:rsidRPr="00194441">
        <w:rPr>
          <w:rFonts w:cstheme="minorHAnsi"/>
          <w:sz w:val="24"/>
          <w:szCs w:val="24"/>
        </w:rPr>
        <w:lastRenderedPageBreak/>
        <w:t>Figure 10: Return on T</w:t>
      </w:r>
      <w:r>
        <w:rPr>
          <w:rFonts w:cstheme="minorHAnsi"/>
          <w:sz w:val="24"/>
          <w:szCs w:val="24"/>
        </w:rPr>
        <w:t xml:space="preserve">otal Assets </w:t>
      </w:r>
      <w:r w:rsidRPr="00194441">
        <w:rPr>
          <w:rFonts w:cstheme="minorHAnsi"/>
          <w:noProof/>
          <w:sz w:val="24"/>
          <w:szCs w:val="24"/>
        </w:rPr>
        <w:drawing>
          <wp:inline distT="0" distB="0" distL="0" distR="0">
            <wp:extent cx="4572000" cy="2743200"/>
            <wp:effectExtent l="0" t="0" r="12700" b="12700"/>
            <wp:docPr id="17" name="Chart 17">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CD9D7434-3F38-2A4D-8C22-031B26E5004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3111F0" w:rsidRDefault="003111F0" w:rsidP="003111F0">
      <w:pPr>
        <w:tabs>
          <w:tab w:val="left" w:pos="992"/>
        </w:tabs>
        <w:spacing w:line="360" w:lineRule="auto"/>
        <w:rPr>
          <w:rFonts w:cstheme="minorHAnsi"/>
          <w:sz w:val="24"/>
          <w:szCs w:val="24"/>
        </w:rPr>
      </w:pPr>
      <w:r w:rsidRPr="003111F0">
        <w:rPr>
          <w:rFonts w:cstheme="minorHAnsi"/>
          <w:sz w:val="24"/>
          <w:szCs w:val="24"/>
        </w:rPr>
        <w:t>Profit for resources is a used to know how much advantage an association make using it assets (advantage per dollar). The return in asset extent declined from 7% in 2016 to 1% in 2017 and it moreover interfaces back to reduce in absolute remuneration. Regardless, the extent caused in 2018 to 8% and in 2019 to 10% due to extension in by and large addition.</w:t>
      </w:r>
    </w:p>
    <w:p w:rsidR="003111F0" w:rsidRDefault="003111F0" w:rsidP="00194441">
      <w:pPr>
        <w:spacing w:line="360" w:lineRule="auto"/>
        <w:jc w:val="center"/>
        <w:rPr>
          <w:rFonts w:cstheme="minorHAnsi"/>
          <w:sz w:val="24"/>
          <w:szCs w:val="24"/>
        </w:rPr>
      </w:pPr>
    </w:p>
    <w:p w:rsidR="00194441" w:rsidRDefault="00194441" w:rsidP="00194441">
      <w:pPr>
        <w:spacing w:line="360" w:lineRule="auto"/>
        <w:jc w:val="center"/>
        <w:rPr>
          <w:rFonts w:cstheme="minorHAnsi"/>
          <w:sz w:val="24"/>
          <w:szCs w:val="24"/>
        </w:rPr>
      </w:pPr>
      <w:r w:rsidRPr="00194441">
        <w:rPr>
          <w:rFonts w:cstheme="minorHAnsi"/>
          <w:sz w:val="24"/>
          <w:szCs w:val="24"/>
        </w:rPr>
        <w:t xml:space="preserve">Figure 11: Profit Margin </w:t>
      </w:r>
    </w:p>
    <w:p w:rsidR="00B80E98" w:rsidRDefault="00194441" w:rsidP="00B80E98">
      <w:pPr>
        <w:spacing w:line="360" w:lineRule="auto"/>
        <w:jc w:val="center"/>
        <w:rPr>
          <w:rFonts w:cstheme="minorHAnsi"/>
          <w:sz w:val="24"/>
          <w:szCs w:val="24"/>
        </w:rPr>
      </w:pPr>
      <w:r w:rsidRPr="00194441">
        <w:rPr>
          <w:rFonts w:cstheme="minorHAnsi"/>
          <w:noProof/>
          <w:sz w:val="24"/>
          <w:szCs w:val="24"/>
        </w:rPr>
        <w:drawing>
          <wp:inline distT="0" distB="0" distL="0" distR="0">
            <wp:extent cx="4572000" cy="2743200"/>
            <wp:effectExtent l="0" t="0" r="12700" b="12700"/>
            <wp:docPr id="18" name="Chart 18">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70A4F814-B705-0146-A951-EC037BD5718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3111F0" w:rsidRDefault="003111F0" w:rsidP="00E36626">
      <w:pPr>
        <w:spacing w:line="360" w:lineRule="auto"/>
        <w:rPr>
          <w:rFonts w:cstheme="minorHAnsi"/>
          <w:sz w:val="24"/>
          <w:szCs w:val="24"/>
        </w:rPr>
      </w:pPr>
      <w:r w:rsidRPr="003111F0">
        <w:rPr>
          <w:rFonts w:cstheme="minorHAnsi"/>
          <w:sz w:val="24"/>
          <w:szCs w:val="24"/>
        </w:rPr>
        <w:lastRenderedPageBreak/>
        <w:t>The chart shows that Coca Cola had a net income of 16% in 2016 and 4% in 2017. As shown by Ramakrishnan (2017) the reduction was an immediate aftereffect of interest capitulate to carbonated rewards in North America and besides in the specific year carbonated refreshments were named as tragic by the administration of prosperity. Regardless, the general income extended altogether after that to show up at 20% in 2018 and 24% in 2019.</w:t>
      </w:r>
    </w:p>
    <w:p w:rsidR="003111F0" w:rsidRDefault="003111F0" w:rsidP="00E36626">
      <w:pPr>
        <w:spacing w:line="360" w:lineRule="auto"/>
        <w:rPr>
          <w:rFonts w:cstheme="minorHAnsi"/>
          <w:sz w:val="24"/>
          <w:szCs w:val="24"/>
        </w:rPr>
      </w:pPr>
    </w:p>
    <w:p w:rsidR="00E36626" w:rsidRDefault="00E36626" w:rsidP="00E36626">
      <w:pPr>
        <w:spacing w:line="360" w:lineRule="auto"/>
        <w:rPr>
          <w:rFonts w:cstheme="minorHAnsi"/>
          <w:b/>
          <w:sz w:val="24"/>
          <w:szCs w:val="24"/>
        </w:rPr>
      </w:pPr>
      <w:r>
        <w:rPr>
          <w:rFonts w:cstheme="minorHAnsi"/>
          <w:b/>
          <w:sz w:val="24"/>
          <w:szCs w:val="24"/>
        </w:rPr>
        <w:t>Suggestions of improve financial management</w:t>
      </w:r>
    </w:p>
    <w:p w:rsidR="00FB51A0" w:rsidRPr="00FB51A0" w:rsidRDefault="002C57E2" w:rsidP="00FB51A0">
      <w:pPr>
        <w:pStyle w:val="ListParagraph"/>
        <w:numPr>
          <w:ilvl w:val="0"/>
          <w:numId w:val="6"/>
        </w:numPr>
        <w:spacing w:line="360" w:lineRule="auto"/>
        <w:rPr>
          <w:rFonts w:cstheme="minorHAnsi"/>
          <w:b/>
          <w:sz w:val="24"/>
          <w:szCs w:val="24"/>
        </w:rPr>
      </w:pPr>
      <w:r w:rsidRPr="00FB51A0">
        <w:rPr>
          <w:rFonts w:cstheme="minorHAnsi"/>
          <w:b/>
          <w:sz w:val="24"/>
          <w:szCs w:val="24"/>
        </w:rPr>
        <w:t xml:space="preserve">Have a reasonable marketable strategy: </w:t>
      </w:r>
      <w:r w:rsidR="00FB51A0">
        <w:rPr>
          <w:rFonts w:cstheme="minorHAnsi"/>
          <w:b/>
          <w:sz w:val="24"/>
          <w:szCs w:val="24"/>
        </w:rPr>
        <w:t xml:space="preserve"> </w:t>
      </w:r>
      <w:r w:rsidR="00FB51A0" w:rsidRPr="00FB51A0">
        <w:rPr>
          <w:rFonts w:cstheme="minorHAnsi"/>
          <w:sz w:val="24"/>
          <w:szCs w:val="24"/>
        </w:rPr>
        <w:t>Where the association is and where the association needs to meet individuals throughout the following not many years, a cycle will develop. It ought to explain how the organization and its tasks will be financed by the association, what the cash affiliation will require and where it will come from - see fabricate a framework: gradually.</w:t>
      </w:r>
    </w:p>
    <w:p w:rsidR="0000706D" w:rsidRPr="0000706D" w:rsidRDefault="002C57E2" w:rsidP="0000706D">
      <w:pPr>
        <w:pStyle w:val="ListParagraph"/>
        <w:numPr>
          <w:ilvl w:val="0"/>
          <w:numId w:val="6"/>
        </w:numPr>
        <w:spacing w:line="360" w:lineRule="auto"/>
        <w:rPr>
          <w:rFonts w:cstheme="minorHAnsi"/>
          <w:sz w:val="24"/>
          <w:szCs w:val="24"/>
        </w:rPr>
      </w:pPr>
      <w:r w:rsidRPr="00FB51A0">
        <w:rPr>
          <w:rFonts w:cstheme="minorHAnsi"/>
          <w:b/>
          <w:sz w:val="24"/>
          <w:szCs w:val="24"/>
        </w:rPr>
        <w:t>Screen  company</w:t>
      </w:r>
      <w:r w:rsidR="005515D2" w:rsidRPr="00FB51A0">
        <w:rPr>
          <w:rFonts w:cstheme="minorHAnsi"/>
          <w:b/>
          <w:sz w:val="24"/>
          <w:szCs w:val="24"/>
        </w:rPr>
        <w:t xml:space="preserve">’s </w:t>
      </w:r>
      <w:r w:rsidRPr="00FB51A0">
        <w:rPr>
          <w:rFonts w:cstheme="minorHAnsi"/>
          <w:b/>
          <w:sz w:val="24"/>
          <w:szCs w:val="24"/>
        </w:rPr>
        <w:t xml:space="preserve"> monetary  position: </w:t>
      </w:r>
      <w:r w:rsidR="0000706D" w:rsidRPr="00FB51A0">
        <w:rPr>
          <w:rFonts w:cstheme="minorHAnsi"/>
          <w:sz w:val="24"/>
          <w:szCs w:val="24"/>
        </w:rPr>
        <w:t>Organization should regularly screen the headway of its business. Reliably, firm should know how much money it has in the bank, the quantity of arrangements organization is making and its stock levels. Organization should in like manner review its circumstance against the goals set in its attractive procedure reliably - see pay the chiefs.</w:t>
      </w:r>
    </w:p>
    <w:p w:rsidR="0000706D" w:rsidRDefault="002C57E2" w:rsidP="002C57E2">
      <w:pPr>
        <w:spacing w:line="360" w:lineRule="auto"/>
        <w:rPr>
          <w:rFonts w:cstheme="minorHAnsi"/>
          <w:sz w:val="24"/>
          <w:szCs w:val="24"/>
        </w:rPr>
      </w:pPr>
      <w:r w:rsidRPr="002C57E2">
        <w:rPr>
          <w:rFonts w:cstheme="minorHAnsi"/>
          <w:b/>
          <w:sz w:val="24"/>
          <w:szCs w:val="24"/>
        </w:rPr>
        <w:t>3. Guaran</w:t>
      </w:r>
      <w:r w:rsidR="005515D2">
        <w:rPr>
          <w:rFonts w:cstheme="minorHAnsi"/>
          <w:b/>
          <w:sz w:val="24"/>
          <w:szCs w:val="24"/>
        </w:rPr>
        <w:t>tee clients pay firm</w:t>
      </w:r>
      <w:r>
        <w:rPr>
          <w:rFonts w:cstheme="minorHAnsi"/>
          <w:b/>
          <w:sz w:val="24"/>
          <w:szCs w:val="24"/>
        </w:rPr>
        <w:t xml:space="preserve"> on schedule</w:t>
      </w:r>
      <w:r w:rsidR="005515D2">
        <w:rPr>
          <w:rFonts w:cstheme="minorHAnsi"/>
          <w:b/>
          <w:sz w:val="24"/>
          <w:szCs w:val="24"/>
        </w:rPr>
        <w:t xml:space="preserve">: </w:t>
      </w:r>
      <w:r>
        <w:rPr>
          <w:rFonts w:cstheme="minorHAnsi"/>
          <w:b/>
          <w:sz w:val="24"/>
          <w:szCs w:val="24"/>
        </w:rPr>
        <w:t xml:space="preserve"> </w:t>
      </w:r>
      <w:r w:rsidRPr="002C57E2">
        <w:rPr>
          <w:rFonts w:cstheme="minorHAnsi"/>
          <w:sz w:val="24"/>
          <w:szCs w:val="24"/>
        </w:rPr>
        <w:t>Organizations can run into serious issues in view of</w:t>
      </w:r>
      <w:r w:rsidR="0000706D">
        <w:rPr>
          <w:rFonts w:cstheme="minorHAnsi"/>
          <w:sz w:val="24"/>
          <w:szCs w:val="24"/>
        </w:rPr>
        <w:t xml:space="preserve"> </w:t>
      </w:r>
      <w:r w:rsidR="0000706D" w:rsidRPr="0000706D">
        <w:rPr>
          <w:rFonts w:cstheme="minorHAnsi"/>
          <w:sz w:val="24"/>
          <w:szCs w:val="24"/>
        </w:rPr>
        <w:t>late customer portions. To diminish the risk of late or non-portion, organization should make its credit terms and conditions clear from the beginning. Organization should moreover quickly give requesting that are clear and exact. Using a robotized credit the board structure will help it with checking customers' records - read ensure customers pay organization on time.</w:t>
      </w:r>
    </w:p>
    <w:p w:rsidR="00FB51A0" w:rsidRPr="00FB51A0" w:rsidRDefault="005515D2" w:rsidP="002C57E2">
      <w:pPr>
        <w:spacing w:line="360" w:lineRule="auto"/>
        <w:rPr>
          <w:rFonts w:cstheme="minorHAnsi"/>
          <w:sz w:val="24"/>
          <w:szCs w:val="24"/>
        </w:rPr>
      </w:pPr>
      <w:r>
        <w:rPr>
          <w:rFonts w:cstheme="minorHAnsi"/>
          <w:b/>
          <w:sz w:val="24"/>
          <w:szCs w:val="24"/>
        </w:rPr>
        <w:t xml:space="preserve">4. Know  </w:t>
      </w:r>
      <w:r w:rsidR="002C57E2">
        <w:rPr>
          <w:rFonts w:cstheme="minorHAnsi"/>
          <w:b/>
          <w:sz w:val="24"/>
          <w:szCs w:val="24"/>
        </w:rPr>
        <w:t xml:space="preserve"> everyday expenses: </w:t>
      </w:r>
      <w:r w:rsidR="00FB51A0" w:rsidRPr="00FB51A0">
        <w:rPr>
          <w:rFonts w:cstheme="minorHAnsi"/>
          <w:sz w:val="24"/>
          <w:szCs w:val="24"/>
        </w:rPr>
        <w:t>Certainly, if there isn't sufficient money to adapt to every day uses, for instance, lease and pay rates, even the most helpful of affiliations will confront difficulties. The association ought to acknowledge the establishment on which its organization needs to battle and promise that it won't go under this - perceive how to check money in its organization.</w:t>
      </w:r>
    </w:p>
    <w:p w:rsidR="0000706D" w:rsidRPr="0000706D" w:rsidRDefault="002C57E2" w:rsidP="002C57E2">
      <w:pPr>
        <w:spacing w:line="360" w:lineRule="auto"/>
        <w:rPr>
          <w:rFonts w:cstheme="minorHAnsi"/>
          <w:sz w:val="24"/>
          <w:szCs w:val="24"/>
        </w:rPr>
      </w:pPr>
      <w:r w:rsidRPr="002C57E2">
        <w:rPr>
          <w:rFonts w:cstheme="minorHAnsi"/>
          <w:b/>
          <w:sz w:val="24"/>
          <w:szCs w:val="24"/>
        </w:rPr>
        <w:lastRenderedPageBreak/>
        <w:t>5. Stay up with</w:t>
      </w:r>
      <w:r>
        <w:rPr>
          <w:rFonts w:cstheme="minorHAnsi"/>
          <w:b/>
          <w:sz w:val="24"/>
          <w:szCs w:val="24"/>
        </w:rPr>
        <w:t xml:space="preserve"> the latest bookkeeping records: </w:t>
      </w:r>
      <w:r w:rsidR="0000706D" w:rsidRPr="0000706D">
        <w:rPr>
          <w:rFonts w:cstheme="minorHAnsi"/>
          <w:sz w:val="24"/>
          <w:szCs w:val="24"/>
        </w:rPr>
        <w:t>In the occasion that organization records are not kept awake with the most recent, firm could risk losing money by fail to remain mindful of late customer portions or not arrangement when organization need to pay its suppliers. Using a fair record staying with structure will help with following costs, commitments and banks, apply for extra financing and save time and accounting costs - see money related and the heads accounts.</w:t>
      </w:r>
    </w:p>
    <w:p w:rsidR="0000706D" w:rsidRPr="0000706D" w:rsidRDefault="002C57E2" w:rsidP="002C57E2">
      <w:pPr>
        <w:spacing w:line="360" w:lineRule="auto"/>
        <w:rPr>
          <w:rFonts w:cstheme="minorHAnsi"/>
          <w:sz w:val="24"/>
          <w:szCs w:val="24"/>
        </w:rPr>
      </w:pPr>
      <w:r w:rsidRPr="002C57E2">
        <w:rPr>
          <w:rFonts w:cstheme="minorHAnsi"/>
          <w:b/>
          <w:sz w:val="24"/>
          <w:szCs w:val="24"/>
        </w:rPr>
        <w:t xml:space="preserve">6. </w:t>
      </w:r>
      <w:r>
        <w:rPr>
          <w:rFonts w:cstheme="minorHAnsi"/>
          <w:b/>
          <w:sz w:val="24"/>
          <w:szCs w:val="24"/>
        </w:rPr>
        <w:t xml:space="preserve">Fulfill charge time constraints: </w:t>
      </w:r>
      <w:r w:rsidR="00FB51A0" w:rsidRPr="00FB51A0">
        <w:rPr>
          <w:rFonts w:cstheme="minorHAnsi"/>
          <w:sz w:val="24"/>
          <w:szCs w:val="24"/>
        </w:rPr>
        <w:t>Inability to meet time measures for the documentation of cost structures and segments will trigger fines and interest. These are unnecessary uses that with any forward-arranging can be avoided. Remaining with precise records takes the organization time and assets aside and it might just be guaranteed that the substance is basically paying the evaluation it owes. It is accordingly essential for the associa</w:t>
      </w:r>
      <w:r w:rsidR="00FB51A0">
        <w:rPr>
          <w:rFonts w:cstheme="minorHAnsi"/>
          <w:sz w:val="24"/>
          <w:szCs w:val="24"/>
        </w:rPr>
        <w:t>tion to satisfy its obligations</w:t>
      </w:r>
      <w:r w:rsidR="0000706D" w:rsidRPr="0000706D">
        <w:rPr>
          <w:rFonts w:cstheme="minorHAnsi"/>
          <w:sz w:val="24"/>
          <w:szCs w:val="24"/>
        </w:rPr>
        <w:t xml:space="preserve"> - see set up a fundamental record-keeping structure.</w:t>
      </w:r>
    </w:p>
    <w:p w:rsidR="0000706D" w:rsidRPr="0000706D" w:rsidRDefault="002C57E2" w:rsidP="002C57E2">
      <w:pPr>
        <w:spacing w:line="360" w:lineRule="auto"/>
        <w:rPr>
          <w:rFonts w:cstheme="minorHAnsi"/>
          <w:b/>
          <w:sz w:val="24"/>
          <w:szCs w:val="24"/>
        </w:rPr>
      </w:pPr>
      <w:r w:rsidRPr="002C57E2">
        <w:rPr>
          <w:rFonts w:cstheme="minorHAnsi"/>
          <w:b/>
          <w:sz w:val="24"/>
          <w:szCs w:val="24"/>
        </w:rPr>
        <w:t>7. Become more proficient and control overheads</w:t>
      </w:r>
      <w:r>
        <w:rPr>
          <w:rFonts w:cstheme="minorHAnsi"/>
          <w:b/>
          <w:sz w:val="24"/>
          <w:szCs w:val="24"/>
        </w:rPr>
        <w:t xml:space="preserve">: </w:t>
      </w:r>
      <w:r w:rsidR="0000706D" w:rsidRPr="0000706D">
        <w:rPr>
          <w:rFonts w:cstheme="minorHAnsi"/>
          <w:sz w:val="24"/>
          <w:szCs w:val="24"/>
        </w:rPr>
        <w:t>Is copmany business working at its by and large beneficial? Putting aside energy and thusly money can happen by completing changes in lead and using existing equipment even more viably. It's presumably the most un-requesting ways to deal with lessen costs. Districts to look at in an ordinary office consolidate warming, lighting, office stuff and cooling - see put aside money by using energy even more viably.</w:t>
      </w:r>
    </w:p>
    <w:p w:rsidR="00FB51A0" w:rsidRDefault="002C57E2" w:rsidP="002C57E2">
      <w:pPr>
        <w:spacing w:line="360" w:lineRule="auto"/>
        <w:rPr>
          <w:rFonts w:cstheme="minorHAnsi"/>
          <w:sz w:val="24"/>
          <w:szCs w:val="24"/>
        </w:rPr>
      </w:pPr>
      <w:r>
        <w:rPr>
          <w:rFonts w:cstheme="minorHAnsi"/>
          <w:b/>
          <w:sz w:val="24"/>
          <w:szCs w:val="24"/>
        </w:rPr>
        <w:t xml:space="preserve">8. Control stock: </w:t>
      </w:r>
      <w:r w:rsidR="00FB51A0" w:rsidRPr="00FB51A0">
        <w:rPr>
          <w:rFonts w:cstheme="minorHAnsi"/>
          <w:sz w:val="24"/>
          <w:szCs w:val="24"/>
        </w:rPr>
        <w:t>Incredible stock administration guarantees that the organization has the ideal portion of stock open at the ideal time so its cash isn't senselessly tied up. Organization should set up frameworks to follow stock levels - tolerating obligation regarding this will assist organizations with permitting free money while as yet keeping the ideal portion of stock accessible - see basic organization screws up: weak stock administration.</w:t>
      </w:r>
    </w:p>
    <w:p w:rsidR="009F53F0" w:rsidRPr="009F53F0" w:rsidRDefault="002C57E2" w:rsidP="002C57E2">
      <w:pPr>
        <w:spacing w:line="360" w:lineRule="auto"/>
        <w:rPr>
          <w:rFonts w:cstheme="minorHAnsi"/>
          <w:sz w:val="24"/>
          <w:szCs w:val="24"/>
        </w:rPr>
      </w:pPr>
      <w:r w:rsidRPr="002C57E2">
        <w:rPr>
          <w:rFonts w:cstheme="minorHAnsi"/>
          <w:b/>
          <w:sz w:val="24"/>
          <w:szCs w:val="24"/>
        </w:rPr>
        <w:t>9. Get the correct subsidizing</w:t>
      </w:r>
      <w:r>
        <w:rPr>
          <w:rFonts w:cstheme="minorHAnsi"/>
          <w:b/>
          <w:sz w:val="24"/>
          <w:szCs w:val="24"/>
        </w:rPr>
        <w:t xml:space="preserve">: </w:t>
      </w:r>
      <w:r w:rsidR="009F53F0" w:rsidRPr="009F53F0">
        <w:rPr>
          <w:rFonts w:cstheme="minorHAnsi"/>
          <w:sz w:val="24"/>
          <w:szCs w:val="24"/>
        </w:rPr>
        <w:t>It is central that organization picks the right kind of cash for its business - every sort of record is planned to address different issues. More unobtrusive associations by and large rely more upon business overdrafts and individual sponsoring yet this presumably won't be the best kind of financing for association - read business financing decisions - a survey.</w:t>
      </w:r>
    </w:p>
    <w:p w:rsidR="00DF0B62" w:rsidRDefault="002C57E2" w:rsidP="00DF0B62">
      <w:pPr>
        <w:spacing w:line="360" w:lineRule="auto"/>
        <w:rPr>
          <w:rFonts w:cstheme="minorHAnsi"/>
          <w:sz w:val="24"/>
          <w:szCs w:val="24"/>
        </w:rPr>
      </w:pPr>
      <w:r w:rsidRPr="002C57E2">
        <w:rPr>
          <w:rFonts w:cstheme="minorHAnsi"/>
          <w:b/>
          <w:sz w:val="24"/>
          <w:szCs w:val="24"/>
        </w:rPr>
        <w:lastRenderedPageBreak/>
        <w:t>10. Tackle issues when they emerge</w:t>
      </w:r>
      <w:r>
        <w:rPr>
          <w:rFonts w:cstheme="minorHAnsi"/>
          <w:b/>
          <w:sz w:val="24"/>
          <w:szCs w:val="24"/>
        </w:rPr>
        <w:t xml:space="preserve">: </w:t>
      </w:r>
      <w:r w:rsidR="00DF0B62" w:rsidRPr="00DF0B62">
        <w:rPr>
          <w:rFonts w:cstheme="minorHAnsi"/>
          <w:sz w:val="24"/>
          <w:szCs w:val="24"/>
        </w:rPr>
        <w:t>It is disturbing to go facing cash related issues as an organization for every circumstance, at any rate there is help and allure open to assist associations with overseeing them before it gets an inordinate amount to oversee so that at the most timely open door they can look for skilled understanding. What's more, there are some essential advances that associations can deliver to restrict the outcomes.</w:t>
      </w:r>
    </w:p>
    <w:p w:rsidR="009F53F0" w:rsidRPr="009F53F0" w:rsidRDefault="009F53F0" w:rsidP="00DF0B62">
      <w:pPr>
        <w:spacing w:line="360" w:lineRule="auto"/>
        <w:rPr>
          <w:rFonts w:cstheme="minorHAnsi"/>
          <w:sz w:val="24"/>
          <w:szCs w:val="24"/>
        </w:rPr>
      </w:pPr>
      <w:r w:rsidRPr="009F53F0">
        <w:rPr>
          <w:rFonts w:cstheme="minorHAnsi"/>
          <w:b/>
          <w:sz w:val="24"/>
          <w:szCs w:val="24"/>
        </w:rPr>
        <w:t>Restitution period:</w:t>
      </w:r>
      <w:r w:rsidR="00DF0B62">
        <w:rPr>
          <w:rFonts w:cstheme="minorHAnsi"/>
          <w:sz w:val="24"/>
          <w:szCs w:val="24"/>
        </w:rPr>
        <w:t xml:space="preserve"> </w:t>
      </w:r>
      <w:r w:rsidR="00DF0B62" w:rsidRPr="00DF0B62">
        <w:rPr>
          <w:rFonts w:cstheme="minorHAnsi"/>
          <w:sz w:val="24"/>
          <w:szCs w:val="24"/>
        </w:rPr>
        <w:t>Reward procedure assists with uncovering an undertaking's remuneration season. The prize period (PBP) is the time (number of years) it takes to cover the fundamental hypothesis for the income of wages from a particular task. He will lean towards the assignment with the most restricted prize period of time, absolutely when a CFO faces a decision.</w:t>
      </w:r>
    </w:p>
    <w:p w:rsidR="009F53F0" w:rsidRPr="009F53F0" w:rsidRDefault="009F53F0" w:rsidP="009F53F0">
      <w:pPr>
        <w:rPr>
          <w:rFonts w:cstheme="minorHAnsi"/>
          <w:b/>
          <w:sz w:val="24"/>
          <w:szCs w:val="24"/>
        </w:rPr>
      </w:pPr>
      <w:r w:rsidRPr="009F53F0">
        <w:rPr>
          <w:rFonts w:cstheme="minorHAnsi"/>
          <w:b/>
          <w:sz w:val="24"/>
          <w:szCs w:val="24"/>
        </w:rPr>
        <w:t xml:space="preserve">Significance </w:t>
      </w:r>
    </w:p>
    <w:p w:rsidR="00DF0B62" w:rsidRDefault="00DF0B62" w:rsidP="009F53F0">
      <w:pPr>
        <w:rPr>
          <w:rFonts w:cstheme="minorHAnsi"/>
          <w:sz w:val="24"/>
          <w:szCs w:val="24"/>
        </w:rPr>
      </w:pPr>
      <w:r>
        <w:rPr>
          <w:rFonts w:cstheme="minorHAnsi"/>
          <w:b/>
          <w:sz w:val="24"/>
          <w:szCs w:val="24"/>
        </w:rPr>
        <w:t>Easy to Utilize</w:t>
      </w:r>
      <w:r w:rsidR="009F53F0" w:rsidRPr="009F53F0">
        <w:rPr>
          <w:rFonts w:cstheme="minorHAnsi"/>
          <w:b/>
          <w:sz w:val="24"/>
          <w:szCs w:val="24"/>
        </w:rPr>
        <w:t>:</w:t>
      </w:r>
      <w:r w:rsidR="009F53F0" w:rsidRPr="009F53F0">
        <w:rPr>
          <w:rFonts w:cstheme="minorHAnsi"/>
          <w:sz w:val="24"/>
          <w:szCs w:val="24"/>
        </w:rPr>
        <w:t xml:space="preserve"> </w:t>
      </w:r>
      <w:r w:rsidRPr="00DF0B62">
        <w:rPr>
          <w:rFonts w:cstheme="minorHAnsi"/>
          <w:sz w:val="24"/>
          <w:szCs w:val="24"/>
        </w:rPr>
        <w:t>This is among the compensation time frame's positive conditions. The system needs barely any information wellsprings and is simpler to find overall than different techniques for organizing capital. All you require to handle the prize time interval is the essential expenses and yearly occupations of the task. In spite of the way in which various methodology additionally utilize tantamount information sources, they likewise need more suppositions. For example, the expense of capital, which different frameworks use, envisions that bosses should make two or three questions.</w:t>
      </w:r>
    </w:p>
    <w:p w:rsidR="00DF0B62" w:rsidRDefault="00DF0B62" w:rsidP="009F53F0">
      <w:pPr>
        <w:rPr>
          <w:rFonts w:cstheme="minorHAnsi"/>
          <w:sz w:val="24"/>
          <w:szCs w:val="24"/>
        </w:rPr>
      </w:pPr>
      <w:r>
        <w:rPr>
          <w:rFonts w:cstheme="minorHAnsi"/>
          <w:b/>
          <w:sz w:val="24"/>
          <w:szCs w:val="24"/>
        </w:rPr>
        <w:t>Fast</w:t>
      </w:r>
      <w:r w:rsidR="009F53F0" w:rsidRPr="009F53F0">
        <w:rPr>
          <w:rFonts w:cstheme="minorHAnsi"/>
          <w:b/>
          <w:sz w:val="24"/>
          <w:szCs w:val="24"/>
        </w:rPr>
        <w:t xml:space="preserve"> Solution:</w:t>
      </w:r>
      <w:r w:rsidR="009F53F0" w:rsidRPr="009F53F0">
        <w:rPr>
          <w:rFonts w:cstheme="minorHAnsi"/>
          <w:sz w:val="24"/>
          <w:szCs w:val="24"/>
        </w:rPr>
        <w:t xml:space="preserve"> </w:t>
      </w:r>
      <w:r w:rsidRPr="00DF0B62">
        <w:rPr>
          <w:rFonts w:cstheme="minorHAnsi"/>
          <w:sz w:val="24"/>
          <w:szCs w:val="24"/>
        </w:rPr>
        <w:t>Since the compensation time frame is unquestionably not hard to find and requires less information wellsprings, administrators are immediately set up to enlist the organizations' prize season. This urges the heads to settle on brisk choices, which for relationship with restricted assets is gigantic.</w:t>
      </w:r>
    </w:p>
    <w:p w:rsidR="00484D97" w:rsidRDefault="009F53F0" w:rsidP="009F53F0">
      <w:pPr>
        <w:rPr>
          <w:rFonts w:cstheme="minorHAnsi"/>
          <w:sz w:val="24"/>
          <w:szCs w:val="24"/>
        </w:rPr>
      </w:pPr>
      <w:r w:rsidRPr="009F53F0">
        <w:rPr>
          <w:rFonts w:cstheme="minorHAnsi"/>
          <w:b/>
          <w:sz w:val="24"/>
          <w:szCs w:val="24"/>
        </w:rPr>
        <w:t>Tendency for Liquidity:</w:t>
      </w:r>
      <w:r w:rsidRPr="009F53F0">
        <w:rPr>
          <w:rFonts w:cstheme="minorHAnsi"/>
          <w:sz w:val="24"/>
          <w:szCs w:val="24"/>
        </w:rPr>
        <w:t xml:space="preserve"> </w:t>
      </w:r>
      <w:r w:rsidR="00484D97" w:rsidRPr="00484D97">
        <w:rPr>
          <w:rFonts w:cstheme="minorHAnsi"/>
          <w:sz w:val="24"/>
          <w:szCs w:val="24"/>
        </w:rPr>
        <w:t>The pay period is colossal information that no other strategy for masterminding capital uncovers. As a rule, an exertion with a more restricted pay period likewise has a lower hazard. For exclusive organizations with restricted assets, such data is urgent. To reinvest it in numerous chances, private endeavors need to rapidly recuperate their expense.</w:t>
      </w:r>
    </w:p>
    <w:p w:rsidR="009F53F0" w:rsidRPr="009F53F0" w:rsidRDefault="009F53F0" w:rsidP="009F53F0">
      <w:pPr>
        <w:rPr>
          <w:rFonts w:cstheme="minorHAnsi"/>
          <w:sz w:val="24"/>
          <w:szCs w:val="24"/>
        </w:rPr>
      </w:pPr>
      <w:r w:rsidRPr="009F53F0">
        <w:rPr>
          <w:rFonts w:cstheme="minorHAnsi"/>
          <w:b/>
          <w:sz w:val="24"/>
          <w:szCs w:val="24"/>
        </w:rPr>
        <w:t>Significant in Case of Uncertainty:</w:t>
      </w:r>
      <w:r w:rsidRPr="009F53F0">
        <w:rPr>
          <w:rFonts w:cstheme="minorHAnsi"/>
          <w:sz w:val="24"/>
          <w:szCs w:val="24"/>
        </w:rPr>
        <w:t xml:space="preserve"> </w:t>
      </w:r>
      <w:r w:rsidR="00514424" w:rsidRPr="00514424">
        <w:rPr>
          <w:rFonts w:cstheme="minorHAnsi"/>
          <w:sz w:val="24"/>
          <w:szCs w:val="24"/>
        </w:rPr>
        <w:t>In endeavors that are unsure or witness lively mechanical changes, the remuneration method is inconceivably valuable. Such shortcoming makes the projection of future yearly money inflows troublesome. Subsequently, it assists with decreasing the odds of a misfortune through oldness by utilizing and undertaking projects with short PBP.</w:t>
      </w:r>
    </w:p>
    <w:p w:rsidR="009F53F0" w:rsidRPr="009F53F0" w:rsidRDefault="009F53F0" w:rsidP="009F53F0">
      <w:pPr>
        <w:rPr>
          <w:rFonts w:cstheme="minorHAnsi"/>
          <w:b/>
          <w:sz w:val="24"/>
          <w:szCs w:val="24"/>
        </w:rPr>
      </w:pPr>
      <w:r w:rsidRPr="009F53F0">
        <w:rPr>
          <w:rFonts w:cstheme="minorHAnsi"/>
          <w:b/>
          <w:sz w:val="24"/>
          <w:szCs w:val="24"/>
        </w:rPr>
        <w:t xml:space="preserve">Restrictions </w:t>
      </w:r>
    </w:p>
    <w:p w:rsidR="00514424" w:rsidRDefault="009F53F0" w:rsidP="00514424">
      <w:pPr>
        <w:rPr>
          <w:rFonts w:cstheme="minorHAnsi"/>
          <w:sz w:val="24"/>
          <w:szCs w:val="24"/>
        </w:rPr>
      </w:pPr>
      <w:r w:rsidRPr="009F53F0">
        <w:rPr>
          <w:rFonts w:cstheme="minorHAnsi"/>
          <w:b/>
          <w:sz w:val="24"/>
          <w:szCs w:val="24"/>
        </w:rPr>
        <w:lastRenderedPageBreak/>
        <w:t>Disregards Time Value of Money:</w:t>
      </w:r>
      <w:r w:rsidRPr="009F53F0">
        <w:rPr>
          <w:rFonts w:cstheme="minorHAnsi"/>
          <w:sz w:val="24"/>
          <w:szCs w:val="24"/>
        </w:rPr>
        <w:t xml:space="preserve"> </w:t>
      </w:r>
      <w:r w:rsidR="00514424" w:rsidRPr="00514424">
        <w:rPr>
          <w:rFonts w:cstheme="minorHAnsi"/>
          <w:sz w:val="24"/>
          <w:szCs w:val="24"/>
        </w:rPr>
        <w:t>This is one of the huge weaknesses of the prize period of time that disregards the cash time evaluation that is a basic business thought. According to the chance of the time evaluation of cash, in view of its capacity to acquire an additional benefit for its slim chance being reinvested, the cash got sooner is worth more than the one coming later. Something like this isn't considered by the PBP technique, consequently wrapping up the genuine appraisal of vocations. Here, a workaround exists. The Discounted Payback Period that can discard this shortcoming might be utilized.</w:t>
      </w:r>
    </w:p>
    <w:p w:rsidR="00514424" w:rsidRPr="000508F7" w:rsidRDefault="00514424" w:rsidP="009F53F0">
      <w:pPr>
        <w:rPr>
          <w:rFonts w:cstheme="minorHAnsi"/>
          <w:sz w:val="24"/>
          <w:szCs w:val="24"/>
        </w:rPr>
      </w:pPr>
      <w:r>
        <w:rPr>
          <w:rFonts w:cstheme="minorHAnsi"/>
          <w:b/>
          <w:sz w:val="24"/>
          <w:szCs w:val="24"/>
        </w:rPr>
        <w:t>Not cover all incomes</w:t>
      </w:r>
      <w:r w:rsidRPr="00514424">
        <w:rPr>
          <w:rFonts w:cstheme="minorHAnsi"/>
          <w:b/>
          <w:sz w:val="24"/>
          <w:szCs w:val="24"/>
        </w:rPr>
        <w:t xml:space="preserve">: </w:t>
      </w:r>
      <w:r w:rsidRPr="000508F7">
        <w:rPr>
          <w:rFonts w:cstheme="minorHAnsi"/>
          <w:sz w:val="24"/>
          <w:szCs w:val="24"/>
        </w:rPr>
        <w:t>The repayment strategy unmistakably considers the occupations before the fundamental hypothesis is reestablished. It neglects to perceive the wages that will come in years to come. An especially tight perspective on wages can lead you to disregard an activity that in later years could construct helpful vocations.</w:t>
      </w:r>
    </w:p>
    <w:p w:rsidR="000508F7" w:rsidRPr="000508F7" w:rsidRDefault="000508F7" w:rsidP="009F53F0">
      <w:pPr>
        <w:rPr>
          <w:rFonts w:cstheme="minorHAnsi"/>
          <w:sz w:val="24"/>
          <w:szCs w:val="24"/>
        </w:rPr>
      </w:pPr>
      <w:r>
        <w:rPr>
          <w:rFonts w:cstheme="minorHAnsi"/>
          <w:b/>
          <w:sz w:val="24"/>
          <w:szCs w:val="24"/>
        </w:rPr>
        <w:t>Unr</w:t>
      </w:r>
      <w:r w:rsidRPr="000508F7">
        <w:rPr>
          <w:rFonts w:cstheme="minorHAnsi"/>
          <w:b/>
          <w:sz w:val="24"/>
          <w:szCs w:val="24"/>
        </w:rPr>
        <w:t xml:space="preserve">ealistic: </w:t>
      </w:r>
      <w:r w:rsidRPr="000508F7">
        <w:rPr>
          <w:rFonts w:cstheme="minorHAnsi"/>
          <w:sz w:val="24"/>
          <w:szCs w:val="24"/>
        </w:rPr>
        <w:t>The impetus procedure is hard to such an extent that it doesn't consider typical business conditions. Capital speculations are generally not only one-time undertakings. Or, then again, soon, perhaps such activities will require extra interests. Ventures regularly oftentimes have surprising money inflows.</w:t>
      </w:r>
    </w:p>
    <w:p w:rsidR="000A00A1" w:rsidRPr="009F53F0" w:rsidRDefault="009F53F0" w:rsidP="009F53F0">
      <w:pPr>
        <w:rPr>
          <w:rFonts w:cstheme="minorHAnsi"/>
          <w:sz w:val="24"/>
          <w:szCs w:val="24"/>
        </w:rPr>
      </w:pPr>
      <w:r w:rsidRPr="009F53F0">
        <w:rPr>
          <w:rFonts w:cstheme="minorHAnsi"/>
          <w:b/>
          <w:sz w:val="24"/>
          <w:szCs w:val="24"/>
        </w:rPr>
        <w:t>Neglects Profitability:</w:t>
      </w:r>
      <w:r w:rsidRPr="009F53F0">
        <w:rPr>
          <w:rFonts w:cstheme="minorHAnsi"/>
          <w:sz w:val="24"/>
          <w:szCs w:val="24"/>
        </w:rPr>
        <w:t xml:space="preserve"> </w:t>
      </w:r>
      <w:r w:rsidR="000508F7" w:rsidRPr="000508F7">
        <w:rPr>
          <w:rFonts w:cstheme="minorHAnsi"/>
          <w:sz w:val="24"/>
          <w:szCs w:val="24"/>
        </w:rPr>
        <w:t>No claim that it would be valuable is an assignment with a more minimal remuneration period. Imagine a scenario in which the salaries from the endeavor stop at the pay period or decline after the period of compensation. In both examples, once the payout time span expires, the errand will be inviable.</w:t>
      </w:r>
      <w:r w:rsidR="000508F7">
        <w:rPr>
          <w:rFonts w:cstheme="minorHAnsi"/>
          <w:sz w:val="24"/>
          <w:szCs w:val="24"/>
        </w:rPr>
        <w:t xml:space="preserve"> </w:t>
      </w:r>
      <w:r w:rsidRPr="009F53F0">
        <w:rPr>
          <w:rFonts w:cstheme="minorHAnsi"/>
          <w:sz w:val="24"/>
          <w:szCs w:val="24"/>
        </w:rPr>
        <w:t>Excuses adventure's quantifiable benefit – a couple of associations require their capital hypotheses to gain them a return that is well over a particular speed of return. If not, the endeavor is dismissed. Nevertheless, the compensation method dismisses the endeavor's speed of return.</w:t>
      </w:r>
    </w:p>
    <w:p w:rsidR="000A00A1" w:rsidRDefault="009804BD" w:rsidP="009804BD">
      <w:pPr>
        <w:rPr>
          <w:rFonts w:cstheme="minorHAnsi"/>
          <w:b/>
          <w:sz w:val="24"/>
          <w:szCs w:val="24"/>
        </w:rPr>
      </w:pPr>
      <w:r>
        <w:rPr>
          <w:rFonts w:cstheme="minorHAnsi"/>
          <w:b/>
          <w:sz w:val="24"/>
          <w:szCs w:val="24"/>
        </w:rPr>
        <w:t>Accounting rate of return</w:t>
      </w:r>
    </w:p>
    <w:p w:rsidR="000A00A1" w:rsidRDefault="000A00A1" w:rsidP="000A00A1">
      <w:pPr>
        <w:rPr>
          <w:rFonts w:cstheme="minorHAnsi"/>
          <w:b/>
          <w:sz w:val="24"/>
          <w:szCs w:val="24"/>
        </w:rPr>
      </w:pPr>
      <w:r>
        <w:rPr>
          <w:rFonts w:cstheme="minorHAnsi"/>
          <w:b/>
          <w:sz w:val="24"/>
          <w:szCs w:val="24"/>
        </w:rPr>
        <w:t>Focal points of bookkeeping rate of return</w:t>
      </w:r>
    </w:p>
    <w:p w:rsidR="000A00A1" w:rsidRPr="000A00A1" w:rsidRDefault="000A00A1" w:rsidP="000A00A1">
      <w:pPr>
        <w:rPr>
          <w:rFonts w:cstheme="minorHAnsi"/>
          <w:b/>
          <w:sz w:val="24"/>
          <w:szCs w:val="24"/>
        </w:rPr>
      </w:pPr>
      <w:r w:rsidRPr="000A00A1">
        <w:rPr>
          <w:rFonts w:cstheme="minorHAnsi"/>
          <w:sz w:val="24"/>
          <w:szCs w:val="24"/>
        </w:rPr>
        <w:t xml:space="preserve">1. It is exceptionally simple to ascertain and easy to comprehend like compensation back period. It thinks about the absolute benefits or investment funds over the whole time of monetary existence of the undertaking. </w:t>
      </w:r>
    </w:p>
    <w:p w:rsidR="000A00A1" w:rsidRPr="000A00A1" w:rsidRDefault="000A00A1" w:rsidP="000A00A1">
      <w:pPr>
        <w:rPr>
          <w:rFonts w:cstheme="minorHAnsi"/>
          <w:sz w:val="24"/>
          <w:szCs w:val="24"/>
        </w:rPr>
      </w:pPr>
      <w:r w:rsidRPr="000A00A1">
        <w:rPr>
          <w:rFonts w:cstheme="minorHAnsi"/>
          <w:sz w:val="24"/>
          <w:szCs w:val="24"/>
        </w:rPr>
        <w:t xml:space="preserve">2. This strategy perceives the idea of net profit for example profit after duty and deterioration. This is an indispensable factor in the evaluation of a speculation proposition. </w:t>
      </w:r>
    </w:p>
    <w:p w:rsidR="000A00A1" w:rsidRPr="000A00A1" w:rsidRDefault="000A00A1" w:rsidP="000A00A1">
      <w:pPr>
        <w:rPr>
          <w:rFonts w:cstheme="minorHAnsi"/>
          <w:sz w:val="24"/>
          <w:szCs w:val="24"/>
        </w:rPr>
      </w:pPr>
      <w:r w:rsidRPr="000A00A1">
        <w:rPr>
          <w:rFonts w:cstheme="minorHAnsi"/>
          <w:sz w:val="24"/>
          <w:szCs w:val="24"/>
        </w:rPr>
        <w:t xml:space="preserve">3. This strategy encourages the correlation of new item project with that of cost diminishing undertaking or different ventures of serious nature. </w:t>
      </w:r>
    </w:p>
    <w:p w:rsidR="000A00A1" w:rsidRPr="000A00A1" w:rsidRDefault="000A00A1" w:rsidP="000A00A1">
      <w:pPr>
        <w:rPr>
          <w:rFonts w:cstheme="minorHAnsi"/>
          <w:sz w:val="24"/>
          <w:szCs w:val="24"/>
        </w:rPr>
      </w:pPr>
      <w:r w:rsidRPr="000A00A1">
        <w:rPr>
          <w:rFonts w:cstheme="minorHAnsi"/>
          <w:sz w:val="24"/>
          <w:szCs w:val="24"/>
        </w:rPr>
        <w:t xml:space="preserve">4. This technique gives an away from of the benefit of an undertaking. </w:t>
      </w:r>
    </w:p>
    <w:p w:rsidR="000A00A1" w:rsidRPr="000A00A1" w:rsidRDefault="000A00A1" w:rsidP="000A00A1">
      <w:pPr>
        <w:rPr>
          <w:rFonts w:cstheme="minorHAnsi"/>
          <w:sz w:val="24"/>
          <w:szCs w:val="24"/>
        </w:rPr>
      </w:pPr>
      <w:r w:rsidRPr="000A00A1">
        <w:rPr>
          <w:rFonts w:cstheme="minorHAnsi"/>
          <w:sz w:val="24"/>
          <w:szCs w:val="24"/>
        </w:rPr>
        <w:lastRenderedPageBreak/>
        <w:t xml:space="preserve">5. This technique alone considers the bookkeeping idea of benefit for ascertaining pace of return. Additionally, the bookkeeping benefit can be promptly determined from the bookkeeping records. </w:t>
      </w:r>
    </w:p>
    <w:p w:rsidR="000A00A1" w:rsidRPr="000A00A1" w:rsidRDefault="000A00A1" w:rsidP="000A00A1">
      <w:pPr>
        <w:rPr>
          <w:rFonts w:cstheme="minorHAnsi"/>
          <w:sz w:val="24"/>
          <w:szCs w:val="24"/>
        </w:rPr>
      </w:pPr>
      <w:r w:rsidRPr="000A00A1">
        <w:rPr>
          <w:rFonts w:cstheme="minorHAnsi"/>
          <w:sz w:val="24"/>
          <w:szCs w:val="24"/>
        </w:rPr>
        <w:t xml:space="preserve">6. This technique fulfills the premium of the proprietors since they are quite inspired by quantifiable profit. </w:t>
      </w:r>
    </w:p>
    <w:p w:rsidR="000A00A1" w:rsidRPr="000A00A1" w:rsidRDefault="000A00A1" w:rsidP="000A00A1">
      <w:pPr>
        <w:rPr>
          <w:rFonts w:cstheme="minorHAnsi"/>
          <w:sz w:val="24"/>
          <w:szCs w:val="24"/>
        </w:rPr>
      </w:pPr>
      <w:r w:rsidRPr="000A00A1">
        <w:rPr>
          <w:rFonts w:cstheme="minorHAnsi"/>
          <w:sz w:val="24"/>
          <w:szCs w:val="24"/>
        </w:rPr>
        <w:t xml:space="preserve">7. This technique is valuable to quantify current execution of the firm. </w:t>
      </w:r>
    </w:p>
    <w:p w:rsidR="000A00A1" w:rsidRPr="000A00A1" w:rsidRDefault="000A00A1" w:rsidP="000A00A1">
      <w:pPr>
        <w:rPr>
          <w:rFonts w:cstheme="minorHAnsi"/>
          <w:sz w:val="24"/>
          <w:szCs w:val="24"/>
        </w:rPr>
      </w:pPr>
    </w:p>
    <w:p w:rsidR="000A00A1" w:rsidRPr="000A00A1" w:rsidRDefault="000A00A1" w:rsidP="000A00A1">
      <w:pPr>
        <w:rPr>
          <w:rFonts w:cstheme="minorHAnsi"/>
          <w:b/>
          <w:sz w:val="24"/>
          <w:szCs w:val="24"/>
        </w:rPr>
      </w:pPr>
      <w:r w:rsidRPr="000A00A1">
        <w:rPr>
          <w:rFonts w:cstheme="minorHAnsi"/>
          <w:b/>
          <w:sz w:val="24"/>
          <w:szCs w:val="24"/>
        </w:rPr>
        <w:t xml:space="preserve">Restrictions of Accounting Rate of Return Method </w:t>
      </w:r>
    </w:p>
    <w:p w:rsidR="000A00A1" w:rsidRPr="000A00A1" w:rsidRDefault="000A00A1" w:rsidP="000A00A1">
      <w:pPr>
        <w:rPr>
          <w:rFonts w:cstheme="minorHAnsi"/>
          <w:sz w:val="24"/>
          <w:szCs w:val="24"/>
        </w:rPr>
      </w:pPr>
      <w:r w:rsidRPr="000A00A1">
        <w:rPr>
          <w:rFonts w:cstheme="minorHAnsi"/>
          <w:sz w:val="24"/>
          <w:szCs w:val="24"/>
        </w:rPr>
        <w:t xml:space="preserve">1. The outcomes are unique on the off chance that one computes ROI and others figure ARR. It makes issue in deciding. </w:t>
      </w:r>
    </w:p>
    <w:p w:rsidR="000A00A1" w:rsidRPr="000A00A1" w:rsidRDefault="000A00A1" w:rsidP="000A00A1">
      <w:pPr>
        <w:rPr>
          <w:rFonts w:cstheme="minorHAnsi"/>
          <w:sz w:val="24"/>
          <w:szCs w:val="24"/>
        </w:rPr>
      </w:pPr>
      <w:r w:rsidRPr="000A00A1">
        <w:rPr>
          <w:rFonts w:cstheme="minorHAnsi"/>
          <w:sz w:val="24"/>
          <w:szCs w:val="24"/>
        </w:rPr>
        <w:t xml:space="preserve">2. This technique overlooks time factor. The essential shortcoming of the normal return technique for choosing elective employments of assets is that the time estimation of assets is disregarded. </w:t>
      </w:r>
    </w:p>
    <w:p w:rsidR="000A00A1" w:rsidRPr="000A00A1" w:rsidRDefault="000A00A1" w:rsidP="000A00A1">
      <w:pPr>
        <w:rPr>
          <w:rFonts w:cstheme="minorHAnsi"/>
          <w:sz w:val="24"/>
          <w:szCs w:val="24"/>
        </w:rPr>
      </w:pPr>
      <w:r w:rsidRPr="000A00A1">
        <w:rPr>
          <w:rFonts w:cstheme="minorHAnsi"/>
          <w:sz w:val="24"/>
          <w:szCs w:val="24"/>
        </w:rPr>
        <w:t xml:space="preserve">3. </w:t>
      </w:r>
      <w:r w:rsidR="00D2315D">
        <w:rPr>
          <w:rFonts w:cstheme="minorHAnsi"/>
          <w:sz w:val="24"/>
          <w:szCs w:val="24"/>
        </w:rPr>
        <w:t>A reasonable pace of return can</w:t>
      </w:r>
      <w:r w:rsidRPr="000A00A1">
        <w:rPr>
          <w:rFonts w:cstheme="minorHAnsi"/>
          <w:sz w:val="24"/>
          <w:szCs w:val="24"/>
        </w:rPr>
        <w:t xml:space="preserve">not be resolved based on ARR. It is the attentiveness of the administration. </w:t>
      </w:r>
    </w:p>
    <w:p w:rsidR="000A00A1" w:rsidRPr="000A00A1" w:rsidRDefault="000A00A1" w:rsidP="000A00A1">
      <w:pPr>
        <w:rPr>
          <w:rFonts w:cstheme="minorHAnsi"/>
          <w:sz w:val="24"/>
          <w:szCs w:val="24"/>
        </w:rPr>
      </w:pPr>
      <w:r w:rsidRPr="000A00A1">
        <w:rPr>
          <w:rFonts w:cstheme="minorHAnsi"/>
          <w:sz w:val="24"/>
          <w:szCs w:val="24"/>
        </w:rPr>
        <w:t xml:space="preserve">4. This strategy doesn't consider the outside components which are likewise influencing the benefit of the venture. </w:t>
      </w:r>
    </w:p>
    <w:p w:rsidR="000A00A1" w:rsidRDefault="000A00A1" w:rsidP="000A00A1">
      <w:pPr>
        <w:rPr>
          <w:rFonts w:cstheme="minorHAnsi"/>
          <w:sz w:val="24"/>
          <w:szCs w:val="24"/>
        </w:rPr>
      </w:pPr>
      <w:r w:rsidRPr="000A00A1">
        <w:rPr>
          <w:rFonts w:cstheme="minorHAnsi"/>
          <w:sz w:val="24"/>
          <w:szCs w:val="24"/>
        </w:rPr>
        <w:t xml:space="preserve">5. It doesn't taken into the thought of money inflows which are a higher priority than the bookkeeping benefits. </w:t>
      </w:r>
    </w:p>
    <w:p w:rsidR="007935FC" w:rsidRPr="007935FC" w:rsidRDefault="007935FC" w:rsidP="007935FC">
      <w:pPr>
        <w:rPr>
          <w:rFonts w:cstheme="minorHAnsi"/>
          <w:sz w:val="24"/>
          <w:szCs w:val="24"/>
        </w:rPr>
      </w:pPr>
      <w:r w:rsidRPr="007935FC">
        <w:rPr>
          <w:rFonts w:cstheme="minorHAnsi"/>
          <w:sz w:val="24"/>
          <w:szCs w:val="24"/>
        </w:rPr>
        <w:t xml:space="preserve">6. It ignores the time wherein the advantages are gotten as a return pace of 20% in 10 years can be viewed as in a manner that for a long time is better than 18 percent bring speed back. This isn't genuine considering the way that the more extended the expression of the endeavor is drawn out, the more undeniable the peril to which it alludes. </w:t>
      </w:r>
    </w:p>
    <w:p w:rsidR="007935FC" w:rsidRPr="007935FC" w:rsidRDefault="007935FC" w:rsidP="007935FC">
      <w:pPr>
        <w:rPr>
          <w:rFonts w:cstheme="minorHAnsi"/>
          <w:sz w:val="24"/>
          <w:szCs w:val="24"/>
        </w:rPr>
      </w:pPr>
      <w:r w:rsidRPr="007935FC">
        <w:rPr>
          <w:rFonts w:cstheme="minorHAnsi"/>
          <w:sz w:val="24"/>
          <w:szCs w:val="24"/>
        </w:rPr>
        <w:t xml:space="preserve">7. In a circumstance where interest in a setting out to be delivered </w:t>
      </w:r>
      <w:r>
        <w:rPr>
          <w:rFonts w:cstheme="minorHAnsi"/>
          <w:sz w:val="24"/>
          <w:szCs w:val="24"/>
        </w:rPr>
        <w:t>in pieces, this methodology can</w:t>
      </w:r>
      <w:r w:rsidRPr="007935FC">
        <w:rPr>
          <w:rFonts w:cstheme="minorHAnsi"/>
          <w:sz w:val="24"/>
          <w:szCs w:val="24"/>
        </w:rPr>
        <w:t xml:space="preserve">not be applied. </w:t>
      </w:r>
    </w:p>
    <w:p w:rsidR="009F53F0" w:rsidRPr="009F53F0" w:rsidRDefault="007935FC" w:rsidP="007935FC">
      <w:pPr>
        <w:rPr>
          <w:rFonts w:cstheme="minorHAnsi"/>
          <w:sz w:val="24"/>
          <w:szCs w:val="24"/>
        </w:rPr>
      </w:pPr>
      <w:r w:rsidRPr="007935FC">
        <w:rPr>
          <w:rFonts w:cstheme="minorHAnsi"/>
          <w:sz w:val="24"/>
          <w:szCs w:val="24"/>
        </w:rPr>
        <w:t>8. The presence length of the various undertakings isn't considered by this technique. Regardless, by ending the existence period of the speculation, conventional compensation is</w:t>
      </w:r>
      <w:r>
        <w:rPr>
          <w:rFonts w:cstheme="minorHAnsi"/>
          <w:sz w:val="24"/>
          <w:szCs w:val="24"/>
        </w:rPr>
        <w:t xml:space="preserve"> </w:t>
      </w:r>
      <w:r w:rsidRPr="007935FC">
        <w:rPr>
          <w:rFonts w:cstheme="minorHAnsi"/>
          <w:sz w:val="24"/>
          <w:szCs w:val="24"/>
        </w:rPr>
        <w:t>controlled.</w:t>
      </w:r>
      <w:r>
        <w:rPr>
          <w:rFonts w:cstheme="minorHAnsi"/>
          <w:sz w:val="24"/>
          <w:szCs w:val="24"/>
        </w:rPr>
        <w:t xml:space="preserve"> </w:t>
      </w:r>
      <w:r w:rsidR="009F53F0" w:rsidRPr="009F53F0">
        <w:rPr>
          <w:rFonts w:cstheme="minorHAnsi"/>
          <w:sz w:val="24"/>
          <w:szCs w:val="24"/>
        </w:rPr>
        <w:t xml:space="preserve">Consequently, typical theory or beginning endeavor may proceed as before whether adventure has a day by day presence season of 4 years or 6 years. </w:t>
      </w:r>
    </w:p>
    <w:p w:rsidR="009F53F0" w:rsidRPr="000A00A1" w:rsidRDefault="009F53F0" w:rsidP="009F53F0">
      <w:pPr>
        <w:rPr>
          <w:rFonts w:cstheme="minorHAnsi"/>
          <w:sz w:val="24"/>
          <w:szCs w:val="24"/>
        </w:rPr>
      </w:pPr>
      <w:r w:rsidRPr="009F53F0">
        <w:rPr>
          <w:rFonts w:cstheme="minorHAnsi"/>
          <w:sz w:val="24"/>
          <w:szCs w:val="24"/>
        </w:rPr>
        <w:lastRenderedPageBreak/>
        <w:t>9. It isn't important to survey the endeavors where theory is made in at any rate two bits at different events.</w:t>
      </w:r>
    </w:p>
    <w:p w:rsidR="00D2315D" w:rsidRDefault="00D2315D" w:rsidP="000A00A1">
      <w:pPr>
        <w:rPr>
          <w:rFonts w:cstheme="minorHAnsi"/>
          <w:b/>
          <w:sz w:val="24"/>
          <w:szCs w:val="24"/>
        </w:rPr>
      </w:pPr>
      <w:r>
        <w:rPr>
          <w:rFonts w:cstheme="minorHAnsi"/>
          <w:b/>
          <w:sz w:val="24"/>
          <w:szCs w:val="24"/>
        </w:rPr>
        <w:t>Net present value</w:t>
      </w:r>
    </w:p>
    <w:p w:rsidR="00D2315D" w:rsidRPr="00D2315D" w:rsidRDefault="00D2315D" w:rsidP="00D2315D">
      <w:pPr>
        <w:rPr>
          <w:rFonts w:cstheme="minorHAnsi"/>
          <w:b/>
          <w:sz w:val="24"/>
          <w:szCs w:val="24"/>
        </w:rPr>
      </w:pPr>
      <w:r w:rsidRPr="00D2315D">
        <w:rPr>
          <w:rFonts w:cstheme="minorHAnsi"/>
          <w:b/>
          <w:sz w:val="24"/>
          <w:szCs w:val="24"/>
        </w:rPr>
        <w:t xml:space="preserve">Benefits of Net Present Value Method </w:t>
      </w:r>
    </w:p>
    <w:p w:rsidR="007817EE" w:rsidRPr="007817EE" w:rsidRDefault="007817EE" w:rsidP="007817EE">
      <w:pPr>
        <w:rPr>
          <w:rFonts w:cstheme="minorHAnsi"/>
          <w:sz w:val="24"/>
          <w:szCs w:val="24"/>
        </w:rPr>
      </w:pPr>
      <w:r w:rsidRPr="007817EE">
        <w:rPr>
          <w:rFonts w:cstheme="minorHAnsi"/>
          <w:sz w:val="24"/>
          <w:szCs w:val="24"/>
        </w:rPr>
        <w:t xml:space="preserve">1. It relies upon the time assessment of money. </w:t>
      </w:r>
    </w:p>
    <w:p w:rsidR="007817EE" w:rsidRPr="007817EE" w:rsidRDefault="007817EE" w:rsidP="007817EE">
      <w:pPr>
        <w:rPr>
          <w:rFonts w:cstheme="minorHAnsi"/>
          <w:sz w:val="24"/>
          <w:szCs w:val="24"/>
        </w:rPr>
      </w:pPr>
      <w:r w:rsidRPr="007817EE">
        <w:rPr>
          <w:rFonts w:cstheme="minorHAnsi"/>
          <w:sz w:val="24"/>
          <w:szCs w:val="24"/>
        </w:rPr>
        <w:t xml:space="preserve">2. It ponders the pay or speculation assets over the entire presence of the errand. These benefit or save reserves are changed over into the current assessment of money. </w:t>
      </w:r>
    </w:p>
    <w:p w:rsidR="007817EE" w:rsidRPr="007817EE" w:rsidRDefault="007817EE" w:rsidP="007817EE">
      <w:pPr>
        <w:rPr>
          <w:rFonts w:cstheme="minorHAnsi"/>
          <w:sz w:val="24"/>
          <w:szCs w:val="24"/>
        </w:rPr>
      </w:pPr>
      <w:r w:rsidRPr="007817EE">
        <w:rPr>
          <w:rFonts w:cstheme="minorHAnsi"/>
          <w:sz w:val="24"/>
          <w:szCs w:val="24"/>
        </w:rPr>
        <w:t xml:space="preserve">3. It helps with making a close to examination of different endeavors. </w:t>
      </w:r>
    </w:p>
    <w:p w:rsidR="007817EE" w:rsidRPr="007817EE" w:rsidRDefault="007817EE" w:rsidP="007817EE">
      <w:pPr>
        <w:rPr>
          <w:rFonts w:cstheme="minorHAnsi"/>
          <w:sz w:val="24"/>
          <w:szCs w:val="24"/>
        </w:rPr>
      </w:pPr>
      <w:r w:rsidRPr="007817EE">
        <w:rPr>
          <w:rFonts w:cstheme="minorHAnsi"/>
          <w:sz w:val="24"/>
          <w:szCs w:val="24"/>
        </w:rPr>
        <w:t xml:space="preserve">4. Under this method, the most significant net present worth errand is proposed for use. It prompts extension of advantages to the affiliation. </w:t>
      </w:r>
    </w:p>
    <w:p w:rsidR="007817EE" w:rsidRPr="007817EE" w:rsidRDefault="007817EE" w:rsidP="007817EE">
      <w:pPr>
        <w:rPr>
          <w:rFonts w:cstheme="minorHAnsi"/>
          <w:sz w:val="24"/>
          <w:szCs w:val="24"/>
        </w:rPr>
      </w:pPr>
      <w:r w:rsidRPr="007817EE">
        <w:rPr>
          <w:rFonts w:cstheme="minorHAnsi"/>
          <w:sz w:val="24"/>
          <w:szCs w:val="24"/>
        </w:rPr>
        <w:t xml:space="preserve">5. It might be applied to even and unbalanced cash inflows plans. </w:t>
      </w:r>
    </w:p>
    <w:p w:rsidR="007817EE" w:rsidRDefault="007817EE" w:rsidP="007817EE">
      <w:pPr>
        <w:rPr>
          <w:rFonts w:cstheme="minorHAnsi"/>
          <w:sz w:val="24"/>
          <w:szCs w:val="24"/>
        </w:rPr>
      </w:pPr>
      <w:r w:rsidRPr="007817EE">
        <w:rPr>
          <w:rFonts w:cstheme="minorHAnsi"/>
          <w:sz w:val="24"/>
          <w:szCs w:val="24"/>
        </w:rPr>
        <w:t>6. The NPV procedure is all things considered supported by market examiners. Hawkins and Pearce express that this technique is speculatively unassailable. If one wishes to enlarge benefits, the usage of NPV reliably finds the correct decision.</w:t>
      </w:r>
    </w:p>
    <w:p w:rsidR="00D2315D" w:rsidRPr="00D2315D" w:rsidRDefault="00D2315D" w:rsidP="00D2315D">
      <w:pPr>
        <w:rPr>
          <w:rFonts w:cstheme="minorHAnsi"/>
          <w:b/>
          <w:sz w:val="24"/>
          <w:szCs w:val="24"/>
        </w:rPr>
      </w:pPr>
      <w:r w:rsidRPr="00D2315D">
        <w:rPr>
          <w:rFonts w:cstheme="minorHAnsi"/>
          <w:b/>
          <w:sz w:val="24"/>
          <w:szCs w:val="24"/>
        </w:rPr>
        <w:t xml:space="preserve">Negative marks of the Net Present Value Method </w:t>
      </w:r>
    </w:p>
    <w:p w:rsidR="00D2315D" w:rsidRPr="00D2315D" w:rsidRDefault="00D2315D" w:rsidP="00D2315D">
      <w:pPr>
        <w:rPr>
          <w:rFonts w:cstheme="minorHAnsi"/>
          <w:sz w:val="24"/>
          <w:szCs w:val="24"/>
        </w:rPr>
      </w:pPr>
      <w:r w:rsidRPr="00D2315D">
        <w:rPr>
          <w:rFonts w:cstheme="minorHAnsi"/>
          <w:sz w:val="24"/>
          <w:szCs w:val="24"/>
        </w:rPr>
        <w:t xml:space="preserve">1. This technique doesn't demonstrate the pace of return which is relied upon to be procured. </w:t>
      </w:r>
    </w:p>
    <w:p w:rsidR="007817EE" w:rsidRDefault="00D2315D" w:rsidP="00D2315D">
      <w:pPr>
        <w:rPr>
          <w:rFonts w:cstheme="minorHAnsi"/>
          <w:sz w:val="24"/>
          <w:szCs w:val="24"/>
        </w:rPr>
      </w:pPr>
      <w:r w:rsidRPr="00D2315D">
        <w:rPr>
          <w:rFonts w:cstheme="minorHAnsi"/>
          <w:sz w:val="24"/>
          <w:szCs w:val="24"/>
        </w:rPr>
        <w:t xml:space="preserve">2. This strategy may neglect to offer acceptable response </w:t>
      </w:r>
      <w:r w:rsidR="007817EE" w:rsidRPr="007817EE">
        <w:rPr>
          <w:rFonts w:cstheme="minorHAnsi"/>
          <w:sz w:val="24"/>
          <w:szCs w:val="24"/>
        </w:rPr>
        <w:t>at the point when the assignments are requiring different levels of proportion of adventure and with different monetary presence of the endeavors.</w:t>
      </w:r>
    </w:p>
    <w:p w:rsidR="00D2315D" w:rsidRPr="00D2315D" w:rsidRDefault="00D2315D" w:rsidP="00D2315D">
      <w:pPr>
        <w:rPr>
          <w:rFonts w:cstheme="minorHAnsi"/>
          <w:sz w:val="24"/>
          <w:szCs w:val="24"/>
        </w:rPr>
      </w:pPr>
      <w:r w:rsidRPr="00D2315D">
        <w:rPr>
          <w:rFonts w:cstheme="minorHAnsi"/>
          <w:sz w:val="24"/>
          <w:szCs w:val="24"/>
        </w:rPr>
        <w:t xml:space="preserve">3. The application or utilization of this technique requires the information on pace of cost of capital. Whenever cost of capital is obscure, this strategy can't be utilized. </w:t>
      </w:r>
    </w:p>
    <w:p w:rsidR="00D2315D" w:rsidRPr="00D2315D" w:rsidRDefault="00D2315D" w:rsidP="00D2315D">
      <w:pPr>
        <w:rPr>
          <w:rFonts w:cstheme="minorHAnsi"/>
          <w:sz w:val="24"/>
          <w:szCs w:val="24"/>
        </w:rPr>
      </w:pPr>
      <w:r w:rsidRPr="00D2315D">
        <w:rPr>
          <w:rFonts w:cstheme="minorHAnsi"/>
          <w:sz w:val="24"/>
          <w:szCs w:val="24"/>
        </w:rPr>
        <w:t>4.</w:t>
      </w:r>
      <w:r>
        <w:rPr>
          <w:rFonts w:cstheme="minorHAnsi"/>
          <w:sz w:val="24"/>
          <w:szCs w:val="24"/>
        </w:rPr>
        <w:t xml:space="preserve"> </w:t>
      </w:r>
      <w:r w:rsidRPr="00D2315D">
        <w:rPr>
          <w:rFonts w:cstheme="minorHAnsi"/>
          <w:sz w:val="24"/>
          <w:szCs w:val="24"/>
        </w:rPr>
        <w:t xml:space="preserve">The NPV technique prompts befuddling and opposing answers in positioning of muddled ventures. </w:t>
      </w:r>
    </w:p>
    <w:p w:rsidR="00D2315D" w:rsidRPr="00D2315D" w:rsidRDefault="00D2315D" w:rsidP="00D2315D">
      <w:pPr>
        <w:rPr>
          <w:rFonts w:cstheme="minorHAnsi"/>
          <w:sz w:val="24"/>
          <w:szCs w:val="24"/>
        </w:rPr>
      </w:pPr>
      <w:r w:rsidRPr="00D2315D">
        <w:rPr>
          <w:rFonts w:cstheme="minorHAnsi"/>
          <w:sz w:val="24"/>
          <w:szCs w:val="24"/>
        </w:rPr>
        <w:t>5.</w:t>
      </w:r>
      <w:r w:rsidR="00790F08">
        <w:rPr>
          <w:rFonts w:cstheme="minorHAnsi"/>
          <w:sz w:val="24"/>
          <w:szCs w:val="24"/>
        </w:rPr>
        <w:t xml:space="preserve"> </w:t>
      </w:r>
      <w:r w:rsidRPr="00D2315D">
        <w:rPr>
          <w:rFonts w:cstheme="minorHAnsi"/>
          <w:sz w:val="24"/>
          <w:szCs w:val="24"/>
        </w:rPr>
        <w:t xml:space="preserve">Determining a proper rebate rate is troublesome in this strategy. </w:t>
      </w:r>
    </w:p>
    <w:p w:rsidR="00790F08" w:rsidRDefault="00D2315D" w:rsidP="00D2315D">
      <w:pPr>
        <w:rPr>
          <w:rFonts w:cstheme="minorHAnsi"/>
          <w:sz w:val="24"/>
          <w:szCs w:val="24"/>
        </w:rPr>
      </w:pPr>
      <w:r w:rsidRPr="00D2315D">
        <w:rPr>
          <w:rFonts w:cstheme="minorHAnsi"/>
          <w:sz w:val="24"/>
          <w:szCs w:val="24"/>
        </w:rPr>
        <w:t>6. This strategy can't be utilized for finding the quantity of years needed to recover the capital consumption for example project sum.</w:t>
      </w:r>
    </w:p>
    <w:p w:rsidR="00790F08" w:rsidRDefault="00790F08" w:rsidP="00790F08">
      <w:pPr>
        <w:rPr>
          <w:rFonts w:cstheme="minorHAnsi"/>
          <w:sz w:val="24"/>
          <w:szCs w:val="24"/>
        </w:rPr>
      </w:pPr>
      <w:r>
        <w:rPr>
          <w:rFonts w:cstheme="minorHAnsi"/>
          <w:b/>
          <w:sz w:val="24"/>
          <w:szCs w:val="24"/>
        </w:rPr>
        <w:t>Conclusion:</w:t>
      </w:r>
      <w:r w:rsidR="007935FC">
        <w:rPr>
          <w:rFonts w:cstheme="minorHAnsi"/>
          <w:b/>
          <w:sz w:val="24"/>
          <w:szCs w:val="24"/>
        </w:rPr>
        <w:t xml:space="preserve"> </w:t>
      </w:r>
      <w:r w:rsidRPr="00790F08">
        <w:rPr>
          <w:rFonts w:cstheme="minorHAnsi"/>
          <w:sz w:val="24"/>
          <w:szCs w:val="24"/>
        </w:rPr>
        <w:t xml:space="preserve">Coca Cola's authority and the executives structure and the in general authoritative culture have as of late been started by recruiting the new CEO (E Neville), who presently centers around redoing the hierarchical structure and the systems. His essential targets are to </w:t>
      </w:r>
      <w:r w:rsidRPr="00790F08">
        <w:rPr>
          <w:rFonts w:cstheme="minorHAnsi"/>
          <w:sz w:val="24"/>
          <w:szCs w:val="24"/>
        </w:rPr>
        <w:lastRenderedPageBreak/>
        <w:t>advance Coca Cola's chronicled qualities, for example, advancement, inspiration, preparing and improvement, information the board and explode the administration that has for some time been existing in the organization to accomplish practical development and intensity. Coca Cola has got sound danger the board strategies that have empowered it to stay stable given the high unfamiliar money variance, financing cost chances and political unsteadiness taking into account the wide activity in more than 200 nations.</w:t>
      </w:r>
    </w:p>
    <w:p w:rsidR="00C072B5" w:rsidRPr="00C072B5" w:rsidRDefault="00C072B5" w:rsidP="00790F08">
      <w:pPr>
        <w:rPr>
          <w:rFonts w:cstheme="minorHAnsi"/>
          <w:b/>
          <w:sz w:val="32"/>
          <w:szCs w:val="32"/>
        </w:rPr>
      </w:pPr>
    </w:p>
    <w:p w:rsidR="00C072B5" w:rsidRDefault="00C072B5" w:rsidP="00790F08">
      <w:pPr>
        <w:rPr>
          <w:rFonts w:cstheme="minorHAnsi"/>
          <w:b/>
          <w:sz w:val="32"/>
          <w:szCs w:val="32"/>
        </w:rPr>
      </w:pPr>
      <w:r w:rsidRPr="00C072B5">
        <w:rPr>
          <w:rFonts w:cstheme="minorHAnsi"/>
          <w:b/>
          <w:sz w:val="32"/>
          <w:szCs w:val="32"/>
        </w:rPr>
        <w:t>Reference</w:t>
      </w:r>
    </w:p>
    <w:p w:rsidR="00C072B5" w:rsidRPr="0037305E" w:rsidRDefault="00C072B5" w:rsidP="00C072B5">
      <w:pPr>
        <w:numPr>
          <w:ilvl w:val="0"/>
          <w:numId w:val="1"/>
        </w:numPr>
        <w:shd w:val="clear" w:color="auto" w:fill="FFFFFF"/>
        <w:spacing w:after="0" w:line="240" w:lineRule="auto"/>
        <w:ind w:left="0"/>
        <w:textAlignment w:val="baseline"/>
        <w:rPr>
          <w:rFonts w:ascii="inherit" w:hAnsi="inherit" w:cs="Segoe UI"/>
          <w:color w:val="202122"/>
          <w:sz w:val="24"/>
          <w:szCs w:val="24"/>
        </w:rPr>
      </w:pPr>
      <w:r>
        <w:rPr>
          <w:rFonts w:ascii="inherit" w:hAnsi="inherit" w:cs="Segoe UI"/>
          <w:color w:val="202122"/>
        </w:rPr>
        <w:t> </w:t>
      </w:r>
      <w:hyperlink r:id="rId20" w:history="1">
        <w:r w:rsidRPr="0037305E">
          <w:rPr>
            <w:rStyle w:val="Hyperlink"/>
            <w:rFonts w:ascii="inherit" w:hAnsi="inherit" w:cs="Segoe UI"/>
            <w:i/>
            <w:iCs/>
            <w:color w:val="6B4BA1"/>
            <w:sz w:val="24"/>
            <w:szCs w:val="24"/>
            <w:bdr w:val="none" w:sz="0" w:space="0" w:color="auto" w:frame="1"/>
          </w:rPr>
          <w:t>"The Story of Coca-Cola: A Successful Franchising Strategy"</w:t>
        </w:r>
      </w:hyperlink>
      <w:r w:rsidRPr="0037305E">
        <w:rPr>
          <w:rStyle w:val="HTMLCite"/>
          <w:rFonts w:ascii="inherit" w:hAnsi="inherit" w:cs="Segoe UI"/>
          <w:color w:val="202122"/>
          <w:sz w:val="24"/>
          <w:szCs w:val="24"/>
          <w:bdr w:val="none" w:sz="0" w:space="0" w:color="auto" w:frame="1"/>
        </w:rPr>
        <w:t>. Prestige Franchising Limited. April 27, 2017</w:t>
      </w:r>
      <w:r w:rsidRPr="0037305E">
        <w:rPr>
          <w:rStyle w:val="reference-accessdate"/>
          <w:rFonts w:ascii="inherit" w:hAnsi="inherit" w:cs="Segoe UI"/>
          <w:i/>
          <w:iCs/>
          <w:color w:val="202122"/>
          <w:sz w:val="24"/>
          <w:szCs w:val="24"/>
          <w:bdr w:val="none" w:sz="0" w:space="0" w:color="auto" w:frame="1"/>
        </w:rPr>
        <w:t>. Retrieved </w:t>
      </w:r>
      <w:r w:rsidRPr="0037305E">
        <w:rPr>
          <w:rStyle w:val="nowrap"/>
          <w:rFonts w:ascii="inherit" w:hAnsi="inherit" w:cs="Segoe UI"/>
          <w:i/>
          <w:iCs/>
          <w:color w:val="202122"/>
          <w:sz w:val="24"/>
          <w:szCs w:val="24"/>
          <w:bdr w:val="none" w:sz="0" w:space="0" w:color="auto" w:frame="1"/>
        </w:rPr>
        <w:t>November 30,</w:t>
      </w:r>
      <w:r w:rsidRPr="0037305E">
        <w:rPr>
          <w:rStyle w:val="reference-accessdate"/>
          <w:rFonts w:ascii="inherit" w:hAnsi="inherit" w:cs="Segoe UI"/>
          <w:i/>
          <w:iCs/>
          <w:color w:val="202122"/>
          <w:sz w:val="24"/>
          <w:szCs w:val="24"/>
          <w:bdr w:val="none" w:sz="0" w:space="0" w:color="auto" w:frame="1"/>
        </w:rPr>
        <w:t> 2020</w:t>
      </w:r>
      <w:r w:rsidRPr="0037305E">
        <w:rPr>
          <w:rStyle w:val="HTMLCite"/>
          <w:rFonts w:ascii="inherit" w:hAnsi="inherit" w:cs="Segoe UI"/>
          <w:color w:val="202122"/>
          <w:sz w:val="24"/>
          <w:szCs w:val="24"/>
          <w:bdr w:val="none" w:sz="0" w:space="0" w:color="auto" w:frame="1"/>
        </w:rPr>
        <w:t>.</w:t>
      </w:r>
    </w:p>
    <w:p w:rsidR="00CB4FF2" w:rsidRPr="0037305E" w:rsidRDefault="00C072B5" w:rsidP="00CB4FF2">
      <w:pPr>
        <w:numPr>
          <w:ilvl w:val="0"/>
          <w:numId w:val="1"/>
        </w:numPr>
        <w:shd w:val="clear" w:color="auto" w:fill="FFFFFF"/>
        <w:spacing w:after="0" w:line="240" w:lineRule="auto"/>
        <w:ind w:left="0"/>
        <w:textAlignment w:val="baseline"/>
        <w:rPr>
          <w:rStyle w:val="HTMLCite"/>
          <w:rFonts w:ascii="inherit" w:hAnsi="inherit" w:cs="Segoe UI"/>
          <w:i w:val="0"/>
          <w:iCs w:val="0"/>
          <w:color w:val="202122"/>
          <w:sz w:val="24"/>
          <w:szCs w:val="24"/>
        </w:rPr>
      </w:pPr>
      <w:r w:rsidRPr="0037305E">
        <w:rPr>
          <w:rFonts w:ascii="inherit" w:hAnsi="inherit" w:cs="Segoe UI"/>
          <w:color w:val="202122"/>
          <w:sz w:val="24"/>
          <w:szCs w:val="24"/>
        </w:rPr>
        <w:t> </w:t>
      </w:r>
      <w:r w:rsidRPr="0037305E">
        <w:rPr>
          <w:rStyle w:val="HTMLCite"/>
          <w:rFonts w:ascii="inherit" w:hAnsi="inherit" w:cs="Segoe UI"/>
          <w:color w:val="202122"/>
          <w:sz w:val="24"/>
          <w:szCs w:val="24"/>
          <w:bdr w:val="none" w:sz="0" w:space="0" w:color="auto" w:frame="1"/>
        </w:rPr>
        <w:t>Merced, Michael J. de la (February 25, 2010). </w:t>
      </w:r>
      <w:hyperlink r:id="rId21" w:history="1">
        <w:r w:rsidRPr="0037305E">
          <w:rPr>
            <w:rStyle w:val="Hyperlink"/>
            <w:rFonts w:ascii="inherit" w:hAnsi="inherit" w:cs="Segoe UI"/>
            <w:i/>
            <w:iCs/>
            <w:color w:val="6B4BA1"/>
            <w:sz w:val="24"/>
            <w:szCs w:val="24"/>
            <w:bdr w:val="none" w:sz="0" w:space="0" w:color="auto" w:frame="1"/>
          </w:rPr>
          <w:t>"Coke Acquires North American Unit of Bottler (Published 2010)"</w:t>
        </w:r>
      </w:hyperlink>
      <w:r w:rsidRPr="0037305E">
        <w:rPr>
          <w:rStyle w:val="HTMLCite"/>
          <w:rFonts w:ascii="inherit" w:hAnsi="inherit" w:cs="Segoe UI"/>
          <w:color w:val="202122"/>
          <w:sz w:val="24"/>
          <w:szCs w:val="24"/>
          <w:bdr w:val="none" w:sz="0" w:space="0" w:color="auto" w:frame="1"/>
        </w:rPr>
        <w:t>. The New York Times. </w:t>
      </w:r>
      <w:hyperlink r:id="rId22" w:tooltip="ISSN (identifier)" w:history="1">
        <w:r w:rsidRPr="0037305E">
          <w:rPr>
            <w:rStyle w:val="Hyperlink"/>
            <w:rFonts w:ascii="inherit" w:hAnsi="inherit" w:cs="Segoe UI"/>
            <w:i/>
            <w:iCs/>
            <w:color w:val="6B4BA1"/>
            <w:sz w:val="24"/>
            <w:szCs w:val="24"/>
            <w:bdr w:val="none" w:sz="0" w:space="0" w:color="auto" w:frame="1"/>
          </w:rPr>
          <w:t>ISSN</w:t>
        </w:r>
      </w:hyperlink>
      <w:r w:rsidRPr="0037305E">
        <w:rPr>
          <w:rStyle w:val="HTMLCite"/>
          <w:rFonts w:ascii="inherit" w:hAnsi="inherit" w:cs="Segoe UI"/>
          <w:color w:val="202122"/>
          <w:sz w:val="24"/>
          <w:szCs w:val="24"/>
          <w:bdr w:val="none" w:sz="0" w:space="0" w:color="auto" w:frame="1"/>
        </w:rPr>
        <w:t> </w:t>
      </w:r>
      <w:hyperlink r:id="rId23" w:history="1">
        <w:r w:rsidRPr="0037305E">
          <w:rPr>
            <w:rStyle w:val="Hyperlink"/>
            <w:rFonts w:ascii="inherit" w:hAnsi="inherit" w:cs="Segoe UI"/>
            <w:i/>
            <w:iCs/>
            <w:color w:val="6B4BA1"/>
            <w:sz w:val="24"/>
            <w:szCs w:val="24"/>
            <w:bdr w:val="none" w:sz="0" w:space="0" w:color="auto" w:frame="1"/>
          </w:rPr>
          <w:t>0362-4331</w:t>
        </w:r>
      </w:hyperlink>
      <w:r w:rsidRPr="0037305E">
        <w:rPr>
          <w:rStyle w:val="reference-accessdate"/>
          <w:rFonts w:ascii="inherit" w:hAnsi="inherit" w:cs="Segoe UI"/>
          <w:i/>
          <w:iCs/>
          <w:color w:val="202122"/>
          <w:sz w:val="24"/>
          <w:szCs w:val="24"/>
          <w:bdr w:val="none" w:sz="0" w:space="0" w:color="auto" w:frame="1"/>
        </w:rPr>
        <w:t>. Retrieved </w:t>
      </w:r>
      <w:r w:rsidRPr="0037305E">
        <w:rPr>
          <w:rStyle w:val="nowrap"/>
          <w:rFonts w:ascii="inherit" w:hAnsi="inherit" w:cs="Segoe UI"/>
          <w:i/>
          <w:iCs/>
          <w:color w:val="202122"/>
          <w:sz w:val="24"/>
          <w:szCs w:val="24"/>
          <w:bdr w:val="none" w:sz="0" w:space="0" w:color="auto" w:frame="1"/>
        </w:rPr>
        <w:t>November 30,</w:t>
      </w:r>
      <w:r w:rsidRPr="0037305E">
        <w:rPr>
          <w:rStyle w:val="reference-accessdate"/>
          <w:rFonts w:ascii="inherit" w:hAnsi="inherit" w:cs="Segoe UI"/>
          <w:i/>
          <w:iCs/>
          <w:color w:val="202122"/>
          <w:sz w:val="24"/>
          <w:szCs w:val="24"/>
          <w:bdr w:val="none" w:sz="0" w:space="0" w:color="auto" w:frame="1"/>
        </w:rPr>
        <w:t> 2020</w:t>
      </w:r>
      <w:r w:rsidRPr="0037305E">
        <w:rPr>
          <w:rStyle w:val="HTMLCite"/>
          <w:rFonts w:ascii="inherit" w:hAnsi="inherit" w:cs="Segoe UI"/>
          <w:color w:val="202122"/>
          <w:sz w:val="24"/>
          <w:szCs w:val="24"/>
          <w:bdr w:val="none" w:sz="0" w:space="0" w:color="auto" w:frame="1"/>
        </w:rPr>
        <w:t>.</w:t>
      </w:r>
    </w:p>
    <w:p w:rsidR="00CB4FF2" w:rsidRPr="0037305E" w:rsidRDefault="00CB4FF2" w:rsidP="00CB4FF2">
      <w:pPr>
        <w:numPr>
          <w:ilvl w:val="0"/>
          <w:numId w:val="1"/>
        </w:numPr>
        <w:shd w:val="clear" w:color="auto" w:fill="FFFFFF"/>
        <w:spacing w:after="0" w:line="240" w:lineRule="auto"/>
        <w:ind w:left="0"/>
        <w:textAlignment w:val="baseline"/>
        <w:rPr>
          <w:rStyle w:val="HTMLCite"/>
          <w:rFonts w:ascii="inherit" w:hAnsi="inherit" w:cs="Segoe UI"/>
          <w:i w:val="0"/>
          <w:iCs w:val="0"/>
          <w:color w:val="202122"/>
          <w:sz w:val="24"/>
          <w:szCs w:val="24"/>
        </w:rPr>
      </w:pPr>
      <w:r w:rsidRPr="0037305E">
        <w:rPr>
          <w:rFonts w:ascii="inherit" w:hAnsi="inherit" w:cs="Segoe UI"/>
          <w:color w:val="202122"/>
          <w:sz w:val="24"/>
          <w:szCs w:val="24"/>
        </w:rPr>
        <w:t> </w:t>
      </w:r>
      <w:hyperlink r:id="rId24" w:anchor="3-it-was-distributed-in-a-proprietary-bottle-3" w:history="1">
        <w:r w:rsidRPr="0037305E">
          <w:rPr>
            <w:rStyle w:val="Hyperlink"/>
            <w:rFonts w:ascii="inherit" w:hAnsi="inherit" w:cs="Segoe UI"/>
            <w:i/>
            <w:iCs/>
            <w:color w:val="6B4BA1"/>
            <w:sz w:val="24"/>
            <w:szCs w:val="24"/>
            <w:bdr w:val="none" w:sz="0" w:space="0" w:color="auto" w:frame="1"/>
          </w:rPr>
          <w:t>"7 strategies Coca-Cola used to become one of the world's most recognizable brands"</w:t>
        </w:r>
      </w:hyperlink>
      <w:r w:rsidRPr="0037305E">
        <w:rPr>
          <w:rStyle w:val="HTMLCite"/>
          <w:rFonts w:ascii="inherit" w:hAnsi="inherit" w:cs="Segoe UI"/>
          <w:color w:val="202122"/>
          <w:sz w:val="24"/>
          <w:szCs w:val="24"/>
          <w:bdr w:val="none" w:sz="0" w:space="0" w:color="auto" w:frame="1"/>
        </w:rPr>
        <w:t>. Business Insider. </w:t>
      </w:r>
      <w:hyperlink r:id="rId25" w:anchor="3-it-was-distributed-in-a-proprietary-bottle-3" w:history="1">
        <w:r w:rsidRPr="0037305E">
          <w:rPr>
            <w:rStyle w:val="Hyperlink"/>
            <w:rFonts w:ascii="inherit" w:hAnsi="inherit" w:cs="Segoe UI"/>
            <w:i/>
            <w:iCs/>
            <w:color w:val="6B4BA1"/>
            <w:sz w:val="24"/>
            <w:szCs w:val="24"/>
            <w:bdr w:val="none" w:sz="0" w:space="0" w:color="auto" w:frame="1"/>
          </w:rPr>
          <w:t>Archived</w:t>
        </w:r>
      </w:hyperlink>
      <w:r w:rsidRPr="0037305E">
        <w:rPr>
          <w:rStyle w:val="HTMLCite"/>
          <w:rFonts w:ascii="inherit" w:hAnsi="inherit" w:cs="Segoe UI"/>
          <w:color w:val="202122"/>
          <w:sz w:val="24"/>
          <w:szCs w:val="24"/>
          <w:bdr w:val="none" w:sz="0" w:space="0" w:color="auto" w:frame="1"/>
        </w:rPr>
        <w:t> from the original on September 7, 2018</w:t>
      </w:r>
      <w:r w:rsidRPr="0037305E">
        <w:rPr>
          <w:rStyle w:val="reference-accessdate"/>
          <w:rFonts w:ascii="inherit" w:hAnsi="inherit" w:cs="Segoe UI"/>
          <w:i/>
          <w:iCs/>
          <w:color w:val="202122"/>
          <w:sz w:val="24"/>
          <w:szCs w:val="24"/>
          <w:bdr w:val="none" w:sz="0" w:space="0" w:color="auto" w:frame="1"/>
        </w:rPr>
        <w:t>. Retrieved </w:t>
      </w:r>
      <w:r w:rsidRPr="0037305E">
        <w:rPr>
          <w:rStyle w:val="nowrap"/>
          <w:rFonts w:ascii="inherit" w:hAnsi="inherit" w:cs="Segoe UI"/>
          <w:i/>
          <w:iCs/>
          <w:color w:val="202122"/>
          <w:sz w:val="24"/>
          <w:szCs w:val="24"/>
          <w:bdr w:val="none" w:sz="0" w:space="0" w:color="auto" w:frame="1"/>
        </w:rPr>
        <w:t>September 6,</w:t>
      </w:r>
      <w:r w:rsidRPr="0037305E">
        <w:rPr>
          <w:rStyle w:val="reference-accessdate"/>
          <w:rFonts w:ascii="inherit" w:hAnsi="inherit" w:cs="Segoe UI"/>
          <w:i/>
          <w:iCs/>
          <w:color w:val="202122"/>
          <w:sz w:val="24"/>
          <w:szCs w:val="24"/>
          <w:bdr w:val="none" w:sz="0" w:space="0" w:color="auto" w:frame="1"/>
        </w:rPr>
        <w:t>2018</w:t>
      </w:r>
      <w:r w:rsidRPr="0037305E">
        <w:rPr>
          <w:rStyle w:val="HTMLCite"/>
          <w:rFonts w:ascii="inherit" w:hAnsi="inherit" w:cs="Segoe UI"/>
          <w:color w:val="202122"/>
          <w:sz w:val="24"/>
          <w:szCs w:val="24"/>
          <w:bdr w:val="none" w:sz="0" w:space="0" w:color="auto" w:frame="1"/>
        </w:rPr>
        <w:t>.</w:t>
      </w:r>
    </w:p>
    <w:p w:rsidR="00CB4FF2" w:rsidRPr="0037305E" w:rsidRDefault="00573BA7" w:rsidP="00CB4FF2">
      <w:pPr>
        <w:numPr>
          <w:ilvl w:val="0"/>
          <w:numId w:val="1"/>
        </w:numPr>
        <w:shd w:val="clear" w:color="auto" w:fill="FFFFFF"/>
        <w:spacing w:after="0" w:line="240" w:lineRule="auto"/>
        <w:ind w:left="0"/>
        <w:textAlignment w:val="baseline"/>
        <w:rPr>
          <w:rStyle w:val="HTMLCite"/>
          <w:rFonts w:ascii="inherit" w:hAnsi="inherit" w:cs="Segoe UI"/>
          <w:i w:val="0"/>
          <w:iCs w:val="0"/>
          <w:color w:val="202122"/>
          <w:sz w:val="24"/>
          <w:szCs w:val="24"/>
        </w:rPr>
      </w:pPr>
      <w:hyperlink r:id="rId26" w:history="1">
        <w:r w:rsidR="00CB4FF2" w:rsidRPr="0037305E">
          <w:rPr>
            <w:rStyle w:val="Hyperlink"/>
            <w:rFonts w:ascii="inherit" w:hAnsi="inherit" w:cs="Segoe UI"/>
            <w:i/>
            <w:iCs/>
            <w:color w:val="6B4BA1"/>
            <w:sz w:val="24"/>
            <w:szCs w:val="24"/>
            <w:bdr w:val="none" w:sz="0" w:space="0" w:color="auto" w:frame="1"/>
          </w:rPr>
          <w:t>"Merger Discussions Being Held By Coca-Cola and Minute Maid; Soft Drink Company Would Issue 1 Share for 2.2 of Citras Juice Concern COCA-COLA HOLDS TALKS ON MERGER (Published 1960)"</w:t>
        </w:r>
      </w:hyperlink>
      <w:r w:rsidR="00CB4FF2" w:rsidRPr="0037305E">
        <w:rPr>
          <w:rStyle w:val="HTMLCite"/>
          <w:rFonts w:ascii="inherit" w:hAnsi="inherit" w:cs="Segoe UI"/>
          <w:color w:val="202122"/>
          <w:sz w:val="24"/>
          <w:szCs w:val="24"/>
          <w:bdr w:val="none" w:sz="0" w:space="0" w:color="auto" w:frame="1"/>
        </w:rPr>
        <w:t>. The New York Times. September 9, 1960. </w:t>
      </w:r>
      <w:hyperlink r:id="rId27" w:tooltip="ISSN (identifier)" w:history="1">
        <w:r w:rsidR="00CB4FF2" w:rsidRPr="0037305E">
          <w:rPr>
            <w:rStyle w:val="Hyperlink"/>
            <w:rFonts w:ascii="inherit" w:hAnsi="inherit" w:cs="Segoe UI"/>
            <w:i/>
            <w:iCs/>
            <w:color w:val="6B4BA1"/>
            <w:sz w:val="24"/>
            <w:szCs w:val="24"/>
            <w:bdr w:val="none" w:sz="0" w:space="0" w:color="auto" w:frame="1"/>
          </w:rPr>
          <w:t>ISSN</w:t>
        </w:r>
      </w:hyperlink>
      <w:r w:rsidR="00CB4FF2" w:rsidRPr="0037305E">
        <w:rPr>
          <w:rStyle w:val="HTMLCite"/>
          <w:rFonts w:ascii="inherit" w:hAnsi="inherit" w:cs="Segoe UI"/>
          <w:color w:val="202122"/>
          <w:sz w:val="24"/>
          <w:szCs w:val="24"/>
          <w:bdr w:val="none" w:sz="0" w:space="0" w:color="auto" w:frame="1"/>
        </w:rPr>
        <w:t> </w:t>
      </w:r>
      <w:hyperlink r:id="rId28" w:history="1">
        <w:r w:rsidR="00CB4FF2" w:rsidRPr="0037305E">
          <w:rPr>
            <w:rStyle w:val="Hyperlink"/>
            <w:rFonts w:ascii="inherit" w:hAnsi="inherit" w:cs="Segoe UI"/>
            <w:i/>
            <w:iCs/>
            <w:color w:val="6B4BA1"/>
            <w:sz w:val="24"/>
            <w:szCs w:val="24"/>
            <w:bdr w:val="none" w:sz="0" w:space="0" w:color="auto" w:frame="1"/>
          </w:rPr>
          <w:t>0362-4331</w:t>
        </w:r>
      </w:hyperlink>
      <w:r w:rsidR="00CB4FF2" w:rsidRPr="0037305E">
        <w:rPr>
          <w:rStyle w:val="reference-accessdate"/>
          <w:rFonts w:ascii="inherit" w:hAnsi="inherit" w:cs="Segoe UI"/>
          <w:i/>
          <w:iCs/>
          <w:color w:val="202122"/>
          <w:sz w:val="24"/>
          <w:szCs w:val="24"/>
          <w:bdr w:val="none" w:sz="0" w:space="0" w:color="auto" w:frame="1"/>
        </w:rPr>
        <w:t>. Retrieved </w:t>
      </w:r>
      <w:r w:rsidR="00CB4FF2" w:rsidRPr="0037305E">
        <w:rPr>
          <w:rStyle w:val="nowrap"/>
          <w:rFonts w:ascii="inherit" w:hAnsi="inherit" w:cs="Segoe UI"/>
          <w:i/>
          <w:iCs/>
          <w:color w:val="202122"/>
          <w:sz w:val="24"/>
          <w:szCs w:val="24"/>
          <w:bdr w:val="none" w:sz="0" w:space="0" w:color="auto" w:frame="1"/>
        </w:rPr>
        <w:t>November 30,</w:t>
      </w:r>
      <w:r w:rsidR="00CB4FF2" w:rsidRPr="0037305E">
        <w:rPr>
          <w:rStyle w:val="reference-accessdate"/>
          <w:rFonts w:ascii="inherit" w:hAnsi="inherit" w:cs="Segoe UI"/>
          <w:i/>
          <w:iCs/>
          <w:color w:val="202122"/>
          <w:sz w:val="24"/>
          <w:szCs w:val="24"/>
          <w:bdr w:val="none" w:sz="0" w:space="0" w:color="auto" w:frame="1"/>
        </w:rPr>
        <w:t> 2020</w:t>
      </w:r>
      <w:r w:rsidR="00CB4FF2" w:rsidRPr="0037305E">
        <w:rPr>
          <w:rStyle w:val="HTMLCite"/>
          <w:rFonts w:ascii="inherit" w:hAnsi="inherit" w:cs="Segoe UI"/>
          <w:color w:val="202122"/>
          <w:sz w:val="24"/>
          <w:szCs w:val="24"/>
          <w:bdr w:val="none" w:sz="0" w:space="0" w:color="auto" w:frame="1"/>
        </w:rPr>
        <w:t>.</w:t>
      </w:r>
    </w:p>
    <w:p w:rsidR="00D419EA" w:rsidRPr="0037305E" w:rsidRDefault="00CB4FF2"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rFonts w:ascii="inherit" w:hAnsi="inherit" w:cs="Segoe UI"/>
          <w:color w:val="202122"/>
          <w:sz w:val="24"/>
          <w:szCs w:val="24"/>
        </w:rPr>
        <w:t> </w:t>
      </w:r>
      <w:hyperlink r:id="rId29" w:history="1">
        <w:r w:rsidRPr="0037305E">
          <w:rPr>
            <w:rStyle w:val="Hyperlink"/>
            <w:rFonts w:ascii="inherit" w:hAnsi="inherit" w:cs="Segoe UI"/>
            <w:i/>
            <w:iCs/>
            <w:color w:val="6B4BA1"/>
            <w:sz w:val="24"/>
            <w:szCs w:val="24"/>
            <w:bdr w:val="none" w:sz="0" w:space="0" w:color="auto" w:frame="1"/>
          </w:rPr>
          <w:t>"ZICO™ Beverages Joins The Coca-Cola Family"</w:t>
        </w:r>
      </w:hyperlink>
      <w:r w:rsidRPr="0037305E">
        <w:rPr>
          <w:rStyle w:val="HTMLCite"/>
          <w:rFonts w:ascii="inherit" w:hAnsi="inherit" w:cs="Segoe UI"/>
          <w:color w:val="202122"/>
          <w:sz w:val="24"/>
          <w:szCs w:val="24"/>
          <w:bdr w:val="none" w:sz="0" w:space="0" w:color="auto" w:frame="1"/>
        </w:rPr>
        <w:t>. The Coca-Cola Company. </w:t>
      </w:r>
      <w:hyperlink r:id="rId30" w:history="1">
        <w:r w:rsidRPr="0037305E">
          <w:rPr>
            <w:rStyle w:val="Hyperlink"/>
            <w:rFonts w:ascii="inherit" w:hAnsi="inherit" w:cs="Segoe UI"/>
            <w:i/>
            <w:iCs/>
            <w:color w:val="6B4BA1"/>
            <w:sz w:val="24"/>
            <w:szCs w:val="24"/>
            <w:bdr w:val="none" w:sz="0" w:space="0" w:color="auto" w:frame="1"/>
          </w:rPr>
          <w:t>Archived</w:t>
        </w:r>
      </w:hyperlink>
      <w:r w:rsidRPr="0037305E">
        <w:rPr>
          <w:rStyle w:val="HTMLCite"/>
          <w:rFonts w:ascii="inherit" w:hAnsi="inherit" w:cs="Segoe UI"/>
          <w:color w:val="202122"/>
          <w:sz w:val="24"/>
          <w:szCs w:val="24"/>
          <w:bdr w:val="none" w:sz="0" w:space="0" w:color="auto" w:frame="1"/>
        </w:rPr>
        <w:t> from the original on March 8, 2016</w:t>
      </w:r>
      <w:r w:rsidRPr="0037305E">
        <w:rPr>
          <w:rStyle w:val="reference-accessdate"/>
          <w:rFonts w:ascii="inherit" w:hAnsi="inherit" w:cs="Segoe UI"/>
          <w:i/>
          <w:iCs/>
          <w:color w:val="202122"/>
          <w:sz w:val="24"/>
          <w:szCs w:val="24"/>
          <w:bdr w:val="none" w:sz="0" w:space="0" w:color="auto" w:frame="1"/>
        </w:rPr>
        <w:t>. Retrieved </w:t>
      </w:r>
      <w:r w:rsidRPr="0037305E">
        <w:rPr>
          <w:rStyle w:val="nowrap"/>
          <w:rFonts w:ascii="inherit" w:hAnsi="inherit" w:cs="Segoe UI"/>
          <w:i/>
          <w:iCs/>
          <w:color w:val="202122"/>
          <w:sz w:val="24"/>
          <w:szCs w:val="24"/>
          <w:bdr w:val="none" w:sz="0" w:space="0" w:color="auto" w:frame="1"/>
        </w:rPr>
        <w:t>March 8,</w:t>
      </w:r>
      <w:r w:rsidRPr="0037305E">
        <w:rPr>
          <w:rStyle w:val="reference-accessdate"/>
          <w:rFonts w:ascii="inherit" w:hAnsi="inherit" w:cs="Segoe UI"/>
          <w:i/>
          <w:iCs/>
          <w:color w:val="202122"/>
          <w:sz w:val="24"/>
          <w:szCs w:val="24"/>
          <w:bdr w:val="none" w:sz="0" w:space="0" w:color="auto" w:frame="1"/>
        </w:rPr>
        <w:t> 2016</w:t>
      </w:r>
      <w:r w:rsidRPr="0037305E">
        <w:rPr>
          <w:rStyle w:val="HTMLCite"/>
          <w:rFonts w:ascii="inherit" w:hAnsi="inherit" w:cs="Segoe UI"/>
          <w:color w:val="202122"/>
          <w:sz w:val="24"/>
          <w:szCs w:val="24"/>
          <w:bdr w:val="none" w:sz="0" w:space="0" w:color="auto" w:frame="1"/>
        </w:rPr>
        <w:t>.</w:t>
      </w:r>
    </w:p>
    <w:p w:rsidR="00D419EA" w:rsidRPr="0037305E" w:rsidRDefault="00D419EA"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Qasim Saleem Lahore Business School, The University of Lahore, Pakistan.</w:t>
      </w:r>
    </w:p>
    <w:p w:rsidR="00D419EA" w:rsidRPr="0037305E" w:rsidRDefault="00D419EA"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 xml:space="preserve"> Ramiz Ur Rehman Assistant Professor Lahore Business School, The University of Lahore, Pakistan.</w:t>
      </w:r>
    </w:p>
    <w:p w:rsidR="00D419EA" w:rsidRPr="0037305E" w:rsidRDefault="00D419EA"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European Journal of Economics, Finance and Administrative Sciences ISSN 1450-2275 Issue 11 (2008).</w:t>
      </w:r>
    </w:p>
    <w:p w:rsidR="000001C3" w:rsidRPr="0037305E" w:rsidRDefault="00D419EA"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Liquidity-profitability tradeoff: an empirical inves</w:t>
      </w:r>
      <w:r w:rsidR="000001C3" w:rsidRPr="0037305E">
        <w:rPr>
          <w:sz w:val="24"/>
          <w:szCs w:val="24"/>
        </w:rPr>
        <w:t>tigation in an emerging market.</w:t>
      </w:r>
    </w:p>
    <w:p w:rsidR="000001C3" w:rsidRPr="0037305E" w:rsidRDefault="00D419EA"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International Journal of Commerce &amp; Management Publication Date: 01-JUN-04.</w:t>
      </w:r>
      <w:r w:rsidR="000001C3" w:rsidRPr="0037305E">
        <w:rPr>
          <w:sz w:val="24"/>
          <w:szCs w:val="24"/>
        </w:rPr>
        <w:t xml:space="preserve"> Villar-Palasi,C.and Larner, J. (1960) Biochim. Biophys. Acta. 39,171-173. </w:t>
      </w:r>
    </w:p>
    <w:p w:rsidR="000001C3" w:rsidRPr="0037305E" w:rsidRDefault="000001C3"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 xml:space="preserve"> Friedman, D. L. and Lamer, J. (1963) Biochemistry 2, 669-675. [</w:t>
      </w:r>
    </w:p>
    <w:p w:rsidR="00CB4FF2" w:rsidRPr="0037305E" w:rsidRDefault="000001C3" w:rsidP="00CB4FF2">
      <w:pPr>
        <w:numPr>
          <w:ilvl w:val="0"/>
          <w:numId w:val="1"/>
        </w:numPr>
        <w:shd w:val="clear" w:color="auto" w:fill="FFFFFF"/>
        <w:spacing w:after="0" w:line="240" w:lineRule="auto"/>
        <w:ind w:left="0"/>
        <w:textAlignment w:val="baseline"/>
        <w:rPr>
          <w:rFonts w:ascii="inherit" w:hAnsi="inherit" w:cs="Segoe UI"/>
          <w:color w:val="202122"/>
          <w:sz w:val="24"/>
          <w:szCs w:val="24"/>
        </w:rPr>
      </w:pPr>
      <w:r w:rsidRPr="0037305E">
        <w:rPr>
          <w:sz w:val="24"/>
          <w:szCs w:val="24"/>
        </w:rPr>
        <w:t xml:space="preserve"> Piras, R., Rothman, L. B. and Cabib, E. (1968) Biochemistry 7,56-66. [4] Roach, P. J. and Larner.</w:t>
      </w:r>
    </w:p>
    <w:p w:rsidR="00CB4FF2" w:rsidRPr="00CB4FF2" w:rsidRDefault="00CB4FF2" w:rsidP="00CB4FF2">
      <w:pPr>
        <w:shd w:val="clear" w:color="auto" w:fill="FFFFFF"/>
        <w:spacing w:after="0" w:line="240" w:lineRule="auto"/>
        <w:textAlignment w:val="baseline"/>
        <w:rPr>
          <w:rFonts w:ascii="inherit" w:hAnsi="inherit" w:cs="Segoe UI"/>
          <w:color w:val="202122"/>
        </w:rPr>
      </w:pPr>
    </w:p>
    <w:p w:rsidR="00CB4FF2" w:rsidRDefault="00CB4FF2" w:rsidP="00CB4FF2">
      <w:pPr>
        <w:shd w:val="clear" w:color="auto" w:fill="FFFFFF"/>
        <w:spacing w:after="0" w:line="240" w:lineRule="auto"/>
        <w:ind w:left="720"/>
        <w:textAlignment w:val="baseline"/>
        <w:rPr>
          <w:rFonts w:ascii="inherit" w:hAnsi="inherit" w:cs="Segoe UI"/>
          <w:color w:val="202122"/>
        </w:rPr>
      </w:pPr>
    </w:p>
    <w:p w:rsidR="00CB4FF2" w:rsidRPr="00C072B5" w:rsidRDefault="00CB4FF2" w:rsidP="00CB4FF2">
      <w:pPr>
        <w:shd w:val="clear" w:color="auto" w:fill="FFFFFF"/>
        <w:spacing w:after="0" w:line="240" w:lineRule="auto"/>
        <w:textAlignment w:val="baseline"/>
        <w:rPr>
          <w:rFonts w:ascii="inherit" w:hAnsi="inherit" w:cs="Segoe UI"/>
          <w:color w:val="202122"/>
        </w:rPr>
      </w:pPr>
    </w:p>
    <w:p w:rsidR="00C072B5" w:rsidRDefault="00C072B5" w:rsidP="00C072B5">
      <w:pPr>
        <w:shd w:val="clear" w:color="auto" w:fill="FFFFFF"/>
        <w:spacing w:after="0" w:line="240" w:lineRule="auto"/>
        <w:ind w:left="720"/>
        <w:textAlignment w:val="baseline"/>
        <w:rPr>
          <w:rFonts w:ascii="inherit" w:hAnsi="inherit" w:cs="Segoe UI"/>
          <w:color w:val="202122"/>
        </w:rPr>
      </w:pPr>
    </w:p>
    <w:p w:rsidR="00C072B5" w:rsidRPr="00C072B5" w:rsidRDefault="00C072B5" w:rsidP="00C072B5">
      <w:pPr>
        <w:shd w:val="clear" w:color="auto" w:fill="FFFFFF"/>
        <w:spacing w:after="0" w:line="240" w:lineRule="auto"/>
        <w:textAlignment w:val="baseline"/>
        <w:rPr>
          <w:rFonts w:ascii="inherit" w:hAnsi="inherit" w:cs="Segoe UI"/>
          <w:color w:val="202122"/>
        </w:rPr>
      </w:pP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r>
        <w:rPr>
          <w:rStyle w:val="mw-cite-backlink"/>
          <w:rFonts w:ascii="inherit" w:hAnsi="inherit" w:cs="Segoe UI"/>
          <w:b/>
          <w:bCs/>
          <w:color w:val="202122"/>
          <w:bdr w:val="none" w:sz="0" w:space="0" w:color="auto" w:frame="1"/>
        </w:rPr>
        <w:tab/>
      </w:r>
    </w:p>
    <w:sectPr w:rsidR="00C072B5" w:rsidRPr="00C072B5" w:rsidSect="002C0095">
      <w:headerReference w:type="default"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95FC9" w:rsidRDefault="00B95FC9" w:rsidP="001B645F">
      <w:pPr>
        <w:spacing w:after="0" w:line="240" w:lineRule="auto"/>
      </w:pPr>
      <w:r>
        <w:separator/>
      </w:r>
    </w:p>
  </w:endnote>
  <w:endnote w:type="continuationSeparator" w:id="0">
    <w:p w:rsidR="00B95FC9" w:rsidRDefault="00B95FC9" w:rsidP="001B645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5748688"/>
      <w:docPartObj>
        <w:docPartGallery w:val="Page Numbers (Bottom of Page)"/>
        <w:docPartUnique/>
      </w:docPartObj>
    </w:sdtPr>
    <w:sdtContent>
      <w:p w:rsidR="009343D9" w:rsidRDefault="009343D9">
        <w:pPr>
          <w:pStyle w:val="Footer"/>
          <w:jc w:val="right"/>
        </w:pPr>
        <w:fldSimple w:instr=" PAGE   \* MERGEFORMAT ">
          <w:r w:rsidR="00444E9D">
            <w:rPr>
              <w:noProof/>
            </w:rPr>
            <w:t>14</w:t>
          </w:r>
        </w:fldSimple>
      </w:p>
    </w:sdtContent>
  </w:sdt>
  <w:p w:rsidR="009343D9" w:rsidRDefault="009343D9">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95FC9" w:rsidRDefault="00B95FC9" w:rsidP="001B645F">
      <w:pPr>
        <w:spacing w:after="0" w:line="240" w:lineRule="auto"/>
      </w:pPr>
      <w:r>
        <w:separator/>
      </w:r>
    </w:p>
  </w:footnote>
  <w:footnote w:type="continuationSeparator" w:id="0">
    <w:p w:rsidR="00B95FC9" w:rsidRDefault="00B95FC9" w:rsidP="001B645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43D9" w:rsidRPr="00877DBF" w:rsidRDefault="009343D9" w:rsidP="00877DBF">
    <w:pPr>
      <w:pStyle w:val="Header"/>
    </w:pPr>
    <w:r w:rsidRPr="00573BA7">
      <w:rPr>
        <w:b/>
        <w:sz w:val="56"/>
        <w:szCs w:val="56"/>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i1025" type="#_x0000_t136" style="width:468pt;height:31.9pt">
          <v:shadow color="#868686"/>
          <v:textpath style="font-family:&quot;Arial Black&quot;;v-text-kern:t" trim="t" fitpath="t" string="LCMB7002 FINANCIAL MANAGEMENT"/>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52175"/>
    <w:multiLevelType w:val="multilevel"/>
    <w:tmpl w:val="6F48C0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ED11A12"/>
    <w:multiLevelType w:val="multilevel"/>
    <w:tmpl w:val="D2B87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44A54020"/>
    <w:multiLevelType w:val="multilevel"/>
    <w:tmpl w:val="AB4AB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49FB713B"/>
    <w:multiLevelType w:val="multilevel"/>
    <w:tmpl w:val="7C763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D0F0C1E"/>
    <w:multiLevelType w:val="hybridMultilevel"/>
    <w:tmpl w:val="29143CB2"/>
    <w:lvl w:ilvl="0" w:tplc="D9F637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A204605"/>
    <w:multiLevelType w:val="multilevel"/>
    <w:tmpl w:val="F8AC9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2"/>
  </w:num>
  <w:num w:numId="3">
    <w:abstractNumId w:val="0"/>
  </w:num>
  <w:num w:numId="4">
    <w:abstractNumId w:val="1"/>
  </w:num>
  <w:num w:numId="5">
    <w:abstractNumId w:val="3"/>
  </w:num>
  <w:num w:numId="6">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20"/>
  <w:characterSpacingControl w:val="doNotCompress"/>
  <w:hdrShapeDefaults>
    <o:shapedefaults v:ext="edit" spidmax="27650"/>
  </w:hdrShapeDefaults>
  <w:footnotePr>
    <w:footnote w:id="-1"/>
    <w:footnote w:id="0"/>
  </w:footnotePr>
  <w:endnotePr>
    <w:endnote w:id="-1"/>
    <w:endnote w:id="0"/>
  </w:endnotePr>
  <w:compat/>
  <w:rsids>
    <w:rsidRoot w:val="001B645F"/>
    <w:rsid w:val="000001C3"/>
    <w:rsid w:val="0000706D"/>
    <w:rsid w:val="000071DD"/>
    <w:rsid w:val="0002160B"/>
    <w:rsid w:val="000508F7"/>
    <w:rsid w:val="000A00A1"/>
    <w:rsid w:val="000B4413"/>
    <w:rsid w:val="000E1467"/>
    <w:rsid w:val="000E370A"/>
    <w:rsid w:val="000F446E"/>
    <w:rsid w:val="000F6B67"/>
    <w:rsid w:val="001103B8"/>
    <w:rsid w:val="00117D41"/>
    <w:rsid w:val="001639B7"/>
    <w:rsid w:val="00192BD5"/>
    <w:rsid w:val="00194441"/>
    <w:rsid w:val="001B02C1"/>
    <w:rsid w:val="001B645F"/>
    <w:rsid w:val="002363C1"/>
    <w:rsid w:val="00245D64"/>
    <w:rsid w:val="0027779D"/>
    <w:rsid w:val="00285A10"/>
    <w:rsid w:val="002A4018"/>
    <w:rsid w:val="002B0194"/>
    <w:rsid w:val="002C0095"/>
    <w:rsid w:val="002C57E2"/>
    <w:rsid w:val="003111F0"/>
    <w:rsid w:val="0031568B"/>
    <w:rsid w:val="003404F2"/>
    <w:rsid w:val="00363F68"/>
    <w:rsid w:val="0037305E"/>
    <w:rsid w:val="00384654"/>
    <w:rsid w:val="003E5DE0"/>
    <w:rsid w:val="00406F1B"/>
    <w:rsid w:val="00444E9D"/>
    <w:rsid w:val="00484D97"/>
    <w:rsid w:val="00485C02"/>
    <w:rsid w:val="004D6509"/>
    <w:rsid w:val="00514424"/>
    <w:rsid w:val="00551545"/>
    <w:rsid w:val="005515D2"/>
    <w:rsid w:val="00573BA7"/>
    <w:rsid w:val="00581480"/>
    <w:rsid w:val="005A1814"/>
    <w:rsid w:val="005D7FB8"/>
    <w:rsid w:val="00600D41"/>
    <w:rsid w:val="00626973"/>
    <w:rsid w:val="006D780A"/>
    <w:rsid w:val="006F0976"/>
    <w:rsid w:val="006F5DB9"/>
    <w:rsid w:val="007144D4"/>
    <w:rsid w:val="007422A3"/>
    <w:rsid w:val="007457CA"/>
    <w:rsid w:val="007817EE"/>
    <w:rsid w:val="007851BE"/>
    <w:rsid w:val="00790F08"/>
    <w:rsid w:val="007935FC"/>
    <w:rsid w:val="007B60FB"/>
    <w:rsid w:val="007D7547"/>
    <w:rsid w:val="00824F68"/>
    <w:rsid w:val="00831EFC"/>
    <w:rsid w:val="00864B60"/>
    <w:rsid w:val="00871D68"/>
    <w:rsid w:val="00877DBF"/>
    <w:rsid w:val="008B0D85"/>
    <w:rsid w:val="008C2039"/>
    <w:rsid w:val="00903AE4"/>
    <w:rsid w:val="009343D9"/>
    <w:rsid w:val="00946CC7"/>
    <w:rsid w:val="00964684"/>
    <w:rsid w:val="009804BD"/>
    <w:rsid w:val="009D4772"/>
    <w:rsid w:val="009E3B02"/>
    <w:rsid w:val="009F53F0"/>
    <w:rsid w:val="00A42C52"/>
    <w:rsid w:val="00A67C82"/>
    <w:rsid w:val="00A71895"/>
    <w:rsid w:val="00A77636"/>
    <w:rsid w:val="00A84F70"/>
    <w:rsid w:val="00AA66AF"/>
    <w:rsid w:val="00AD0C46"/>
    <w:rsid w:val="00AD2393"/>
    <w:rsid w:val="00B40778"/>
    <w:rsid w:val="00B80E98"/>
    <w:rsid w:val="00B85A1E"/>
    <w:rsid w:val="00B95FC9"/>
    <w:rsid w:val="00BA7105"/>
    <w:rsid w:val="00C072B5"/>
    <w:rsid w:val="00C918B5"/>
    <w:rsid w:val="00CB4FF2"/>
    <w:rsid w:val="00D14090"/>
    <w:rsid w:val="00D21E09"/>
    <w:rsid w:val="00D2315D"/>
    <w:rsid w:val="00D419EA"/>
    <w:rsid w:val="00D67F93"/>
    <w:rsid w:val="00DD6827"/>
    <w:rsid w:val="00DD7D7D"/>
    <w:rsid w:val="00DF0B62"/>
    <w:rsid w:val="00DF4865"/>
    <w:rsid w:val="00E36626"/>
    <w:rsid w:val="00E626EF"/>
    <w:rsid w:val="00E753E2"/>
    <w:rsid w:val="00E87CEE"/>
    <w:rsid w:val="00F71EF3"/>
    <w:rsid w:val="00FB51A0"/>
    <w:rsid w:val="00FD33F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0095"/>
  </w:style>
  <w:style w:type="paragraph" w:styleId="Heading2">
    <w:name w:val="heading 2"/>
    <w:basedOn w:val="Normal"/>
    <w:next w:val="Normal"/>
    <w:link w:val="Heading2Char"/>
    <w:uiPriority w:val="9"/>
    <w:semiHidden/>
    <w:unhideWhenUsed/>
    <w:qFormat/>
    <w:rsid w:val="00D2315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D477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B645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B645F"/>
  </w:style>
  <w:style w:type="paragraph" w:styleId="Footer">
    <w:name w:val="footer"/>
    <w:basedOn w:val="Normal"/>
    <w:link w:val="FooterChar"/>
    <w:uiPriority w:val="99"/>
    <w:unhideWhenUsed/>
    <w:rsid w:val="001B645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B645F"/>
  </w:style>
  <w:style w:type="paragraph" w:styleId="BalloonText">
    <w:name w:val="Balloon Text"/>
    <w:basedOn w:val="Normal"/>
    <w:link w:val="BalloonTextChar"/>
    <w:uiPriority w:val="99"/>
    <w:semiHidden/>
    <w:unhideWhenUsed/>
    <w:rsid w:val="001B645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B645F"/>
    <w:rPr>
      <w:rFonts w:ascii="Tahoma" w:hAnsi="Tahoma" w:cs="Tahoma"/>
      <w:sz w:val="16"/>
      <w:szCs w:val="16"/>
    </w:rPr>
  </w:style>
  <w:style w:type="table" w:styleId="TableGrid">
    <w:name w:val="Table Grid"/>
    <w:basedOn w:val="TableNormal"/>
    <w:uiPriority w:val="59"/>
    <w:rsid w:val="000071D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9D4772"/>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9D477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9D4772"/>
    <w:rPr>
      <w:color w:val="0000FF"/>
      <w:u w:val="single"/>
    </w:rPr>
  </w:style>
  <w:style w:type="character" w:customStyle="1" w:styleId="Heading2Char">
    <w:name w:val="Heading 2 Char"/>
    <w:basedOn w:val="DefaultParagraphFont"/>
    <w:link w:val="Heading2"/>
    <w:uiPriority w:val="9"/>
    <w:semiHidden/>
    <w:rsid w:val="00D2315D"/>
    <w:rPr>
      <w:rFonts w:asciiTheme="majorHAnsi" w:eastAsiaTheme="majorEastAsia" w:hAnsiTheme="majorHAnsi" w:cstheme="majorBidi"/>
      <w:b/>
      <w:bCs/>
      <w:color w:val="4F81BD" w:themeColor="accent1"/>
      <w:sz w:val="26"/>
      <w:szCs w:val="26"/>
    </w:rPr>
  </w:style>
  <w:style w:type="character" w:styleId="HTMLCite">
    <w:name w:val="HTML Cite"/>
    <w:basedOn w:val="DefaultParagraphFont"/>
    <w:uiPriority w:val="99"/>
    <w:semiHidden/>
    <w:unhideWhenUsed/>
    <w:rsid w:val="00C072B5"/>
    <w:rPr>
      <w:i/>
      <w:iCs/>
    </w:rPr>
  </w:style>
  <w:style w:type="character" w:customStyle="1" w:styleId="reference-accessdate">
    <w:name w:val="reference-accessdate"/>
    <w:basedOn w:val="DefaultParagraphFont"/>
    <w:rsid w:val="00C072B5"/>
  </w:style>
  <w:style w:type="character" w:customStyle="1" w:styleId="nowrap">
    <w:name w:val="nowrap"/>
    <w:basedOn w:val="DefaultParagraphFont"/>
    <w:rsid w:val="00C072B5"/>
  </w:style>
  <w:style w:type="character" w:customStyle="1" w:styleId="mw-cite-backlink">
    <w:name w:val="mw-cite-backlink"/>
    <w:basedOn w:val="DefaultParagraphFont"/>
    <w:rsid w:val="00C072B5"/>
  </w:style>
  <w:style w:type="paragraph" w:styleId="ListParagraph">
    <w:name w:val="List Paragraph"/>
    <w:basedOn w:val="Normal"/>
    <w:uiPriority w:val="34"/>
    <w:qFormat/>
    <w:rsid w:val="003111F0"/>
    <w:pPr>
      <w:ind w:left="720"/>
      <w:contextualSpacing/>
    </w:pPr>
  </w:style>
</w:styles>
</file>

<file path=word/webSettings.xml><?xml version="1.0" encoding="utf-8"?>
<w:webSettings xmlns:r="http://schemas.openxmlformats.org/officeDocument/2006/relationships" xmlns:w="http://schemas.openxmlformats.org/wordprocessingml/2006/main">
  <w:divs>
    <w:div w:id="359203722">
      <w:bodyDiv w:val="1"/>
      <w:marLeft w:val="0"/>
      <w:marRight w:val="0"/>
      <w:marTop w:val="0"/>
      <w:marBottom w:val="0"/>
      <w:divBdr>
        <w:top w:val="none" w:sz="0" w:space="0" w:color="auto"/>
        <w:left w:val="none" w:sz="0" w:space="0" w:color="auto"/>
        <w:bottom w:val="none" w:sz="0" w:space="0" w:color="auto"/>
        <w:right w:val="none" w:sz="0" w:space="0" w:color="auto"/>
      </w:divBdr>
    </w:div>
    <w:div w:id="762065992">
      <w:bodyDiv w:val="1"/>
      <w:marLeft w:val="0"/>
      <w:marRight w:val="0"/>
      <w:marTop w:val="0"/>
      <w:marBottom w:val="0"/>
      <w:divBdr>
        <w:top w:val="none" w:sz="0" w:space="0" w:color="auto"/>
        <w:left w:val="none" w:sz="0" w:space="0" w:color="auto"/>
        <w:bottom w:val="none" w:sz="0" w:space="0" w:color="auto"/>
        <w:right w:val="none" w:sz="0" w:space="0" w:color="auto"/>
      </w:divBdr>
    </w:div>
    <w:div w:id="805201138">
      <w:bodyDiv w:val="1"/>
      <w:marLeft w:val="0"/>
      <w:marRight w:val="0"/>
      <w:marTop w:val="0"/>
      <w:marBottom w:val="0"/>
      <w:divBdr>
        <w:top w:val="none" w:sz="0" w:space="0" w:color="auto"/>
        <w:left w:val="none" w:sz="0" w:space="0" w:color="auto"/>
        <w:bottom w:val="none" w:sz="0" w:space="0" w:color="auto"/>
        <w:right w:val="none" w:sz="0" w:space="0" w:color="auto"/>
      </w:divBdr>
    </w:div>
    <w:div w:id="1296105609">
      <w:bodyDiv w:val="1"/>
      <w:marLeft w:val="0"/>
      <w:marRight w:val="0"/>
      <w:marTop w:val="0"/>
      <w:marBottom w:val="0"/>
      <w:divBdr>
        <w:top w:val="none" w:sz="0" w:space="0" w:color="auto"/>
        <w:left w:val="none" w:sz="0" w:space="0" w:color="auto"/>
        <w:bottom w:val="none" w:sz="0" w:space="0" w:color="auto"/>
        <w:right w:val="none" w:sz="0" w:space="0" w:color="auto"/>
      </w:divBdr>
    </w:div>
    <w:div w:id="1309476442">
      <w:bodyDiv w:val="1"/>
      <w:marLeft w:val="0"/>
      <w:marRight w:val="0"/>
      <w:marTop w:val="0"/>
      <w:marBottom w:val="0"/>
      <w:divBdr>
        <w:top w:val="none" w:sz="0" w:space="0" w:color="auto"/>
        <w:left w:val="none" w:sz="0" w:space="0" w:color="auto"/>
        <w:bottom w:val="none" w:sz="0" w:space="0" w:color="auto"/>
        <w:right w:val="none" w:sz="0" w:space="0" w:color="auto"/>
      </w:divBdr>
    </w:div>
    <w:div w:id="1568033965">
      <w:bodyDiv w:val="1"/>
      <w:marLeft w:val="0"/>
      <w:marRight w:val="0"/>
      <w:marTop w:val="0"/>
      <w:marBottom w:val="0"/>
      <w:divBdr>
        <w:top w:val="none" w:sz="0" w:space="0" w:color="auto"/>
        <w:left w:val="none" w:sz="0" w:space="0" w:color="auto"/>
        <w:bottom w:val="none" w:sz="0" w:space="0" w:color="auto"/>
        <w:right w:val="none" w:sz="0" w:space="0" w:color="auto"/>
      </w:divBdr>
    </w:div>
    <w:div w:id="1837914052">
      <w:bodyDiv w:val="1"/>
      <w:marLeft w:val="0"/>
      <w:marRight w:val="0"/>
      <w:marTop w:val="0"/>
      <w:marBottom w:val="0"/>
      <w:divBdr>
        <w:top w:val="none" w:sz="0" w:space="0" w:color="auto"/>
        <w:left w:val="none" w:sz="0" w:space="0" w:color="auto"/>
        <w:bottom w:val="none" w:sz="0" w:space="0" w:color="auto"/>
        <w:right w:val="none" w:sz="0" w:space="0" w:color="auto"/>
      </w:divBdr>
    </w:div>
    <w:div w:id="19813821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5.xml"/><Relationship Id="rId18" Type="http://schemas.openxmlformats.org/officeDocument/2006/relationships/chart" Target="charts/chart10.xml"/><Relationship Id="rId26" Type="http://schemas.openxmlformats.org/officeDocument/2006/relationships/hyperlink" Target="https://www.nytimes.com/1960/09/09/archives/merger-discussions-being-held-by-cocacola-and-minute-maid-soft.html" TargetMode="External"/><Relationship Id="rId3" Type="http://schemas.openxmlformats.org/officeDocument/2006/relationships/styles" Target="styles.xml"/><Relationship Id="rId21" Type="http://schemas.openxmlformats.org/officeDocument/2006/relationships/hyperlink" Target="https://www.nytimes.com/2010/02/25/business/25coke.html"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chart" Target="charts/chart4.xml"/><Relationship Id="rId17" Type="http://schemas.openxmlformats.org/officeDocument/2006/relationships/chart" Target="charts/chart9.xml"/><Relationship Id="rId25" Type="http://schemas.openxmlformats.org/officeDocument/2006/relationships/hyperlink" Target="https://web.archive.org/web/20180907032304/https:/www.businessinsider.com/strategies-coca-cola-used-to-become-an-iconic-brand-2016-2"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hart" Target="charts/chart8.xml"/><Relationship Id="rId20" Type="http://schemas.openxmlformats.org/officeDocument/2006/relationships/hyperlink" Target="https://prestigefranchising.co.uk/154-2/" TargetMode="External"/><Relationship Id="rId29" Type="http://schemas.openxmlformats.org/officeDocument/2006/relationships/hyperlink" Target="http://www.coca-colacompany.com/press-center/press-releases/zico-8482-beverages-joins-the-coca-cola-famil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3.xml"/><Relationship Id="rId24" Type="http://schemas.openxmlformats.org/officeDocument/2006/relationships/hyperlink" Target="https://www.businessinsider.com/strategies-coca-cola-used-to-become-an-iconic-brand-2016-2" TargetMode="External"/><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hart" Target="charts/chart7.xml"/><Relationship Id="rId23" Type="http://schemas.openxmlformats.org/officeDocument/2006/relationships/hyperlink" Target="https://www.worldcat.org/issn/0362-4331" TargetMode="External"/><Relationship Id="rId28" Type="http://schemas.openxmlformats.org/officeDocument/2006/relationships/hyperlink" Target="https://www.worldcat.org/issn/0362-4331" TargetMode="External"/><Relationship Id="rId10" Type="http://schemas.openxmlformats.org/officeDocument/2006/relationships/chart" Target="charts/chart2.xml"/><Relationship Id="rId19" Type="http://schemas.openxmlformats.org/officeDocument/2006/relationships/chart" Target="charts/chart11.xm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chart" Target="charts/chart6.xml"/><Relationship Id="rId22" Type="http://schemas.openxmlformats.org/officeDocument/2006/relationships/hyperlink" Target="https://en.m.wikipedia.org/wiki/ISSN_(identifier)" TargetMode="External"/><Relationship Id="rId27" Type="http://schemas.openxmlformats.org/officeDocument/2006/relationships/hyperlink" Target="https://en.m.wikipedia.org/wiki/ISSN_(identifier)" TargetMode="External"/><Relationship Id="rId30" Type="http://schemas.openxmlformats.org/officeDocument/2006/relationships/hyperlink" Target="https://web.archive.org/web/20160308175303/http:/www.coca-colacompany.com/press-center/press-releases/zico-8482-beverages-joins-the-coca-cola-family/" TargetMode="External"/></Relationships>
</file>

<file path=word/charts/_rels/chart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9.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0.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Book1"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Sheet1!$I$40</c:f>
              <c:strCache>
                <c:ptCount val="1"/>
                <c:pt idx="0">
                  <c:v>Current Ratio</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Sheet1!$J$39:$M$39</c:f>
              <c:numCache>
                <c:formatCode>General</c:formatCode>
                <c:ptCount val="4"/>
                <c:pt idx="0">
                  <c:v>2019</c:v>
                </c:pt>
                <c:pt idx="1">
                  <c:v>2018</c:v>
                </c:pt>
                <c:pt idx="2">
                  <c:v>2017</c:v>
                </c:pt>
                <c:pt idx="3">
                  <c:v>2016</c:v>
                </c:pt>
              </c:numCache>
            </c:numRef>
          </c:cat>
          <c:val>
            <c:numRef>
              <c:f>Sheet1!$J$40:$M$40</c:f>
              <c:numCache>
                <c:formatCode>0.00</c:formatCode>
                <c:ptCount val="4"/>
                <c:pt idx="0">
                  <c:v>0.75671968264561185</c:v>
                </c:pt>
                <c:pt idx="1">
                  <c:v>1.0482838859802255</c:v>
                </c:pt>
                <c:pt idx="2">
                  <c:v>1.3438626167536956</c:v>
                </c:pt>
                <c:pt idx="3">
                  <c:v>1.2818483340871398</c:v>
                </c:pt>
              </c:numCache>
            </c:numRef>
          </c:val>
          <c:extLst xmlns:c16r2="http://schemas.microsoft.com/office/drawing/2015/06/chart">
            <c:ext xmlns:c16="http://schemas.microsoft.com/office/drawing/2014/chart" uri="{C3380CC4-5D6E-409C-BE32-E72D297353CC}">
              <c16:uniqueId val="{00000000-BFF7-A040-9E89-5DB2602F4D78}"/>
            </c:ext>
          </c:extLst>
        </c:ser>
        <c:dLbls>
          <c:showVal val="1"/>
        </c:dLbls>
        <c:dropLines>
          <c:spPr>
            <a:ln w="9525" cap="flat" cmpd="sng" algn="ctr">
              <a:solidFill>
                <a:schemeClr val="dk1">
                  <a:lumMod val="35000"/>
                  <a:lumOff val="65000"/>
                  <a:alpha val="33000"/>
                </a:schemeClr>
              </a:solidFill>
              <a:round/>
            </a:ln>
            <a:effectLst/>
          </c:spPr>
        </c:dropLines>
        <c:marker val="1"/>
        <c:axId val="50523520"/>
        <c:axId val="50591232"/>
      </c:lineChart>
      <c:catAx>
        <c:axId val="50523520"/>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0591232"/>
        <c:crosses val="autoZero"/>
        <c:auto val="1"/>
        <c:lblAlgn val="ctr"/>
        <c:lblOffset val="100"/>
      </c:catAx>
      <c:valAx>
        <c:axId val="50591232"/>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5052352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Sheet1!$C$64</c:f>
              <c:strCache>
                <c:ptCount val="1"/>
                <c:pt idx="0">
                  <c:v>Quick Ratio</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Sheet1!$B$65:$B$68</c:f>
              <c:numCache>
                <c:formatCode>General</c:formatCode>
                <c:ptCount val="4"/>
                <c:pt idx="0">
                  <c:v>2019</c:v>
                </c:pt>
                <c:pt idx="1">
                  <c:v>2018</c:v>
                </c:pt>
                <c:pt idx="2">
                  <c:v>2017</c:v>
                </c:pt>
                <c:pt idx="3">
                  <c:v>2016</c:v>
                </c:pt>
              </c:numCache>
            </c:numRef>
          </c:cat>
          <c:val>
            <c:numRef>
              <c:f>Sheet1!$C$65:$C$68</c:f>
              <c:numCache>
                <c:formatCode>0.00</c:formatCode>
                <c:ptCount val="4"/>
                <c:pt idx="0">
                  <c:v>0.63144626107589075</c:v>
                </c:pt>
                <c:pt idx="1">
                  <c:v>0.95363241282551703</c:v>
                </c:pt>
                <c:pt idx="2">
                  <c:v>1.2462307862028388</c:v>
                </c:pt>
                <c:pt idx="3">
                  <c:v>1.181026684758028</c:v>
                </c:pt>
              </c:numCache>
            </c:numRef>
          </c:val>
          <c:extLst xmlns:c16r2="http://schemas.microsoft.com/office/drawing/2015/06/chart">
            <c:ext xmlns:c16="http://schemas.microsoft.com/office/drawing/2014/chart" uri="{C3380CC4-5D6E-409C-BE32-E72D297353CC}">
              <c16:uniqueId val="{00000000-C3B9-6042-87A7-0C9A0A2EC3C6}"/>
            </c:ext>
          </c:extLst>
        </c:ser>
        <c:dLbls>
          <c:showVal val="1"/>
        </c:dLbls>
        <c:dropLines>
          <c:spPr>
            <a:ln w="9525" cap="flat" cmpd="sng" algn="ctr">
              <a:solidFill>
                <a:schemeClr val="dk1">
                  <a:lumMod val="35000"/>
                  <a:lumOff val="65000"/>
                  <a:alpha val="33000"/>
                </a:schemeClr>
              </a:solidFill>
              <a:round/>
            </a:ln>
            <a:effectLst/>
          </c:spPr>
        </c:dropLines>
        <c:marker val="1"/>
        <c:axId val="67421312"/>
        <c:axId val="67423616"/>
      </c:lineChart>
      <c:catAx>
        <c:axId val="67421312"/>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7423616"/>
        <c:crosses val="autoZero"/>
        <c:auto val="1"/>
        <c:lblAlgn val="ctr"/>
        <c:lblOffset val="100"/>
      </c:catAx>
      <c:valAx>
        <c:axId val="67423616"/>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7421312"/>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3.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Sheet1!$I$47</c:f>
              <c:strCache>
                <c:ptCount val="1"/>
                <c:pt idx="0">
                  <c:v>Cash  Ratio</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Sheet1!$J$46:$M$46</c:f>
              <c:numCache>
                <c:formatCode>General</c:formatCode>
                <c:ptCount val="4"/>
                <c:pt idx="0">
                  <c:v>2019</c:v>
                </c:pt>
                <c:pt idx="1">
                  <c:v>2018</c:v>
                </c:pt>
                <c:pt idx="2">
                  <c:v>2017</c:v>
                </c:pt>
                <c:pt idx="3">
                  <c:v>2016</c:v>
                </c:pt>
              </c:numCache>
            </c:numRef>
          </c:cat>
          <c:val>
            <c:numRef>
              <c:f>Sheet1!$J$47:$M$47</c:f>
              <c:numCache>
                <c:formatCode>0.00</c:formatCode>
                <c:ptCount val="4"/>
                <c:pt idx="0">
                  <c:v>0.41430319208096988</c:v>
                </c:pt>
                <c:pt idx="1">
                  <c:v>0.54628203812065756</c:v>
                </c:pt>
                <c:pt idx="2">
                  <c:v>0.76027800250055599</c:v>
                </c:pt>
                <c:pt idx="3">
                  <c:v>0.83676315392733258</c:v>
                </c:pt>
              </c:numCache>
            </c:numRef>
          </c:val>
          <c:extLst xmlns:c16r2="http://schemas.microsoft.com/office/drawing/2015/06/chart">
            <c:ext xmlns:c16="http://schemas.microsoft.com/office/drawing/2014/chart" uri="{C3380CC4-5D6E-409C-BE32-E72D297353CC}">
              <c16:uniqueId val="{00000000-3BA5-4F4D-8452-B1595F4C67C5}"/>
            </c:ext>
          </c:extLst>
        </c:ser>
        <c:dLbls>
          <c:showVal val="1"/>
        </c:dLbls>
        <c:dropLines>
          <c:spPr>
            <a:ln w="9525" cap="flat" cmpd="sng" algn="ctr">
              <a:solidFill>
                <a:schemeClr val="dk1">
                  <a:lumMod val="35000"/>
                  <a:lumOff val="65000"/>
                  <a:alpha val="33000"/>
                </a:schemeClr>
              </a:solidFill>
              <a:round/>
            </a:ln>
            <a:effectLst/>
          </c:spPr>
        </c:dropLines>
        <c:marker val="1"/>
        <c:axId val="67515904"/>
        <c:axId val="67517440"/>
      </c:lineChart>
      <c:catAx>
        <c:axId val="67515904"/>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7517440"/>
        <c:crosses val="autoZero"/>
        <c:auto val="1"/>
        <c:lblAlgn val="ctr"/>
        <c:lblOffset val="100"/>
      </c:catAx>
      <c:valAx>
        <c:axId val="67517440"/>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67515904"/>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4.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Sheet3!$B$8</c:f>
              <c:strCache>
                <c:ptCount val="1"/>
                <c:pt idx="0">
                  <c:v>Inventory Turnover</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Sheet3!$C$7:$F$7</c:f>
              <c:numCache>
                <c:formatCode>General</c:formatCode>
                <c:ptCount val="4"/>
                <c:pt idx="0">
                  <c:v>2019</c:v>
                </c:pt>
                <c:pt idx="1">
                  <c:v>2018</c:v>
                </c:pt>
                <c:pt idx="2">
                  <c:v>2017</c:v>
                </c:pt>
                <c:pt idx="3">
                  <c:v>2016</c:v>
                </c:pt>
              </c:numCache>
            </c:numRef>
          </c:cat>
          <c:val>
            <c:numRef>
              <c:f>Sheet3!$C$8:$F$8</c:f>
              <c:numCache>
                <c:formatCode>General</c:formatCode>
                <c:ptCount val="4"/>
                <c:pt idx="0">
                  <c:v>4.33</c:v>
                </c:pt>
                <c:pt idx="1">
                  <c:v>4.26</c:v>
                </c:pt>
                <c:pt idx="2">
                  <c:v>4.99</c:v>
                </c:pt>
                <c:pt idx="3">
                  <c:v>6.1599999999999975</c:v>
                </c:pt>
              </c:numCache>
            </c:numRef>
          </c:val>
          <c:extLst xmlns:c16r2="http://schemas.microsoft.com/office/drawing/2015/06/chart">
            <c:ext xmlns:c16="http://schemas.microsoft.com/office/drawing/2014/chart" uri="{C3380CC4-5D6E-409C-BE32-E72D297353CC}">
              <c16:uniqueId val="{00000000-8855-A340-AAD4-E9A2B872389E}"/>
            </c:ext>
          </c:extLst>
        </c:ser>
        <c:dLbls>
          <c:showVal val="1"/>
        </c:dLbls>
        <c:dropLines>
          <c:spPr>
            <a:ln w="9525" cap="flat" cmpd="sng" algn="ctr">
              <a:solidFill>
                <a:schemeClr val="dk1">
                  <a:lumMod val="35000"/>
                  <a:lumOff val="65000"/>
                  <a:alpha val="33000"/>
                </a:schemeClr>
              </a:solidFill>
              <a:round/>
            </a:ln>
            <a:effectLst/>
          </c:spPr>
        </c:dropLines>
        <c:marker val="1"/>
        <c:axId val="84291584"/>
        <c:axId val="123336192"/>
      </c:lineChart>
      <c:catAx>
        <c:axId val="84291584"/>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3336192"/>
        <c:crosses val="autoZero"/>
        <c:auto val="1"/>
        <c:lblAlgn val="ctr"/>
        <c:lblOffset val="100"/>
      </c:catAx>
      <c:valAx>
        <c:axId val="123336192"/>
        <c:scaling>
          <c:orientation val="minMax"/>
        </c:scaling>
        <c:axPos val="l"/>
        <c:numFmt formatCode="General"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4291584"/>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5.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Sheet3!$B$3</c:f>
              <c:strCache>
                <c:ptCount val="1"/>
                <c:pt idx="0">
                  <c:v>Receivable  Turnover</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Sheet3!$C$2:$F$2</c:f>
              <c:numCache>
                <c:formatCode>General</c:formatCode>
                <c:ptCount val="4"/>
                <c:pt idx="0">
                  <c:v>2019</c:v>
                </c:pt>
                <c:pt idx="1">
                  <c:v>2018</c:v>
                </c:pt>
                <c:pt idx="2">
                  <c:v>2017</c:v>
                </c:pt>
                <c:pt idx="3">
                  <c:v>2016</c:v>
                </c:pt>
              </c:numCache>
            </c:numRef>
          </c:cat>
          <c:val>
            <c:numRef>
              <c:f>Sheet3!$C$3:$F$3</c:f>
              <c:numCache>
                <c:formatCode>0.00</c:formatCode>
                <c:ptCount val="4"/>
                <c:pt idx="0">
                  <c:v>9.3845378997734112</c:v>
                </c:pt>
                <c:pt idx="1">
                  <c:v>9.3804475853945828</c:v>
                </c:pt>
                <c:pt idx="2">
                  <c:v>9.6563948731933547</c:v>
                </c:pt>
                <c:pt idx="3">
                  <c:v>10.856587136929541</c:v>
                </c:pt>
              </c:numCache>
            </c:numRef>
          </c:val>
          <c:extLst xmlns:c16r2="http://schemas.microsoft.com/office/drawing/2015/06/chart">
            <c:ext xmlns:c16="http://schemas.microsoft.com/office/drawing/2014/chart" uri="{C3380CC4-5D6E-409C-BE32-E72D297353CC}">
              <c16:uniqueId val="{00000000-F6E1-0746-99EE-DBBA9E1B8F0A}"/>
            </c:ext>
          </c:extLst>
        </c:ser>
        <c:dLbls>
          <c:showVal val="1"/>
        </c:dLbls>
        <c:dropLines>
          <c:spPr>
            <a:ln w="9525" cap="flat" cmpd="sng" algn="ctr">
              <a:solidFill>
                <a:schemeClr val="dk1">
                  <a:lumMod val="35000"/>
                  <a:lumOff val="65000"/>
                  <a:alpha val="33000"/>
                </a:schemeClr>
              </a:solidFill>
              <a:round/>
            </a:ln>
            <a:effectLst/>
          </c:spPr>
        </c:dropLines>
        <c:marker val="1"/>
        <c:axId val="81294080"/>
        <c:axId val="81295616"/>
      </c:lineChart>
      <c:catAx>
        <c:axId val="81294080"/>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295616"/>
        <c:crosses val="autoZero"/>
        <c:auto val="1"/>
        <c:lblAlgn val="ctr"/>
        <c:lblOffset val="100"/>
      </c:catAx>
      <c:valAx>
        <c:axId val="81295616"/>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29408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6.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Sheet3!$B$11</c:f>
              <c:strCache>
                <c:ptCount val="1"/>
                <c:pt idx="0">
                  <c:v>Total Asset Turnover</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Sheet3!$C$10:$F$10</c:f>
              <c:numCache>
                <c:formatCode>General</c:formatCode>
                <c:ptCount val="4"/>
                <c:pt idx="0">
                  <c:v>2019</c:v>
                </c:pt>
                <c:pt idx="1">
                  <c:v>2018</c:v>
                </c:pt>
                <c:pt idx="2">
                  <c:v>2017</c:v>
                </c:pt>
                <c:pt idx="3">
                  <c:v>2016</c:v>
                </c:pt>
              </c:numCache>
            </c:numRef>
          </c:cat>
          <c:val>
            <c:numRef>
              <c:f>Sheet3!$C$11:$F$11</c:f>
              <c:numCache>
                <c:formatCode>0.00</c:formatCode>
                <c:ptCount val="4"/>
                <c:pt idx="0">
                  <c:v>0.43141431564811816</c:v>
                </c:pt>
                <c:pt idx="1">
                  <c:v>0.38281099788502543</c:v>
                </c:pt>
                <c:pt idx="2">
                  <c:v>0.4028624738327139</c:v>
                </c:pt>
                <c:pt idx="3">
                  <c:v>0.47969519880829609</c:v>
                </c:pt>
              </c:numCache>
            </c:numRef>
          </c:val>
          <c:extLst xmlns:c16r2="http://schemas.microsoft.com/office/drawing/2015/06/chart">
            <c:ext xmlns:c16="http://schemas.microsoft.com/office/drawing/2014/chart" uri="{C3380CC4-5D6E-409C-BE32-E72D297353CC}">
              <c16:uniqueId val="{00000000-8A37-514B-A35C-F9E64210FC94}"/>
            </c:ext>
          </c:extLst>
        </c:ser>
        <c:dLbls>
          <c:showVal val="1"/>
        </c:dLbls>
        <c:dropLines>
          <c:spPr>
            <a:ln w="9525" cap="flat" cmpd="sng" algn="ctr">
              <a:solidFill>
                <a:schemeClr val="dk1">
                  <a:lumMod val="35000"/>
                  <a:lumOff val="65000"/>
                  <a:alpha val="33000"/>
                </a:schemeClr>
              </a:solidFill>
              <a:round/>
            </a:ln>
            <a:effectLst/>
          </c:spPr>
        </c:dropLines>
        <c:marker val="1"/>
        <c:axId val="81308288"/>
        <c:axId val="81310080"/>
      </c:lineChart>
      <c:catAx>
        <c:axId val="81308288"/>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310080"/>
        <c:crosses val="autoZero"/>
        <c:auto val="1"/>
        <c:lblAlgn val="ctr"/>
        <c:lblOffset val="100"/>
      </c:catAx>
      <c:valAx>
        <c:axId val="81310080"/>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30828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7.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Sheet5!$G$26</c:f>
              <c:strCache>
                <c:ptCount val="1"/>
                <c:pt idx="0">
                  <c:v>Debt Ratio</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Sheet5!$H$25:$K$25</c:f>
              <c:numCache>
                <c:formatCode>General</c:formatCode>
                <c:ptCount val="4"/>
                <c:pt idx="0">
                  <c:v>2019</c:v>
                </c:pt>
                <c:pt idx="1">
                  <c:v>2018</c:v>
                </c:pt>
                <c:pt idx="2">
                  <c:v>2017</c:v>
                </c:pt>
                <c:pt idx="3">
                  <c:v>2016</c:v>
                </c:pt>
              </c:numCache>
            </c:numRef>
          </c:cat>
          <c:val>
            <c:numRef>
              <c:f>Sheet5!$H$26:$K$26</c:f>
              <c:numCache>
                <c:formatCode>0.00</c:formatCode>
                <c:ptCount val="4"/>
                <c:pt idx="0">
                  <c:v>0.75575647422465664</c:v>
                </c:pt>
                <c:pt idx="1">
                  <c:v>0.77098154201115165</c:v>
                </c:pt>
                <c:pt idx="2">
                  <c:v>0.78409711477200328</c:v>
                </c:pt>
                <c:pt idx="3">
                  <c:v>0.73392918528704021</c:v>
                </c:pt>
              </c:numCache>
            </c:numRef>
          </c:val>
          <c:extLst xmlns:c16r2="http://schemas.microsoft.com/office/drawing/2015/06/chart">
            <c:ext xmlns:c16="http://schemas.microsoft.com/office/drawing/2014/chart" uri="{C3380CC4-5D6E-409C-BE32-E72D297353CC}">
              <c16:uniqueId val="{00000000-7BFC-374B-AA29-98A760C43403}"/>
            </c:ext>
          </c:extLst>
        </c:ser>
        <c:dLbls>
          <c:showVal val="1"/>
        </c:dLbls>
        <c:dropLines>
          <c:spPr>
            <a:ln w="9525" cap="flat" cmpd="sng" algn="ctr">
              <a:solidFill>
                <a:schemeClr val="dk1">
                  <a:lumMod val="35000"/>
                  <a:lumOff val="65000"/>
                  <a:alpha val="33000"/>
                </a:schemeClr>
              </a:solidFill>
              <a:round/>
            </a:ln>
            <a:effectLst/>
          </c:spPr>
        </c:dropLines>
        <c:marker val="1"/>
        <c:axId val="81326848"/>
        <c:axId val="81328384"/>
      </c:lineChart>
      <c:catAx>
        <c:axId val="81326848"/>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328384"/>
        <c:crosses val="autoZero"/>
        <c:auto val="1"/>
        <c:lblAlgn val="ctr"/>
        <c:lblOffset val="100"/>
      </c:catAx>
      <c:valAx>
        <c:axId val="81328384"/>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1326848"/>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8.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Sheet5!$G$31</c:f>
              <c:strCache>
                <c:ptCount val="1"/>
                <c:pt idx="0">
                  <c:v>Times Interest Earned Ratio</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Sheet5!$H$30:$K$30</c:f>
              <c:numCache>
                <c:formatCode>General</c:formatCode>
                <c:ptCount val="4"/>
                <c:pt idx="0">
                  <c:v>2019</c:v>
                </c:pt>
                <c:pt idx="1">
                  <c:v>2018</c:v>
                </c:pt>
                <c:pt idx="2">
                  <c:v>2017</c:v>
                </c:pt>
                <c:pt idx="3">
                  <c:v>2016</c:v>
                </c:pt>
              </c:numCache>
            </c:numRef>
          </c:cat>
          <c:val>
            <c:numRef>
              <c:f>Sheet5!$H$31:$K$31</c:f>
              <c:numCache>
                <c:formatCode>0.00</c:formatCode>
                <c:ptCount val="4"/>
                <c:pt idx="0">
                  <c:v>11.134249471458768</c:v>
                </c:pt>
                <c:pt idx="1">
                  <c:v>10.643090315560396</c:v>
                </c:pt>
                <c:pt idx="2">
                  <c:v>11.209274673008323</c:v>
                </c:pt>
                <c:pt idx="3">
                  <c:v>11.768076398362892</c:v>
                </c:pt>
              </c:numCache>
            </c:numRef>
          </c:val>
          <c:extLst xmlns:c16r2="http://schemas.microsoft.com/office/drawing/2015/06/chart">
            <c:ext xmlns:c16="http://schemas.microsoft.com/office/drawing/2014/chart" uri="{C3380CC4-5D6E-409C-BE32-E72D297353CC}">
              <c16:uniqueId val="{00000000-EAA0-C04D-897A-4246D7A42BBB}"/>
            </c:ext>
          </c:extLst>
        </c:ser>
        <c:dLbls>
          <c:showVal val="1"/>
        </c:dLbls>
        <c:dropLines>
          <c:spPr>
            <a:ln w="9525" cap="flat" cmpd="sng" algn="ctr">
              <a:solidFill>
                <a:schemeClr val="dk1">
                  <a:lumMod val="35000"/>
                  <a:lumOff val="65000"/>
                  <a:alpha val="33000"/>
                </a:schemeClr>
              </a:solidFill>
              <a:round/>
            </a:ln>
            <a:effectLst/>
          </c:spPr>
        </c:dropLines>
        <c:marker val="1"/>
        <c:axId val="84343424"/>
        <c:axId val="84947328"/>
      </c:lineChart>
      <c:catAx>
        <c:axId val="84343424"/>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4947328"/>
        <c:crosses val="autoZero"/>
        <c:auto val="1"/>
        <c:lblAlgn val="ctr"/>
        <c:lblOffset val="100"/>
      </c:catAx>
      <c:valAx>
        <c:axId val="84947328"/>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84343424"/>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9.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Sheet6!$G$30</c:f>
              <c:strCache>
                <c:ptCount val="1"/>
                <c:pt idx="0">
                  <c:v>Return on Equity</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separator>, </c:separator>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Sheet6!$H$29:$K$29</c:f>
              <c:numCache>
                <c:formatCode>General</c:formatCode>
                <c:ptCount val="4"/>
                <c:pt idx="0">
                  <c:v>2019</c:v>
                </c:pt>
                <c:pt idx="1">
                  <c:v>2018</c:v>
                </c:pt>
                <c:pt idx="2">
                  <c:v>2017</c:v>
                </c:pt>
                <c:pt idx="3">
                  <c:v>2016</c:v>
                </c:pt>
              </c:numCache>
            </c:numRef>
          </c:cat>
          <c:val>
            <c:numRef>
              <c:f>Sheet6!$H$30:$K$30</c:f>
              <c:numCache>
                <c:formatCode>0.00</c:formatCode>
                <c:ptCount val="4"/>
                <c:pt idx="0">
                  <c:v>0.4699436278383648</c:v>
                </c:pt>
                <c:pt idx="1">
                  <c:v>0.37889405806489718</c:v>
                </c:pt>
                <c:pt idx="2">
                  <c:v>7.3102155576382361E-2</c:v>
                </c:pt>
                <c:pt idx="3">
                  <c:v>0.28301968606365585</c:v>
                </c:pt>
              </c:numCache>
            </c:numRef>
          </c:val>
          <c:extLst xmlns:c16r2="http://schemas.microsoft.com/office/drawing/2015/06/chart">
            <c:ext xmlns:c16="http://schemas.microsoft.com/office/drawing/2014/chart" uri="{C3380CC4-5D6E-409C-BE32-E72D297353CC}">
              <c16:uniqueId val="{00000000-F434-3B42-9766-542ED9CF46C8}"/>
            </c:ext>
          </c:extLst>
        </c:ser>
        <c:dLbls>
          <c:showVal val="1"/>
        </c:dLbls>
        <c:dropLines>
          <c:spPr>
            <a:ln w="9525" cap="flat" cmpd="sng" algn="ctr">
              <a:solidFill>
                <a:schemeClr val="dk1">
                  <a:lumMod val="35000"/>
                  <a:lumOff val="65000"/>
                  <a:alpha val="33000"/>
                </a:schemeClr>
              </a:solidFill>
              <a:round/>
            </a:ln>
            <a:effectLst/>
          </c:spPr>
        </c:dropLines>
        <c:marker val="1"/>
        <c:axId val="91509504"/>
        <c:axId val="91511040"/>
      </c:lineChart>
      <c:catAx>
        <c:axId val="91509504"/>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91511040"/>
        <c:crosses val="autoZero"/>
        <c:auto val="1"/>
        <c:lblAlgn val="ctr"/>
        <c:lblOffset val="100"/>
      </c:catAx>
      <c:valAx>
        <c:axId val="91511040"/>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91509504"/>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0.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Sheet6!$G$35</c:f>
              <c:strCache>
                <c:ptCount val="1"/>
                <c:pt idx="0">
                  <c:v>Return on Assets</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Sheet6!$H$34:$K$34</c:f>
              <c:numCache>
                <c:formatCode>General</c:formatCode>
                <c:ptCount val="4"/>
                <c:pt idx="0">
                  <c:v>2019</c:v>
                </c:pt>
                <c:pt idx="1">
                  <c:v>2018</c:v>
                </c:pt>
                <c:pt idx="2">
                  <c:v>2017</c:v>
                </c:pt>
                <c:pt idx="3">
                  <c:v>2016</c:v>
                </c:pt>
              </c:numCache>
            </c:numRef>
          </c:cat>
          <c:val>
            <c:numRef>
              <c:f>Sheet6!$H$35:$K$35</c:f>
              <c:numCache>
                <c:formatCode>0.00</c:formatCode>
                <c:ptCount val="4"/>
                <c:pt idx="0">
                  <c:v>0.10326344913812101</c:v>
                </c:pt>
                <c:pt idx="1">
                  <c:v>7.7316862141896037E-2</c:v>
                </c:pt>
                <c:pt idx="2">
                  <c:v>1.4198598343496859E-2</c:v>
                </c:pt>
                <c:pt idx="3">
                  <c:v>7.4790878881632022E-2</c:v>
                </c:pt>
              </c:numCache>
            </c:numRef>
          </c:val>
          <c:extLst xmlns:c16r2="http://schemas.microsoft.com/office/drawing/2015/06/chart">
            <c:ext xmlns:c16="http://schemas.microsoft.com/office/drawing/2014/chart" uri="{C3380CC4-5D6E-409C-BE32-E72D297353CC}">
              <c16:uniqueId val="{00000000-18B3-B14A-AC3E-2B5C74AC6BE7}"/>
            </c:ext>
          </c:extLst>
        </c:ser>
        <c:dLbls>
          <c:showVal val="1"/>
        </c:dLbls>
        <c:dropLines>
          <c:spPr>
            <a:ln w="9525" cap="flat" cmpd="sng" algn="ctr">
              <a:solidFill>
                <a:schemeClr val="dk1">
                  <a:lumMod val="35000"/>
                  <a:lumOff val="65000"/>
                  <a:alpha val="33000"/>
                </a:schemeClr>
              </a:solidFill>
              <a:round/>
            </a:ln>
            <a:effectLst/>
          </c:spPr>
        </c:dropLines>
        <c:marker val="1"/>
        <c:axId val="111278720"/>
        <c:axId val="113639808"/>
      </c:lineChart>
      <c:catAx>
        <c:axId val="111278720"/>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3639808"/>
        <c:crosses val="autoZero"/>
        <c:auto val="1"/>
        <c:lblAlgn val="ctr"/>
        <c:lblOffset val="100"/>
      </c:catAx>
      <c:valAx>
        <c:axId val="113639808"/>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1278720"/>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charts/chart11.xml><?xml version="1.0" encoding="utf-8"?>
<c:chartSpace xmlns:c="http://schemas.openxmlformats.org/drawingml/2006/chart" xmlns:a="http://schemas.openxmlformats.org/drawingml/2006/main" xmlns:r="http://schemas.openxmlformats.org/officeDocument/2006/relationships">
  <c:date1904 val="1"/>
  <c:lang val="en-US"/>
  <c:chart>
    <c:title>
      <c:spPr>
        <a:noFill/>
        <a:ln>
          <a:noFill/>
        </a:ln>
        <a:effectLst/>
      </c:spPr>
      <c:txPr>
        <a:bodyPr rot="0" spcFirstLastPara="1" vertOverflow="ellipsis" vert="horz" wrap="square" anchor="ctr" anchorCtr="1"/>
        <a:lstStyle/>
        <a:p>
          <a:pPr>
            <a:defRPr sz="1400" b="0" i="0" u="none" strike="noStrike" kern="1200" cap="none" spc="20" baseline="0">
              <a:solidFill>
                <a:schemeClr val="dk1">
                  <a:lumMod val="50000"/>
                  <a:lumOff val="50000"/>
                </a:schemeClr>
              </a:solidFill>
              <a:latin typeface="+mn-lt"/>
              <a:ea typeface="+mn-ea"/>
              <a:cs typeface="+mn-cs"/>
            </a:defRPr>
          </a:pPr>
          <a:endParaRPr lang="en-US"/>
        </a:p>
      </c:txPr>
    </c:title>
    <c:plotArea>
      <c:layout/>
      <c:lineChart>
        <c:grouping val="standard"/>
        <c:ser>
          <c:idx val="0"/>
          <c:order val="0"/>
          <c:tx>
            <c:strRef>
              <c:f>Sheet6!$G$27</c:f>
              <c:strCache>
                <c:ptCount val="1"/>
                <c:pt idx="0">
                  <c:v>Profit Margin</c:v>
                </c:pt>
              </c:strCache>
            </c:strRef>
          </c:tx>
          <c:spPr>
            <a:ln w="22225" cap="rnd" cmpd="sng" algn="ctr">
              <a:solidFill>
                <a:schemeClr val="accent1"/>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65000"/>
                        <a:lumOff val="35000"/>
                      </a:schemeClr>
                    </a:solidFill>
                    <a:latin typeface="+mn-lt"/>
                    <a:ea typeface="+mn-ea"/>
                    <a:cs typeface="+mn-cs"/>
                  </a:defRPr>
                </a:pPr>
                <a:endParaRPr lang="en-US"/>
              </a:p>
            </c:txPr>
            <c:dLblPos val="ctr"/>
            <c:showVal val="1"/>
            <c:extLst xmlns:c16r2="http://schemas.microsoft.com/office/drawing/2015/06/chart">
              <c:ext xmlns:c15="http://schemas.microsoft.com/office/drawing/2012/chart" uri="{CE6537A1-D6FC-4f65-9D91-7224C49458BB}">
                <c15:showLeaderLines val="1"/>
                <c15:leaderLines>
                  <c:spPr>
                    <a:ln w="9525">
                      <a:solidFill>
                        <a:schemeClr val="dk1">
                          <a:lumMod val="35000"/>
                          <a:lumOff val="65000"/>
                        </a:schemeClr>
                      </a:solidFill>
                    </a:ln>
                    <a:effectLst/>
                  </c:spPr>
                </c15:leaderLines>
              </c:ext>
            </c:extLst>
          </c:dLbls>
          <c:cat>
            <c:numRef>
              <c:f>Sheet6!$H$26:$K$26</c:f>
              <c:numCache>
                <c:formatCode>General</c:formatCode>
                <c:ptCount val="4"/>
                <c:pt idx="0">
                  <c:v>2019</c:v>
                </c:pt>
                <c:pt idx="1">
                  <c:v>2018</c:v>
                </c:pt>
                <c:pt idx="2">
                  <c:v>2017</c:v>
                </c:pt>
                <c:pt idx="3">
                  <c:v>2016</c:v>
                </c:pt>
              </c:numCache>
            </c:numRef>
          </c:cat>
          <c:val>
            <c:numRef>
              <c:f>Sheet6!$H$27:$K$27</c:f>
              <c:numCache>
                <c:formatCode>0.00</c:formatCode>
                <c:ptCount val="4"/>
                <c:pt idx="0">
                  <c:v>0.23936027478130256</c:v>
                </c:pt>
                <c:pt idx="1">
                  <c:v>0.20197137117026678</c:v>
                </c:pt>
                <c:pt idx="2">
                  <c:v>3.5244281276475602E-2</c:v>
                </c:pt>
                <c:pt idx="3">
                  <c:v>0.15591333635907711</c:v>
                </c:pt>
              </c:numCache>
            </c:numRef>
          </c:val>
          <c:extLst xmlns:c16r2="http://schemas.microsoft.com/office/drawing/2015/06/chart">
            <c:ext xmlns:c16="http://schemas.microsoft.com/office/drawing/2014/chart" uri="{C3380CC4-5D6E-409C-BE32-E72D297353CC}">
              <c16:uniqueId val="{00000000-8C72-5F44-B7F8-085D385ECF86}"/>
            </c:ext>
          </c:extLst>
        </c:ser>
        <c:dLbls>
          <c:showVal val="1"/>
        </c:dLbls>
        <c:dropLines>
          <c:spPr>
            <a:ln w="9525" cap="flat" cmpd="sng" algn="ctr">
              <a:solidFill>
                <a:schemeClr val="dk1">
                  <a:lumMod val="35000"/>
                  <a:lumOff val="65000"/>
                  <a:alpha val="33000"/>
                </a:schemeClr>
              </a:solidFill>
              <a:round/>
            </a:ln>
            <a:effectLst/>
          </c:spPr>
        </c:dropLines>
        <c:marker val="1"/>
        <c:axId val="113656576"/>
        <c:axId val="113658112"/>
      </c:lineChart>
      <c:catAx>
        <c:axId val="113656576"/>
        <c:scaling>
          <c:orientation val="minMax"/>
        </c:scaling>
        <c:axPos val="b"/>
        <c:numFmt formatCode="General" sourceLinked="1"/>
        <c:maj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3658112"/>
        <c:crosses val="autoZero"/>
        <c:auto val="1"/>
        <c:lblAlgn val="ctr"/>
        <c:lblOffset val="100"/>
      </c:catAx>
      <c:valAx>
        <c:axId val="113658112"/>
        <c:scaling>
          <c:orientation val="minMax"/>
        </c:scaling>
        <c:axPos val="l"/>
        <c:numFmt formatCode="0.00" sourceLinked="1"/>
        <c:maj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13656576"/>
        <c:crosses val="autoZero"/>
        <c:crossBetween val="between"/>
      </c:valAx>
      <c:spPr>
        <a:gradFill>
          <a:gsLst>
            <a:gs pos="100000">
              <a:schemeClr val="lt1">
                <a:lumMod val="95000"/>
              </a:schemeClr>
            </a:gs>
            <a:gs pos="0">
              <a:schemeClr val="lt1"/>
            </a:gs>
          </a:gsLst>
          <a:lin ang="5400000" scaled="0"/>
        </a:gradFill>
        <a:ln>
          <a:noFill/>
        </a:ln>
        <a:effectLst/>
      </c:spPr>
    </c:plotArea>
    <c:plotVisOnly val="1"/>
    <c:dispBlanksAs val="gap"/>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1"/>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46F717-2FC6-4666-95B3-012189BF8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4944</Words>
  <Characters>28181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cp:revision>
  <dcterms:created xsi:type="dcterms:W3CDTF">2021-01-12T15:33:00Z</dcterms:created>
  <dcterms:modified xsi:type="dcterms:W3CDTF">2021-01-12T15:33:00Z</dcterms:modified>
</cp:coreProperties>
</file>