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48259D" w14:textId="41D7708B" w:rsidR="00CF66B9" w:rsidRDefault="0001346B" w:rsidP="0001346B">
      <w:pPr>
        <w:spacing w:line="360" w:lineRule="auto"/>
        <w:jc w:val="both"/>
        <w:rPr>
          <w:sz w:val="24"/>
          <w:szCs w:val="24"/>
        </w:rPr>
      </w:pPr>
      <w:r>
        <w:rPr>
          <w:sz w:val="24"/>
          <w:szCs w:val="24"/>
        </w:rPr>
        <w:t>This assignment is intended to look at a number of aspects pertaining to the working classes attitudes towards higher education in the United Kingdom</w:t>
      </w:r>
      <w:r w:rsidR="000C5B38">
        <w:rPr>
          <w:sz w:val="24"/>
          <w:szCs w:val="24"/>
        </w:rPr>
        <w:t xml:space="preserve"> (UK)</w:t>
      </w:r>
      <w:r>
        <w:rPr>
          <w:sz w:val="24"/>
          <w:szCs w:val="24"/>
        </w:rPr>
        <w:t>, as well as trying to define and understand the links between social class and educational attainment</w:t>
      </w:r>
      <w:r w:rsidR="00210719">
        <w:rPr>
          <w:sz w:val="24"/>
          <w:szCs w:val="24"/>
        </w:rPr>
        <w:t xml:space="preserve"> at a post-compulsory level</w:t>
      </w:r>
      <w:r>
        <w:rPr>
          <w:sz w:val="24"/>
          <w:szCs w:val="24"/>
        </w:rPr>
        <w:t xml:space="preserve">. </w:t>
      </w:r>
      <w:r w:rsidR="00D06CB2">
        <w:rPr>
          <w:sz w:val="24"/>
          <w:szCs w:val="24"/>
        </w:rPr>
        <w:t xml:space="preserve">While there has been a ‘sharp expansion of post-compulsory education’, this expansion ‘does not seem to have been equally distributed across socio-economic groups’ and in fact seems to have been ‘concentrated upon children from higher social classes’ </w:t>
      </w:r>
      <w:r w:rsidR="00D06CB2" w:rsidRPr="00D06CB2">
        <w:rPr>
          <w:sz w:val="24"/>
          <w:szCs w:val="24"/>
        </w:rPr>
        <w:t>(Machin and Vignoles, 2005)</w:t>
      </w:r>
      <w:r w:rsidR="00D06CB2">
        <w:rPr>
          <w:sz w:val="24"/>
          <w:szCs w:val="24"/>
        </w:rPr>
        <w:t>. The purpose therefore of this work is to attempt to discover some answers or understanding of why this is the case, and to suggest possible changes and improvemen</w:t>
      </w:r>
      <w:r w:rsidR="00EC176B">
        <w:rPr>
          <w:sz w:val="24"/>
          <w:szCs w:val="24"/>
        </w:rPr>
        <w:t xml:space="preserve">ts in policy and understanding to improve the current situation. </w:t>
      </w:r>
      <w:r>
        <w:rPr>
          <w:sz w:val="24"/>
          <w:szCs w:val="24"/>
        </w:rPr>
        <w:t xml:space="preserve">In order to do that successfully, this will require study and interpretation of both current and historical data and statistics, as well as looking at the question </w:t>
      </w:r>
      <w:r w:rsidR="00210719">
        <w:rPr>
          <w:sz w:val="24"/>
          <w:szCs w:val="24"/>
        </w:rPr>
        <w:t>in a far broader sense</w:t>
      </w:r>
      <w:r>
        <w:rPr>
          <w:sz w:val="24"/>
          <w:szCs w:val="24"/>
        </w:rPr>
        <w:t xml:space="preserve"> through a sociological perspective. With that in mind, there will </w:t>
      </w:r>
      <w:r w:rsidR="00210719">
        <w:rPr>
          <w:sz w:val="24"/>
          <w:szCs w:val="24"/>
        </w:rPr>
        <w:t xml:space="preserve">additionally </w:t>
      </w:r>
      <w:r>
        <w:rPr>
          <w:sz w:val="24"/>
          <w:szCs w:val="24"/>
        </w:rPr>
        <w:t xml:space="preserve">be scope to investigate a number of prevailing sociological theories, with particular attention paid to the concepts of social capital theory, and the work of Pierre Bourdieu on cultural capital and </w:t>
      </w:r>
      <w:r w:rsidR="00F32095">
        <w:rPr>
          <w:sz w:val="24"/>
          <w:szCs w:val="24"/>
        </w:rPr>
        <w:t xml:space="preserve">cultural </w:t>
      </w:r>
      <w:r>
        <w:rPr>
          <w:sz w:val="24"/>
          <w:szCs w:val="24"/>
        </w:rPr>
        <w:t xml:space="preserve">reproduction </w:t>
      </w:r>
      <w:r w:rsidR="00F32095">
        <w:rPr>
          <w:sz w:val="24"/>
          <w:szCs w:val="24"/>
        </w:rPr>
        <w:t xml:space="preserve">theory </w:t>
      </w:r>
      <w:r>
        <w:rPr>
          <w:sz w:val="24"/>
          <w:szCs w:val="24"/>
        </w:rPr>
        <w:t xml:space="preserve">in education. </w:t>
      </w:r>
      <w:r w:rsidR="00210719">
        <w:rPr>
          <w:sz w:val="24"/>
          <w:szCs w:val="24"/>
        </w:rPr>
        <w:t>There must also be some consideration of the language used by institutions and government with regards to student loans and grants, and how this could be said to be possibly impacting entry rates at universities. With regards to statistical data specifically, it is intended to focus on the current and historical measures used by government to define socio-economic differences, such as Free School Meal (FSM) levels, and also Participation of Local Areas (POLAR)</w:t>
      </w:r>
      <w:r w:rsidR="000C5B38">
        <w:rPr>
          <w:sz w:val="24"/>
          <w:szCs w:val="24"/>
        </w:rPr>
        <w:t xml:space="preserve"> across the UK, which classifies local areas into five groups, or quintiles, based on the proportion of 18 year olds who enter higher education. In addition to these topics of study, attention must </w:t>
      </w:r>
      <w:r w:rsidR="000C5B38">
        <w:rPr>
          <w:sz w:val="24"/>
          <w:szCs w:val="24"/>
        </w:rPr>
        <w:lastRenderedPageBreak/>
        <w:t>also be paid to the concepts of social mobility</w:t>
      </w:r>
      <w:r w:rsidR="00F32095">
        <w:rPr>
          <w:sz w:val="24"/>
          <w:szCs w:val="24"/>
        </w:rPr>
        <w:t xml:space="preserve"> in the UK</w:t>
      </w:r>
      <w:r w:rsidR="000C5B38">
        <w:rPr>
          <w:sz w:val="24"/>
          <w:szCs w:val="24"/>
        </w:rPr>
        <w:t xml:space="preserve">, </w:t>
      </w:r>
      <w:r w:rsidR="00CF66B9">
        <w:rPr>
          <w:sz w:val="24"/>
          <w:szCs w:val="24"/>
        </w:rPr>
        <w:t xml:space="preserve">and how it could </w:t>
      </w:r>
      <w:r w:rsidR="00F32095">
        <w:rPr>
          <w:sz w:val="24"/>
          <w:szCs w:val="24"/>
        </w:rPr>
        <w:t xml:space="preserve">be </w:t>
      </w:r>
      <w:r w:rsidR="00CF66B9">
        <w:rPr>
          <w:sz w:val="24"/>
          <w:szCs w:val="24"/>
        </w:rPr>
        <w:t xml:space="preserve">argued to have reached a point where it has been declared ‘dead’ by a number of respected media institutions, such as The New York Times, The Guardian, and The Independent. </w:t>
      </w:r>
      <w:r w:rsidR="00F34480">
        <w:rPr>
          <w:sz w:val="24"/>
          <w:szCs w:val="24"/>
        </w:rPr>
        <w:t>It is also extremely important to make the sta</w:t>
      </w:r>
      <w:r w:rsidR="003A43B2">
        <w:rPr>
          <w:sz w:val="24"/>
          <w:szCs w:val="24"/>
        </w:rPr>
        <w:t>tement that this work is intended</w:t>
      </w:r>
      <w:r w:rsidR="00F34480">
        <w:rPr>
          <w:sz w:val="24"/>
          <w:szCs w:val="24"/>
        </w:rPr>
        <w:t xml:space="preserve"> to look at working class ‘attitudes’ towards Higher Education (HE), and in order to do that successfully, we must look in detail at the educational system that precedes it, and British society at large, as well as looking at the institution of HE itself. </w:t>
      </w:r>
    </w:p>
    <w:p w14:paraId="789C6BA6" w14:textId="0B964D04" w:rsidR="008B7705" w:rsidRDefault="00CF66B9" w:rsidP="0001346B">
      <w:pPr>
        <w:spacing w:line="360" w:lineRule="auto"/>
        <w:jc w:val="both"/>
        <w:rPr>
          <w:sz w:val="24"/>
          <w:szCs w:val="24"/>
        </w:rPr>
      </w:pPr>
      <w:r>
        <w:rPr>
          <w:sz w:val="24"/>
          <w:szCs w:val="24"/>
        </w:rPr>
        <w:t xml:space="preserve">In 1970, the prominent British sociologist </w:t>
      </w:r>
      <w:r w:rsidR="008E40A1">
        <w:rPr>
          <w:sz w:val="24"/>
          <w:szCs w:val="24"/>
        </w:rPr>
        <w:t>Basil Bernstein</w:t>
      </w:r>
      <w:r>
        <w:rPr>
          <w:sz w:val="24"/>
          <w:szCs w:val="24"/>
        </w:rPr>
        <w:t xml:space="preserve"> made a statement in a sociological journal</w:t>
      </w:r>
      <w:r w:rsidR="008E40A1">
        <w:rPr>
          <w:sz w:val="24"/>
          <w:szCs w:val="24"/>
        </w:rPr>
        <w:t>,</w:t>
      </w:r>
      <w:r>
        <w:rPr>
          <w:sz w:val="24"/>
          <w:szCs w:val="24"/>
        </w:rPr>
        <w:t xml:space="preserve"> in which he argued that ‘education cannot compensate for society’ (Bernstein, 1970). </w:t>
      </w:r>
      <w:r w:rsidR="000C5B38">
        <w:rPr>
          <w:sz w:val="24"/>
          <w:szCs w:val="24"/>
        </w:rPr>
        <w:t xml:space="preserve"> </w:t>
      </w:r>
      <w:r w:rsidR="008E40A1">
        <w:rPr>
          <w:sz w:val="24"/>
          <w:szCs w:val="24"/>
        </w:rPr>
        <w:t>In making this statement</w:t>
      </w:r>
      <w:r w:rsidR="00FA3084">
        <w:rPr>
          <w:sz w:val="24"/>
          <w:szCs w:val="24"/>
        </w:rPr>
        <w:t>, and in the article which followed,</w:t>
      </w:r>
      <w:r w:rsidR="008E40A1">
        <w:rPr>
          <w:sz w:val="24"/>
          <w:szCs w:val="24"/>
        </w:rPr>
        <w:t xml:space="preserve"> he made clear his ‘rejection of the view that working-class underachievement should be blamed on a child’s home background’ and argued instead that the ‘answer to underachievement lay in the organisation of schools’ (Nightingale, 2019). This viewpoint is still one that has enormous traction today, as has been evidenced by more recent studies by Thompson et al. (2016)</w:t>
      </w:r>
      <w:r w:rsidR="004F0D3D">
        <w:rPr>
          <w:sz w:val="24"/>
          <w:szCs w:val="24"/>
        </w:rPr>
        <w:t xml:space="preserve">, which </w:t>
      </w:r>
      <w:r w:rsidR="00FA3084">
        <w:rPr>
          <w:sz w:val="24"/>
          <w:szCs w:val="24"/>
        </w:rPr>
        <w:t xml:space="preserve">also </w:t>
      </w:r>
      <w:r w:rsidR="004F0D3D">
        <w:rPr>
          <w:sz w:val="24"/>
          <w:szCs w:val="24"/>
        </w:rPr>
        <w:t xml:space="preserve">seem to put forward the viewpoint that little has changed in the previous half a century. </w:t>
      </w:r>
      <w:r w:rsidR="008E40A1">
        <w:rPr>
          <w:sz w:val="24"/>
          <w:szCs w:val="24"/>
        </w:rPr>
        <w:t xml:space="preserve"> </w:t>
      </w:r>
      <w:r w:rsidR="004F0D3D">
        <w:rPr>
          <w:sz w:val="24"/>
          <w:szCs w:val="24"/>
        </w:rPr>
        <w:t>In many respects, as a country, particularly pertaining to educational policy, there appears to be an overwhelming desire by the current government, and the succession of Education Ministers in office since the General Election win for the Conservative Party in 2010</w:t>
      </w:r>
      <w:r w:rsidR="00F32095">
        <w:rPr>
          <w:sz w:val="24"/>
          <w:szCs w:val="24"/>
        </w:rPr>
        <w:t>,</w:t>
      </w:r>
      <w:r w:rsidR="00FA3084">
        <w:rPr>
          <w:sz w:val="24"/>
          <w:szCs w:val="24"/>
        </w:rPr>
        <w:t xml:space="preserve"> </w:t>
      </w:r>
      <w:r w:rsidR="004F0D3D">
        <w:rPr>
          <w:sz w:val="24"/>
          <w:szCs w:val="24"/>
        </w:rPr>
        <w:t>to look to the past to solve the problems of the present and the future. These policies and initiatives have included</w:t>
      </w:r>
      <w:r w:rsidR="0058445A">
        <w:rPr>
          <w:sz w:val="24"/>
          <w:szCs w:val="24"/>
        </w:rPr>
        <w:t>;</w:t>
      </w:r>
      <w:r w:rsidR="004F0D3D">
        <w:rPr>
          <w:sz w:val="24"/>
          <w:szCs w:val="24"/>
        </w:rPr>
        <w:t xml:space="preserve"> </w:t>
      </w:r>
      <w:r w:rsidR="0058445A">
        <w:rPr>
          <w:sz w:val="24"/>
          <w:szCs w:val="24"/>
        </w:rPr>
        <w:t xml:space="preserve">the attempted reintroduction of grammar schools, which had been largely abolished in the UK as far back as 1965, as well as the replacement of GCSE examinations in certain ‘core’ subjects, with new examinations called English Baccalaureate Certificates (EBCs). </w:t>
      </w:r>
      <w:r w:rsidR="00B9071E">
        <w:rPr>
          <w:sz w:val="24"/>
          <w:szCs w:val="24"/>
        </w:rPr>
        <w:t xml:space="preserve">There was a prevailing feeling during </w:t>
      </w:r>
      <w:r w:rsidR="00FA3084">
        <w:rPr>
          <w:sz w:val="24"/>
          <w:szCs w:val="24"/>
        </w:rPr>
        <w:t>the last decade</w:t>
      </w:r>
      <w:r w:rsidR="00B9071E">
        <w:rPr>
          <w:sz w:val="24"/>
          <w:szCs w:val="24"/>
        </w:rPr>
        <w:t xml:space="preserve"> from some sections of the Conservative Party that examinations had become too easy, or ‘that too many of the wrong sort of children had gone to the wrong sort of universities’, and they attempted to reverse this trend by making the ‘qualifying exams harder to pass’ and also by ‘making HE more expensive by tripling fees’ </w:t>
      </w:r>
      <w:r w:rsidR="00B9071E" w:rsidRPr="00B9071E">
        <w:rPr>
          <w:sz w:val="24"/>
          <w:szCs w:val="24"/>
        </w:rPr>
        <w:t>(Ainley, 2016)</w:t>
      </w:r>
      <w:r w:rsidR="00B9071E">
        <w:rPr>
          <w:sz w:val="24"/>
          <w:szCs w:val="24"/>
        </w:rPr>
        <w:t>.</w:t>
      </w:r>
      <w:r w:rsidR="0058445A">
        <w:rPr>
          <w:sz w:val="24"/>
          <w:szCs w:val="24"/>
        </w:rPr>
        <w:t xml:space="preserve"> </w:t>
      </w:r>
      <w:r w:rsidR="00C873A5">
        <w:rPr>
          <w:sz w:val="24"/>
          <w:szCs w:val="24"/>
        </w:rPr>
        <w:t xml:space="preserve">Examinations as a whole, and the part they play in society, will be looked at in further detail later on in this work, however some clue as to the opinion of their validity as a fair form of assessment can be surmised by </w:t>
      </w:r>
      <w:r w:rsidR="007717AC">
        <w:rPr>
          <w:sz w:val="24"/>
          <w:szCs w:val="24"/>
        </w:rPr>
        <w:t xml:space="preserve">the dissection of this quote by Marx in his ‘Critique of Hegel’s Doctrine of the State’. In this treatise Marx states that ‘The examination is nothing but the bureaucratic baptism of knowledge, the official recognition of the transubstantiation of profane knowledge into sacred knowledge’ (Marx, 1843).  This can possibly be construed as stating that the process of formal examination as a prerequisite for the demonstration of knowledge of a particular subject, is based not upon knowledge itself, but rather upon the recognition of the privilege of being a citizen of the state, and an acknowledgment of the supposed privilege inherent in such a relationship. </w:t>
      </w:r>
      <w:r w:rsidR="00B9071E">
        <w:rPr>
          <w:sz w:val="24"/>
          <w:szCs w:val="24"/>
        </w:rPr>
        <w:t xml:space="preserve">In order to justify his claims for reform of the educational system, both </w:t>
      </w:r>
      <w:r w:rsidR="00AF7099">
        <w:rPr>
          <w:sz w:val="24"/>
          <w:szCs w:val="24"/>
        </w:rPr>
        <w:t xml:space="preserve">Michael </w:t>
      </w:r>
      <w:r w:rsidR="00B9071E">
        <w:rPr>
          <w:sz w:val="24"/>
          <w:szCs w:val="24"/>
        </w:rPr>
        <w:t>Gove, and his successor, Nicky Morgan were fond of citing the work of the American educationalist E.D. Hirsch</w:t>
      </w:r>
      <w:r w:rsidR="00F34480">
        <w:rPr>
          <w:sz w:val="24"/>
          <w:szCs w:val="24"/>
        </w:rPr>
        <w:t xml:space="preserve"> </w:t>
      </w:r>
      <w:r w:rsidR="00F34480" w:rsidRPr="00F34480">
        <w:rPr>
          <w:sz w:val="24"/>
          <w:szCs w:val="24"/>
        </w:rPr>
        <w:t>(Henshaw, 2015)</w:t>
      </w:r>
      <w:r w:rsidR="00F34480">
        <w:rPr>
          <w:sz w:val="24"/>
          <w:szCs w:val="24"/>
        </w:rPr>
        <w:t>. Hirsch argued that it is possible to ‘identify core knowledge’ in different subjects, and made the claim that schools in the United States were ignoring this information, and were instead focusing on the teaching of what he describes as ‘skills’, which then results in a ‘knowledge deficit’</w:t>
      </w:r>
      <w:r w:rsidR="009F19F4">
        <w:rPr>
          <w:sz w:val="24"/>
          <w:szCs w:val="24"/>
        </w:rPr>
        <w:t xml:space="preserve"> within society as a whole</w:t>
      </w:r>
      <w:r w:rsidR="00F34480">
        <w:rPr>
          <w:sz w:val="24"/>
          <w:szCs w:val="24"/>
        </w:rPr>
        <w:t xml:space="preserve"> </w:t>
      </w:r>
      <w:r w:rsidR="00F34480" w:rsidRPr="00F34480">
        <w:rPr>
          <w:sz w:val="24"/>
          <w:szCs w:val="24"/>
        </w:rPr>
        <w:t>(Hirsch, 2006)</w:t>
      </w:r>
      <w:r w:rsidR="00F34480">
        <w:rPr>
          <w:sz w:val="24"/>
          <w:szCs w:val="24"/>
        </w:rPr>
        <w:t xml:space="preserve">. </w:t>
      </w:r>
      <w:r w:rsidR="00AF7099">
        <w:rPr>
          <w:sz w:val="24"/>
          <w:szCs w:val="24"/>
        </w:rPr>
        <w:t xml:space="preserve">To further illustrate the educational philosophy of Michael Gove, it is perhaps pertinent to consider his speech at Brighton College in 2012, where he </w:t>
      </w:r>
      <w:r w:rsidR="009F19F4">
        <w:rPr>
          <w:sz w:val="24"/>
          <w:szCs w:val="24"/>
        </w:rPr>
        <w:t>proposed an</w:t>
      </w:r>
      <w:r w:rsidR="00AF7099">
        <w:rPr>
          <w:sz w:val="24"/>
          <w:szCs w:val="24"/>
        </w:rPr>
        <w:t xml:space="preserve"> argument </w:t>
      </w:r>
      <w:r w:rsidR="009F19F4">
        <w:rPr>
          <w:sz w:val="24"/>
          <w:szCs w:val="24"/>
        </w:rPr>
        <w:t>which</w:t>
      </w:r>
      <w:r w:rsidR="00AF7099">
        <w:rPr>
          <w:sz w:val="24"/>
          <w:szCs w:val="24"/>
        </w:rPr>
        <w:t xml:space="preserve"> denied that ‘deprivation means destiny’, and </w:t>
      </w:r>
      <w:r w:rsidR="009F19F4">
        <w:rPr>
          <w:sz w:val="24"/>
          <w:szCs w:val="24"/>
        </w:rPr>
        <w:t xml:space="preserve">posited the opinion that </w:t>
      </w:r>
      <w:r w:rsidR="00AF7099">
        <w:rPr>
          <w:sz w:val="24"/>
          <w:szCs w:val="24"/>
        </w:rPr>
        <w:t xml:space="preserve">‘there need be no difference in performance – none whatsoever – between </w:t>
      </w:r>
      <w:r w:rsidR="00FA3084">
        <w:rPr>
          <w:sz w:val="24"/>
          <w:szCs w:val="24"/>
        </w:rPr>
        <w:t>pupils f</w:t>
      </w:r>
      <w:r w:rsidR="00AF7099">
        <w:rPr>
          <w:sz w:val="24"/>
          <w:szCs w:val="24"/>
        </w:rPr>
        <w:t>r</w:t>
      </w:r>
      <w:r w:rsidR="00FA3084">
        <w:rPr>
          <w:sz w:val="24"/>
          <w:szCs w:val="24"/>
        </w:rPr>
        <w:t>o</w:t>
      </w:r>
      <w:r w:rsidR="00AF7099">
        <w:rPr>
          <w:sz w:val="24"/>
          <w:szCs w:val="24"/>
        </w:rPr>
        <w:t>m disadvantaged backgrounds and those from wealthier homes’</w:t>
      </w:r>
      <w:r w:rsidR="009F19F4">
        <w:rPr>
          <w:sz w:val="24"/>
          <w:szCs w:val="24"/>
        </w:rPr>
        <w:t xml:space="preserve"> </w:t>
      </w:r>
      <w:r w:rsidR="009F19F4" w:rsidRPr="009F19F4">
        <w:rPr>
          <w:sz w:val="24"/>
          <w:szCs w:val="24"/>
        </w:rPr>
        <w:t>(Nightingale, 2019)</w:t>
      </w:r>
      <w:r w:rsidR="009F19F4">
        <w:rPr>
          <w:sz w:val="24"/>
          <w:szCs w:val="24"/>
        </w:rPr>
        <w:t xml:space="preserve">. </w:t>
      </w:r>
      <w:r w:rsidR="00C219D7">
        <w:rPr>
          <w:sz w:val="24"/>
          <w:szCs w:val="24"/>
        </w:rPr>
        <w:t xml:space="preserve"> In addition to this perspective, it is also worth noting the neo-liberal viewpoint from which this </w:t>
      </w:r>
      <w:r w:rsidR="008B7705">
        <w:rPr>
          <w:sz w:val="24"/>
          <w:szCs w:val="24"/>
        </w:rPr>
        <w:t>opinion stems</w:t>
      </w:r>
      <w:r w:rsidR="00C219D7">
        <w:rPr>
          <w:sz w:val="24"/>
          <w:szCs w:val="24"/>
        </w:rPr>
        <w:t xml:space="preserve"> ‘always ma</w:t>
      </w:r>
      <w:r w:rsidR="00537AB8">
        <w:rPr>
          <w:sz w:val="24"/>
          <w:szCs w:val="24"/>
        </w:rPr>
        <w:t>kes</w:t>
      </w:r>
      <w:r w:rsidR="00C219D7">
        <w:rPr>
          <w:sz w:val="24"/>
          <w:szCs w:val="24"/>
        </w:rPr>
        <w:t xml:space="preserve"> the individuals responsible for their own fate’ (Peters, 2001). </w:t>
      </w:r>
      <w:r w:rsidR="00FA3084">
        <w:rPr>
          <w:sz w:val="24"/>
          <w:szCs w:val="24"/>
        </w:rPr>
        <w:t>Unfor</w:t>
      </w:r>
      <w:r w:rsidR="00C873A5">
        <w:rPr>
          <w:sz w:val="24"/>
          <w:szCs w:val="24"/>
        </w:rPr>
        <w:t>tunately</w:t>
      </w:r>
      <w:r w:rsidR="00FA3084">
        <w:rPr>
          <w:sz w:val="24"/>
          <w:szCs w:val="24"/>
        </w:rPr>
        <w:t xml:space="preserve"> for many, this simplistic view of an egalitarian education system, where regardless of background or social status, achievement is dependent upon solely the efforts of the individual; fail to take into account any number of other factors which are known and have been evidenced to affect achievement. While it is not intended to make the argument that these policies are born out anything other the best intentions, and </w:t>
      </w:r>
      <w:r w:rsidR="00537AB8">
        <w:rPr>
          <w:sz w:val="24"/>
          <w:szCs w:val="24"/>
        </w:rPr>
        <w:t xml:space="preserve">additionally are </w:t>
      </w:r>
      <w:r w:rsidR="00FA3084">
        <w:rPr>
          <w:sz w:val="24"/>
          <w:szCs w:val="24"/>
        </w:rPr>
        <w:t xml:space="preserve">based on the </w:t>
      </w:r>
      <w:r w:rsidR="00AE369A">
        <w:rPr>
          <w:sz w:val="24"/>
          <w:szCs w:val="24"/>
        </w:rPr>
        <w:t>perspectives and viewpoints of certain avenues of educational theory</w:t>
      </w:r>
      <w:r w:rsidR="00537AB8">
        <w:rPr>
          <w:sz w:val="24"/>
          <w:szCs w:val="24"/>
        </w:rPr>
        <w:t>;</w:t>
      </w:r>
      <w:r w:rsidR="00AE369A">
        <w:rPr>
          <w:sz w:val="24"/>
          <w:szCs w:val="24"/>
        </w:rPr>
        <w:t xml:space="preserve"> </w:t>
      </w:r>
      <w:r w:rsidR="00537AB8">
        <w:rPr>
          <w:sz w:val="24"/>
          <w:szCs w:val="24"/>
        </w:rPr>
        <w:t>i</w:t>
      </w:r>
      <w:r w:rsidR="00AE369A">
        <w:rPr>
          <w:sz w:val="24"/>
          <w:szCs w:val="24"/>
        </w:rPr>
        <w:t xml:space="preserve">t can be easily argued that due to </w:t>
      </w:r>
      <w:r w:rsidR="00537AB8">
        <w:rPr>
          <w:sz w:val="24"/>
          <w:szCs w:val="24"/>
        </w:rPr>
        <w:t xml:space="preserve">the </w:t>
      </w:r>
      <w:r w:rsidR="00AE369A">
        <w:rPr>
          <w:sz w:val="24"/>
          <w:szCs w:val="24"/>
        </w:rPr>
        <w:t>well documented lack of diverse social class representation at higher levels of government</w:t>
      </w:r>
      <w:r w:rsidR="00537AB8">
        <w:rPr>
          <w:sz w:val="24"/>
          <w:szCs w:val="24"/>
        </w:rPr>
        <w:t>,</w:t>
      </w:r>
      <w:r w:rsidR="00AE369A">
        <w:rPr>
          <w:sz w:val="24"/>
          <w:szCs w:val="24"/>
        </w:rPr>
        <w:t xml:space="preserve"> and other agencies responsible for educational policy, </w:t>
      </w:r>
      <w:r w:rsidR="008B7705">
        <w:rPr>
          <w:sz w:val="24"/>
          <w:szCs w:val="24"/>
        </w:rPr>
        <w:t xml:space="preserve">that </w:t>
      </w:r>
      <w:r w:rsidR="00AE369A">
        <w:rPr>
          <w:sz w:val="24"/>
          <w:szCs w:val="24"/>
        </w:rPr>
        <w:t xml:space="preserve">it can be of no </w:t>
      </w:r>
      <w:r w:rsidR="008B7705">
        <w:rPr>
          <w:sz w:val="24"/>
          <w:szCs w:val="24"/>
        </w:rPr>
        <w:t xml:space="preserve">enormous </w:t>
      </w:r>
      <w:r w:rsidR="00AE369A">
        <w:rPr>
          <w:sz w:val="24"/>
          <w:szCs w:val="24"/>
        </w:rPr>
        <w:t xml:space="preserve">surprise that this meritocratic view of personal responsibility for educational attainment is so entrenched. This can be also </w:t>
      </w:r>
      <w:r w:rsidR="008B7705">
        <w:rPr>
          <w:sz w:val="24"/>
          <w:szCs w:val="24"/>
        </w:rPr>
        <w:t xml:space="preserve">be more </w:t>
      </w:r>
      <w:r w:rsidR="00AE369A">
        <w:rPr>
          <w:sz w:val="24"/>
          <w:szCs w:val="24"/>
        </w:rPr>
        <w:t>clearly shown by looking at the number of MP</w:t>
      </w:r>
      <w:r w:rsidR="00BF147E">
        <w:rPr>
          <w:sz w:val="24"/>
          <w:szCs w:val="24"/>
        </w:rPr>
        <w:t xml:space="preserve">s currently serving in the UK Parliament who were privately educated, with 52% of the current Conservative government having attended a private school, and 45% of those having attended either Oxford or Cambridge universities. Another interesting statistic worth noting at this point focuses more on the representation of the working classes within the Labour party, traditionally seen as the voices and advocates for this group within parliament. Looking back to the 1960s, there were </w:t>
      </w:r>
      <w:r w:rsidR="00537AB8">
        <w:rPr>
          <w:sz w:val="24"/>
          <w:szCs w:val="24"/>
        </w:rPr>
        <w:t xml:space="preserve">‘over 37% of Labour MPs’ that ‘came from manual occupation backgrounds’ </w:t>
      </w:r>
      <w:r w:rsidR="00537AB8" w:rsidRPr="00537AB8">
        <w:rPr>
          <w:sz w:val="24"/>
          <w:szCs w:val="24"/>
        </w:rPr>
        <w:t>(Reay, 2017)</w:t>
      </w:r>
      <w:r w:rsidR="00537AB8">
        <w:rPr>
          <w:sz w:val="24"/>
          <w:szCs w:val="24"/>
        </w:rPr>
        <w:t>. At present there are 7%</w:t>
      </w:r>
      <w:r w:rsidR="00C873A5">
        <w:rPr>
          <w:sz w:val="24"/>
          <w:szCs w:val="24"/>
        </w:rPr>
        <w:t xml:space="preserve"> of Labour MPs who identify as coming from a background of manual work</w:t>
      </w:r>
      <w:r w:rsidR="00537AB8">
        <w:rPr>
          <w:sz w:val="24"/>
          <w:szCs w:val="24"/>
        </w:rPr>
        <w:t>, and there is no reason to believe that this will not diminish</w:t>
      </w:r>
      <w:r w:rsidR="00C873A5">
        <w:rPr>
          <w:sz w:val="24"/>
          <w:szCs w:val="24"/>
        </w:rPr>
        <w:t xml:space="preserve"> even</w:t>
      </w:r>
      <w:r w:rsidR="00537AB8">
        <w:rPr>
          <w:sz w:val="24"/>
          <w:szCs w:val="24"/>
        </w:rPr>
        <w:t xml:space="preserve"> further. In many respects there is now an almost total lack of working class representation within positions of power with the UK government and its institutions, however there seems to be an enormous amount of ideas and policies which claim to know what is the best way to assist this unrepresented group, and a large proportion of these policies seem to follow the directive that </w:t>
      </w:r>
      <w:r w:rsidR="00C873A5">
        <w:rPr>
          <w:sz w:val="24"/>
          <w:szCs w:val="24"/>
        </w:rPr>
        <w:t>the working classes</w:t>
      </w:r>
      <w:r w:rsidR="00537AB8">
        <w:rPr>
          <w:sz w:val="24"/>
          <w:szCs w:val="24"/>
        </w:rPr>
        <w:t xml:space="preserve"> should attempt to become more middle class, </w:t>
      </w:r>
      <w:r w:rsidR="00C873A5">
        <w:rPr>
          <w:sz w:val="24"/>
          <w:szCs w:val="24"/>
        </w:rPr>
        <w:t xml:space="preserve">or to at least attempt to ascribe to more middle class values, and thus they will achieve more in both life and education.  This then can bring us onto the next section of this work, </w:t>
      </w:r>
      <w:r w:rsidR="00FF6A11">
        <w:rPr>
          <w:sz w:val="24"/>
          <w:szCs w:val="24"/>
        </w:rPr>
        <w:t xml:space="preserve">where we can </w:t>
      </w:r>
      <w:r w:rsidR="00C873A5">
        <w:rPr>
          <w:sz w:val="24"/>
          <w:szCs w:val="24"/>
        </w:rPr>
        <w:t xml:space="preserve">look in detail at </w:t>
      </w:r>
      <w:r w:rsidR="008B7705">
        <w:rPr>
          <w:sz w:val="24"/>
          <w:szCs w:val="24"/>
        </w:rPr>
        <w:t>the theories</w:t>
      </w:r>
      <w:r w:rsidR="00FF6A11">
        <w:rPr>
          <w:sz w:val="24"/>
          <w:szCs w:val="24"/>
        </w:rPr>
        <w:t xml:space="preserve"> of social and cultural capital;</w:t>
      </w:r>
      <w:r w:rsidR="008B7705">
        <w:rPr>
          <w:sz w:val="24"/>
          <w:szCs w:val="24"/>
        </w:rPr>
        <w:t xml:space="preserve"> </w:t>
      </w:r>
      <w:r w:rsidR="00C873A5">
        <w:rPr>
          <w:sz w:val="24"/>
          <w:szCs w:val="24"/>
        </w:rPr>
        <w:t>how it could be said that</w:t>
      </w:r>
      <w:r w:rsidR="008B7705">
        <w:rPr>
          <w:sz w:val="24"/>
          <w:szCs w:val="24"/>
        </w:rPr>
        <w:t xml:space="preserve"> they affect the attitud</w:t>
      </w:r>
      <w:r w:rsidR="00FF6A11">
        <w:rPr>
          <w:sz w:val="24"/>
          <w:szCs w:val="24"/>
        </w:rPr>
        <w:t xml:space="preserve">es of the working classes to HE, as well as the way in which class differences in attainment are perpetuated, by discussing elements of Bourdieu’s cultural reproduction theory (Bourdieu and Passeron, 1977). </w:t>
      </w:r>
    </w:p>
    <w:p w14:paraId="6443DCE5" w14:textId="10BF2949" w:rsidR="00B10AD9" w:rsidRDefault="00B10AD9" w:rsidP="00B10AD9">
      <w:pPr>
        <w:spacing w:line="360" w:lineRule="auto"/>
        <w:jc w:val="both"/>
        <w:rPr>
          <w:sz w:val="24"/>
          <w:szCs w:val="24"/>
        </w:rPr>
      </w:pPr>
      <w:r>
        <w:rPr>
          <w:sz w:val="24"/>
          <w:szCs w:val="24"/>
        </w:rPr>
        <w:t>Social capital theory can possibly be best described as being centred ‘on the proposition that people’s social networks are a valuable asset’ (Field, 200</w:t>
      </w:r>
      <w:r w:rsidR="00FC011A">
        <w:rPr>
          <w:sz w:val="24"/>
          <w:szCs w:val="24"/>
        </w:rPr>
        <w:t>5</w:t>
      </w:r>
      <w:r>
        <w:rPr>
          <w:sz w:val="24"/>
          <w:szCs w:val="24"/>
        </w:rPr>
        <w:t xml:space="preserve">). Of course in the modern world, the term ‘social network’ has taken on a new and further definition, but that is probably best left alone for the purposes of this work at least. There are also numerous subdivisions and specifics which attempt to further atomise social capital theory, and they also have their place elsewhere. The theory in itself can possibly also be boiled down to the old adage of ‘it’s not what you know, but who you know’, but of course is much more complicated than that. There </w:t>
      </w:r>
      <w:r>
        <w:rPr>
          <w:sz w:val="24"/>
          <w:szCs w:val="24"/>
        </w:rPr>
        <w:lastRenderedPageBreak/>
        <w:t>are more modern discussion</w:t>
      </w:r>
      <w:r w:rsidR="00C83FDB">
        <w:rPr>
          <w:sz w:val="24"/>
          <w:szCs w:val="24"/>
        </w:rPr>
        <w:t>s</w:t>
      </w:r>
      <w:r>
        <w:rPr>
          <w:sz w:val="24"/>
          <w:szCs w:val="24"/>
        </w:rPr>
        <w:t xml:space="preserve"> around the concept of social capital that centre on the idea of social capital as a form of resource, which can be utilised by individuals to succeed </w:t>
      </w:r>
      <w:r w:rsidR="00C83FDB">
        <w:rPr>
          <w:sz w:val="24"/>
          <w:szCs w:val="24"/>
        </w:rPr>
        <w:t>in</w:t>
      </w:r>
      <w:r>
        <w:rPr>
          <w:sz w:val="24"/>
          <w:szCs w:val="24"/>
        </w:rPr>
        <w:t xml:space="preserve"> their pursuit of individual or shared goals (Field, 200</w:t>
      </w:r>
      <w:r w:rsidR="00FC011A">
        <w:rPr>
          <w:sz w:val="24"/>
          <w:szCs w:val="24"/>
        </w:rPr>
        <w:t>5</w:t>
      </w:r>
      <w:r>
        <w:rPr>
          <w:sz w:val="24"/>
          <w:szCs w:val="24"/>
        </w:rPr>
        <w:t xml:space="preserve">). Bourdieu </w:t>
      </w:r>
      <w:r w:rsidR="00783CE5">
        <w:rPr>
          <w:sz w:val="24"/>
          <w:szCs w:val="24"/>
        </w:rPr>
        <w:t xml:space="preserve">himself </w:t>
      </w:r>
      <w:r>
        <w:rPr>
          <w:sz w:val="24"/>
          <w:szCs w:val="24"/>
        </w:rPr>
        <w:t>considered there to be three main facets to his theory of social capital, and he used these to explain why the middle classes tend to be more successful, as he believed that the middle classes tend to have more of these types of capital</w:t>
      </w:r>
      <w:r w:rsidR="00783CE5">
        <w:rPr>
          <w:sz w:val="24"/>
          <w:szCs w:val="24"/>
        </w:rPr>
        <w:t xml:space="preserve"> at their disposal</w:t>
      </w:r>
      <w:r>
        <w:rPr>
          <w:sz w:val="24"/>
          <w:szCs w:val="24"/>
        </w:rPr>
        <w:t xml:space="preserve">. Bourdieu’s main focus was on what he deemed ‘cultural capital’, and he used this term to </w:t>
      </w:r>
      <w:r>
        <w:rPr>
          <w:sz w:val="24"/>
          <w:szCs w:val="24"/>
        </w:rPr>
        <w:t xml:space="preserve">‘refer to the knowledge, attitudes, values, language, taste and abilities of the middle classes (Roberts, 2006). In an educational setting, middle class culture is indeed form of capital, because it can give an advantage to those who possess and harness it. </w:t>
      </w:r>
      <w:r w:rsidR="00C83FDB">
        <w:rPr>
          <w:sz w:val="24"/>
          <w:szCs w:val="24"/>
        </w:rPr>
        <w:t>Middle class children are more able to ‘grasp, analyse and express abstract ideas’, and they are also, perhaps more importantly, able to have ‘an understanding of what the education system requires for success’</w:t>
      </w:r>
      <w:r w:rsidR="00C83FDB" w:rsidRPr="00C83FDB">
        <w:t xml:space="preserve"> </w:t>
      </w:r>
      <w:r w:rsidR="00C83FDB" w:rsidRPr="00C83FDB">
        <w:rPr>
          <w:sz w:val="24"/>
          <w:szCs w:val="24"/>
        </w:rPr>
        <w:t>(Jensen, 2012)</w:t>
      </w:r>
      <w:r w:rsidR="00C83FDB">
        <w:rPr>
          <w:sz w:val="24"/>
          <w:szCs w:val="24"/>
        </w:rPr>
        <w:t xml:space="preserve">. It is also worth considering the concept that the school and educational environment is ‘not neutral, but favours and transmits the dominant middle class culture’ (Stahl, 2012). This is what Bourdieu means when he is discussing the concept of ‘reproduction’ in education; </w:t>
      </w:r>
      <w:r w:rsidR="002C7BF5">
        <w:rPr>
          <w:sz w:val="24"/>
          <w:szCs w:val="24"/>
        </w:rPr>
        <w:t xml:space="preserve">that ‘educational institutions’ contribute to ‘the reproduction of advantages and disadvantages, as much through the work schools do in imparting cultural resources to individuals, and signalling the symbolic value of their qualifications to others’; and returning to the process and purpose of examinations mentioned earlier, ‘as in their sifting role in ensuring that those who progress to higher education are perceived to have achieved this by passing examinations through merit alone </w:t>
      </w:r>
      <w:r w:rsidR="002C7BF5" w:rsidRPr="002C7BF5">
        <w:rPr>
          <w:sz w:val="24"/>
          <w:szCs w:val="24"/>
        </w:rPr>
        <w:t>(Webb et al., 2017)</w:t>
      </w:r>
      <w:r w:rsidR="002C7BF5">
        <w:rPr>
          <w:sz w:val="24"/>
          <w:szCs w:val="24"/>
        </w:rPr>
        <w:t xml:space="preserve">. </w:t>
      </w:r>
    </w:p>
    <w:p w14:paraId="0C2A63F1" w14:textId="54326327" w:rsidR="00FF6A11" w:rsidRPr="00FF6A11" w:rsidRDefault="00783CE5" w:rsidP="00503E49">
      <w:pPr>
        <w:spacing w:line="360" w:lineRule="auto"/>
        <w:ind w:left="426" w:right="521"/>
        <w:jc w:val="both"/>
        <w:rPr>
          <w:i/>
          <w:sz w:val="28"/>
          <w:szCs w:val="24"/>
        </w:rPr>
      </w:pPr>
      <w:r>
        <w:rPr>
          <w:rFonts w:cstheme="minorHAnsi"/>
          <w:i/>
          <w:sz w:val="24"/>
        </w:rPr>
        <w:lastRenderedPageBreak/>
        <w:t>‘</w:t>
      </w:r>
      <w:r w:rsidR="00FF6A11" w:rsidRPr="00FF6A11">
        <w:rPr>
          <w:rFonts w:cstheme="minorHAnsi"/>
          <w:i/>
          <w:sz w:val="24"/>
        </w:rPr>
        <w:t>By doing away with giving explicitly to everyone what it implicitly demands of everyone, the educational system demands of everyone alike that they have what it does not give. This consists mainly of linguistic and cultural competence and that relationship of familiarity with culture wh</w:t>
      </w:r>
      <w:r w:rsidR="00FF6A11" w:rsidRPr="00FF6A11">
        <w:rPr>
          <w:i/>
          <w:sz w:val="24"/>
        </w:rPr>
        <w:t>ich can only be produced by family upbringing when it transmits the dominant culture</w:t>
      </w:r>
      <w:r>
        <w:rPr>
          <w:i/>
          <w:sz w:val="24"/>
        </w:rPr>
        <w:t>’</w:t>
      </w:r>
      <w:r w:rsidR="00FF6A11" w:rsidRPr="00FF6A11">
        <w:rPr>
          <w:i/>
          <w:sz w:val="24"/>
        </w:rPr>
        <w:t>. (Bourdieu 1977).</w:t>
      </w:r>
    </w:p>
    <w:p w14:paraId="2EBD7611" w14:textId="456209A5" w:rsidR="0092491C" w:rsidRDefault="003A43B2" w:rsidP="0001346B">
      <w:pPr>
        <w:spacing w:line="360" w:lineRule="auto"/>
        <w:jc w:val="both"/>
        <w:rPr>
          <w:sz w:val="24"/>
          <w:szCs w:val="24"/>
        </w:rPr>
      </w:pPr>
      <w:r>
        <w:rPr>
          <w:sz w:val="24"/>
          <w:szCs w:val="24"/>
        </w:rPr>
        <w:t xml:space="preserve">Pierre Bourdieu was born in 1930 in a remote village in the Pyrenees in the South of France, and studied philosophy </w:t>
      </w:r>
      <w:r w:rsidR="00A71712">
        <w:rPr>
          <w:sz w:val="24"/>
          <w:szCs w:val="24"/>
        </w:rPr>
        <w:t xml:space="preserve">in Paris </w:t>
      </w:r>
      <w:r>
        <w:rPr>
          <w:sz w:val="24"/>
          <w:szCs w:val="24"/>
        </w:rPr>
        <w:t xml:space="preserve">at the </w:t>
      </w:r>
      <w:r w:rsidR="00A71712">
        <w:rPr>
          <w:sz w:val="24"/>
          <w:szCs w:val="24"/>
        </w:rPr>
        <w:t xml:space="preserve">prestigious </w:t>
      </w:r>
      <w:r w:rsidR="00A71712" w:rsidRPr="00A71712">
        <w:rPr>
          <w:i/>
          <w:sz w:val="24"/>
          <w:szCs w:val="24"/>
        </w:rPr>
        <w:t>Ecole normale superiure</w:t>
      </w:r>
      <w:r w:rsidR="00A71712">
        <w:rPr>
          <w:i/>
          <w:sz w:val="24"/>
          <w:szCs w:val="24"/>
        </w:rPr>
        <w:t xml:space="preserve">. </w:t>
      </w:r>
      <w:r w:rsidR="00A71712">
        <w:rPr>
          <w:sz w:val="24"/>
          <w:szCs w:val="24"/>
        </w:rPr>
        <w:t xml:space="preserve">He became </w:t>
      </w:r>
      <w:r w:rsidR="00DF0542">
        <w:rPr>
          <w:sz w:val="24"/>
          <w:szCs w:val="24"/>
        </w:rPr>
        <w:t>disillusioned with the prevailing philosophical school</w:t>
      </w:r>
      <w:r w:rsidR="00A71712">
        <w:rPr>
          <w:sz w:val="24"/>
          <w:szCs w:val="24"/>
        </w:rPr>
        <w:t xml:space="preserve"> of thought at the time, which was existentialism, specifically ‘Sartrian existentialism’ and was instead drawn to ‘the philosophy of the concept</w:t>
      </w:r>
      <w:r w:rsidR="00DF0542">
        <w:rPr>
          <w:sz w:val="24"/>
          <w:szCs w:val="24"/>
        </w:rPr>
        <w:t>’</w:t>
      </w:r>
      <w:r w:rsidR="00A71712">
        <w:rPr>
          <w:sz w:val="24"/>
          <w:szCs w:val="24"/>
        </w:rPr>
        <w:t xml:space="preserve">, which was then associated with the works of contemporary epistemologists and phenomenologists. During his early life he was exposed to </w:t>
      </w:r>
      <w:r w:rsidR="00DF2A7D">
        <w:rPr>
          <w:sz w:val="24"/>
          <w:szCs w:val="24"/>
        </w:rPr>
        <w:t xml:space="preserve">both </w:t>
      </w:r>
      <w:r w:rsidR="00A71712">
        <w:rPr>
          <w:sz w:val="24"/>
          <w:szCs w:val="24"/>
        </w:rPr>
        <w:t>the horro</w:t>
      </w:r>
      <w:r w:rsidR="00DF2A7D">
        <w:rPr>
          <w:sz w:val="24"/>
          <w:szCs w:val="24"/>
        </w:rPr>
        <w:t>r</w:t>
      </w:r>
      <w:r w:rsidR="00A71712">
        <w:rPr>
          <w:sz w:val="24"/>
          <w:szCs w:val="24"/>
        </w:rPr>
        <w:t>s of war</w:t>
      </w:r>
      <w:r w:rsidR="00E10460">
        <w:rPr>
          <w:sz w:val="24"/>
          <w:szCs w:val="24"/>
        </w:rPr>
        <w:t>, as well as</w:t>
      </w:r>
      <w:r w:rsidR="00DF2A7D">
        <w:rPr>
          <w:sz w:val="24"/>
          <w:szCs w:val="24"/>
        </w:rPr>
        <w:t xml:space="preserve"> the </w:t>
      </w:r>
      <w:r w:rsidR="00A71712">
        <w:rPr>
          <w:sz w:val="24"/>
          <w:szCs w:val="24"/>
        </w:rPr>
        <w:t xml:space="preserve">unjustifiable imperialism of </w:t>
      </w:r>
      <w:r w:rsidR="00EA44BE">
        <w:rPr>
          <w:sz w:val="24"/>
          <w:szCs w:val="24"/>
        </w:rPr>
        <w:t xml:space="preserve">colonial France’s war and rule over Algeria. This prompted Bourdieu to ‘turn to ethnology and sociology in order to make sense of the social cataclysm wrought by the clash between imperial capitalism and home-grown nationalism’ (Wacquant, 2006).  </w:t>
      </w:r>
      <w:r w:rsidR="00E10460">
        <w:rPr>
          <w:sz w:val="24"/>
          <w:szCs w:val="24"/>
        </w:rPr>
        <w:t xml:space="preserve">His experiences as a young </w:t>
      </w:r>
      <w:r w:rsidR="00DF0542">
        <w:rPr>
          <w:sz w:val="24"/>
          <w:szCs w:val="24"/>
        </w:rPr>
        <w:t>person</w:t>
      </w:r>
      <w:r w:rsidR="00E10460">
        <w:rPr>
          <w:sz w:val="24"/>
          <w:szCs w:val="24"/>
        </w:rPr>
        <w:t xml:space="preserve">, as both a witness to the carnage wrought upon the battle fields, then </w:t>
      </w:r>
      <w:r w:rsidR="00DF0542">
        <w:rPr>
          <w:sz w:val="24"/>
          <w:szCs w:val="24"/>
        </w:rPr>
        <w:t xml:space="preserve">later </w:t>
      </w:r>
      <w:r w:rsidR="00E10460">
        <w:rPr>
          <w:sz w:val="24"/>
          <w:szCs w:val="24"/>
        </w:rPr>
        <w:t xml:space="preserve">to the profound the social changes that accelerated so hugely during the post-war period, it is </w:t>
      </w:r>
      <w:r w:rsidR="00DF0542">
        <w:rPr>
          <w:sz w:val="24"/>
          <w:szCs w:val="24"/>
        </w:rPr>
        <w:t xml:space="preserve">quite clear to see why he so desired to unravel it all. </w:t>
      </w:r>
      <w:r w:rsidR="00503E49">
        <w:rPr>
          <w:sz w:val="24"/>
          <w:szCs w:val="24"/>
        </w:rPr>
        <w:t xml:space="preserve">The area of Bourdieu’s work which is particularly interesting with regards to educational attainment and class however, are his studies during the 1960’s, where he attempted to define his definition of social capital, and to further discuss his own concepts around his theory of ‘cultural capital’. </w:t>
      </w:r>
      <w:r w:rsidR="00A9191B">
        <w:rPr>
          <w:sz w:val="24"/>
          <w:szCs w:val="24"/>
        </w:rPr>
        <w:t xml:space="preserve">Another important aspect of Bourdieu’s thinking was what he termed </w:t>
      </w:r>
      <w:r w:rsidR="00E21890">
        <w:rPr>
          <w:sz w:val="24"/>
          <w:szCs w:val="24"/>
        </w:rPr>
        <w:t xml:space="preserve">‘symbolic violence’. The </w:t>
      </w:r>
      <w:r w:rsidR="00E21890">
        <w:rPr>
          <w:sz w:val="24"/>
          <w:szCs w:val="24"/>
        </w:rPr>
        <w:lastRenderedPageBreak/>
        <w:t xml:space="preserve">violence mentioned in the term is not meant to be understood as a physical act, but rather something that is ‘produced, reproduced and deemed legitimate through ‘schemas’; schemas being a psychological term referring to a pattern of thought or behaviour that organises categories of information and the relationships among them. In short, they reinforce the values of the dominant class as being the only values of relevance and value.  This then has the knock on effect of further entrenching the views of the dominant class, amongst those below them on the social class ladder, as ‘the dominated view the </w:t>
      </w:r>
      <w:r w:rsidR="0092491C">
        <w:rPr>
          <w:sz w:val="24"/>
          <w:szCs w:val="24"/>
        </w:rPr>
        <w:t>relations of domination from the perspective of the dominant’ (Bourdieu 2001). Seen through the lens of education and educational institutions, it could be contended that the system as we know it ‘demands of everyone alike what they cannot give’, which consists ‘mainly of linguistic and cultural competence’ as well as a ‘relationship of familiarity’ with the dominant culture. For those who are not able to call upon these familiarities with the unwritten rules of the dominant social culture, they are at</w:t>
      </w:r>
      <w:r w:rsidR="008A1B34">
        <w:rPr>
          <w:sz w:val="24"/>
          <w:szCs w:val="24"/>
        </w:rPr>
        <w:t xml:space="preserve"> a double disadvantage during their time in education, as the ‘culture of the dominant class is transmitted and rewarded by</w:t>
      </w:r>
      <w:r w:rsidR="0092491C">
        <w:rPr>
          <w:sz w:val="24"/>
          <w:szCs w:val="24"/>
        </w:rPr>
        <w:t xml:space="preserve"> </w:t>
      </w:r>
      <w:r w:rsidR="008A1B34">
        <w:rPr>
          <w:sz w:val="24"/>
          <w:szCs w:val="24"/>
        </w:rPr>
        <w:t>the educational system’. And in addition,</w:t>
      </w:r>
      <w:r w:rsidR="0092491C">
        <w:rPr>
          <w:sz w:val="24"/>
          <w:szCs w:val="24"/>
        </w:rPr>
        <w:t xml:space="preserve"> the values to which they do ascribe and value, are</w:t>
      </w:r>
      <w:r w:rsidR="00F40D2B">
        <w:rPr>
          <w:sz w:val="24"/>
          <w:szCs w:val="24"/>
        </w:rPr>
        <w:t>,</w:t>
      </w:r>
      <w:r w:rsidR="0092491C">
        <w:rPr>
          <w:sz w:val="24"/>
          <w:szCs w:val="24"/>
        </w:rPr>
        <w:t xml:space="preserve"> </w:t>
      </w:r>
      <w:r w:rsidR="008A1B34">
        <w:rPr>
          <w:sz w:val="24"/>
          <w:szCs w:val="24"/>
        </w:rPr>
        <w:t>with</w:t>
      </w:r>
      <w:r w:rsidR="0092491C">
        <w:rPr>
          <w:sz w:val="24"/>
          <w:szCs w:val="24"/>
        </w:rPr>
        <w:t>in a</w:t>
      </w:r>
      <w:r w:rsidR="008A1B34">
        <w:rPr>
          <w:sz w:val="24"/>
          <w:szCs w:val="24"/>
        </w:rPr>
        <w:t>n educational setting at least looked</w:t>
      </w:r>
      <w:r w:rsidR="0092491C">
        <w:rPr>
          <w:sz w:val="24"/>
          <w:szCs w:val="24"/>
        </w:rPr>
        <w:t xml:space="preserve"> upon </w:t>
      </w:r>
      <w:r w:rsidR="008A1B34">
        <w:rPr>
          <w:sz w:val="24"/>
          <w:szCs w:val="24"/>
        </w:rPr>
        <w:t xml:space="preserve">far </w:t>
      </w:r>
      <w:r w:rsidR="0092491C">
        <w:rPr>
          <w:sz w:val="24"/>
          <w:szCs w:val="24"/>
        </w:rPr>
        <w:t>le</w:t>
      </w:r>
      <w:r w:rsidR="00B10AD9">
        <w:rPr>
          <w:sz w:val="24"/>
          <w:szCs w:val="24"/>
        </w:rPr>
        <w:t>ss favourably;</w:t>
      </w:r>
      <w:r w:rsidR="0092491C">
        <w:rPr>
          <w:sz w:val="24"/>
          <w:szCs w:val="24"/>
        </w:rPr>
        <w:t xml:space="preserve"> </w:t>
      </w:r>
      <w:r w:rsidR="008A1B34">
        <w:rPr>
          <w:sz w:val="24"/>
          <w:szCs w:val="24"/>
        </w:rPr>
        <w:t xml:space="preserve">and this can then have the effect of prompting a disengagement and disillusionment with the system itself. This </w:t>
      </w:r>
      <w:r w:rsidR="00594C3D">
        <w:rPr>
          <w:sz w:val="24"/>
          <w:szCs w:val="24"/>
        </w:rPr>
        <w:t>d</w:t>
      </w:r>
      <w:r w:rsidR="00F40D2B">
        <w:rPr>
          <w:sz w:val="24"/>
          <w:szCs w:val="24"/>
        </w:rPr>
        <w:t xml:space="preserve">ouble disadvantage felt by </w:t>
      </w:r>
      <w:r w:rsidR="00594C3D">
        <w:rPr>
          <w:sz w:val="24"/>
          <w:szCs w:val="24"/>
        </w:rPr>
        <w:t xml:space="preserve">both economic and cultural capital is </w:t>
      </w:r>
      <w:r w:rsidR="008A1B34">
        <w:rPr>
          <w:sz w:val="24"/>
          <w:szCs w:val="24"/>
        </w:rPr>
        <w:t xml:space="preserve"> clearly have profound effects upon the opportunities for working class children in the UK, as is evidenced by the numerous articles and academic studies around the concept of social mobility, bemoaning the </w:t>
      </w:r>
      <w:r w:rsidR="00783CE5">
        <w:rPr>
          <w:sz w:val="24"/>
          <w:szCs w:val="24"/>
        </w:rPr>
        <w:t>lack of, or stalling of it as an aspiration for working class children.</w:t>
      </w:r>
    </w:p>
    <w:p w14:paraId="5D18E2E5" w14:textId="5EB5700D" w:rsidR="00783CE5" w:rsidRDefault="00783CE5" w:rsidP="0001346B">
      <w:pPr>
        <w:spacing w:line="360" w:lineRule="auto"/>
        <w:jc w:val="both"/>
        <w:rPr>
          <w:sz w:val="24"/>
          <w:szCs w:val="24"/>
        </w:rPr>
      </w:pPr>
      <w:r>
        <w:rPr>
          <w:sz w:val="24"/>
          <w:szCs w:val="24"/>
        </w:rPr>
        <w:lastRenderedPageBreak/>
        <w:t xml:space="preserve">There is much scope to go much deeper within this subject matter in the pursuit of answers and recommendations for both social and educational policy, however given the huge raft of literature available, both from the fields of academia and research, it perhaps is an impossible task. While completing the research and reading around the subject, one thing is abundantly clear however: concepts of education, who it’s for, what it’s for, and how the winners and losers are decided is still a matter of enormous conjecture and disagreement. The current system is eerily similar to the one that has been in use for around a century, with some changes made here and there to reflect the current thinking of the time. Despite this however, there is still a postcode lottery when it comes to educational attainment, and there also seems to be, despite much commentary to the contrary, very little desire to make the only kind of changes that would have any real consequences to most disadvantaged in society, as those changes would have to be seismic. The education system in the UK, from Primary to Higher, is created in the image of the middle classes, and for the </w:t>
      </w:r>
      <w:r w:rsidR="00E01646">
        <w:rPr>
          <w:sz w:val="24"/>
          <w:szCs w:val="24"/>
        </w:rPr>
        <w:t xml:space="preserve">middle </w:t>
      </w:r>
      <w:r>
        <w:rPr>
          <w:sz w:val="24"/>
          <w:szCs w:val="24"/>
        </w:rPr>
        <w:t xml:space="preserve">classes, for the purpose of advantaging the middle classes. The occasional story of a boy or girl from an underprivileged background </w:t>
      </w:r>
      <w:r w:rsidR="00E01646">
        <w:rPr>
          <w:sz w:val="24"/>
          <w:szCs w:val="24"/>
        </w:rPr>
        <w:t xml:space="preserve">becoming successful </w:t>
      </w:r>
      <w:r>
        <w:rPr>
          <w:sz w:val="24"/>
          <w:szCs w:val="24"/>
        </w:rPr>
        <w:t>is not going to make any difference in the long term really, as the very fact that it is still rare enough for knowledge of it to enter the public domain</w:t>
      </w:r>
      <w:r w:rsidR="00E01646">
        <w:rPr>
          <w:sz w:val="24"/>
          <w:szCs w:val="24"/>
        </w:rPr>
        <w:t xml:space="preserve">, and for it to be deemed newsworthy, is indicative of a fundamental fault within the system itself. That story should not be newsworthy, it should be commonplace, and the fact that it isn’t shows how far we have to go as a society if we wish to advantage all of our young people equally. The French have a term – ‘le miracule’, which can be loosely translated as ‘the wonderboy’, which is used to describe someone who has come from a working-class background </w:t>
      </w:r>
      <w:r w:rsidR="00E01646">
        <w:rPr>
          <w:sz w:val="24"/>
          <w:szCs w:val="24"/>
        </w:rPr>
        <w:lastRenderedPageBreak/>
        <w:t xml:space="preserve">and yet still succeeded in education, something like the English term ‘scholarship boy’, which is either aspirational or derogatory depending on your perspective. It is a terrible shame that the success of someone from a working-class background in education can still be seen as a miracle, </w:t>
      </w:r>
      <w:r w:rsidR="001B2E00">
        <w:rPr>
          <w:sz w:val="24"/>
          <w:szCs w:val="24"/>
        </w:rPr>
        <w:t xml:space="preserve">or a success against the odds, it should be the opposite of that. In closing, the purpose of this work was to look at working-class attitudes towards HE, and all the research and information dissected and discussed point towards an institution and system, that seeks to marginalise and exclude and reduce the aspirations and attainment of this group from the very beginning point of their education. It is felt also that this assignment could have been written at any point over the last fifty years, and the conclusions and content would have been depressingly similar. It is hoped then, that perhaps in another fifty years, this assignment would in fact be written differently, and that there would be no more ‘le miracules’, just a level playing field for all in a more meritocratic society, which recognises differences, recognises advantages, and attempts to pull people up, rather than further widening the gap between the advantaged and disadvantaged. </w:t>
      </w:r>
    </w:p>
    <w:p w14:paraId="71988A59" w14:textId="3E0F702E" w:rsidR="00D4399B" w:rsidRDefault="00D4399B" w:rsidP="0001346B">
      <w:pPr>
        <w:spacing w:line="360" w:lineRule="auto"/>
        <w:jc w:val="both"/>
        <w:rPr>
          <w:sz w:val="24"/>
          <w:szCs w:val="24"/>
        </w:rPr>
      </w:pPr>
    </w:p>
    <w:p w14:paraId="714F6C13" w14:textId="72BD9D16" w:rsidR="00D4399B" w:rsidRDefault="00D4399B" w:rsidP="0001346B">
      <w:pPr>
        <w:spacing w:line="360" w:lineRule="auto"/>
        <w:jc w:val="both"/>
        <w:rPr>
          <w:sz w:val="24"/>
          <w:szCs w:val="24"/>
        </w:rPr>
      </w:pPr>
    </w:p>
    <w:p w14:paraId="6F4059D6" w14:textId="136A4C31" w:rsidR="00D4399B" w:rsidRDefault="00D4399B" w:rsidP="0001346B">
      <w:pPr>
        <w:spacing w:line="360" w:lineRule="auto"/>
        <w:jc w:val="both"/>
        <w:rPr>
          <w:sz w:val="24"/>
          <w:szCs w:val="24"/>
        </w:rPr>
      </w:pPr>
    </w:p>
    <w:p w14:paraId="6FF9AA7F" w14:textId="286BDC5F" w:rsidR="00D4399B" w:rsidRDefault="00D4399B" w:rsidP="0001346B">
      <w:pPr>
        <w:spacing w:line="360" w:lineRule="auto"/>
        <w:jc w:val="both"/>
        <w:rPr>
          <w:sz w:val="24"/>
          <w:szCs w:val="24"/>
        </w:rPr>
      </w:pPr>
    </w:p>
    <w:p w14:paraId="4CF1E248" w14:textId="2FC3A62B" w:rsidR="00D4399B" w:rsidRDefault="00D4399B" w:rsidP="0001346B">
      <w:pPr>
        <w:spacing w:line="360" w:lineRule="auto"/>
        <w:jc w:val="both"/>
        <w:rPr>
          <w:sz w:val="24"/>
          <w:szCs w:val="24"/>
        </w:rPr>
      </w:pPr>
    </w:p>
    <w:p w14:paraId="7FCA8E1B" w14:textId="609AE8D9" w:rsidR="00D4399B" w:rsidRDefault="00D4399B" w:rsidP="0001346B">
      <w:pPr>
        <w:spacing w:line="360" w:lineRule="auto"/>
        <w:jc w:val="both"/>
        <w:rPr>
          <w:sz w:val="24"/>
          <w:szCs w:val="24"/>
        </w:rPr>
      </w:pPr>
    </w:p>
    <w:p w14:paraId="31E3B98E" w14:textId="3039C9DF" w:rsidR="00D4399B" w:rsidRDefault="00D4399B" w:rsidP="0001346B">
      <w:pPr>
        <w:spacing w:line="360" w:lineRule="auto"/>
        <w:jc w:val="both"/>
        <w:rPr>
          <w:sz w:val="24"/>
          <w:szCs w:val="24"/>
        </w:rPr>
      </w:pPr>
    </w:p>
    <w:p w14:paraId="340234DF" w14:textId="7D670E3B" w:rsidR="00D4399B" w:rsidRDefault="00D4399B" w:rsidP="0001346B">
      <w:pPr>
        <w:spacing w:line="360" w:lineRule="auto"/>
        <w:jc w:val="both"/>
        <w:rPr>
          <w:sz w:val="24"/>
          <w:szCs w:val="24"/>
        </w:rPr>
      </w:pPr>
    </w:p>
    <w:p w14:paraId="7599E7CA" w14:textId="1A52DF04" w:rsidR="00D4399B" w:rsidRDefault="00D4399B" w:rsidP="0001346B">
      <w:pPr>
        <w:spacing w:line="360" w:lineRule="auto"/>
        <w:jc w:val="both"/>
        <w:rPr>
          <w:sz w:val="24"/>
          <w:szCs w:val="24"/>
        </w:rPr>
      </w:pPr>
    </w:p>
    <w:p w14:paraId="78426428" w14:textId="73DE3A9B" w:rsidR="00D4399B" w:rsidRDefault="00D4399B" w:rsidP="0001346B">
      <w:pPr>
        <w:spacing w:line="360" w:lineRule="auto"/>
        <w:jc w:val="both"/>
        <w:rPr>
          <w:sz w:val="24"/>
          <w:szCs w:val="24"/>
        </w:rPr>
      </w:pPr>
    </w:p>
    <w:p w14:paraId="088F0AE4" w14:textId="3513C95A" w:rsidR="0092491C" w:rsidRDefault="0092491C" w:rsidP="0001346B">
      <w:pPr>
        <w:spacing w:line="360" w:lineRule="auto"/>
        <w:jc w:val="both"/>
        <w:rPr>
          <w:sz w:val="24"/>
          <w:szCs w:val="24"/>
        </w:rPr>
      </w:pPr>
    </w:p>
    <w:p w14:paraId="6E98D8A3" w14:textId="77777777" w:rsidR="00D4399B" w:rsidRPr="00D4399B" w:rsidRDefault="00D4399B" w:rsidP="00D4399B">
      <w:pPr>
        <w:spacing w:line="360" w:lineRule="auto"/>
        <w:jc w:val="both"/>
        <w:rPr>
          <w:b/>
          <w:sz w:val="28"/>
          <w:szCs w:val="24"/>
        </w:rPr>
      </w:pPr>
      <w:r w:rsidRPr="00D4399B">
        <w:rPr>
          <w:b/>
          <w:sz w:val="28"/>
          <w:szCs w:val="24"/>
        </w:rPr>
        <w:t>References</w:t>
      </w:r>
    </w:p>
    <w:p w14:paraId="78BBDC59" w14:textId="77777777" w:rsidR="00D4399B" w:rsidRPr="00D4399B" w:rsidRDefault="00D4399B" w:rsidP="00D4399B">
      <w:pPr>
        <w:spacing w:line="360" w:lineRule="auto"/>
        <w:jc w:val="both"/>
        <w:rPr>
          <w:sz w:val="24"/>
          <w:szCs w:val="24"/>
        </w:rPr>
      </w:pPr>
      <w:r w:rsidRPr="00D4399B">
        <w:rPr>
          <w:sz w:val="24"/>
          <w:szCs w:val="24"/>
        </w:rPr>
        <w:t>Ainley, P. (2016). </w:t>
      </w:r>
      <w:r w:rsidRPr="00D4399B">
        <w:rPr>
          <w:i/>
          <w:iCs/>
          <w:sz w:val="24"/>
          <w:szCs w:val="24"/>
        </w:rPr>
        <w:t>Betraying a generation - how education is failing young people</w:t>
      </w:r>
      <w:r w:rsidRPr="00D4399B">
        <w:rPr>
          <w:sz w:val="24"/>
          <w:szCs w:val="24"/>
        </w:rPr>
        <w:t>. 1st ed. Bristol: Policy Press.</w:t>
      </w:r>
    </w:p>
    <w:p w14:paraId="5A013B57" w14:textId="77777777" w:rsidR="00D4399B" w:rsidRPr="00D4399B" w:rsidRDefault="00D4399B" w:rsidP="00D4399B">
      <w:pPr>
        <w:spacing w:line="360" w:lineRule="auto"/>
        <w:jc w:val="both"/>
        <w:rPr>
          <w:sz w:val="24"/>
          <w:szCs w:val="24"/>
        </w:rPr>
      </w:pPr>
      <w:r w:rsidRPr="00D4399B">
        <w:rPr>
          <w:sz w:val="24"/>
          <w:szCs w:val="24"/>
        </w:rPr>
        <w:t>Bernstein, B. (1970). Education cannot compensate for society. </w:t>
      </w:r>
      <w:r w:rsidRPr="00D4399B">
        <w:rPr>
          <w:i/>
          <w:iCs/>
          <w:sz w:val="24"/>
          <w:szCs w:val="24"/>
        </w:rPr>
        <w:t>New Society</w:t>
      </w:r>
      <w:r w:rsidRPr="00D4399B">
        <w:rPr>
          <w:sz w:val="24"/>
          <w:szCs w:val="24"/>
        </w:rPr>
        <w:t>, 15(387), pp.344-47.</w:t>
      </w:r>
    </w:p>
    <w:p w14:paraId="7C4E5FEE" w14:textId="77777777" w:rsidR="00D4399B" w:rsidRPr="00D4399B" w:rsidRDefault="00D4399B" w:rsidP="00D4399B">
      <w:pPr>
        <w:spacing w:line="360" w:lineRule="auto"/>
        <w:jc w:val="both"/>
        <w:rPr>
          <w:sz w:val="24"/>
          <w:szCs w:val="24"/>
        </w:rPr>
      </w:pPr>
      <w:r w:rsidRPr="00D4399B">
        <w:rPr>
          <w:sz w:val="24"/>
          <w:szCs w:val="24"/>
        </w:rPr>
        <w:t>Bourdieu, P., Passeron, J., Nice, R., Bourdieu, P. and Bottomore, T. (1971). </w:t>
      </w:r>
      <w:r w:rsidRPr="00D4399B">
        <w:rPr>
          <w:i/>
          <w:iCs/>
          <w:sz w:val="24"/>
          <w:szCs w:val="24"/>
        </w:rPr>
        <w:t>Reproduction in education, society, and culture</w:t>
      </w:r>
      <w:r w:rsidRPr="00D4399B">
        <w:rPr>
          <w:sz w:val="24"/>
          <w:szCs w:val="24"/>
        </w:rPr>
        <w:t>.</w:t>
      </w:r>
      <w:bookmarkStart w:id="0" w:name="_GoBack"/>
      <w:bookmarkEnd w:id="0"/>
    </w:p>
    <w:p w14:paraId="65C319CE" w14:textId="77777777" w:rsidR="00D4399B" w:rsidRPr="00D4399B" w:rsidRDefault="00D4399B" w:rsidP="00D4399B">
      <w:pPr>
        <w:spacing w:line="360" w:lineRule="auto"/>
        <w:jc w:val="both"/>
        <w:rPr>
          <w:sz w:val="24"/>
          <w:szCs w:val="24"/>
        </w:rPr>
      </w:pPr>
      <w:r w:rsidRPr="00D4399B">
        <w:rPr>
          <w:sz w:val="24"/>
          <w:szCs w:val="24"/>
        </w:rPr>
        <w:t>Henshaw, P. (2015). The DfE's obsession with ED Hirsch. [Blog] </w:t>
      </w:r>
      <w:r w:rsidRPr="00D4399B">
        <w:rPr>
          <w:i/>
          <w:iCs/>
          <w:sz w:val="24"/>
          <w:szCs w:val="24"/>
        </w:rPr>
        <w:t>SecEd: The Voice for Secondary Education</w:t>
      </w:r>
      <w:r w:rsidRPr="00D4399B">
        <w:rPr>
          <w:sz w:val="24"/>
          <w:szCs w:val="24"/>
        </w:rPr>
        <w:t>. Available at: http://www.sec-ed.co.uk/blog/the-dfes-obsession-with-ed-hirsch/ [Accessed 3 May 2019].</w:t>
      </w:r>
    </w:p>
    <w:p w14:paraId="08C1E6DB" w14:textId="77777777" w:rsidR="00D4399B" w:rsidRPr="00D4399B" w:rsidRDefault="00D4399B" w:rsidP="00D4399B">
      <w:pPr>
        <w:spacing w:line="360" w:lineRule="auto"/>
        <w:jc w:val="both"/>
        <w:rPr>
          <w:sz w:val="24"/>
          <w:szCs w:val="24"/>
        </w:rPr>
      </w:pPr>
      <w:r w:rsidRPr="00D4399B">
        <w:rPr>
          <w:sz w:val="24"/>
          <w:szCs w:val="24"/>
        </w:rPr>
        <w:t>Hirsch, E. (2016). </w:t>
      </w:r>
      <w:r w:rsidRPr="00D4399B">
        <w:rPr>
          <w:i/>
          <w:iCs/>
          <w:sz w:val="24"/>
          <w:szCs w:val="24"/>
        </w:rPr>
        <w:t>Why knowledge matters: Rescuing our children from failed educational theories</w:t>
      </w:r>
      <w:r w:rsidRPr="00D4399B">
        <w:rPr>
          <w:sz w:val="24"/>
          <w:szCs w:val="24"/>
        </w:rPr>
        <w:t>. 1st ed. Harvard Education Press.</w:t>
      </w:r>
    </w:p>
    <w:p w14:paraId="11C20C12" w14:textId="77777777" w:rsidR="00D4399B" w:rsidRPr="00D4399B" w:rsidRDefault="00D4399B" w:rsidP="00D4399B">
      <w:pPr>
        <w:spacing w:line="360" w:lineRule="auto"/>
        <w:jc w:val="both"/>
        <w:rPr>
          <w:sz w:val="24"/>
          <w:szCs w:val="24"/>
        </w:rPr>
      </w:pPr>
      <w:r w:rsidRPr="00D4399B">
        <w:rPr>
          <w:sz w:val="24"/>
          <w:szCs w:val="24"/>
        </w:rPr>
        <w:t>Jensen, B. (2012). </w:t>
      </w:r>
      <w:r w:rsidRPr="00D4399B">
        <w:rPr>
          <w:i/>
          <w:iCs/>
          <w:sz w:val="24"/>
          <w:szCs w:val="24"/>
        </w:rPr>
        <w:t>Reading Classes: On Culture and Classism in America</w:t>
      </w:r>
      <w:r w:rsidRPr="00D4399B">
        <w:rPr>
          <w:sz w:val="24"/>
          <w:szCs w:val="24"/>
        </w:rPr>
        <w:t>. Cornell University Press.</w:t>
      </w:r>
    </w:p>
    <w:p w14:paraId="5C55BDF8" w14:textId="77777777" w:rsidR="00D4399B" w:rsidRPr="00D4399B" w:rsidRDefault="00D4399B" w:rsidP="00D4399B">
      <w:pPr>
        <w:spacing w:line="360" w:lineRule="auto"/>
        <w:jc w:val="both"/>
        <w:rPr>
          <w:sz w:val="24"/>
          <w:szCs w:val="24"/>
        </w:rPr>
      </w:pPr>
      <w:r w:rsidRPr="00D4399B">
        <w:rPr>
          <w:sz w:val="24"/>
          <w:szCs w:val="24"/>
        </w:rPr>
        <w:t>Machin, S. and Vignoles, A. (2005). </w:t>
      </w:r>
      <w:r w:rsidRPr="00D4399B">
        <w:rPr>
          <w:i/>
          <w:iCs/>
          <w:sz w:val="24"/>
          <w:szCs w:val="24"/>
        </w:rPr>
        <w:t>What's the Good of Education?</w:t>
      </w:r>
      <w:r w:rsidRPr="00D4399B">
        <w:rPr>
          <w:sz w:val="24"/>
          <w:szCs w:val="24"/>
        </w:rPr>
        <w:t>.</w:t>
      </w:r>
    </w:p>
    <w:p w14:paraId="6065AC1B" w14:textId="77777777" w:rsidR="00D4399B" w:rsidRPr="00D4399B" w:rsidRDefault="00D4399B" w:rsidP="00D4399B">
      <w:pPr>
        <w:spacing w:line="360" w:lineRule="auto"/>
        <w:jc w:val="both"/>
        <w:rPr>
          <w:sz w:val="24"/>
          <w:szCs w:val="24"/>
        </w:rPr>
      </w:pPr>
      <w:r w:rsidRPr="00D4399B">
        <w:rPr>
          <w:sz w:val="24"/>
          <w:szCs w:val="24"/>
        </w:rPr>
        <w:t>Marx, K. (1843). </w:t>
      </w:r>
      <w:r w:rsidRPr="00D4399B">
        <w:rPr>
          <w:i/>
          <w:iCs/>
          <w:sz w:val="24"/>
          <w:szCs w:val="24"/>
        </w:rPr>
        <w:t>Critique of Hegel's "Philosophy of right"</w:t>
      </w:r>
      <w:r w:rsidRPr="00D4399B">
        <w:rPr>
          <w:sz w:val="24"/>
          <w:szCs w:val="24"/>
        </w:rPr>
        <w:t>.</w:t>
      </w:r>
    </w:p>
    <w:p w14:paraId="37887FEB" w14:textId="77777777" w:rsidR="00D4399B" w:rsidRPr="00D4399B" w:rsidRDefault="00D4399B" w:rsidP="00D4399B">
      <w:pPr>
        <w:spacing w:line="360" w:lineRule="auto"/>
        <w:jc w:val="both"/>
        <w:rPr>
          <w:sz w:val="24"/>
          <w:szCs w:val="24"/>
        </w:rPr>
      </w:pPr>
      <w:r w:rsidRPr="00D4399B">
        <w:rPr>
          <w:sz w:val="24"/>
          <w:szCs w:val="24"/>
        </w:rPr>
        <w:t>Nightingale, P. (2018). Did Gove read Bernstein? On revisiting ‘Education cannot compensate for society’. </w:t>
      </w:r>
      <w:r w:rsidRPr="00D4399B">
        <w:rPr>
          <w:i/>
          <w:iCs/>
          <w:sz w:val="24"/>
          <w:szCs w:val="24"/>
        </w:rPr>
        <w:t>Power and Education</w:t>
      </w:r>
      <w:r w:rsidRPr="00D4399B">
        <w:rPr>
          <w:sz w:val="24"/>
          <w:szCs w:val="24"/>
        </w:rPr>
        <w:t>, 11(1), pp.16-29.</w:t>
      </w:r>
    </w:p>
    <w:p w14:paraId="0AA03ABC" w14:textId="77777777" w:rsidR="00D4399B" w:rsidRPr="00D4399B" w:rsidRDefault="00D4399B" w:rsidP="00D4399B">
      <w:pPr>
        <w:spacing w:line="360" w:lineRule="auto"/>
        <w:jc w:val="both"/>
        <w:rPr>
          <w:sz w:val="24"/>
          <w:szCs w:val="24"/>
        </w:rPr>
      </w:pPr>
      <w:r w:rsidRPr="00D4399B">
        <w:rPr>
          <w:sz w:val="24"/>
          <w:szCs w:val="24"/>
        </w:rPr>
        <w:t>Reay, D. (2017). </w:t>
      </w:r>
      <w:r w:rsidRPr="00D4399B">
        <w:rPr>
          <w:i/>
          <w:iCs/>
          <w:sz w:val="24"/>
          <w:szCs w:val="24"/>
        </w:rPr>
        <w:t>Miseducation: Inequality, Education and the Working Classes</w:t>
      </w:r>
      <w:r w:rsidRPr="00D4399B">
        <w:rPr>
          <w:sz w:val="24"/>
          <w:szCs w:val="24"/>
        </w:rPr>
        <w:t>. Policy Press.</w:t>
      </w:r>
    </w:p>
    <w:p w14:paraId="3FF9E20A" w14:textId="77777777" w:rsidR="00D4399B" w:rsidRPr="00D4399B" w:rsidRDefault="00D4399B" w:rsidP="00D4399B">
      <w:pPr>
        <w:spacing w:line="360" w:lineRule="auto"/>
        <w:jc w:val="both"/>
        <w:rPr>
          <w:sz w:val="24"/>
          <w:szCs w:val="24"/>
        </w:rPr>
      </w:pPr>
      <w:r w:rsidRPr="00D4399B">
        <w:rPr>
          <w:sz w:val="24"/>
          <w:szCs w:val="24"/>
        </w:rPr>
        <w:t>Roberts, K. (2008). </w:t>
      </w:r>
      <w:r w:rsidRPr="00D4399B">
        <w:rPr>
          <w:i/>
          <w:iCs/>
          <w:sz w:val="24"/>
          <w:szCs w:val="24"/>
        </w:rPr>
        <w:t>Key Concepts in Sociology</w:t>
      </w:r>
      <w:r w:rsidRPr="00D4399B">
        <w:rPr>
          <w:sz w:val="24"/>
          <w:szCs w:val="24"/>
        </w:rPr>
        <w:t>. 1st ed. Beijing: Macmillan.</w:t>
      </w:r>
    </w:p>
    <w:p w14:paraId="706165C2" w14:textId="77777777" w:rsidR="00D4399B" w:rsidRPr="00D4399B" w:rsidRDefault="00D4399B" w:rsidP="00D4399B">
      <w:pPr>
        <w:spacing w:line="360" w:lineRule="auto"/>
        <w:jc w:val="both"/>
        <w:rPr>
          <w:sz w:val="24"/>
          <w:szCs w:val="24"/>
        </w:rPr>
      </w:pPr>
      <w:r w:rsidRPr="00D4399B">
        <w:rPr>
          <w:sz w:val="24"/>
          <w:szCs w:val="24"/>
        </w:rPr>
        <w:t>Stahl, G. (2012). </w:t>
      </w:r>
      <w:r w:rsidRPr="00D4399B">
        <w:rPr>
          <w:i/>
          <w:iCs/>
          <w:sz w:val="24"/>
          <w:szCs w:val="24"/>
        </w:rPr>
        <w:t>White working-class boys’ negotiations of school experience and engagement</w:t>
      </w:r>
      <w:r w:rsidRPr="00D4399B">
        <w:rPr>
          <w:sz w:val="24"/>
          <w:szCs w:val="24"/>
        </w:rPr>
        <w:t>. Ph.D. Jesus College, Cambridge.</w:t>
      </w:r>
    </w:p>
    <w:p w14:paraId="6389B24B" w14:textId="77777777" w:rsidR="00D4399B" w:rsidRPr="00D4399B" w:rsidRDefault="00D4399B" w:rsidP="00D4399B">
      <w:pPr>
        <w:spacing w:line="360" w:lineRule="auto"/>
        <w:jc w:val="both"/>
        <w:rPr>
          <w:sz w:val="24"/>
          <w:szCs w:val="24"/>
        </w:rPr>
      </w:pPr>
      <w:r w:rsidRPr="00D4399B">
        <w:rPr>
          <w:sz w:val="24"/>
          <w:szCs w:val="24"/>
        </w:rPr>
        <w:t>Thompson, I., McNicholl, J. and Menter, I. (2016). Student teachers' perceptions of poverty and educational achievement. </w:t>
      </w:r>
      <w:r w:rsidRPr="00D4399B">
        <w:rPr>
          <w:i/>
          <w:iCs/>
          <w:sz w:val="24"/>
          <w:szCs w:val="24"/>
        </w:rPr>
        <w:t>Oxford Review of Education</w:t>
      </w:r>
      <w:r w:rsidRPr="00D4399B">
        <w:rPr>
          <w:sz w:val="24"/>
          <w:szCs w:val="24"/>
        </w:rPr>
        <w:t>, 42(2), pp.214-229.</w:t>
      </w:r>
    </w:p>
    <w:p w14:paraId="3489D9F6" w14:textId="77777777" w:rsidR="00D4399B" w:rsidRPr="00D4399B" w:rsidRDefault="00D4399B" w:rsidP="00D4399B">
      <w:pPr>
        <w:spacing w:line="360" w:lineRule="auto"/>
        <w:jc w:val="both"/>
        <w:rPr>
          <w:sz w:val="24"/>
          <w:szCs w:val="24"/>
        </w:rPr>
      </w:pPr>
      <w:r w:rsidRPr="00D4399B">
        <w:rPr>
          <w:sz w:val="24"/>
          <w:szCs w:val="24"/>
        </w:rPr>
        <w:t>Webb, S., Burke, P., Nichols, S., Roberts, S., Stahl, G., Threadgold, S. and Wilkinson, J. (2017). Thinking with and beyond Bourdieu in widening higher education participation. </w:t>
      </w:r>
      <w:r w:rsidRPr="00D4399B">
        <w:rPr>
          <w:i/>
          <w:iCs/>
          <w:sz w:val="24"/>
          <w:szCs w:val="24"/>
        </w:rPr>
        <w:t>Studies in Continuing Education</w:t>
      </w:r>
      <w:r w:rsidRPr="00D4399B">
        <w:rPr>
          <w:sz w:val="24"/>
          <w:szCs w:val="24"/>
        </w:rPr>
        <w:t>, 39(2), pp.138-160.</w:t>
      </w:r>
    </w:p>
    <w:p w14:paraId="532049C7" w14:textId="77777777" w:rsidR="00D4399B" w:rsidRDefault="00D4399B" w:rsidP="0001346B">
      <w:pPr>
        <w:spacing w:line="360" w:lineRule="auto"/>
        <w:jc w:val="both"/>
        <w:rPr>
          <w:sz w:val="24"/>
          <w:szCs w:val="24"/>
        </w:rPr>
      </w:pPr>
    </w:p>
    <w:p w14:paraId="2E4DFBDF" w14:textId="77777777" w:rsidR="0092491C" w:rsidRDefault="0092491C" w:rsidP="0001346B">
      <w:pPr>
        <w:spacing w:line="360" w:lineRule="auto"/>
        <w:jc w:val="both"/>
        <w:rPr>
          <w:sz w:val="24"/>
          <w:szCs w:val="24"/>
        </w:rPr>
      </w:pPr>
    </w:p>
    <w:p w14:paraId="56323A61" w14:textId="102BFBB4" w:rsidR="00A9191B" w:rsidRDefault="00A9191B" w:rsidP="0001346B">
      <w:pPr>
        <w:spacing w:line="360" w:lineRule="auto"/>
        <w:jc w:val="both"/>
        <w:rPr>
          <w:sz w:val="24"/>
          <w:szCs w:val="24"/>
        </w:rPr>
      </w:pPr>
    </w:p>
    <w:p w14:paraId="0263F1D3" w14:textId="77777777" w:rsidR="00A9191B" w:rsidRDefault="00A9191B" w:rsidP="0001346B">
      <w:pPr>
        <w:spacing w:line="360" w:lineRule="auto"/>
        <w:jc w:val="both"/>
        <w:rPr>
          <w:sz w:val="24"/>
          <w:szCs w:val="24"/>
        </w:rPr>
      </w:pPr>
    </w:p>
    <w:p w14:paraId="6176D009" w14:textId="56F4BFF0" w:rsidR="007D331A" w:rsidRDefault="007D331A" w:rsidP="0001346B">
      <w:pPr>
        <w:spacing w:line="360" w:lineRule="auto"/>
        <w:jc w:val="both"/>
        <w:rPr>
          <w:sz w:val="24"/>
          <w:szCs w:val="24"/>
        </w:rPr>
      </w:pPr>
    </w:p>
    <w:p w14:paraId="206A7831" w14:textId="77777777" w:rsidR="00EC176B" w:rsidRDefault="00EC176B" w:rsidP="0001346B">
      <w:pPr>
        <w:spacing w:line="360" w:lineRule="auto"/>
        <w:jc w:val="both"/>
        <w:rPr>
          <w:sz w:val="24"/>
          <w:szCs w:val="24"/>
        </w:rPr>
      </w:pPr>
    </w:p>
    <w:sectPr w:rsidR="00EC176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444703" w14:textId="77777777" w:rsidR="0001346B" w:rsidRDefault="0001346B" w:rsidP="0001346B">
      <w:pPr>
        <w:spacing w:after="0" w:line="240" w:lineRule="auto"/>
      </w:pPr>
      <w:r>
        <w:separator/>
      </w:r>
    </w:p>
  </w:endnote>
  <w:endnote w:type="continuationSeparator" w:id="0">
    <w:p w14:paraId="06FA6420" w14:textId="77777777" w:rsidR="0001346B" w:rsidRDefault="0001346B" w:rsidP="00013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024FBD" w14:textId="70FB22CC" w:rsidR="0001346B" w:rsidRDefault="0001346B">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D4399B">
      <w:rPr>
        <w:caps/>
        <w:noProof/>
        <w:color w:val="5B9BD5" w:themeColor="accent1"/>
      </w:rPr>
      <w:t>2</w:t>
    </w:r>
    <w:r>
      <w:rPr>
        <w:caps/>
        <w:noProof/>
        <w:color w:val="5B9BD5" w:themeColor="accent1"/>
      </w:rPr>
      <w:fldChar w:fldCharType="end"/>
    </w:r>
  </w:p>
  <w:p w14:paraId="10B9D4F0" w14:textId="77777777" w:rsidR="0001346B" w:rsidRDefault="00013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17FDF6" w14:textId="77777777" w:rsidR="0001346B" w:rsidRDefault="0001346B" w:rsidP="0001346B">
      <w:pPr>
        <w:spacing w:after="0" w:line="240" w:lineRule="auto"/>
      </w:pPr>
      <w:r>
        <w:separator/>
      </w:r>
    </w:p>
  </w:footnote>
  <w:footnote w:type="continuationSeparator" w:id="0">
    <w:p w14:paraId="16662007" w14:textId="77777777" w:rsidR="0001346B" w:rsidRDefault="0001346B" w:rsidP="000134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4B10D" w14:textId="77777777" w:rsidR="0001346B" w:rsidRDefault="0001346B">
    <w:pPr>
      <w:pStyle w:val="Header"/>
    </w:pPr>
    <w:r>
      <w:t>P075233</w:t>
    </w:r>
    <w:r>
      <w:ptab w:relativeTo="margin" w:alignment="center" w:leader="none"/>
    </w:r>
    <w:r>
      <w:t>Independent Study</w:t>
    </w:r>
    <w:r>
      <w:ptab w:relativeTo="margin" w:alignment="right" w:leader="none"/>
    </w:r>
    <w:r>
      <w:t>M6X02274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52621114"/>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46B"/>
    <w:rsid w:val="0000020F"/>
    <w:rsid w:val="0001346B"/>
    <w:rsid w:val="00056BC8"/>
    <w:rsid w:val="000C5B38"/>
    <w:rsid w:val="001B2E00"/>
    <w:rsid w:val="00210719"/>
    <w:rsid w:val="002C7BF5"/>
    <w:rsid w:val="003A43B2"/>
    <w:rsid w:val="00483693"/>
    <w:rsid w:val="004F0D3D"/>
    <w:rsid w:val="00503E49"/>
    <w:rsid w:val="00537AB8"/>
    <w:rsid w:val="00542B31"/>
    <w:rsid w:val="005513AB"/>
    <w:rsid w:val="0058445A"/>
    <w:rsid w:val="00594C3D"/>
    <w:rsid w:val="007717AC"/>
    <w:rsid w:val="00783CE5"/>
    <w:rsid w:val="007D331A"/>
    <w:rsid w:val="008A1B34"/>
    <w:rsid w:val="008B7705"/>
    <w:rsid w:val="008E40A1"/>
    <w:rsid w:val="0092491C"/>
    <w:rsid w:val="009F19F4"/>
    <w:rsid w:val="00A71712"/>
    <w:rsid w:val="00A9191B"/>
    <w:rsid w:val="00AE369A"/>
    <w:rsid w:val="00AF7099"/>
    <w:rsid w:val="00B10AD9"/>
    <w:rsid w:val="00B9071E"/>
    <w:rsid w:val="00BF0DF5"/>
    <w:rsid w:val="00BF147E"/>
    <w:rsid w:val="00C219D7"/>
    <w:rsid w:val="00C6421E"/>
    <w:rsid w:val="00C72767"/>
    <w:rsid w:val="00C83FDB"/>
    <w:rsid w:val="00C873A5"/>
    <w:rsid w:val="00CF66B9"/>
    <w:rsid w:val="00D06CB2"/>
    <w:rsid w:val="00D4399B"/>
    <w:rsid w:val="00DF0542"/>
    <w:rsid w:val="00DF2A7D"/>
    <w:rsid w:val="00E01646"/>
    <w:rsid w:val="00E10460"/>
    <w:rsid w:val="00E21890"/>
    <w:rsid w:val="00EA44BE"/>
    <w:rsid w:val="00EC176B"/>
    <w:rsid w:val="00F32095"/>
    <w:rsid w:val="00F34480"/>
    <w:rsid w:val="00F40D2B"/>
    <w:rsid w:val="00FA3084"/>
    <w:rsid w:val="00FC011A"/>
    <w:rsid w:val="00FF6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43036"/>
  <w15:chartTrackingRefBased/>
  <w15:docId w15:val="{B6A041EA-25A6-4A3F-815F-8C8A22A41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3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46B"/>
  </w:style>
  <w:style w:type="paragraph" w:styleId="Footer">
    <w:name w:val="footer"/>
    <w:basedOn w:val="Normal"/>
    <w:link w:val="FooterChar"/>
    <w:uiPriority w:val="99"/>
    <w:unhideWhenUsed/>
    <w:rsid w:val="00013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46B"/>
  </w:style>
  <w:style w:type="paragraph" w:styleId="ListBullet">
    <w:name w:val="List Bullet"/>
    <w:basedOn w:val="Normal"/>
    <w:uiPriority w:val="99"/>
    <w:unhideWhenUsed/>
    <w:rsid w:val="00C873A5"/>
    <w:pPr>
      <w:numPr>
        <w:numId w:val="1"/>
      </w:numPr>
      <w:contextualSpacing/>
    </w:pPr>
  </w:style>
  <w:style w:type="character" w:styleId="Hyperlink">
    <w:name w:val="Hyperlink"/>
    <w:basedOn w:val="DefaultParagraphFont"/>
    <w:uiPriority w:val="99"/>
    <w:semiHidden/>
    <w:unhideWhenUsed/>
    <w:rsid w:val="007D331A"/>
    <w:rPr>
      <w:color w:val="0000FF"/>
      <w:u w:val="single"/>
    </w:rPr>
  </w:style>
  <w:style w:type="paragraph" w:styleId="NormalWeb">
    <w:name w:val="Normal (Web)"/>
    <w:basedOn w:val="Normal"/>
    <w:uiPriority w:val="99"/>
    <w:semiHidden/>
    <w:unhideWhenUsed/>
    <w:rsid w:val="009249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0962158">
      <w:bodyDiv w:val="1"/>
      <w:marLeft w:val="0"/>
      <w:marRight w:val="0"/>
      <w:marTop w:val="0"/>
      <w:marBottom w:val="0"/>
      <w:divBdr>
        <w:top w:val="none" w:sz="0" w:space="0" w:color="auto"/>
        <w:left w:val="none" w:sz="0" w:space="0" w:color="auto"/>
        <w:bottom w:val="none" w:sz="0" w:space="0" w:color="auto"/>
        <w:right w:val="none" w:sz="0" w:space="0" w:color="auto"/>
      </w:divBdr>
    </w:div>
    <w:div w:id="1931036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3011</Words>
  <Characters>17166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Morgan (P075233)</dc:creator>
  <cp:keywords/>
  <dc:description/>
  <cp:lastModifiedBy>James Morgan (P075233)</cp:lastModifiedBy>
  <cp:revision>2</cp:revision>
  <dcterms:created xsi:type="dcterms:W3CDTF">2019-05-29T15:03:00Z</dcterms:created>
  <dcterms:modified xsi:type="dcterms:W3CDTF">2019-05-29T15:03:00Z</dcterms:modified>
</cp:coreProperties>
</file>