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D31FE4" w14:textId="02E2FF8B" w:rsidR="00FB6D16" w:rsidRPr="00282722" w:rsidRDefault="00FB6D16" w:rsidP="00282C3C">
      <w:pPr>
        <w:pStyle w:val="Title"/>
        <w:jc w:val="center"/>
        <w:rPr>
          <w:rFonts w:ascii="Arial" w:hAnsi="Arial" w:cs="Arial"/>
          <w:color w:val="000000" w:themeColor="text1"/>
          <w:sz w:val="32"/>
          <w:szCs w:val="32"/>
          <w:lang w:val="en-GB"/>
        </w:rPr>
      </w:pPr>
      <w:r w:rsidRPr="00282722">
        <w:rPr>
          <w:rFonts w:ascii="Arial" w:hAnsi="Arial" w:cs="Arial"/>
          <w:noProof/>
          <w:color w:val="000000" w:themeColor="text1"/>
          <w:sz w:val="32"/>
          <w:szCs w:val="32"/>
          <w:lang w:val="en-GB" w:bidi="hi-IN"/>
        </w:rPr>
        <w:drawing>
          <wp:inline distT="114300" distB="114300" distL="114300" distR="114300" wp14:anchorId="6F92EA94" wp14:editId="636628D1">
            <wp:extent cx="3276600" cy="10795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76600" cy="1079500"/>
                    </a:xfrm>
                    <a:prstGeom prst="rect">
                      <a:avLst/>
                    </a:prstGeom>
                    <a:ln/>
                  </pic:spPr>
                </pic:pic>
              </a:graphicData>
            </a:graphic>
          </wp:inline>
        </w:drawing>
      </w:r>
    </w:p>
    <w:p w14:paraId="3E96A750" w14:textId="77777777" w:rsidR="00CC578F" w:rsidRPr="00282722" w:rsidRDefault="00CC578F" w:rsidP="00FB6D16">
      <w:pPr>
        <w:pStyle w:val="Title"/>
        <w:jc w:val="center"/>
        <w:rPr>
          <w:rFonts w:ascii="Arial" w:hAnsi="Arial" w:cs="Arial"/>
          <w:color w:val="000000" w:themeColor="text1"/>
          <w:sz w:val="32"/>
          <w:szCs w:val="32"/>
          <w:lang w:val="en-GB"/>
        </w:rPr>
      </w:pPr>
    </w:p>
    <w:p w14:paraId="19598EEC" w14:textId="77777777" w:rsidR="00CC578F" w:rsidRPr="00282722" w:rsidRDefault="00CC578F" w:rsidP="00FB6D16">
      <w:pPr>
        <w:pStyle w:val="Title"/>
        <w:jc w:val="center"/>
        <w:rPr>
          <w:rFonts w:ascii="Arial" w:hAnsi="Arial" w:cs="Arial"/>
          <w:color w:val="000000" w:themeColor="text1"/>
          <w:sz w:val="32"/>
          <w:szCs w:val="32"/>
          <w:lang w:val="en-GB"/>
        </w:rPr>
      </w:pPr>
    </w:p>
    <w:p w14:paraId="14C49977" w14:textId="77777777" w:rsidR="00CC578F" w:rsidRPr="00282722" w:rsidRDefault="00CC578F" w:rsidP="00FB6D16">
      <w:pPr>
        <w:pStyle w:val="Title"/>
        <w:jc w:val="center"/>
        <w:rPr>
          <w:rFonts w:ascii="Arial" w:hAnsi="Arial" w:cs="Arial"/>
          <w:color w:val="000000" w:themeColor="text1"/>
          <w:sz w:val="32"/>
          <w:szCs w:val="32"/>
          <w:lang w:val="en-GB"/>
        </w:rPr>
      </w:pPr>
    </w:p>
    <w:p w14:paraId="677B4E69" w14:textId="5868682C" w:rsidR="00FB6D16"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Program of Study: Master of Business Administration</w:t>
      </w:r>
    </w:p>
    <w:p w14:paraId="6ED8892D" w14:textId="0C0B9C87" w:rsidR="00056D5B"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Module Code and Title: LCMB70</w:t>
      </w:r>
      <w:r w:rsidR="00056D5B" w:rsidRPr="00282722">
        <w:rPr>
          <w:rStyle w:val="SubtleEmphasis"/>
          <w:rFonts w:cs="Times New Roman"/>
          <w:b/>
          <w:bCs/>
          <w:i w:val="0"/>
          <w:iCs w:val="0"/>
          <w:sz w:val="32"/>
          <w:szCs w:val="40"/>
        </w:rPr>
        <w:t>23 Human Capital Management</w:t>
      </w:r>
    </w:p>
    <w:p w14:paraId="624F2283" w14:textId="56272673" w:rsidR="005C700E" w:rsidRPr="00282722" w:rsidRDefault="005C700E"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Assessment component 1:</w:t>
      </w:r>
      <w:r w:rsidR="009A6235" w:rsidRPr="00282722">
        <w:rPr>
          <w:rStyle w:val="SubtleEmphasis"/>
          <w:rFonts w:cs="Times New Roman"/>
          <w:b/>
          <w:bCs/>
          <w:i w:val="0"/>
          <w:iCs w:val="0"/>
          <w:sz w:val="32"/>
          <w:szCs w:val="40"/>
        </w:rPr>
        <w:t xml:space="preserve"> </w:t>
      </w:r>
      <w:r w:rsidRPr="00282722">
        <w:rPr>
          <w:rStyle w:val="SubtleEmphasis"/>
          <w:rFonts w:cs="Times New Roman"/>
          <w:b/>
          <w:bCs/>
          <w:i w:val="0"/>
          <w:iCs w:val="0"/>
          <w:sz w:val="32"/>
          <w:szCs w:val="40"/>
        </w:rPr>
        <w:t>Individual report</w:t>
      </w:r>
    </w:p>
    <w:p w14:paraId="6A586C30" w14:textId="7615E75F" w:rsidR="00FB6D16"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 xml:space="preserve">Student Name: </w:t>
      </w:r>
      <w:proofErr w:type="spellStart"/>
      <w:r w:rsidR="00CC578F" w:rsidRPr="00282722">
        <w:rPr>
          <w:rStyle w:val="SubtleEmphasis"/>
          <w:rFonts w:cs="Times New Roman"/>
          <w:b/>
          <w:bCs/>
          <w:i w:val="0"/>
          <w:iCs w:val="0"/>
          <w:sz w:val="32"/>
          <w:szCs w:val="40"/>
        </w:rPr>
        <w:t>Lakmi</w:t>
      </w:r>
      <w:proofErr w:type="spellEnd"/>
      <w:r w:rsidR="00CC578F" w:rsidRPr="00282722">
        <w:rPr>
          <w:rStyle w:val="SubtleEmphasis"/>
          <w:rFonts w:cs="Times New Roman"/>
          <w:b/>
          <w:bCs/>
          <w:i w:val="0"/>
          <w:iCs w:val="0"/>
          <w:sz w:val="32"/>
          <w:szCs w:val="40"/>
        </w:rPr>
        <w:t xml:space="preserve"> Singh</w:t>
      </w:r>
    </w:p>
    <w:p w14:paraId="4C1FFC17" w14:textId="30E4599A" w:rsidR="00AF1DDF"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 xml:space="preserve">Student Id: </w:t>
      </w:r>
      <w:r w:rsidR="00CC578F" w:rsidRPr="00282722">
        <w:rPr>
          <w:rStyle w:val="SubtleEmphasis"/>
          <w:rFonts w:cs="Times New Roman"/>
          <w:b/>
          <w:bCs/>
          <w:i w:val="0"/>
          <w:iCs w:val="0"/>
          <w:sz w:val="32"/>
          <w:szCs w:val="40"/>
        </w:rPr>
        <w:t>2534405</w:t>
      </w:r>
    </w:p>
    <w:p w14:paraId="2BB87274" w14:textId="6AAB9678" w:rsidR="00AF1DDF" w:rsidRPr="00282722" w:rsidRDefault="00AF1DDF" w:rsidP="00CE755A">
      <w:pPr>
        <w:jc w:val="center"/>
        <w:rPr>
          <w:rStyle w:val="SubtleEmphasis"/>
          <w:rFonts w:cs="Times New Roman"/>
          <w:b/>
          <w:bCs/>
          <w:i w:val="0"/>
          <w:iCs w:val="0"/>
          <w:sz w:val="32"/>
          <w:szCs w:val="48"/>
        </w:rPr>
      </w:pPr>
      <w:r w:rsidRPr="00282722">
        <w:rPr>
          <w:rStyle w:val="SubtleEmphasis"/>
          <w:rFonts w:cs="Times New Roman"/>
          <w:b/>
          <w:bCs/>
          <w:i w:val="0"/>
          <w:iCs w:val="0"/>
          <w:sz w:val="32"/>
          <w:szCs w:val="48"/>
        </w:rPr>
        <w:t>Lecturer: Eno Maycock</w:t>
      </w:r>
    </w:p>
    <w:p w14:paraId="4A05A414" w14:textId="77CEFA02" w:rsidR="00FB6D16"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 xml:space="preserve">Words: </w:t>
      </w:r>
      <w:r w:rsidR="00801918" w:rsidRPr="00282722">
        <w:rPr>
          <w:rStyle w:val="SubtleEmphasis"/>
          <w:rFonts w:cs="Times New Roman"/>
          <w:b/>
          <w:bCs/>
          <w:i w:val="0"/>
          <w:iCs w:val="0"/>
          <w:sz w:val="32"/>
          <w:szCs w:val="40"/>
        </w:rPr>
        <w:t>2630</w:t>
      </w:r>
    </w:p>
    <w:p w14:paraId="557473FF" w14:textId="0637D444" w:rsidR="00FB6D16" w:rsidRPr="00282722" w:rsidRDefault="00FB6D16" w:rsidP="00CE755A">
      <w:pPr>
        <w:jc w:val="center"/>
        <w:rPr>
          <w:rStyle w:val="SubtleEmphasis"/>
          <w:rFonts w:cs="Times New Roman"/>
          <w:b/>
          <w:bCs/>
          <w:i w:val="0"/>
          <w:iCs w:val="0"/>
          <w:sz w:val="32"/>
          <w:szCs w:val="40"/>
        </w:rPr>
      </w:pPr>
      <w:r w:rsidRPr="00282722">
        <w:rPr>
          <w:rStyle w:val="SubtleEmphasis"/>
          <w:rFonts w:cs="Times New Roman"/>
          <w:b/>
          <w:bCs/>
          <w:i w:val="0"/>
          <w:iCs w:val="0"/>
          <w:sz w:val="32"/>
          <w:szCs w:val="40"/>
        </w:rPr>
        <w:t>Submission Date:</w:t>
      </w:r>
      <w:r w:rsidR="000E4A42" w:rsidRPr="00282722">
        <w:rPr>
          <w:rStyle w:val="SubtleEmphasis"/>
          <w:rFonts w:cs="Times New Roman"/>
          <w:b/>
          <w:bCs/>
          <w:i w:val="0"/>
          <w:iCs w:val="0"/>
          <w:sz w:val="32"/>
          <w:szCs w:val="40"/>
        </w:rPr>
        <w:t xml:space="preserve"> </w:t>
      </w:r>
      <w:r w:rsidR="00CC578F" w:rsidRPr="00282722">
        <w:rPr>
          <w:rStyle w:val="SubtleEmphasis"/>
          <w:rFonts w:cs="Times New Roman"/>
          <w:b/>
          <w:bCs/>
          <w:i w:val="0"/>
          <w:iCs w:val="0"/>
          <w:sz w:val="32"/>
          <w:szCs w:val="40"/>
        </w:rPr>
        <w:t>26</w:t>
      </w:r>
      <w:r w:rsidR="000E4A42" w:rsidRPr="00282722">
        <w:rPr>
          <w:rStyle w:val="SubtleEmphasis"/>
          <w:rFonts w:cs="Times New Roman"/>
          <w:b/>
          <w:bCs/>
          <w:i w:val="0"/>
          <w:iCs w:val="0"/>
          <w:sz w:val="32"/>
          <w:szCs w:val="40"/>
        </w:rPr>
        <w:t xml:space="preserve"> June</w:t>
      </w:r>
      <w:r w:rsidRPr="00282722">
        <w:rPr>
          <w:rStyle w:val="SubtleEmphasis"/>
          <w:rFonts w:cs="Times New Roman"/>
          <w:b/>
          <w:bCs/>
          <w:i w:val="0"/>
          <w:iCs w:val="0"/>
          <w:sz w:val="32"/>
          <w:szCs w:val="40"/>
        </w:rPr>
        <w:t xml:space="preserve"> 2026</w:t>
      </w:r>
    </w:p>
    <w:p w14:paraId="2204D50C" w14:textId="77777777" w:rsidR="00A975C3" w:rsidRPr="00282722" w:rsidRDefault="00A975C3" w:rsidP="00A975C3">
      <w:pPr>
        <w:jc w:val="both"/>
        <w:rPr>
          <w:rFonts w:ascii="Arial" w:hAnsi="Arial" w:cs="Arial"/>
          <w:sz w:val="28"/>
          <w:szCs w:val="24"/>
          <w:lang w:val="en-GB"/>
        </w:rPr>
      </w:pPr>
      <w:r w:rsidRPr="00282722">
        <w:rPr>
          <w:rStyle w:val="SubtleEmphasis"/>
          <w:rFonts w:ascii="Arial" w:hAnsi="Arial" w:cs="Arial"/>
          <w:i w:val="0"/>
          <w:iCs w:val="0"/>
          <w:sz w:val="32"/>
          <w:szCs w:val="28"/>
          <w:lang w:val="en-GB"/>
        </w:rPr>
        <w:br w:type="page"/>
      </w:r>
    </w:p>
    <w:sdt>
      <w:sdtPr>
        <w:rPr>
          <w:rFonts w:ascii="Arial" w:eastAsia="Times New Roman" w:hAnsi="Arial" w:cs="Arial"/>
          <w:color w:val="000000"/>
          <w:sz w:val="24"/>
          <w:szCs w:val="22"/>
          <w:lang w:val="en-GB"/>
        </w:rPr>
        <w:id w:val="1327248995"/>
        <w:docPartObj>
          <w:docPartGallery w:val="Table of Contents"/>
          <w:docPartUnique/>
        </w:docPartObj>
      </w:sdtPr>
      <w:sdtEndPr>
        <w:rPr>
          <w:b/>
          <w:bCs/>
          <w:noProof/>
        </w:rPr>
      </w:sdtEndPr>
      <w:sdtContent>
        <w:p w14:paraId="722193B3" w14:textId="3E508B2D" w:rsidR="005B7320" w:rsidRPr="00282722" w:rsidRDefault="005B7320">
          <w:pPr>
            <w:pStyle w:val="TOCHeading"/>
            <w:rPr>
              <w:rFonts w:ascii="Arial" w:hAnsi="Arial" w:cs="Arial"/>
              <w:b/>
              <w:bCs/>
              <w:color w:val="4C94D8" w:themeColor="text2" w:themeTint="80"/>
              <w:sz w:val="24"/>
              <w:szCs w:val="24"/>
              <w:lang w:val="en-GB"/>
            </w:rPr>
          </w:pPr>
          <w:r w:rsidRPr="00282722">
            <w:rPr>
              <w:rFonts w:ascii="Arial" w:hAnsi="Arial" w:cs="Arial"/>
              <w:b/>
              <w:bCs/>
              <w:color w:val="4C94D8" w:themeColor="text2" w:themeTint="80"/>
              <w:sz w:val="24"/>
              <w:szCs w:val="24"/>
              <w:lang w:val="en-GB"/>
            </w:rPr>
            <w:t>Table of Contents</w:t>
          </w:r>
        </w:p>
        <w:p w14:paraId="17076B67" w14:textId="4D36225C" w:rsidR="00473D4B" w:rsidRPr="00282722" w:rsidRDefault="005B7320">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r w:rsidRPr="00282722">
            <w:rPr>
              <w:rFonts w:ascii="Arial" w:hAnsi="Arial" w:cs="Arial"/>
              <w:color w:val="000000" w:themeColor="text1"/>
              <w:szCs w:val="24"/>
              <w:lang w:val="en-GB"/>
            </w:rPr>
            <w:fldChar w:fldCharType="begin"/>
          </w:r>
          <w:r w:rsidRPr="00282722">
            <w:rPr>
              <w:rFonts w:ascii="Arial" w:hAnsi="Arial" w:cs="Arial"/>
              <w:color w:val="000000" w:themeColor="text1"/>
              <w:szCs w:val="24"/>
              <w:lang w:val="en-GB"/>
            </w:rPr>
            <w:instrText xml:space="preserve"> TOC \o "1-3" \h \z \u </w:instrText>
          </w:r>
          <w:r w:rsidRPr="00282722">
            <w:rPr>
              <w:rFonts w:ascii="Arial" w:hAnsi="Arial" w:cs="Arial"/>
              <w:color w:val="000000" w:themeColor="text1"/>
              <w:szCs w:val="24"/>
              <w:lang w:val="en-GB"/>
            </w:rPr>
            <w:fldChar w:fldCharType="separate"/>
          </w:r>
          <w:hyperlink w:anchor="_Toc233315770" w:history="1">
            <w:r w:rsidR="00473D4B" w:rsidRPr="00282722">
              <w:rPr>
                <w:rStyle w:val="Hyperlink"/>
                <w:rFonts w:ascii="Arial" w:hAnsi="Arial" w:cs="Arial"/>
                <w:noProof/>
                <w:lang w:val="en-GB"/>
              </w:rPr>
              <w:t>1. Introduction</w:t>
            </w:r>
            <w:r w:rsidR="00473D4B" w:rsidRPr="00282722">
              <w:rPr>
                <w:noProof/>
                <w:webHidden/>
              </w:rPr>
              <w:tab/>
            </w:r>
            <w:r w:rsidR="00473D4B" w:rsidRPr="00282722">
              <w:rPr>
                <w:noProof/>
                <w:webHidden/>
              </w:rPr>
              <w:fldChar w:fldCharType="begin"/>
            </w:r>
            <w:r w:rsidR="00473D4B" w:rsidRPr="00282722">
              <w:rPr>
                <w:noProof/>
                <w:webHidden/>
              </w:rPr>
              <w:instrText xml:space="preserve"> PAGEREF _Toc233315770 \h </w:instrText>
            </w:r>
            <w:r w:rsidR="00473D4B" w:rsidRPr="00282722">
              <w:rPr>
                <w:noProof/>
                <w:webHidden/>
              </w:rPr>
            </w:r>
            <w:r w:rsidR="00473D4B" w:rsidRPr="00282722">
              <w:rPr>
                <w:noProof/>
                <w:webHidden/>
              </w:rPr>
              <w:fldChar w:fldCharType="separate"/>
            </w:r>
            <w:r w:rsidR="00473D4B" w:rsidRPr="00282722">
              <w:rPr>
                <w:noProof/>
                <w:webHidden/>
              </w:rPr>
              <w:t>3</w:t>
            </w:r>
            <w:r w:rsidR="00473D4B" w:rsidRPr="00282722">
              <w:rPr>
                <w:noProof/>
                <w:webHidden/>
              </w:rPr>
              <w:fldChar w:fldCharType="end"/>
            </w:r>
          </w:hyperlink>
        </w:p>
        <w:p w14:paraId="12B00D49" w14:textId="5AC7B993" w:rsidR="00473D4B" w:rsidRPr="00282722" w:rsidRDefault="00473D4B">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1" w:history="1">
            <w:r w:rsidRPr="00282722">
              <w:rPr>
                <w:rStyle w:val="Hyperlink"/>
                <w:rFonts w:ascii="Arial" w:hAnsi="Arial" w:cs="Arial"/>
                <w:noProof/>
                <w:lang w:val="en-GB"/>
              </w:rPr>
              <w:t>2. Task A: Socialisation, Identity and Business Activism</w:t>
            </w:r>
            <w:r w:rsidRPr="00282722">
              <w:rPr>
                <w:noProof/>
                <w:webHidden/>
              </w:rPr>
              <w:tab/>
            </w:r>
            <w:r w:rsidRPr="00282722">
              <w:rPr>
                <w:noProof/>
                <w:webHidden/>
              </w:rPr>
              <w:fldChar w:fldCharType="begin"/>
            </w:r>
            <w:r w:rsidRPr="00282722">
              <w:rPr>
                <w:noProof/>
                <w:webHidden/>
              </w:rPr>
              <w:instrText xml:space="preserve"> PAGEREF _Toc233315771 \h </w:instrText>
            </w:r>
            <w:r w:rsidRPr="00282722">
              <w:rPr>
                <w:noProof/>
                <w:webHidden/>
              </w:rPr>
            </w:r>
            <w:r w:rsidRPr="00282722">
              <w:rPr>
                <w:noProof/>
                <w:webHidden/>
              </w:rPr>
              <w:fldChar w:fldCharType="separate"/>
            </w:r>
            <w:r w:rsidRPr="00282722">
              <w:rPr>
                <w:noProof/>
                <w:webHidden/>
              </w:rPr>
              <w:t>3</w:t>
            </w:r>
            <w:r w:rsidRPr="00282722">
              <w:rPr>
                <w:noProof/>
                <w:webHidden/>
              </w:rPr>
              <w:fldChar w:fldCharType="end"/>
            </w:r>
          </w:hyperlink>
        </w:p>
        <w:p w14:paraId="06FA6C36" w14:textId="65F1B5AB"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2" w:history="1">
            <w:r w:rsidRPr="00282722">
              <w:rPr>
                <w:rStyle w:val="Hyperlink"/>
                <w:rFonts w:ascii="Arial" w:hAnsi="Arial" w:cs="Arial"/>
                <w:noProof/>
                <w:lang w:val="en-GB"/>
              </w:rPr>
              <w:t xml:space="preserve">2.1 </w:t>
            </w:r>
            <w:r w:rsidRPr="00282722">
              <w:rPr>
                <w:rStyle w:val="Hyperlink"/>
                <w:rFonts w:ascii="Arial" w:hAnsi="Arial" w:cs="Arial"/>
                <w:bCs/>
                <w:noProof/>
                <w:lang w:val="en-GB"/>
              </w:rPr>
              <w:t>Traditional Onboarding versus Strategic Organisational Socialisation</w:t>
            </w:r>
            <w:r w:rsidRPr="00282722">
              <w:rPr>
                <w:noProof/>
                <w:webHidden/>
              </w:rPr>
              <w:tab/>
            </w:r>
            <w:r w:rsidRPr="00282722">
              <w:rPr>
                <w:noProof/>
                <w:webHidden/>
              </w:rPr>
              <w:fldChar w:fldCharType="begin"/>
            </w:r>
            <w:r w:rsidRPr="00282722">
              <w:rPr>
                <w:noProof/>
                <w:webHidden/>
              </w:rPr>
              <w:instrText xml:space="preserve"> PAGEREF _Toc233315772 \h </w:instrText>
            </w:r>
            <w:r w:rsidRPr="00282722">
              <w:rPr>
                <w:noProof/>
                <w:webHidden/>
              </w:rPr>
            </w:r>
            <w:r w:rsidRPr="00282722">
              <w:rPr>
                <w:noProof/>
                <w:webHidden/>
              </w:rPr>
              <w:fldChar w:fldCharType="separate"/>
            </w:r>
            <w:r w:rsidRPr="00282722">
              <w:rPr>
                <w:noProof/>
                <w:webHidden/>
              </w:rPr>
              <w:t>3</w:t>
            </w:r>
            <w:r w:rsidRPr="00282722">
              <w:rPr>
                <w:noProof/>
                <w:webHidden/>
              </w:rPr>
              <w:fldChar w:fldCharType="end"/>
            </w:r>
          </w:hyperlink>
        </w:p>
        <w:p w14:paraId="5015FA0E" w14:textId="37DA11E9"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3" w:history="1">
            <w:r w:rsidRPr="00282722">
              <w:rPr>
                <w:rStyle w:val="Hyperlink"/>
                <w:rFonts w:ascii="Arial" w:hAnsi="Arial" w:cs="Arial"/>
                <w:noProof/>
                <w:lang w:val="en-GB"/>
              </w:rPr>
              <w:t>2.2 Strategic Socialisation Framework for Helios</w:t>
            </w:r>
            <w:r w:rsidRPr="00282722">
              <w:rPr>
                <w:noProof/>
                <w:webHidden/>
              </w:rPr>
              <w:tab/>
            </w:r>
            <w:r w:rsidRPr="00282722">
              <w:rPr>
                <w:noProof/>
                <w:webHidden/>
              </w:rPr>
              <w:fldChar w:fldCharType="begin"/>
            </w:r>
            <w:r w:rsidRPr="00282722">
              <w:rPr>
                <w:noProof/>
                <w:webHidden/>
              </w:rPr>
              <w:instrText xml:space="preserve"> PAGEREF _Toc233315773 \h </w:instrText>
            </w:r>
            <w:r w:rsidRPr="00282722">
              <w:rPr>
                <w:noProof/>
                <w:webHidden/>
              </w:rPr>
            </w:r>
            <w:r w:rsidRPr="00282722">
              <w:rPr>
                <w:noProof/>
                <w:webHidden/>
              </w:rPr>
              <w:fldChar w:fldCharType="separate"/>
            </w:r>
            <w:r w:rsidRPr="00282722">
              <w:rPr>
                <w:noProof/>
                <w:webHidden/>
              </w:rPr>
              <w:t>5</w:t>
            </w:r>
            <w:r w:rsidRPr="00282722">
              <w:rPr>
                <w:noProof/>
                <w:webHidden/>
              </w:rPr>
              <w:fldChar w:fldCharType="end"/>
            </w:r>
          </w:hyperlink>
        </w:p>
        <w:p w14:paraId="7626CBE4" w14:textId="17003A22"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4" w:history="1">
            <w:r w:rsidRPr="00282722">
              <w:rPr>
                <w:rStyle w:val="Hyperlink"/>
                <w:rFonts w:ascii="Arial" w:hAnsi="Arial" w:cs="Arial"/>
                <w:noProof/>
                <w:lang w:val="en-GB"/>
              </w:rPr>
              <w:t>2.3 Organisational Identification, Ethical Professionalism and Business Activism</w:t>
            </w:r>
            <w:r w:rsidRPr="00282722">
              <w:rPr>
                <w:noProof/>
                <w:webHidden/>
              </w:rPr>
              <w:tab/>
            </w:r>
            <w:r w:rsidRPr="00282722">
              <w:rPr>
                <w:noProof/>
                <w:webHidden/>
              </w:rPr>
              <w:fldChar w:fldCharType="begin"/>
            </w:r>
            <w:r w:rsidRPr="00282722">
              <w:rPr>
                <w:noProof/>
                <w:webHidden/>
              </w:rPr>
              <w:instrText xml:space="preserve"> PAGEREF _Toc233315774 \h </w:instrText>
            </w:r>
            <w:r w:rsidRPr="00282722">
              <w:rPr>
                <w:noProof/>
                <w:webHidden/>
              </w:rPr>
            </w:r>
            <w:r w:rsidRPr="00282722">
              <w:rPr>
                <w:noProof/>
                <w:webHidden/>
              </w:rPr>
              <w:fldChar w:fldCharType="separate"/>
            </w:r>
            <w:r w:rsidRPr="00282722">
              <w:rPr>
                <w:noProof/>
                <w:webHidden/>
              </w:rPr>
              <w:t>6</w:t>
            </w:r>
            <w:r w:rsidRPr="00282722">
              <w:rPr>
                <w:noProof/>
                <w:webHidden/>
              </w:rPr>
              <w:fldChar w:fldCharType="end"/>
            </w:r>
          </w:hyperlink>
        </w:p>
        <w:p w14:paraId="4968DDBE" w14:textId="1426C6CE" w:rsidR="00473D4B" w:rsidRPr="00282722" w:rsidRDefault="00473D4B">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5" w:history="1">
            <w:r w:rsidRPr="00282722">
              <w:rPr>
                <w:rStyle w:val="Hyperlink"/>
                <w:rFonts w:ascii="Arial" w:hAnsi="Arial" w:cs="Arial"/>
                <w:noProof/>
                <w:lang w:val="en-GB"/>
              </w:rPr>
              <w:t>3. Task B: Job Design</w:t>
            </w:r>
            <w:r w:rsidRPr="00282722">
              <w:rPr>
                <w:noProof/>
                <w:webHidden/>
              </w:rPr>
              <w:tab/>
            </w:r>
            <w:r w:rsidRPr="00282722">
              <w:rPr>
                <w:noProof/>
                <w:webHidden/>
              </w:rPr>
              <w:fldChar w:fldCharType="begin"/>
            </w:r>
            <w:r w:rsidRPr="00282722">
              <w:rPr>
                <w:noProof/>
                <w:webHidden/>
              </w:rPr>
              <w:instrText xml:space="preserve"> PAGEREF _Toc233315775 \h </w:instrText>
            </w:r>
            <w:r w:rsidRPr="00282722">
              <w:rPr>
                <w:noProof/>
                <w:webHidden/>
              </w:rPr>
            </w:r>
            <w:r w:rsidRPr="00282722">
              <w:rPr>
                <w:noProof/>
                <w:webHidden/>
              </w:rPr>
              <w:fldChar w:fldCharType="separate"/>
            </w:r>
            <w:r w:rsidRPr="00282722">
              <w:rPr>
                <w:noProof/>
                <w:webHidden/>
              </w:rPr>
              <w:t>9</w:t>
            </w:r>
            <w:r w:rsidRPr="00282722">
              <w:rPr>
                <w:noProof/>
                <w:webHidden/>
              </w:rPr>
              <w:fldChar w:fldCharType="end"/>
            </w:r>
          </w:hyperlink>
        </w:p>
        <w:p w14:paraId="570F9BDD" w14:textId="1DA2D576"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6" w:history="1">
            <w:r w:rsidRPr="00282722">
              <w:rPr>
                <w:rStyle w:val="Hyperlink"/>
                <w:rFonts w:ascii="Arial" w:hAnsi="Arial" w:cs="Arial"/>
                <w:noProof/>
                <w:lang w:val="en-GB"/>
              </w:rPr>
              <w:t>3.1 Innovative Job Design Strategy</w:t>
            </w:r>
            <w:r w:rsidRPr="00282722">
              <w:rPr>
                <w:noProof/>
                <w:webHidden/>
              </w:rPr>
              <w:tab/>
            </w:r>
            <w:r w:rsidRPr="00282722">
              <w:rPr>
                <w:noProof/>
                <w:webHidden/>
              </w:rPr>
              <w:fldChar w:fldCharType="begin"/>
            </w:r>
            <w:r w:rsidRPr="00282722">
              <w:rPr>
                <w:noProof/>
                <w:webHidden/>
              </w:rPr>
              <w:instrText xml:space="preserve"> PAGEREF _Toc233315776 \h </w:instrText>
            </w:r>
            <w:r w:rsidRPr="00282722">
              <w:rPr>
                <w:noProof/>
                <w:webHidden/>
              </w:rPr>
            </w:r>
            <w:r w:rsidRPr="00282722">
              <w:rPr>
                <w:noProof/>
                <w:webHidden/>
              </w:rPr>
              <w:fldChar w:fldCharType="separate"/>
            </w:r>
            <w:r w:rsidRPr="00282722">
              <w:rPr>
                <w:noProof/>
                <w:webHidden/>
              </w:rPr>
              <w:t>9</w:t>
            </w:r>
            <w:r w:rsidRPr="00282722">
              <w:rPr>
                <w:noProof/>
                <w:webHidden/>
              </w:rPr>
              <w:fldChar w:fldCharType="end"/>
            </w:r>
          </w:hyperlink>
        </w:p>
        <w:p w14:paraId="0CDB3EF6" w14:textId="6216F29E"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7" w:history="1">
            <w:r w:rsidRPr="00282722">
              <w:rPr>
                <w:rStyle w:val="Hyperlink"/>
                <w:rFonts w:ascii="Arial" w:hAnsi="Arial" w:cs="Arial"/>
                <w:noProof/>
                <w:lang w:val="en-GB"/>
              </w:rPr>
              <w:t>3.2 Stimulating Intrinsic Motivation and Supporting Innovation</w:t>
            </w:r>
            <w:r w:rsidRPr="00282722">
              <w:rPr>
                <w:noProof/>
                <w:webHidden/>
              </w:rPr>
              <w:tab/>
            </w:r>
            <w:r w:rsidRPr="00282722">
              <w:rPr>
                <w:noProof/>
                <w:webHidden/>
              </w:rPr>
              <w:fldChar w:fldCharType="begin"/>
            </w:r>
            <w:r w:rsidRPr="00282722">
              <w:rPr>
                <w:noProof/>
                <w:webHidden/>
              </w:rPr>
              <w:instrText xml:space="preserve"> PAGEREF _Toc233315777 \h </w:instrText>
            </w:r>
            <w:r w:rsidRPr="00282722">
              <w:rPr>
                <w:noProof/>
                <w:webHidden/>
              </w:rPr>
            </w:r>
            <w:r w:rsidRPr="00282722">
              <w:rPr>
                <w:noProof/>
                <w:webHidden/>
              </w:rPr>
              <w:fldChar w:fldCharType="separate"/>
            </w:r>
            <w:r w:rsidRPr="00282722">
              <w:rPr>
                <w:noProof/>
                <w:webHidden/>
              </w:rPr>
              <w:t>11</w:t>
            </w:r>
            <w:r w:rsidRPr="00282722">
              <w:rPr>
                <w:noProof/>
                <w:webHidden/>
              </w:rPr>
              <w:fldChar w:fldCharType="end"/>
            </w:r>
          </w:hyperlink>
        </w:p>
        <w:p w14:paraId="520B1665" w14:textId="6868E7EE" w:rsidR="00473D4B" w:rsidRPr="00282722" w:rsidRDefault="00473D4B">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8" w:history="1">
            <w:r w:rsidRPr="00282722">
              <w:rPr>
                <w:rStyle w:val="Hyperlink"/>
                <w:rFonts w:ascii="Arial" w:hAnsi="Arial" w:cs="Arial"/>
                <w:noProof/>
                <w:lang w:val="en-GB"/>
              </w:rPr>
              <w:t>4. Task C: Reflective Report</w:t>
            </w:r>
            <w:r w:rsidRPr="00282722">
              <w:rPr>
                <w:noProof/>
                <w:webHidden/>
              </w:rPr>
              <w:tab/>
            </w:r>
            <w:r w:rsidRPr="00282722">
              <w:rPr>
                <w:noProof/>
                <w:webHidden/>
              </w:rPr>
              <w:fldChar w:fldCharType="begin"/>
            </w:r>
            <w:r w:rsidRPr="00282722">
              <w:rPr>
                <w:noProof/>
                <w:webHidden/>
              </w:rPr>
              <w:instrText xml:space="preserve"> PAGEREF _Toc233315778 \h </w:instrText>
            </w:r>
            <w:r w:rsidRPr="00282722">
              <w:rPr>
                <w:noProof/>
                <w:webHidden/>
              </w:rPr>
            </w:r>
            <w:r w:rsidRPr="00282722">
              <w:rPr>
                <w:noProof/>
                <w:webHidden/>
              </w:rPr>
              <w:fldChar w:fldCharType="separate"/>
            </w:r>
            <w:r w:rsidRPr="00282722">
              <w:rPr>
                <w:noProof/>
                <w:webHidden/>
              </w:rPr>
              <w:t>14</w:t>
            </w:r>
            <w:r w:rsidRPr="00282722">
              <w:rPr>
                <w:noProof/>
                <w:webHidden/>
              </w:rPr>
              <w:fldChar w:fldCharType="end"/>
            </w:r>
          </w:hyperlink>
        </w:p>
        <w:p w14:paraId="0E66EEEB" w14:textId="78ED43F7"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79" w:history="1">
            <w:r w:rsidRPr="00282722">
              <w:rPr>
                <w:rStyle w:val="Hyperlink"/>
                <w:rFonts w:ascii="Arial" w:hAnsi="Arial" w:cs="Arial"/>
                <w:noProof/>
                <w:lang w:val="en-GB"/>
              </w:rPr>
              <w:t>4.1 Using AI as a Decision-Support Tool</w:t>
            </w:r>
            <w:r w:rsidRPr="00282722">
              <w:rPr>
                <w:noProof/>
                <w:webHidden/>
              </w:rPr>
              <w:tab/>
            </w:r>
            <w:r w:rsidRPr="00282722">
              <w:rPr>
                <w:noProof/>
                <w:webHidden/>
              </w:rPr>
              <w:fldChar w:fldCharType="begin"/>
            </w:r>
            <w:r w:rsidRPr="00282722">
              <w:rPr>
                <w:noProof/>
                <w:webHidden/>
              </w:rPr>
              <w:instrText xml:space="preserve"> PAGEREF _Toc233315779 \h </w:instrText>
            </w:r>
            <w:r w:rsidRPr="00282722">
              <w:rPr>
                <w:noProof/>
                <w:webHidden/>
              </w:rPr>
            </w:r>
            <w:r w:rsidRPr="00282722">
              <w:rPr>
                <w:noProof/>
                <w:webHidden/>
              </w:rPr>
              <w:fldChar w:fldCharType="separate"/>
            </w:r>
            <w:r w:rsidRPr="00282722">
              <w:rPr>
                <w:noProof/>
                <w:webHidden/>
              </w:rPr>
              <w:t>14</w:t>
            </w:r>
            <w:r w:rsidRPr="00282722">
              <w:rPr>
                <w:noProof/>
                <w:webHidden/>
              </w:rPr>
              <w:fldChar w:fldCharType="end"/>
            </w:r>
          </w:hyperlink>
        </w:p>
        <w:p w14:paraId="1DE87920" w14:textId="7FE7F317" w:rsidR="00473D4B" w:rsidRPr="00282722" w:rsidRDefault="00473D4B">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80" w:history="1">
            <w:r w:rsidRPr="00282722">
              <w:rPr>
                <w:rStyle w:val="Hyperlink"/>
                <w:rFonts w:ascii="Arial" w:hAnsi="Arial" w:cs="Arial"/>
                <w:noProof/>
                <w:lang w:val="en-GB"/>
              </w:rPr>
              <w:t>4.2 Personal Capability Development Plan</w:t>
            </w:r>
            <w:r w:rsidRPr="00282722">
              <w:rPr>
                <w:noProof/>
                <w:webHidden/>
              </w:rPr>
              <w:tab/>
            </w:r>
            <w:r w:rsidRPr="00282722">
              <w:rPr>
                <w:noProof/>
                <w:webHidden/>
              </w:rPr>
              <w:fldChar w:fldCharType="begin"/>
            </w:r>
            <w:r w:rsidRPr="00282722">
              <w:rPr>
                <w:noProof/>
                <w:webHidden/>
              </w:rPr>
              <w:instrText xml:space="preserve"> PAGEREF _Toc233315780 \h </w:instrText>
            </w:r>
            <w:r w:rsidRPr="00282722">
              <w:rPr>
                <w:noProof/>
                <w:webHidden/>
              </w:rPr>
            </w:r>
            <w:r w:rsidRPr="00282722">
              <w:rPr>
                <w:noProof/>
                <w:webHidden/>
              </w:rPr>
              <w:fldChar w:fldCharType="separate"/>
            </w:r>
            <w:r w:rsidRPr="00282722">
              <w:rPr>
                <w:noProof/>
                <w:webHidden/>
              </w:rPr>
              <w:t>14</w:t>
            </w:r>
            <w:r w:rsidRPr="00282722">
              <w:rPr>
                <w:noProof/>
                <w:webHidden/>
              </w:rPr>
              <w:fldChar w:fldCharType="end"/>
            </w:r>
          </w:hyperlink>
        </w:p>
        <w:p w14:paraId="7A7B8C99" w14:textId="56CC3474" w:rsidR="00473D4B" w:rsidRPr="00282722" w:rsidRDefault="00473D4B">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3315781" w:history="1">
            <w:r w:rsidRPr="00282722">
              <w:rPr>
                <w:rStyle w:val="Hyperlink"/>
                <w:rFonts w:ascii="Arial" w:hAnsi="Arial" w:cs="Arial"/>
                <w:noProof/>
                <w:lang w:val="en-GB"/>
              </w:rPr>
              <w:t>5. References</w:t>
            </w:r>
            <w:r w:rsidRPr="00282722">
              <w:rPr>
                <w:noProof/>
                <w:webHidden/>
              </w:rPr>
              <w:tab/>
            </w:r>
            <w:r w:rsidRPr="00282722">
              <w:rPr>
                <w:noProof/>
                <w:webHidden/>
              </w:rPr>
              <w:fldChar w:fldCharType="begin"/>
            </w:r>
            <w:r w:rsidRPr="00282722">
              <w:rPr>
                <w:noProof/>
                <w:webHidden/>
              </w:rPr>
              <w:instrText xml:space="preserve"> PAGEREF _Toc233315781 \h </w:instrText>
            </w:r>
            <w:r w:rsidRPr="00282722">
              <w:rPr>
                <w:noProof/>
                <w:webHidden/>
              </w:rPr>
            </w:r>
            <w:r w:rsidRPr="00282722">
              <w:rPr>
                <w:noProof/>
                <w:webHidden/>
              </w:rPr>
              <w:fldChar w:fldCharType="separate"/>
            </w:r>
            <w:r w:rsidRPr="00282722">
              <w:rPr>
                <w:noProof/>
                <w:webHidden/>
              </w:rPr>
              <w:t>17</w:t>
            </w:r>
            <w:r w:rsidRPr="00282722">
              <w:rPr>
                <w:noProof/>
                <w:webHidden/>
              </w:rPr>
              <w:fldChar w:fldCharType="end"/>
            </w:r>
          </w:hyperlink>
        </w:p>
        <w:p w14:paraId="0D2C2601" w14:textId="70CDD0D3" w:rsidR="005B7320" w:rsidRPr="00282722" w:rsidRDefault="005B7320">
          <w:pPr>
            <w:rPr>
              <w:rFonts w:ascii="Arial" w:hAnsi="Arial" w:cs="Arial"/>
              <w:lang w:val="en-GB"/>
            </w:rPr>
          </w:pPr>
          <w:r w:rsidRPr="00282722">
            <w:rPr>
              <w:rFonts w:ascii="Arial" w:hAnsi="Arial" w:cs="Arial"/>
              <w:b/>
              <w:bCs/>
              <w:noProof/>
              <w:color w:val="000000" w:themeColor="text1"/>
              <w:szCs w:val="24"/>
              <w:lang w:val="en-GB"/>
            </w:rPr>
            <w:fldChar w:fldCharType="end"/>
          </w:r>
        </w:p>
      </w:sdtContent>
    </w:sdt>
    <w:p w14:paraId="382D0EC3" w14:textId="77777777" w:rsidR="005B7320" w:rsidRPr="00282722" w:rsidRDefault="005B7320">
      <w:pPr>
        <w:spacing w:before="0" w:after="160" w:line="278" w:lineRule="auto"/>
        <w:rPr>
          <w:rFonts w:ascii="Arial" w:hAnsi="Arial" w:cs="Arial"/>
          <w:b/>
          <w:szCs w:val="40"/>
          <w:lang w:val="en-GB"/>
        </w:rPr>
      </w:pPr>
      <w:r w:rsidRPr="00282722">
        <w:rPr>
          <w:rFonts w:ascii="Arial" w:hAnsi="Arial" w:cs="Arial"/>
          <w:lang w:val="en-GB"/>
        </w:rPr>
        <w:br w:type="page"/>
      </w:r>
    </w:p>
    <w:p w14:paraId="0867E014" w14:textId="44EB5D5E" w:rsidR="00A975C3" w:rsidRPr="00282722" w:rsidRDefault="00E96A31" w:rsidP="00A975C3">
      <w:pPr>
        <w:pStyle w:val="Heading1"/>
        <w:rPr>
          <w:rFonts w:ascii="Arial" w:hAnsi="Arial" w:cs="Arial"/>
          <w:color w:val="4C94D8" w:themeColor="text2" w:themeTint="80"/>
          <w:szCs w:val="24"/>
          <w:u w:val="single"/>
          <w:lang w:val="en-GB"/>
        </w:rPr>
      </w:pPr>
      <w:bookmarkStart w:id="0" w:name="_Toc233315770"/>
      <w:r w:rsidRPr="00282722">
        <w:rPr>
          <w:rFonts w:ascii="Arial" w:eastAsia="Times New Roman" w:hAnsi="Arial" w:cs="Arial"/>
          <w:color w:val="4C94D8" w:themeColor="text2" w:themeTint="80"/>
          <w:szCs w:val="24"/>
          <w:u w:val="single"/>
          <w:lang w:val="en-GB"/>
        </w:rPr>
        <w:lastRenderedPageBreak/>
        <w:t xml:space="preserve">1. </w:t>
      </w:r>
      <w:r w:rsidR="00A975C3" w:rsidRPr="00282722">
        <w:rPr>
          <w:rFonts w:ascii="Arial" w:eastAsia="Times New Roman" w:hAnsi="Arial" w:cs="Arial"/>
          <w:color w:val="4C94D8" w:themeColor="text2" w:themeTint="80"/>
          <w:szCs w:val="24"/>
          <w:u w:val="single"/>
          <w:lang w:val="en-GB"/>
        </w:rPr>
        <w:t>Introduction</w:t>
      </w:r>
      <w:bookmarkEnd w:id="0"/>
    </w:p>
    <w:p w14:paraId="42063760"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Out of nowhere, Helios Urban Mobility finds itself tangled in how people fit into its expanding frame. Not quite growing pains - more like roles failing to take shape while new hires drift through unwritten rules. Lately, scholars pulled apart joining a company into two pieces: the paperwork shuffle versus truly getting how things work around here. One sets up forms, checklists, schedules - the other slips someone into conversations, unspoken habits, shared understandings (Didion et al., 2024). In the case of a start-up company that supports city governments around London, Berlin and Singapore, that's important as poor initial integration is a strategic problem, not an HR headache. Deloitte's research on </w:t>
      </w:r>
      <w:proofErr w:type="gramStart"/>
      <w:r w:rsidRPr="00282722">
        <w:rPr>
          <w:rFonts w:ascii="Arial" w:hAnsi="Arial" w:cs="Arial"/>
          <w:szCs w:val="24"/>
          <w:lang w:val="en-GB"/>
        </w:rPr>
        <w:t>skills based</w:t>
      </w:r>
      <w:proofErr w:type="gramEnd"/>
      <w:r w:rsidRPr="00282722">
        <w:rPr>
          <w:rFonts w:ascii="Arial" w:hAnsi="Arial" w:cs="Arial"/>
          <w:szCs w:val="24"/>
          <w:lang w:val="en-GB"/>
        </w:rPr>
        <w:t xml:space="preserve"> organisations also reveals that companies in dynamic, project-based businesses require a talent system that fosters adaptability, visibility and internal mobility, not job control (Deloitte Insights, 2022).</w:t>
      </w:r>
    </w:p>
    <w:p w14:paraId="2FD5C213" w14:textId="5447E957" w:rsidR="00A975C3" w:rsidRPr="00282722" w:rsidRDefault="00E96A31" w:rsidP="00A975C3">
      <w:pPr>
        <w:pStyle w:val="Heading1"/>
        <w:rPr>
          <w:rFonts w:ascii="Arial" w:hAnsi="Arial" w:cs="Arial"/>
          <w:color w:val="4C94D8" w:themeColor="text2" w:themeTint="80"/>
          <w:szCs w:val="24"/>
          <w:u w:val="single"/>
          <w:lang w:val="en-GB"/>
        </w:rPr>
      </w:pPr>
      <w:bookmarkStart w:id="1" w:name="_Toc233315771"/>
      <w:r w:rsidRPr="00282722">
        <w:rPr>
          <w:rFonts w:ascii="Arial" w:eastAsia="Times New Roman" w:hAnsi="Arial" w:cs="Arial"/>
          <w:color w:val="4C94D8" w:themeColor="text2" w:themeTint="80"/>
          <w:szCs w:val="24"/>
          <w:u w:val="single"/>
          <w:lang w:val="en-GB"/>
        </w:rPr>
        <w:t xml:space="preserve">2. </w:t>
      </w:r>
      <w:r w:rsidR="00A975C3" w:rsidRPr="00282722">
        <w:rPr>
          <w:rFonts w:ascii="Arial" w:eastAsia="Times New Roman" w:hAnsi="Arial" w:cs="Arial"/>
          <w:color w:val="4C94D8" w:themeColor="text2" w:themeTint="80"/>
          <w:szCs w:val="24"/>
          <w:u w:val="single"/>
          <w:lang w:val="en-GB"/>
        </w:rPr>
        <w:t>Task A: Socialisation, Identity and Business Activism</w:t>
      </w:r>
      <w:bookmarkEnd w:id="1"/>
    </w:p>
    <w:p w14:paraId="36831A4F" w14:textId="7657E8CE" w:rsidR="00A975C3" w:rsidRPr="00282722" w:rsidRDefault="00E96A31" w:rsidP="00A975C3">
      <w:pPr>
        <w:pStyle w:val="Heading2"/>
        <w:rPr>
          <w:rFonts w:ascii="Arial" w:eastAsia="Times New Roman" w:hAnsi="Arial" w:cs="Arial"/>
          <w:bCs/>
          <w:color w:val="000000"/>
          <w:szCs w:val="24"/>
          <w:lang w:val="en-GB"/>
        </w:rPr>
      </w:pPr>
      <w:bookmarkStart w:id="2" w:name="_Toc233315772"/>
      <w:r w:rsidRPr="00282722">
        <w:rPr>
          <w:rFonts w:ascii="Arial" w:eastAsia="Times New Roman" w:hAnsi="Arial" w:cs="Arial"/>
          <w:color w:val="000000"/>
          <w:szCs w:val="24"/>
          <w:lang w:val="en-GB"/>
        </w:rPr>
        <w:t xml:space="preserve">2.1 </w:t>
      </w:r>
      <w:r w:rsidR="000865FC" w:rsidRPr="00282722">
        <w:rPr>
          <w:rFonts w:ascii="Arial" w:eastAsia="Times New Roman" w:hAnsi="Arial" w:cs="Arial"/>
          <w:bCs/>
          <w:color w:val="000000"/>
          <w:szCs w:val="24"/>
          <w:lang w:val="en-GB"/>
        </w:rPr>
        <w:t>Traditional Onboarding versus Strategic Organisational Socialisation</w:t>
      </w:r>
      <w:bookmarkEnd w:id="2"/>
    </w:p>
    <w:p w14:paraId="30D8AD2F" w14:textId="48BF0410"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The typical onboarding process at Helios would only extend to compliance, access to systems, and a brief culture orientation. That's a model that's too light for a business that relies on coordinated innovation, trust and cross-border collaboration. Formal onboarding works best when it goes beyond orientation and deliberately facilitates early adaptation </w:t>
      </w:r>
      <w:proofErr w:type="gramStart"/>
      <w:r w:rsidRPr="00282722">
        <w:rPr>
          <w:rFonts w:ascii="Arial" w:hAnsi="Arial" w:cs="Arial"/>
          <w:szCs w:val="24"/>
          <w:lang w:val="en-GB"/>
        </w:rPr>
        <w:t>through the use of</w:t>
      </w:r>
      <w:proofErr w:type="gramEnd"/>
      <w:r w:rsidRPr="00282722">
        <w:rPr>
          <w:rFonts w:ascii="Arial" w:hAnsi="Arial" w:cs="Arial"/>
          <w:szCs w:val="24"/>
          <w:lang w:val="en-GB"/>
        </w:rPr>
        <w:t xml:space="preserve"> social support, having managers involved, and ensuring role clarity (</w:t>
      </w:r>
      <w:proofErr w:type="spellStart"/>
      <w:r w:rsidRPr="00282722">
        <w:rPr>
          <w:rFonts w:ascii="Arial" w:hAnsi="Arial" w:cs="Arial"/>
          <w:szCs w:val="24"/>
          <w:lang w:val="en-GB"/>
        </w:rPr>
        <w:t>Frögéli</w:t>
      </w:r>
      <w:proofErr w:type="spellEnd"/>
      <w:r w:rsidRPr="00282722">
        <w:rPr>
          <w:rFonts w:ascii="Arial" w:hAnsi="Arial" w:cs="Arial"/>
          <w:szCs w:val="24"/>
          <w:lang w:val="en-GB"/>
        </w:rPr>
        <w:t xml:space="preserve"> et al., 2023). In contrast, the socialisation literature demonstrates that over time, incoming employees interpret cues to identity, status and belonging, and the organisation must not just provide information but align expectations with the new employee and integrate them into the social fabric (Didion </w:t>
      </w:r>
      <w:r w:rsidRPr="00282722">
        <w:rPr>
          <w:rFonts w:ascii="Arial" w:hAnsi="Arial" w:cs="Arial"/>
          <w:szCs w:val="24"/>
          <w:lang w:val="en-GB"/>
        </w:rPr>
        <w:lastRenderedPageBreak/>
        <w:t xml:space="preserve">et al., 2024). So, the goal of objectives at Helios is not just to </w:t>
      </w:r>
      <w:proofErr w:type="gramStart"/>
      <w:r w:rsidRPr="00282722">
        <w:rPr>
          <w:rFonts w:ascii="Arial" w:hAnsi="Arial" w:cs="Arial"/>
          <w:szCs w:val="24"/>
          <w:lang w:val="en-GB"/>
        </w:rPr>
        <w:t>be in attendance at</w:t>
      </w:r>
      <w:proofErr w:type="gramEnd"/>
      <w:r w:rsidRPr="00282722">
        <w:rPr>
          <w:rFonts w:ascii="Arial" w:hAnsi="Arial" w:cs="Arial"/>
          <w:szCs w:val="24"/>
          <w:lang w:val="en-GB"/>
        </w:rPr>
        <w:t xml:space="preserve"> a welcome session, but it's time-to-productivity, quality of cross-functional relationships and early retention of high potential graduates</w:t>
      </w:r>
      <w:r w:rsidR="00B82B08" w:rsidRPr="00282722">
        <w:rPr>
          <w:rFonts w:ascii="Arial" w:hAnsi="Arial" w:cs="Arial"/>
          <w:szCs w:val="24"/>
          <w:lang w:val="en-GB"/>
        </w:rPr>
        <w:t xml:space="preserve"> </w:t>
      </w:r>
      <w:r w:rsidR="00B82B08" w:rsidRPr="00282722">
        <w:rPr>
          <w:rFonts w:ascii="Arial" w:hAnsi="Arial" w:cs="Arial"/>
          <w:szCs w:val="24"/>
        </w:rPr>
        <w:t>(Hosen et al., 2024).</w:t>
      </w:r>
    </w:p>
    <w:p w14:paraId="6F020EB9" w14:textId="311E4BC8" w:rsidR="004A3B3D" w:rsidRPr="00282722" w:rsidRDefault="004A3B3D" w:rsidP="00E97F4F">
      <w:pPr>
        <w:jc w:val="both"/>
        <w:rPr>
          <w:rFonts w:ascii="Arial" w:hAnsi="Arial" w:cs="Arial"/>
          <w:szCs w:val="24"/>
          <w:lang w:val="en-GB"/>
        </w:rPr>
      </w:pPr>
      <w:proofErr w:type="gramStart"/>
      <w:r w:rsidRPr="00282722">
        <w:rPr>
          <w:rFonts w:ascii="Arial" w:hAnsi="Arial" w:cs="Arial"/>
          <w:szCs w:val="24"/>
          <w:lang w:val="en-GB"/>
        </w:rPr>
        <w:t>Later on</w:t>
      </w:r>
      <w:proofErr w:type="gramEnd"/>
      <w:r w:rsidRPr="00282722">
        <w:rPr>
          <w:rFonts w:ascii="Arial" w:hAnsi="Arial" w:cs="Arial"/>
          <w:szCs w:val="24"/>
          <w:lang w:val="en-GB"/>
        </w:rPr>
        <w:t>, Van Maanen and Schein offered a way to understand how companies guide new people into their routines - using methods like structured training instead of casual learning, group settings rather than one-on-one setups. For Helios, leaning into standardised approaches could clear up confusion, make entry smoother across the board, while helping fresh members join team efforts faster.</w:t>
      </w:r>
    </w:p>
    <w:p w14:paraId="0378B274"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The most likely reason for Helios' attrition risk is because of the psychological contract mismatch between high-potential graduates with high aspirations for acceleration, mentoring, and meaningful work and a lack of clarity and support. A recent systematic review confirms that the psychological contract breach always has a negative impact on attitudes and behaviour, particularly when there is a mismatch between the actual and the promised experience (Topa et al., 2022). This process also impacts identification – when employees have consistent policies from managers, they are more likely to feel treated with dignity by managers and feel useful in the organisation's social life (Weisman et al., 2023). The issue at Helios isn't simply that people leave, it's that they don't completely grasp that </w:t>
      </w:r>
      <w:proofErr w:type="spellStart"/>
      <w:r w:rsidRPr="00282722">
        <w:rPr>
          <w:rFonts w:ascii="Arial" w:hAnsi="Arial" w:cs="Arial"/>
          <w:szCs w:val="24"/>
          <w:lang w:val="en-GB"/>
        </w:rPr>
        <w:t>it's</w:t>
      </w:r>
      <w:proofErr w:type="spellEnd"/>
      <w:r w:rsidRPr="00282722">
        <w:rPr>
          <w:rFonts w:ascii="Arial" w:hAnsi="Arial" w:cs="Arial"/>
          <w:szCs w:val="24"/>
          <w:lang w:val="en-GB"/>
        </w:rPr>
        <w:t xml:space="preserve"> strategic to stay. This reduces discretionary effort, sharing and being stewards of the company's mission.</w:t>
      </w:r>
    </w:p>
    <w:p w14:paraId="0EA235EF" w14:textId="77777777" w:rsidR="004A2368" w:rsidRPr="00282722" w:rsidRDefault="004A2368">
      <w:pPr>
        <w:spacing w:before="0" w:after="160" w:line="278" w:lineRule="auto"/>
        <w:rPr>
          <w:rFonts w:ascii="Arial" w:hAnsi="Arial" w:cs="Arial"/>
          <w:b/>
          <w:szCs w:val="24"/>
          <w:lang w:val="en-GB"/>
        </w:rPr>
      </w:pPr>
      <w:r w:rsidRPr="00282722">
        <w:rPr>
          <w:rFonts w:ascii="Arial" w:hAnsi="Arial" w:cs="Arial"/>
          <w:szCs w:val="24"/>
          <w:lang w:val="en-GB"/>
        </w:rPr>
        <w:br w:type="page"/>
      </w:r>
    </w:p>
    <w:p w14:paraId="6AF998E9" w14:textId="4548A301" w:rsidR="000865FC" w:rsidRPr="00282722" w:rsidRDefault="000865FC" w:rsidP="000865FC">
      <w:pPr>
        <w:pStyle w:val="Heading2"/>
        <w:rPr>
          <w:rFonts w:ascii="Arial" w:eastAsia="Times New Roman" w:hAnsi="Arial" w:cs="Arial"/>
          <w:color w:val="000000"/>
          <w:szCs w:val="24"/>
          <w:lang w:val="en-GB"/>
        </w:rPr>
      </w:pPr>
      <w:bookmarkStart w:id="3" w:name="_Toc233315773"/>
      <w:r w:rsidRPr="00282722">
        <w:rPr>
          <w:rFonts w:ascii="Arial" w:eastAsia="Times New Roman" w:hAnsi="Arial" w:cs="Arial"/>
          <w:color w:val="000000"/>
          <w:szCs w:val="24"/>
          <w:lang w:val="en-GB"/>
        </w:rPr>
        <w:lastRenderedPageBreak/>
        <w:t>2.2 Strategic Socialisation Framework for Helios</w:t>
      </w:r>
      <w:bookmarkEnd w:id="3"/>
    </w:p>
    <w:p w14:paraId="3886DD7B" w14:textId="3A5AFBD8" w:rsidR="00BD460A" w:rsidRPr="00282722" w:rsidRDefault="00BD460A" w:rsidP="00BD460A">
      <w:pPr>
        <w:pStyle w:val="Caption"/>
        <w:keepNext/>
        <w:rPr>
          <w:rFonts w:ascii="Arial" w:hAnsi="Arial" w:cs="Arial"/>
          <w:sz w:val="24"/>
          <w:szCs w:val="24"/>
          <w:lang w:val="en-GB"/>
        </w:rPr>
      </w:pPr>
      <w:r w:rsidRPr="00282722">
        <w:rPr>
          <w:rFonts w:ascii="Arial" w:hAnsi="Arial" w:cs="Arial"/>
          <w:sz w:val="24"/>
          <w:szCs w:val="24"/>
          <w:lang w:val="en-GB"/>
        </w:rPr>
        <w:t xml:space="preserve">Table </w:t>
      </w:r>
      <w:r w:rsidRPr="00282722">
        <w:rPr>
          <w:rFonts w:ascii="Arial" w:hAnsi="Arial" w:cs="Arial"/>
          <w:sz w:val="24"/>
          <w:szCs w:val="24"/>
          <w:lang w:val="en-GB"/>
        </w:rPr>
        <w:fldChar w:fldCharType="begin"/>
      </w:r>
      <w:r w:rsidRPr="00282722">
        <w:rPr>
          <w:rFonts w:ascii="Arial" w:hAnsi="Arial" w:cs="Arial"/>
          <w:sz w:val="24"/>
          <w:szCs w:val="24"/>
          <w:lang w:val="en-GB"/>
        </w:rPr>
        <w:instrText xml:space="preserve"> SEQ Table \* ARABIC </w:instrText>
      </w:r>
      <w:r w:rsidRPr="00282722">
        <w:rPr>
          <w:rFonts w:ascii="Arial" w:hAnsi="Arial" w:cs="Arial"/>
          <w:sz w:val="24"/>
          <w:szCs w:val="24"/>
          <w:lang w:val="en-GB"/>
        </w:rPr>
        <w:fldChar w:fldCharType="separate"/>
      </w:r>
      <w:r w:rsidRPr="00282722">
        <w:rPr>
          <w:rFonts w:ascii="Arial" w:hAnsi="Arial" w:cs="Arial"/>
          <w:noProof/>
          <w:sz w:val="24"/>
          <w:szCs w:val="24"/>
          <w:lang w:val="en-GB"/>
        </w:rPr>
        <w:t>1</w:t>
      </w:r>
      <w:r w:rsidRPr="00282722">
        <w:rPr>
          <w:rFonts w:ascii="Arial" w:hAnsi="Arial" w:cs="Arial"/>
          <w:sz w:val="24"/>
          <w:szCs w:val="24"/>
          <w:lang w:val="en-GB"/>
        </w:rPr>
        <w:fldChar w:fldCharType="end"/>
      </w:r>
      <w:r w:rsidRPr="00282722">
        <w:rPr>
          <w:rFonts w:ascii="Arial" w:hAnsi="Arial" w:cs="Arial"/>
          <w:sz w:val="24"/>
          <w:szCs w:val="24"/>
          <w:lang w:val="en-GB"/>
        </w:rPr>
        <w:t>: Helios Socialisation Framework</w:t>
      </w:r>
    </w:p>
    <w:p w14:paraId="17F67A6F" w14:textId="77777777" w:rsidR="00B01B42" w:rsidRPr="00282722" w:rsidRDefault="00B01B42" w:rsidP="00DA3A39">
      <w:pPr>
        <w:jc w:val="center"/>
        <w:rPr>
          <w:rFonts w:ascii="Arial" w:hAnsi="Arial" w:cs="Arial"/>
          <w:szCs w:val="24"/>
          <w:lang w:val="en-GB"/>
        </w:rPr>
      </w:pPr>
      <w:r w:rsidRPr="00282722">
        <w:rPr>
          <w:rFonts w:ascii="Arial" w:hAnsi="Arial" w:cs="Arial"/>
          <w:noProof/>
          <w:szCs w:val="24"/>
          <w:lang w:val="en-GB"/>
        </w:rPr>
        <w:drawing>
          <wp:inline distT="0" distB="0" distL="0" distR="0" wp14:anchorId="66835109" wp14:editId="2BEE2061">
            <wp:extent cx="5778060" cy="4779818"/>
            <wp:effectExtent l="0" t="0" r="0" b="1905"/>
            <wp:docPr id="401091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91648" name=""/>
                    <pic:cNvPicPr/>
                  </pic:nvPicPr>
                  <pic:blipFill>
                    <a:blip r:embed="rId8"/>
                    <a:stretch>
                      <a:fillRect/>
                    </a:stretch>
                  </pic:blipFill>
                  <pic:spPr>
                    <a:xfrm>
                      <a:off x="0" y="0"/>
                      <a:ext cx="5786247" cy="4786590"/>
                    </a:xfrm>
                    <a:prstGeom prst="rect">
                      <a:avLst/>
                    </a:prstGeom>
                  </pic:spPr>
                </pic:pic>
              </a:graphicData>
            </a:graphic>
          </wp:inline>
        </w:drawing>
      </w:r>
    </w:p>
    <w:p w14:paraId="7A8BCD1B" w14:textId="6C9E8237" w:rsidR="00BD460A" w:rsidRPr="00282722" w:rsidRDefault="00BD460A" w:rsidP="00DA3A39">
      <w:pPr>
        <w:jc w:val="center"/>
        <w:rPr>
          <w:rFonts w:ascii="Arial" w:hAnsi="Arial" w:cs="Arial"/>
          <w:szCs w:val="24"/>
          <w:lang w:val="en-GB"/>
        </w:rPr>
      </w:pPr>
      <w:r w:rsidRPr="00282722">
        <w:rPr>
          <w:rFonts w:ascii="Arial" w:hAnsi="Arial" w:cs="Arial"/>
          <w:szCs w:val="24"/>
          <w:lang w:val="en-GB"/>
        </w:rPr>
        <w:t>Source</w:t>
      </w:r>
      <w:r w:rsidR="00A5442B" w:rsidRPr="00282722">
        <w:rPr>
          <w:rFonts w:ascii="Arial" w:hAnsi="Arial" w:cs="Arial"/>
          <w:szCs w:val="24"/>
          <w:lang w:val="en-GB"/>
        </w:rPr>
        <w:t>: (Author)</w:t>
      </w:r>
      <w:r w:rsidR="006A0A6E" w:rsidRPr="00282722">
        <w:rPr>
          <w:rFonts w:ascii="Arial" w:hAnsi="Arial" w:cs="Arial"/>
          <w:szCs w:val="24"/>
          <w:lang w:val="en-GB"/>
        </w:rPr>
        <w:t xml:space="preserve"> </w:t>
      </w:r>
    </w:p>
    <w:p w14:paraId="4862BF77" w14:textId="7FB3F505"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An ad hoc socialisation system should therefore be replaced by a sequenced socialisation architecture in Helios. At pre-boarding, each new person must be handed a role charter, a map of stakeholders and a 90-day learning plan and a named peer buddy prior to day one. Line managers need to conduct weekly check-ins, job shadowing opportunities and brief project “sprints” during the first 90 days to integrate the newcomer with actual client results. In year one, the employee should undertake a cross-functional rotation, reflection review and mobility discussion, all of which help </w:t>
      </w:r>
      <w:r w:rsidRPr="00282722">
        <w:rPr>
          <w:rFonts w:ascii="Arial" w:hAnsi="Arial" w:cs="Arial"/>
          <w:szCs w:val="24"/>
          <w:lang w:val="en-GB"/>
        </w:rPr>
        <w:lastRenderedPageBreak/>
        <w:t>to embed initial learning into long-term commitment. The review evidence for the socialisation comes from structured practices being repeated over time, not as one-off events, which improves the adjustment of newcomers (</w:t>
      </w:r>
      <w:proofErr w:type="spellStart"/>
      <w:r w:rsidRPr="00282722">
        <w:rPr>
          <w:rFonts w:ascii="Arial" w:hAnsi="Arial" w:cs="Arial"/>
          <w:szCs w:val="24"/>
          <w:lang w:val="en-GB"/>
        </w:rPr>
        <w:t>Frögéli</w:t>
      </w:r>
      <w:proofErr w:type="spellEnd"/>
      <w:r w:rsidRPr="00282722">
        <w:rPr>
          <w:rFonts w:ascii="Arial" w:hAnsi="Arial" w:cs="Arial"/>
          <w:szCs w:val="24"/>
          <w:lang w:val="en-GB"/>
        </w:rPr>
        <w:t xml:space="preserve"> et al., 2023). It also captures the bibliometric landscape of onboarding research that reveals a shift toward a social–organizational focus on connecting newcomer adjustment to performance and retention in addition to administrative completion (Didion et al., 2024).</w:t>
      </w:r>
    </w:p>
    <w:p w14:paraId="284446AD" w14:textId="77777777" w:rsidR="009C2511" w:rsidRPr="00282722" w:rsidRDefault="009C2511" w:rsidP="00A50865">
      <w:pPr>
        <w:pStyle w:val="Heading2"/>
        <w:rPr>
          <w:rFonts w:ascii="Arial" w:eastAsia="Times New Roman" w:hAnsi="Arial" w:cs="Arial"/>
          <w:color w:val="000000"/>
          <w:szCs w:val="24"/>
          <w:lang w:val="en-GB"/>
        </w:rPr>
      </w:pPr>
      <w:bookmarkStart w:id="4" w:name="_Toc233315774"/>
      <w:r w:rsidRPr="00282722">
        <w:rPr>
          <w:rFonts w:ascii="Arial" w:eastAsia="Times New Roman" w:hAnsi="Arial" w:cs="Arial"/>
          <w:color w:val="000000"/>
          <w:szCs w:val="24"/>
          <w:lang w:val="en-GB"/>
        </w:rPr>
        <w:t>2.3 Organisational Identification, Ethical Professionalism and Business Activism</w:t>
      </w:r>
      <w:bookmarkEnd w:id="4"/>
    </w:p>
    <w:p w14:paraId="6DD3BEB9" w14:textId="55038F8B" w:rsidR="00371E5F" w:rsidRPr="00282722" w:rsidRDefault="00E97F4F" w:rsidP="00371E5F">
      <w:pPr>
        <w:jc w:val="both"/>
        <w:rPr>
          <w:rFonts w:ascii="Arial" w:hAnsi="Arial" w:cs="Arial"/>
          <w:szCs w:val="24"/>
          <w:lang w:val="en-GB"/>
        </w:rPr>
      </w:pPr>
      <w:r w:rsidRPr="00282722">
        <w:rPr>
          <w:rFonts w:ascii="Arial" w:hAnsi="Arial" w:cs="Arial"/>
          <w:szCs w:val="24"/>
          <w:lang w:val="en-GB"/>
        </w:rPr>
        <w:t xml:space="preserve">Helios needs to make its mission salient in the work of the organisation to increase organisational identification. This means linking the city-mobility purpose to project briefs, performance evaluations and internal communication, so the whole city staff can visualize how individual work contributes to the public value. Employees can identify more with the organisation when the policies of the management, the interpersonal relationships, and values of the employees are aligned (Weisman et al., 2023). Helios should therefore provide ethical-professionalism clinics where new employees can reflect on dilemmas related to issues of AI fairness, data use and client pressure, as identity is reinforced when workers are given the opportunity to think about what Helios is about, rather than just what it does (S and Christopher, 2024). A good KPI for this is the percentage of new employees that </w:t>
      </w:r>
      <w:proofErr w:type="gramStart"/>
      <w:r w:rsidRPr="00282722">
        <w:rPr>
          <w:rFonts w:ascii="Arial" w:hAnsi="Arial" w:cs="Arial"/>
          <w:szCs w:val="24"/>
          <w:lang w:val="en-GB"/>
        </w:rPr>
        <w:t>are able to</w:t>
      </w:r>
      <w:proofErr w:type="gramEnd"/>
      <w:r w:rsidRPr="00282722">
        <w:rPr>
          <w:rFonts w:ascii="Arial" w:hAnsi="Arial" w:cs="Arial"/>
          <w:szCs w:val="24"/>
          <w:lang w:val="en-GB"/>
        </w:rPr>
        <w:t xml:space="preserve"> articulate Helios's value proposition, stakeholder responsibilities and ethical boundaries by the end of their first quarter.</w:t>
      </w:r>
    </w:p>
    <w:p w14:paraId="6C3F24AA" w14:textId="77777777" w:rsidR="00737102" w:rsidRPr="00282722" w:rsidRDefault="00737102" w:rsidP="00737102">
      <w:pPr>
        <w:jc w:val="both"/>
        <w:rPr>
          <w:rFonts w:ascii="Arial" w:hAnsi="Arial" w:cs="Arial"/>
          <w:szCs w:val="24"/>
          <w:lang w:val="en-GB"/>
        </w:rPr>
      </w:pPr>
      <w:r w:rsidRPr="00282722">
        <w:rPr>
          <w:rFonts w:ascii="Arial" w:hAnsi="Arial" w:cs="Arial"/>
          <w:szCs w:val="24"/>
          <w:lang w:val="en-GB"/>
        </w:rPr>
        <w:t xml:space="preserve">A 'business activist' mentality should be put in terms of disciplined stewardship of stakeholders, not politics. Helios does this by educating its staff on how to view city </w:t>
      </w:r>
      <w:r w:rsidRPr="00282722">
        <w:rPr>
          <w:rFonts w:ascii="Arial" w:hAnsi="Arial" w:cs="Arial"/>
          <w:szCs w:val="24"/>
          <w:lang w:val="en-GB"/>
        </w:rPr>
        <w:lastRenderedPageBreak/>
        <w:t xml:space="preserve">governments, residents, regulators, suppliers and investors as legitimate stakeholders whose needs are important to consider in design and delivery decisions. The stakeholder-capitalism agenda is helpful here as it moves the focus from short-term extraction to long-term value creation across a range of stakeholders. Ulrich's evolution of the HR business partner role suggests that HR professionals should move beyond administrative expertise towards strategic partnership, change leadership and stakeholder advocacy (Hamilton and </w:t>
      </w:r>
      <w:proofErr w:type="spellStart"/>
      <w:r w:rsidRPr="00282722">
        <w:rPr>
          <w:rFonts w:ascii="Arial" w:hAnsi="Arial" w:cs="Arial"/>
          <w:szCs w:val="24"/>
          <w:lang w:val="en-GB"/>
        </w:rPr>
        <w:t>Odibo</w:t>
      </w:r>
      <w:proofErr w:type="spellEnd"/>
      <w:r w:rsidRPr="00282722">
        <w:rPr>
          <w:rFonts w:ascii="Arial" w:hAnsi="Arial" w:cs="Arial"/>
          <w:szCs w:val="24"/>
          <w:lang w:val="en-GB"/>
        </w:rPr>
        <w:t>, 2024). HR should, therefore, be seen as a governance partner that tackles poor talent decisions, uncovers risks to the workforce early and empowers leaders to make decisions based on evidence, not on instinct (Douglas and Haley, 2025).</w:t>
      </w:r>
    </w:p>
    <w:p w14:paraId="2BBF30BF" w14:textId="77777777" w:rsidR="00737102" w:rsidRPr="00282722" w:rsidRDefault="00737102" w:rsidP="00371E5F">
      <w:pPr>
        <w:jc w:val="both"/>
        <w:rPr>
          <w:rFonts w:ascii="Arial" w:hAnsi="Arial" w:cs="Arial"/>
          <w:szCs w:val="24"/>
          <w:lang w:val="en-GB"/>
        </w:rPr>
      </w:pPr>
    </w:p>
    <w:p w14:paraId="0807625A" w14:textId="77777777" w:rsidR="001D13FD" w:rsidRPr="00282722" w:rsidRDefault="001D13FD" w:rsidP="006339B8">
      <w:pPr>
        <w:keepNext/>
        <w:jc w:val="center"/>
        <w:rPr>
          <w:rFonts w:ascii="Arial" w:hAnsi="Arial" w:cs="Arial"/>
          <w:szCs w:val="24"/>
          <w:lang w:val="en-GB"/>
        </w:rPr>
      </w:pPr>
      <w:r w:rsidRPr="00282722">
        <w:rPr>
          <w:rFonts w:ascii="Arial" w:hAnsi="Arial" w:cs="Arial"/>
          <w:noProof/>
          <w:szCs w:val="24"/>
          <w:lang w:val="en-GB"/>
        </w:rPr>
        <w:lastRenderedPageBreak/>
        <w:drawing>
          <wp:inline distT="0" distB="0" distL="0" distR="0" wp14:anchorId="49C6F15E" wp14:editId="19B05439">
            <wp:extent cx="4248150" cy="4088127"/>
            <wp:effectExtent l="0" t="0" r="0" b="8255"/>
            <wp:docPr id="1906581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81225" name=""/>
                    <pic:cNvPicPr/>
                  </pic:nvPicPr>
                  <pic:blipFill>
                    <a:blip r:embed="rId9"/>
                    <a:stretch>
                      <a:fillRect/>
                    </a:stretch>
                  </pic:blipFill>
                  <pic:spPr>
                    <a:xfrm>
                      <a:off x="0" y="0"/>
                      <a:ext cx="4249229" cy="4089165"/>
                    </a:xfrm>
                    <a:prstGeom prst="rect">
                      <a:avLst/>
                    </a:prstGeom>
                  </pic:spPr>
                </pic:pic>
              </a:graphicData>
            </a:graphic>
          </wp:inline>
        </w:drawing>
      </w:r>
    </w:p>
    <w:p w14:paraId="2707F60C" w14:textId="0EF59819" w:rsidR="001D13FD" w:rsidRPr="00282722" w:rsidRDefault="001D13FD" w:rsidP="006339B8">
      <w:pPr>
        <w:pStyle w:val="Caption"/>
        <w:jc w:val="center"/>
        <w:rPr>
          <w:rFonts w:ascii="Arial" w:hAnsi="Arial" w:cs="Arial"/>
          <w:sz w:val="24"/>
          <w:szCs w:val="24"/>
          <w:lang w:val="en-GB"/>
        </w:rPr>
      </w:pPr>
      <w:r w:rsidRPr="00282722">
        <w:rPr>
          <w:rFonts w:ascii="Arial" w:hAnsi="Arial" w:cs="Arial"/>
          <w:sz w:val="24"/>
          <w:szCs w:val="24"/>
          <w:lang w:val="en-GB"/>
        </w:rPr>
        <w:t xml:space="preserve">Figure </w:t>
      </w:r>
      <w:r w:rsidRPr="00282722">
        <w:rPr>
          <w:rFonts w:ascii="Arial" w:hAnsi="Arial" w:cs="Arial"/>
          <w:sz w:val="24"/>
          <w:szCs w:val="24"/>
          <w:lang w:val="en-GB"/>
        </w:rPr>
        <w:fldChar w:fldCharType="begin"/>
      </w:r>
      <w:r w:rsidRPr="00282722">
        <w:rPr>
          <w:rFonts w:ascii="Arial" w:hAnsi="Arial" w:cs="Arial"/>
          <w:sz w:val="24"/>
          <w:szCs w:val="24"/>
          <w:lang w:val="en-GB"/>
        </w:rPr>
        <w:instrText xml:space="preserve"> SEQ Figure \* ARABIC </w:instrText>
      </w:r>
      <w:r w:rsidRPr="00282722">
        <w:rPr>
          <w:rFonts w:ascii="Arial" w:hAnsi="Arial" w:cs="Arial"/>
          <w:sz w:val="24"/>
          <w:szCs w:val="24"/>
          <w:lang w:val="en-GB"/>
        </w:rPr>
        <w:fldChar w:fldCharType="separate"/>
      </w:r>
      <w:r w:rsidRPr="00282722">
        <w:rPr>
          <w:rFonts w:ascii="Arial" w:hAnsi="Arial" w:cs="Arial"/>
          <w:noProof/>
          <w:sz w:val="24"/>
          <w:szCs w:val="24"/>
          <w:lang w:val="en-GB"/>
        </w:rPr>
        <w:t>1</w:t>
      </w:r>
      <w:r w:rsidRPr="00282722">
        <w:rPr>
          <w:rFonts w:ascii="Arial" w:hAnsi="Arial" w:cs="Arial"/>
          <w:sz w:val="24"/>
          <w:szCs w:val="24"/>
          <w:lang w:val="en-GB"/>
        </w:rPr>
        <w:fldChar w:fldCharType="end"/>
      </w:r>
      <w:r w:rsidRPr="00282722">
        <w:rPr>
          <w:rFonts w:ascii="Arial" w:hAnsi="Arial" w:cs="Arial"/>
          <w:sz w:val="24"/>
          <w:szCs w:val="24"/>
          <w:lang w:val="en-GB"/>
        </w:rPr>
        <w:t>: GOAL ALIGNMENT BETWEEN</w:t>
      </w:r>
    </w:p>
    <w:p w14:paraId="5C3E6451" w14:textId="77777777" w:rsidR="001D13FD" w:rsidRPr="00282722" w:rsidRDefault="001D13FD" w:rsidP="006339B8">
      <w:pPr>
        <w:jc w:val="center"/>
        <w:rPr>
          <w:rFonts w:ascii="Arial" w:hAnsi="Arial" w:cs="Arial"/>
          <w:szCs w:val="24"/>
          <w:lang w:val="en-GB"/>
        </w:rPr>
      </w:pPr>
      <w:r w:rsidRPr="00282722">
        <w:rPr>
          <w:rFonts w:ascii="Arial" w:hAnsi="Arial" w:cs="Arial"/>
          <w:szCs w:val="24"/>
          <w:lang w:val="en-GB"/>
        </w:rPr>
        <w:t>Source: (Douglas and Haley, 2025).</w:t>
      </w:r>
    </w:p>
    <w:p w14:paraId="41018E0A" w14:textId="57772A3D"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Socialisation should be disciplined like delivering a product, with Helios on the helm. Socialisation scorecard to be completed </w:t>
      </w:r>
      <w:proofErr w:type="gramStart"/>
      <w:r w:rsidRPr="00282722">
        <w:rPr>
          <w:rFonts w:ascii="Arial" w:hAnsi="Arial" w:cs="Arial"/>
          <w:szCs w:val="24"/>
          <w:lang w:val="en-GB"/>
        </w:rPr>
        <w:t>on a monthly basis</w:t>
      </w:r>
      <w:proofErr w:type="gramEnd"/>
      <w:r w:rsidRPr="00282722">
        <w:rPr>
          <w:rFonts w:ascii="Arial" w:hAnsi="Arial" w:cs="Arial"/>
          <w:szCs w:val="24"/>
          <w:lang w:val="en-GB"/>
        </w:rPr>
        <w:t>, to include the following: Ramp-up time, first 90-day retention, manager response time to newcomer issues, number of meaningful cross-functional relationships established through buddying and project work. The scorecard is important since onboarding is most successful when it is seen as a repeatable management system, not as an HR event (</w:t>
      </w:r>
      <w:proofErr w:type="spellStart"/>
      <w:r w:rsidRPr="00282722">
        <w:rPr>
          <w:rFonts w:ascii="Arial" w:hAnsi="Arial" w:cs="Arial"/>
          <w:szCs w:val="24"/>
          <w:lang w:val="en-GB"/>
        </w:rPr>
        <w:t>Frögéli</w:t>
      </w:r>
      <w:proofErr w:type="spellEnd"/>
      <w:r w:rsidRPr="00282722">
        <w:rPr>
          <w:rFonts w:ascii="Arial" w:hAnsi="Arial" w:cs="Arial"/>
          <w:szCs w:val="24"/>
          <w:lang w:val="en-GB"/>
        </w:rPr>
        <w:t xml:space="preserve"> et al., 2023). It should also be shared ownership of HR and line leaders, as modern HRBP practice is about workforce proactively aligning rather than passively administering (Hamilton and </w:t>
      </w:r>
      <w:proofErr w:type="spellStart"/>
      <w:r w:rsidRPr="00282722">
        <w:rPr>
          <w:rFonts w:ascii="Arial" w:hAnsi="Arial" w:cs="Arial"/>
          <w:szCs w:val="24"/>
          <w:lang w:val="en-GB"/>
        </w:rPr>
        <w:t>Odibo</w:t>
      </w:r>
      <w:proofErr w:type="spellEnd"/>
      <w:r w:rsidRPr="00282722">
        <w:rPr>
          <w:rFonts w:ascii="Arial" w:hAnsi="Arial" w:cs="Arial"/>
          <w:szCs w:val="24"/>
          <w:lang w:val="en-GB"/>
        </w:rPr>
        <w:t xml:space="preserve">, 2024). The reality is that Helios can step in on time and help a cohort when </w:t>
      </w:r>
      <w:r w:rsidRPr="00282722">
        <w:rPr>
          <w:rFonts w:ascii="Arial" w:hAnsi="Arial" w:cs="Arial"/>
          <w:szCs w:val="24"/>
          <w:lang w:val="en-GB"/>
        </w:rPr>
        <w:lastRenderedPageBreak/>
        <w:t>it is struggling, instead of waiting eight months to find out that a graduate has already turned down a job opportunity or is already searching for one.</w:t>
      </w:r>
    </w:p>
    <w:p w14:paraId="0E5FB5EF" w14:textId="1977B8B6" w:rsidR="00A975C3" w:rsidRPr="00282722" w:rsidRDefault="00E96A31" w:rsidP="00A975C3">
      <w:pPr>
        <w:pStyle w:val="Heading1"/>
        <w:rPr>
          <w:rFonts w:ascii="Arial" w:hAnsi="Arial" w:cs="Arial"/>
          <w:color w:val="4C94D8" w:themeColor="text2" w:themeTint="80"/>
          <w:szCs w:val="24"/>
          <w:u w:val="single"/>
          <w:lang w:val="en-GB"/>
        </w:rPr>
      </w:pPr>
      <w:bookmarkStart w:id="5" w:name="_Toc233315775"/>
      <w:r w:rsidRPr="00282722">
        <w:rPr>
          <w:rFonts w:ascii="Arial" w:eastAsia="Times New Roman" w:hAnsi="Arial" w:cs="Arial"/>
          <w:color w:val="4C94D8" w:themeColor="text2" w:themeTint="80"/>
          <w:szCs w:val="24"/>
          <w:u w:val="single"/>
          <w:lang w:val="en-GB"/>
        </w:rPr>
        <w:t xml:space="preserve">3. </w:t>
      </w:r>
      <w:r w:rsidR="00A975C3" w:rsidRPr="00282722">
        <w:rPr>
          <w:rFonts w:ascii="Arial" w:eastAsia="Times New Roman" w:hAnsi="Arial" w:cs="Arial"/>
          <w:color w:val="4C94D8" w:themeColor="text2" w:themeTint="80"/>
          <w:szCs w:val="24"/>
          <w:u w:val="single"/>
          <w:lang w:val="en-GB"/>
        </w:rPr>
        <w:t>Task B: Job Design</w:t>
      </w:r>
      <w:bookmarkEnd w:id="5"/>
    </w:p>
    <w:p w14:paraId="65A81E03" w14:textId="77777777" w:rsidR="009E18CE" w:rsidRPr="00282722" w:rsidRDefault="009E18CE" w:rsidP="00E04484">
      <w:pPr>
        <w:pStyle w:val="Heading2"/>
        <w:rPr>
          <w:rFonts w:ascii="Arial" w:eastAsia="Times New Roman" w:hAnsi="Arial" w:cs="Arial"/>
          <w:color w:val="000000"/>
          <w:szCs w:val="24"/>
          <w:lang w:val="en-GB"/>
        </w:rPr>
      </w:pPr>
      <w:bookmarkStart w:id="6" w:name="_Toc233315776"/>
      <w:r w:rsidRPr="00282722">
        <w:rPr>
          <w:rFonts w:ascii="Arial" w:eastAsia="Times New Roman" w:hAnsi="Arial" w:cs="Arial"/>
          <w:color w:val="000000"/>
          <w:szCs w:val="24"/>
          <w:lang w:val="en-GB"/>
        </w:rPr>
        <w:t>3.1 Innovative Job Design Strategy</w:t>
      </w:r>
      <w:bookmarkEnd w:id="6"/>
    </w:p>
    <w:p w14:paraId="317DE2C0" w14:textId="6BE2F274"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Helios requires a skills-based job model where jobs are broken down into transferable skills like systems thinking, client co-design, data ethics, urban policy interpretation, and AI product experimentation. According to Deloitte's research, top companies are adopting more flexible structures that prioritize skills over job roles, enabling them to become more agile, promote internal mobility and make more informed workforce decisions (Deloitte Insights, 2022). Helios should embrace this thinking in mission-based project pods, a </w:t>
      </w:r>
      <w:proofErr w:type="spellStart"/>
      <w:r w:rsidRPr="00282722">
        <w:rPr>
          <w:rFonts w:ascii="Arial" w:hAnsi="Arial" w:cs="Arial"/>
          <w:szCs w:val="24"/>
          <w:lang w:val="en-GB"/>
        </w:rPr>
        <w:t>realtime</w:t>
      </w:r>
      <w:proofErr w:type="spellEnd"/>
      <w:r w:rsidRPr="00282722">
        <w:rPr>
          <w:rFonts w:ascii="Arial" w:hAnsi="Arial" w:cs="Arial"/>
          <w:szCs w:val="24"/>
          <w:lang w:val="en-GB"/>
        </w:rPr>
        <w:t xml:space="preserve"> skills inventory and an internal marketplace for talent where people are assigned to projects based on their capacity, their desire, and the business need. That also helps mitigate graduate attrition: When employees can see that there are opportunities for lateral growth and experimentation, that's not a firm that they are going to interpret as a "dead end" (OECD, 2025).</w:t>
      </w:r>
    </w:p>
    <w:p w14:paraId="4570BA31"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Job crafting should be allowed but with boundaries. Helios staff should have the freedom to customize task boundaries, relationships and cognitive framing, so long as they enhance commitments for delivery and do not compromise accountability. Recent research on job crafting highlights the need to empower employees to actively shape their jobs to enhance motivation and performance, but it also notes the importance of providing permission and structure from the organisation rather than individuals taking initiative to craft their jobs (Tims and Twemlow, 2025). Motivation research agrees—autonomy and social relatedness are also factors that enhance work motivation, which </w:t>
      </w:r>
      <w:r w:rsidRPr="00282722">
        <w:rPr>
          <w:rFonts w:ascii="Arial" w:hAnsi="Arial" w:cs="Arial"/>
          <w:szCs w:val="24"/>
          <w:lang w:val="en-GB"/>
        </w:rPr>
        <w:lastRenderedPageBreak/>
        <w:t>should be incorporated into the jobs designed by Helios, giving graduates ownership as well as placing them within high-trust teams (Vo et al., 2022). This is an ideal match for a start-up as innovation is the result of people who can reshape work without thinking that the organisation is arbitrary or controlling.</w:t>
      </w:r>
    </w:p>
    <w:p w14:paraId="561BA41B" w14:textId="60AA563F" w:rsidR="009E18CE" w:rsidRPr="00282722" w:rsidRDefault="009E18CE" w:rsidP="009E18CE">
      <w:pPr>
        <w:jc w:val="both"/>
        <w:rPr>
          <w:rFonts w:ascii="Arial" w:hAnsi="Arial" w:cs="Arial"/>
          <w:szCs w:val="24"/>
          <w:lang w:val="en-GB"/>
        </w:rPr>
      </w:pPr>
      <w:r w:rsidRPr="00282722">
        <w:rPr>
          <w:rFonts w:ascii="Arial" w:hAnsi="Arial" w:cs="Arial"/>
          <w:szCs w:val="24"/>
          <w:lang w:val="en-GB"/>
        </w:rPr>
        <w:t>A skills-based architecture is also the most believable retention strategy for Helios' high potential graduates. The skills-first analysis by the OECD emphasizes the importance of better job matching, skills visibility, and increased access to opportunities as key advantages of a skills-first approach, especially when talents remain underutilized or limited to specific tracks (OECD, 2025). Practical experience from the industry confirms reskilling is no longer an option: new jobs in AI, digital systems and analytics demand continuous capability renewal, rather than the recruitment of ‘ready-made’ talent (Li, 2024). Helios should thus establish a skills hub, a project-gig marketplace and quarterly talent reviews that connect employees with stretch projects; and monitor internal fill rate, lateral hiring and retention of key early-career talent. That is the structure that makes career development a productivity system and not a side benefit.</w:t>
      </w:r>
      <w:r w:rsidR="001B3C4D" w:rsidRPr="00282722">
        <w:rPr>
          <w:rFonts w:ascii="Arial" w:hAnsi="Arial" w:cs="Arial"/>
          <w:szCs w:val="24"/>
          <w:lang w:val="en-GB"/>
        </w:rPr>
        <w:t xml:space="preserve"> </w:t>
      </w:r>
    </w:p>
    <w:p w14:paraId="17A91D7F" w14:textId="2D5E0AA3" w:rsidR="00B82B08" w:rsidRPr="00282722" w:rsidRDefault="00B82B08" w:rsidP="009E18CE">
      <w:pPr>
        <w:jc w:val="both"/>
        <w:rPr>
          <w:rFonts w:ascii="Arial" w:hAnsi="Arial" w:cs="Arial"/>
          <w:szCs w:val="24"/>
          <w:lang w:val="en-GB"/>
        </w:rPr>
      </w:pPr>
      <w:r w:rsidRPr="00282722">
        <w:rPr>
          <w:rFonts w:ascii="Arial" w:hAnsi="Arial" w:cs="Arial"/>
          <w:szCs w:val="24"/>
          <w:lang w:val="en-GB"/>
        </w:rPr>
        <w:t xml:space="preserve">Moreover, it is necessary for Helios to incorporate the five key job characteristics outlined in the Job Characteristics Model. Specifically, firstly, skill variety can be improved through the participation of employees in AI experimentations, client engagements, and policy analysis. Secondly, the task identity will need to be increased through the freedom given to project groups to develop city-mobility solutions from start to finish. Thirdly, task significance needs to be increased through highlighting how the work done by employees impacts sustainable urban mobility and its value to society. Fourthly, there is a need to foster autonomy among employees </w:t>
      </w:r>
      <w:r w:rsidRPr="00282722">
        <w:rPr>
          <w:rFonts w:ascii="Arial" w:hAnsi="Arial" w:cs="Arial"/>
          <w:szCs w:val="24"/>
          <w:lang w:val="en-GB"/>
        </w:rPr>
        <w:lastRenderedPageBreak/>
        <w:t>through granting them flexibility in the choice of project methodologies. Lastly, feedback should be offered continually through client dashboards, coaching by managers, and performance evaluations.</w:t>
      </w:r>
    </w:p>
    <w:p w14:paraId="7D737AFE" w14:textId="77777777" w:rsidR="009E18CE" w:rsidRPr="00282722" w:rsidRDefault="009E18CE" w:rsidP="009E18CE">
      <w:pPr>
        <w:jc w:val="both"/>
        <w:rPr>
          <w:rFonts w:ascii="Arial" w:hAnsi="Arial" w:cs="Arial"/>
          <w:szCs w:val="24"/>
          <w:lang w:val="en-GB"/>
        </w:rPr>
      </w:pPr>
      <w:r w:rsidRPr="00282722">
        <w:rPr>
          <w:rFonts w:ascii="Arial" w:hAnsi="Arial" w:cs="Arial"/>
          <w:szCs w:val="24"/>
          <w:lang w:val="en-GB"/>
        </w:rPr>
        <w:t>The skills-based architecture should be designed from an operational perspective to facilitate innovation and not create or deepen a layer of bureaucracy. Projects should have a well-defined product owner, with rotating subject matter experts, and a governance rhythm that is light touch and allows people to reconfigure work based on new priorities. Job crafting does not mean that everyone can be allowed to continue to alter their job indefinitely; it is about providing bounded flexibility that allows them to build their own autonomy, seek out resources, change the relationships they have without undermining delivery obligations (Tims and Twemlow, 2025). This is particularly relevant in Helios' AI-powered setting, where adaptability of the workforce is contingent on quick redeployment, learning velocity and the capacity to shift attention from one city client to another whenever demand fluctuates (Alviani et al., 2024).</w:t>
      </w:r>
    </w:p>
    <w:p w14:paraId="02AF0278" w14:textId="77777777" w:rsidR="009E18CE" w:rsidRPr="00282722" w:rsidRDefault="009E18CE" w:rsidP="00E04484">
      <w:pPr>
        <w:pStyle w:val="Heading2"/>
        <w:rPr>
          <w:rFonts w:ascii="Arial" w:eastAsia="Times New Roman" w:hAnsi="Arial" w:cs="Arial"/>
          <w:color w:val="000000"/>
          <w:szCs w:val="24"/>
          <w:lang w:val="en-GB"/>
        </w:rPr>
      </w:pPr>
      <w:bookmarkStart w:id="7" w:name="_Toc233315777"/>
      <w:r w:rsidRPr="00282722">
        <w:rPr>
          <w:rFonts w:ascii="Arial" w:eastAsia="Times New Roman" w:hAnsi="Arial" w:cs="Arial"/>
          <w:color w:val="000000"/>
          <w:szCs w:val="24"/>
          <w:lang w:val="en-GB"/>
        </w:rPr>
        <w:t>3.2 Stimulating Intrinsic Motivation and Supporting Innovation</w:t>
      </w:r>
      <w:bookmarkEnd w:id="7"/>
    </w:p>
    <w:p w14:paraId="10A3B1FF"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Autonomy, feedback, task significance, skill variety and task identity are the classic motivation drivers, and they should be designed into the job, but each of these should be adapted to the service context of AI. Recently, JCM research associates those traits with better work engagement, which in the case of Helios would mean shorter learning cycles, less coordination breakdown and more effective design decisions (</w:t>
      </w:r>
      <w:proofErr w:type="spellStart"/>
      <w:r w:rsidRPr="00282722">
        <w:rPr>
          <w:rFonts w:ascii="Arial" w:hAnsi="Arial" w:cs="Arial"/>
          <w:szCs w:val="24"/>
          <w:lang w:val="en-GB"/>
        </w:rPr>
        <w:t>Cotič</w:t>
      </w:r>
      <w:proofErr w:type="spellEnd"/>
      <w:r w:rsidRPr="00282722">
        <w:rPr>
          <w:rFonts w:ascii="Arial" w:hAnsi="Arial" w:cs="Arial"/>
          <w:szCs w:val="24"/>
          <w:lang w:val="en-GB"/>
        </w:rPr>
        <w:t xml:space="preserve"> et al., 2025). Helios can accomplish this by placing the responsibility for an entire city problem with each project pod, by providing live user and client feedback on weekly </w:t>
      </w:r>
      <w:r w:rsidRPr="00282722">
        <w:rPr>
          <w:rFonts w:ascii="Arial" w:hAnsi="Arial" w:cs="Arial"/>
          <w:szCs w:val="24"/>
          <w:lang w:val="en-GB"/>
        </w:rPr>
        <w:lastRenderedPageBreak/>
        <w:t xml:space="preserve">dashboards, and by giving named decision rights, not diffuse. Engagement research also suggests that engagement should be viewed as a form of human motivation rather than a vague sentiment measurement, thus emphasizing the link between job design and observable </w:t>
      </w:r>
      <w:proofErr w:type="spellStart"/>
      <w:r w:rsidRPr="00282722">
        <w:rPr>
          <w:rFonts w:ascii="Arial" w:hAnsi="Arial" w:cs="Arial"/>
          <w:szCs w:val="24"/>
          <w:lang w:val="en-GB"/>
        </w:rPr>
        <w:t>behaviors</w:t>
      </w:r>
      <w:proofErr w:type="spellEnd"/>
      <w:r w:rsidRPr="00282722">
        <w:rPr>
          <w:rFonts w:ascii="Arial" w:hAnsi="Arial" w:cs="Arial"/>
          <w:szCs w:val="24"/>
          <w:lang w:val="en-GB"/>
        </w:rPr>
        <w:t xml:space="preserve"> like initiative, knowledge sharing, and persistence in the presence of ambiguity (Pincus, 2022).</w:t>
      </w:r>
    </w:p>
    <w:p w14:paraId="0A8D312F"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Helios's proposed job design should also be assessed by quantifiable indicators of innovation and talent, so that the design of the architecture adds value to the business and not just new HR practices. Evidence of the effectiveness of redesigned jobs in building organisational capability can be found in innovation metrics, such as employee-initiated improvement projects, cross-functional cooperation rates, and the speed of prototype development. Empowering employees with meaningful work, autonomy and opportunities for ongoing learning in their jobs has been shown to increase their innovative work behaviours (Vo et al., 2022). Along with this, current thinking around skills-led organisations suggests that flexible working contributes to organisational agility and competitive edge in a dynamic business context (Deloitte Insights, 2022). Helios therefore needs to track internal mobility trends, the diversity of participation in project and its innovation results as a measure of the effectiveness of its job design strategy in terms of employee development and business performance (OECD, 2025).</w:t>
      </w:r>
    </w:p>
    <w:p w14:paraId="44FDC627" w14:textId="77777777" w:rsidR="007D5DFB" w:rsidRPr="00282722" w:rsidRDefault="007D5DFB" w:rsidP="007D5DFB">
      <w:pPr>
        <w:keepNext/>
        <w:jc w:val="center"/>
        <w:rPr>
          <w:rFonts w:ascii="Arial" w:hAnsi="Arial" w:cs="Arial"/>
          <w:szCs w:val="24"/>
          <w:lang w:val="en-GB"/>
        </w:rPr>
      </w:pPr>
      <w:r w:rsidRPr="00282722">
        <w:rPr>
          <w:rFonts w:ascii="Arial" w:hAnsi="Arial" w:cs="Arial"/>
          <w:noProof/>
          <w:szCs w:val="24"/>
          <w:lang w:val="en-GB"/>
        </w:rPr>
        <w:lastRenderedPageBreak/>
        <w:drawing>
          <wp:inline distT="0" distB="0" distL="0" distR="0" wp14:anchorId="0804A61B" wp14:editId="2617463C">
            <wp:extent cx="3943350" cy="3480247"/>
            <wp:effectExtent l="0" t="0" r="0" b="6350"/>
            <wp:docPr id="55673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37941" name=""/>
                    <pic:cNvPicPr/>
                  </pic:nvPicPr>
                  <pic:blipFill>
                    <a:blip r:embed="rId10"/>
                    <a:stretch>
                      <a:fillRect/>
                    </a:stretch>
                  </pic:blipFill>
                  <pic:spPr>
                    <a:xfrm>
                      <a:off x="0" y="0"/>
                      <a:ext cx="3955371" cy="3490856"/>
                    </a:xfrm>
                    <a:prstGeom prst="rect">
                      <a:avLst/>
                    </a:prstGeom>
                  </pic:spPr>
                </pic:pic>
              </a:graphicData>
            </a:graphic>
          </wp:inline>
        </w:drawing>
      </w:r>
    </w:p>
    <w:p w14:paraId="56A7A45A" w14:textId="1AC673A4" w:rsidR="007D5DFB" w:rsidRPr="00282722" w:rsidRDefault="007D5DFB" w:rsidP="007D5DFB">
      <w:pPr>
        <w:pStyle w:val="Caption"/>
        <w:jc w:val="center"/>
        <w:rPr>
          <w:rFonts w:ascii="Arial" w:hAnsi="Arial" w:cs="Arial"/>
          <w:sz w:val="24"/>
          <w:szCs w:val="24"/>
          <w:lang w:val="en-GB"/>
        </w:rPr>
      </w:pPr>
      <w:r w:rsidRPr="00282722">
        <w:rPr>
          <w:rFonts w:ascii="Arial" w:hAnsi="Arial" w:cs="Arial"/>
          <w:sz w:val="24"/>
          <w:szCs w:val="24"/>
          <w:lang w:val="en-GB"/>
        </w:rPr>
        <w:t xml:space="preserve">Figure </w:t>
      </w:r>
      <w:r w:rsidRPr="00282722">
        <w:rPr>
          <w:rFonts w:ascii="Arial" w:hAnsi="Arial" w:cs="Arial"/>
          <w:sz w:val="24"/>
          <w:szCs w:val="24"/>
          <w:lang w:val="en-GB"/>
        </w:rPr>
        <w:fldChar w:fldCharType="begin"/>
      </w:r>
      <w:r w:rsidRPr="00282722">
        <w:rPr>
          <w:rFonts w:ascii="Arial" w:hAnsi="Arial" w:cs="Arial"/>
          <w:sz w:val="24"/>
          <w:szCs w:val="24"/>
          <w:lang w:val="en-GB"/>
        </w:rPr>
        <w:instrText xml:space="preserve"> SEQ Figure \* ARABIC </w:instrText>
      </w:r>
      <w:r w:rsidRPr="00282722">
        <w:rPr>
          <w:rFonts w:ascii="Arial" w:hAnsi="Arial" w:cs="Arial"/>
          <w:sz w:val="24"/>
          <w:szCs w:val="24"/>
          <w:lang w:val="en-GB"/>
        </w:rPr>
        <w:fldChar w:fldCharType="separate"/>
      </w:r>
      <w:r w:rsidR="001D13FD" w:rsidRPr="00282722">
        <w:rPr>
          <w:rFonts w:ascii="Arial" w:hAnsi="Arial" w:cs="Arial"/>
          <w:noProof/>
          <w:sz w:val="24"/>
          <w:szCs w:val="24"/>
          <w:lang w:val="en-GB"/>
        </w:rPr>
        <w:t>2</w:t>
      </w:r>
      <w:r w:rsidRPr="00282722">
        <w:rPr>
          <w:rFonts w:ascii="Arial" w:hAnsi="Arial" w:cs="Arial"/>
          <w:sz w:val="24"/>
          <w:szCs w:val="24"/>
          <w:lang w:val="en-GB"/>
        </w:rPr>
        <w:fldChar w:fldCharType="end"/>
      </w:r>
      <w:r w:rsidRPr="00282722">
        <w:rPr>
          <w:rFonts w:ascii="Arial" w:hAnsi="Arial" w:cs="Arial"/>
          <w:sz w:val="24"/>
          <w:szCs w:val="24"/>
          <w:lang w:val="en-GB"/>
        </w:rPr>
        <w:t>: A new model for work and the workforce</w:t>
      </w:r>
    </w:p>
    <w:p w14:paraId="7858F6E5" w14:textId="77777777" w:rsidR="007D5DFB" w:rsidRPr="00282722" w:rsidRDefault="007D5DFB" w:rsidP="007D5DFB">
      <w:pPr>
        <w:jc w:val="center"/>
        <w:rPr>
          <w:rFonts w:ascii="Arial" w:hAnsi="Arial" w:cs="Arial"/>
          <w:szCs w:val="24"/>
          <w:lang w:val="en-GB"/>
        </w:rPr>
      </w:pPr>
      <w:r w:rsidRPr="00282722">
        <w:rPr>
          <w:rFonts w:ascii="Arial" w:hAnsi="Arial" w:cs="Arial"/>
          <w:szCs w:val="24"/>
          <w:lang w:val="en-GB"/>
        </w:rPr>
        <w:t>(Source: Deloitte Insights, 2022).</w:t>
      </w:r>
    </w:p>
    <w:p w14:paraId="18E76A81"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Managers must also change their leadership behaviours, ensuring that their employees develop and adapt in a skills-based model. The traditional supervisory methods that are more task oriented may not be effective in project-based settings where workers provide expertise in a variety of projects. Rather, managers need to be coaches and help the individual learn, give developmental feedback, and introduce the person to challenges and opportunities. Deloitte Insights (2022) also notes that the skills-based organisation relies on leaders as stewards of talent by actively looking for and proactively developing new skills. Moreover, research on workforce agility also shows that managerial support is critical in facilitating workers' ability to adapt and redeploy their skills in line with the evolving business needs (Alviani et al., 2024). </w:t>
      </w:r>
      <w:r w:rsidRPr="00282722">
        <w:rPr>
          <w:rFonts w:ascii="Arial" w:hAnsi="Arial" w:cs="Arial"/>
          <w:szCs w:val="24"/>
          <w:lang w:val="en-GB"/>
        </w:rPr>
        <w:lastRenderedPageBreak/>
        <w:t>Enhancing these leadership skills is thus expected to enhance the retention rate of graduates and ensure Helios' agility in AI-powered urban mobility markets (Li, 2024).</w:t>
      </w:r>
    </w:p>
    <w:p w14:paraId="7661CA91" w14:textId="69E85FDB" w:rsidR="00A975C3" w:rsidRPr="00282722" w:rsidRDefault="00E96A31" w:rsidP="00A975C3">
      <w:pPr>
        <w:pStyle w:val="Heading1"/>
        <w:rPr>
          <w:rFonts w:ascii="Arial" w:hAnsi="Arial" w:cs="Arial"/>
          <w:color w:val="4C94D8" w:themeColor="text2" w:themeTint="80"/>
          <w:szCs w:val="24"/>
          <w:u w:val="single"/>
          <w:lang w:val="en-GB"/>
        </w:rPr>
      </w:pPr>
      <w:bookmarkStart w:id="8" w:name="_Toc233315778"/>
      <w:r w:rsidRPr="00282722">
        <w:rPr>
          <w:rFonts w:ascii="Arial" w:eastAsia="Times New Roman" w:hAnsi="Arial" w:cs="Arial"/>
          <w:color w:val="4C94D8" w:themeColor="text2" w:themeTint="80"/>
          <w:szCs w:val="24"/>
          <w:u w:val="single"/>
          <w:lang w:val="en-GB"/>
        </w:rPr>
        <w:t xml:space="preserve">4. </w:t>
      </w:r>
      <w:r w:rsidR="00A975C3" w:rsidRPr="00282722">
        <w:rPr>
          <w:rFonts w:ascii="Arial" w:eastAsia="Times New Roman" w:hAnsi="Arial" w:cs="Arial"/>
          <w:color w:val="4C94D8" w:themeColor="text2" w:themeTint="80"/>
          <w:szCs w:val="24"/>
          <w:u w:val="single"/>
          <w:lang w:val="en-GB"/>
        </w:rPr>
        <w:t>Task C: Reflective Report</w:t>
      </w:r>
      <w:bookmarkEnd w:id="8"/>
    </w:p>
    <w:p w14:paraId="73CB4A4B" w14:textId="77777777" w:rsidR="009E18CE" w:rsidRPr="00282722" w:rsidRDefault="009E18CE" w:rsidP="009E18CE">
      <w:pPr>
        <w:pStyle w:val="Heading2"/>
        <w:rPr>
          <w:rFonts w:ascii="Arial" w:eastAsia="Times New Roman" w:hAnsi="Arial" w:cs="Arial"/>
          <w:color w:val="000000"/>
          <w:szCs w:val="24"/>
          <w:lang w:val="en-GB"/>
        </w:rPr>
      </w:pPr>
      <w:bookmarkStart w:id="9" w:name="_Toc233315779"/>
      <w:r w:rsidRPr="00282722">
        <w:rPr>
          <w:rFonts w:ascii="Arial" w:eastAsia="Times New Roman" w:hAnsi="Arial" w:cs="Arial"/>
          <w:color w:val="000000"/>
          <w:szCs w:val="24"/>
          <w:lang w:val="en-GB"/>
        </w:rPr>
        <w:t>4.1 Using AI as a Decision-Support Tool</w:t>
      </w:r>
      <w:bookmarkEnd w:id="9"/>
    </w:p>
    <w:p w14:paraId="7DB1A674"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Looking at how people feel about their jobs, AI helps spot who might leave and guides hiring plans. With these insights, those in HR can base choices on data instead of gut feelings. Even so, picking new staff, advancing careers, rating work, or handling misconduct stays under personal review. According to </w:t>
      </w:r>
      <w:proofErr w:type="spellStart"/>
      <w:r w:rsidRPr="00282722">
        <w:rPr>
          <w:rFonts w:ascii="Arial" w:hAnsi="Arial" w:cs="Arial"/>
          <w:szCs w:val="24"/>
          <w:lang w:val="en-GB"/>
        </w:rPr>
        <w:t>Bankins</w:t>
      </w:r>
      <w:proofErr w:type="spellEnd"/>
      <w:r w:rsidRPr="00282722">
        <w:rPr>
          <w:rFonts w:ascii="Arial" w:hAnsi="Arial" w:cs="Arial"/>
          <w:szCs w:val="24"/>
          <w:lang w:val="en-GB"/>
        </w:rPr>
        <w:t xml:space="preserve"> from 2021, the real issue isn’t if machines belong in HR - it’s where humans still matter most. In much the same way, research by Taslim and team in 2025 shows openness, fair rules, and including workers play big roles in keeping faith during tech-driven changes.</w:t>
      </w:r>
    </w:p>
    <w:p w14:paraId="18CCCABE" w14:textId="77777777" w:rsidR="009E18CE" w:rsidRPr="00282722" w:rsidRDefault="009E18CE" w:rsidP="009E18CE">
      <w:pPr>
        <w:pStyle w:val="Heading2"/>
        <w:rPr>
          <w:rFonts w:ascii="Arial" w:eastAsia="Times New Roman" w:hAnsi="Arial" w:cs="Arial"/>
          <w:color w:val="000000"/>
          <w:szCs w:val="24"/>
          <w:lang w:val="en-GB"/>
        </w:rPr>
      </w:pPr>
      <w:bookmarkStart w:id="10" w:name="_Toc233315780"/>
      <w:r w:rsidRPr="00282722">
        <w:rPr>
          <w:rFonts w:ascii="Arial" w:eastAsia="Times New Roman" w:hAnsi="Arial" w:cs="Arial"/>
          <w:color w:val="000000"/>
          <w:szCs w:val="24"/>
          <w:lang w:val="en-GB"/>
        </w:rPr>
        <w:t>4.2 Personal Capability Development Plan</w:t>
      </w:r>
      <w:bookmarkEnd w:id="10"/>
    </w:p>
    <w:p w14:paraId="7F56DA93" w14:textId="235E3421" w:rsidR="0019427A" w:rsidRPr="00282722" w:rsidRDefault="0019427A" w:rsidP="0019427A">
      <w:pPr>
        <w:pStyle w:val="Caption"/>
        <w:keepNext/>
        <w:rPr>
          <w:rFonts w:ascii="Arial" w:hAnsi="Arial" w:cs="Arial"/>
          <w:sz w:val="24"/>
          <w:szCs w:val="24"/>
          <w:lang w:val="en-GB"/>
        </w:rPr>
      </w:pPr>
      <w:r w:rsidRPr="00282722">
        <w:rPr>
          <w:rFonts w:ascii="Arial" w:hAnsi="Arial" w:cs="Arial"/>
          <w:sz w:val="24"/>
          <w:szCs w:val="24"/>
          <w:lang w:val="en-GB"/>
        </w:rPr>
        <w:t xml:space="preserve">Table </w:t>
      </w:r>
      <w:r w:rsidRPr="00282722">
        <w:rPr>
          <w:rFonts w:ascii="Arial" w:hAnsi="Arial" w:cs="Arial"/>
          <w:sz w:val="24"/>
          <w:szCs w:val="24"/>
          <w:lang w:val="en-GB"/>
        </w:rPr>
        <w:fldChar w:fldCharType="begin"/>
      </w:r>
      <w:r w:rsidRPr="00282722">
        <w:rPr>
          <w:rFonts w:ascii="Arial" w:hAnsi="Arial" w:cs="Arial"/>
          <w:sz w:val="24"/>
          <w:szCs w:val="24"/>
          <w:lang w:val="en-GB"/>
        </w:rPr>
        <w:instrText xml:space="preserve"> SEQ Table \* ARABIC </w:instrText>
      </w:r>
      <w:r w:rsidRPr="00282722">
        <w:rPr>
          <w:rFonts w:ascii="Arial" w:hAnsi="Arial" w:cs="Arial"/>
          <w:sz w:val="24"/>
          <w:szCs w:val="24"/>
          <w:lang w:val="en-GB"/>
        </w:rPr>
        <w:fldChar w:fldCharType="separate"/>
      </w:r>
      <w:r w:rsidR="00BD460A" w:rsidRPr="00282722">
        <w:rPr>
          <w:rFonts w:ascii="Arial" w:hAnsi="Arial" w:cs="Arial"/>
          <w:noProof/>
          <w:sz w:val="24"/>
          <w:szCs w:val="24"/>
          <w:lang w:val="en-GB"/>
        </w:rPr>
        <w:t>2</w:t>
      </w:r>
      <w:r w:rsidRPr="00282722">
        <w:rPr>
          <w:rFonts w:ascii="Arial" w:hAnsi="Arial" w:cs="Arial"/>
          <w:sz w:val="24"/>
          <w:szCs w:val="24"/>
          <w:lang w:val="en-GB"/>
        </w:rPr>
        <w:fldChar w:fldCharType="end"/>
      </w:r>
      <w:r w:rsidRPr="00282722">
        <w:rPr>
          <w:rFonts w:ascii="Arial" w:hAnsi="Arial" w:cs="Arial"/>
          <w:sz w:val="24"/>
          <w:szCs w:val="24"/>
          <w:lang w:val="en-GB"/>
        </w:rPr>
        <w:t>: Personal Capability Development Plan</w:t>
      </w:r>
    </w:p>
    <w:p w14:paraId="1BC59A83" w14:textId="77777777" w:rsidR="00A307C9" w:rsidRPr="00282722" w:rsidRDefault="00A36DA2" w:rsidP="008F3A78">
      <w:pPr>
        <w:jc w:val="center"/>
        <w:rPr>
          <w:rFonts w:ascii="Arial" w:hAnsi="Arial" w:cs="Arial"/>
          <w:szCs w:val="24"/>
          <w:lang w:val="en-GB"/>
        </w:rPr>
      </w:pPr>
      <w:r w:rsidRPr="00282722">
        <w:rPr>
          <w:rFonts w:ascii="Arial" w:hAnsi="Arial" w:cs="Arial"/>
          <w:b/>
          <w:bCs/>
          <w:noProof/>
          <w:szCs w:val="24"/>
          <w:lang w:val="en-GB"/>
        </w:rPr>
        <w:drawing>
          <wp:inline distT="0" distB="0" distL="0" distR="0" wp14:anchorId="68E55910" wp14:editId="4196ABA8">
            <wp:extent cx="5731510" cy="2891790"/>
            <wp:effectExtent l="0" t="0" r="2540" b="3810"/>
            <wp:docPr id="403889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89463" name=""/>
                    <pic:cNvPicPr/>
                  </pic:nvPicPr>
                  <pic:blipFill>
                    <a:blip r:embed="rId11"/>
                    <a:stretch>
                      <a:fillRect/>
                    </a:stretch>
                  </pic:blipFill>
                  <pic:spPr>
                    <a:xfrm>
                      <a:off x="0" y="0"/>
                      <a:ext cx="5731510" cy="2891790"/>
                    </a:xfrm>
                    <a:prstGeom prst="rect">
                      <a:avLst/>
                    </a:prstGeom>
                  </pic:spPr>
                </pic:pic>
              </a:graphicData>
            </a:graphic>
          </wp:inline>
        </w:drawing>
      </w:r>
    </w:p>
    <w:p w14:paraId="27DDCA75" w14:textId="51A400F5" w:rsidR="0019427A" w:rsidRPr="00282722" w:rsidRDefault="0019427A" w:rsidP="008F3A78">
      <w:pPr>
        <w:jc w:val="center"/>
        <w:rPr>
          <w:rFonts w:ascii="Arial" w:hAnsi="Arial" w:cs="Arial"/>
          <w:szCs w:val="24"/>
          <w:lang w:val="en-GB"/>
        </w:rPr>
      </w:pPr>
      <w:r w:rsidRPr="00282722">
        <w:rPr>
          <w:rFonts w:ascii="Arial" w:hAnsi="Arial" w:cs="Arial"/>
          <w:szCs w:val="24"/>
          <w:lang w:val="en-GB"/>
        </w:rPr>
        <w:t xml:space="preserve">Source: </w:t>
      </w:r>
      <w:r w:rsidR="00810896" w:rsidRPr="00282722">
        <w:rPr>
          <w:rFonts w:ascii="Arial" w:hAnsi="Arial" w:cs="Arial"/>
          <w:szCs w:val="24"/>
          <w:lang w:val="en-GB"/>
        </w:rPr>
        <w:t>(</w:t>
      </w:r>
      <w:r w:rsidRPr="00282722">
        <w:rPr>
          <w:rFonts w:ascii="Arial" w:hAnsi="Arial" w:cs="Arial"/>
          <w:szCs w:val="24"/>
          <w:lang w:val="en-GB"/>
        </w:rPr>
        <w:t>Author</w:t>
      </w:r>
      <w:r w:rsidR="00810896" w:rsidRPr="00282722">
        <w:rPr>
          <w:rFonts w:ascii="Arial" w:hAnsi="Arial" w:cs="Arial"/>
          <w:szCs w:val="24"/>
          <w:lang w:val="en-GB"/>
        </w:rPr>
        <w:t>)</w:t>
      </w:r>
    </w:p>
    <w:p w14:paraId="234BAB2D"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lastRenderedPageBreak/>
        <w:t>Looking back made me think about what skills matter now, as jobs keep shifting fast. First up - getting better with numbers. These days, HR folks must make sense of employee data, question weak logic, then turn those findings into real business value. Understanding data more deeply helps shift the role from paperwork tasks toward actual strategy.</w:t>
      </w:r>
    </w:p>
    <w:p w14:paraId="2F31DEAC" w14:textId="04880C0A" w:rsidR="00597CD8" w:rsidRPr="00282722" w:rsidRDefault="00597CD8" w:rsidP="00E97F4F">
      <w:pPr>
        <w:jc w:val="both"/>
        <w:rPr>
          <w:rFonts w:ascii="Arial" w:hAnsi="Arial" w:cs="Arial"/>
          <w:szCs w:val="24"/>
          <w:lang w:val="en-GB"/>
        </w:rPr>
      </w:pPr>
      <w:r w:rsidRPr="00282722">
        <w:rPr>
          <w:rFonts w:ascii="Arial" w:hAnsi="Arial" w:cs="Arial"/>
          <w:szCs w:val="24"/>
          <w:lang w:val="en-GB"/>
        </w:rPr>
        <w:t>Looking ahead, I aim to grow stronger in using AI tools by learning how tech shapes hiring, team design, and workplace culture - alongside its moral boundaries. With sharper skills here, working alongside smart systems feels more natural, yet keeps decision-making grounded in personal responsibility and clear thinking.</w:t>
      </w:r>
    </w:p>
    <w:p w14:paraId="28F29AB7"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Another goal is building stronger influence in strategy decisions. Today’s HR work means talking with many different groups, showing why spending on people matters, connecting team efforts to company goals. Getting better at communicating, working through disagreements, managing relationships helps push data-backed HR choices, guiding shifts within the organisation.</w:t>
      </w:r>
    </w:p>
    <w:p w14:paraId="7E262F40"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One step at a time, it becomes clearer why knowing how work moves across borders matters. As companies stretch beyond single countries, those handling hiring and staff support must grasp shifting workplace norms - laws change, attitudes shift, what works here might fail there. With teams spread through London, Berlin, and Singapore, Helios can’t expect one-size-fits-all rules to hold up everywhere. </w:t>
      </w:r>
      <w:proofErr w:type="gramStart"/>
      <w:r w:rsidRPr="00282722">
        <w:rPr>
          <w:rFonts w:ascii="Arial" w:hAnsi="Arial" w:cs="Arial"/>
          <w:szCs w:val="24"/>
          <w:lang w:val="en-GB"/>
        </w:rPr>
        <w:t>So</w:t>
      </w:r>
      <w:proofErr w:type="gramEnd"/>
      <w:r w:rsidRPr="00282722">
        <w:rPr>
          <w:rFonts w:ascii="Arial" w:hAnsi="Arial" w:cs="Arial"/>
          <w:szCs w:val="24"/>
          <w:lang w:val="en-GB"/>
        </w:rPr>
        <w:t xml:space="preserve"> seeing the bigger map - the wide lanes where policies bend and blend - helps me add more value when working inside networks that link nations.</w:t>
      </w:r>
    </w:p>
    <w:p w14:paraId="19EFA31D" w14:textId="77777777" w:rsidR="00E97F4F" w:rsidRPr="00282722" w:rsidRDefault="00E97F4F" w:rsidP="00E97F4F">
      <w:pPr>
        <w:jc w:val="both"/>
        <w:rPr>
          <w:rFonts w:ascii="Arial" w:hAnsi="Arial" w:cs="Arial"/>
          <w:szCs w:val="24"/>
          <w:lang w:val="en-GB"/>
        </w:rPr>
      </w:pPr>
      <w:r w:rsidRPr="00282722">
        <w:rPr>
          <w:rFonts w:ascii="Arial" w:hAnsi="Arial" w:cs="Arial"/>
          <w:szCs w:val="24"/>
          <w:lang w:val="en-GB"/>
        </w:rPr>
        <w:t xml:space="preserve">Quarterly check-ins would help me see how well I’m moving toward my growth targets. Out there among conversations with colleagues, notes from supervisors matter just as </w:t>
      </w:r>
      <w:r w:rsidRPr="00282722">
        <w:rPr>
          <w:rFonts w:ascii="Arial" w:hAnsi="Arial" w:cs="Arial"/>
          <w:szCs w:val="24"/>
          <w:lang w:val="en-GB"/>
        </w:rPr>
        <w:lastRenderedPageBreak/>
        <w:t>much as hours looking back at moments that needed sharper handling. Even if smart software builds reports or reshapes numbers in new ways, it cannot carry guilt, judge intent, or sit quietly with tough decisions. Strong human resources practice shows up when digital fluency meets feeling, paired with calm thinking and choices made on purpose. Growing steadily in these areas means I can rely on AI without losing sight of what matters most - people.</w:t>
      </w:r>
    </w:p>
    <w:p w14:paraId="76074A2E" w14:textId="77777777" w:rsidR="00A25222" w:rsidRPr="00282722" w:rsidRDefault="00A25222">
      <w:pPr>
        <w:spacing w:before="0" w:after="160" w:line="278" w:lineRule="auto"/>
        <w:rPr>
          <w:rFonts w:ascii="Arial" w:eastAsiaTheme="majorEastAsia" w:hAnsi="Arial" w:cs="Arial"/>
          <w:b/>
          <w:color w:val="000000" w:themeColor="text1"/>
          <w:szCs w:val="24"/>
          <w:lang w:val="en-GB"/>
        </w:rPr>
      </w:pPr>
      <w:r w:rsidRPr="00282722">
        <w:rPr>
          <w:rFonts w:ascii="Arial" w:hAnsi="Arial" w:cs="Arial"/>
          <w:szCs w:val="24"/>
          <w:lang w:val="en-GB"/>
        </w:rPr>
        <w:br w:type="page"/>
      </w:r>
    </w:p>
    <w:p w14:paraId="444870DB" w14:textId="1C5B4F8B" w:rsidR="00915A2E" w:rsidRPr="00282722" w:rsidRDefault="00E96A31" w:rsidP="00A975C3">
      <w:pPr>
        <w:pStyle w:val="Heading1"/>
        <w:rPr>
          <w:rFonts w:ascii="Arial" w:hAnsi="Arial" w:cs="Arial"/>
          <w:color w:val="4C94D8" w:themeColor="text2" w:themeTint="80"/>
          <w:szCs w:val="24"/>
          <w:u w:val="single"/>
          <w:lang w:val="en-GB"/>
        </w:rPr>
      </w:pPr>
      <w:bookmarkStart w:id="11" w:name="_Toc233315781"/>
      <w:r w:rsidRPr="00282722">
        <w:rPr>
          <w:rFonts w:ascii="Arial" w:hAnsi="Arial" w:cs="Arial"/>
          <w:color w:val="4C94D8" w:themeColor="text2" w:themeTint="80"/>
          <w:szCs w:val="24"/>
          <w:u w:val="single"/>
          <w:lang w:val="en-GB"/>
        </w:rPr>
        <w:lastRenderedPageBreak/>
        <w:t xml:space="preserve">5. </w:t>
      </w:r>
      <w:r w:rsidR="00A975C3" w:rsidRPr="00282722">
        <w:rPr>
          <w:rFonts w:ascii="Arial" w:hAnsi="Arial" w:cs="Arial"/>
          <w:color w:val="4C94D8" w:themeColor="text2" w:themeTint="80"/>
          <w:szCs w:val="24"/>
          <w:u w:val="single"/>
          <w:lang w:val="en-GB"/>
        </w:rPr>
        <w:t>References</w:t>
      </w:r>
      <w:bookmarkEnd w:id="11"/>
    </w:p>
    <w:p w14:paraId="77C20CE4"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Alviani, D., </w:t>
      </w:r>
      <w:proofErr w:type="spellStart"/>
      <w:r w:rsidRPr="00282722">
        <w:rPr>
          <w:rFonts w:ascii="Arial" w:hAnsi="Arial" w:cs="Arial"/>
          <w:szCs w:val="24"/>
          <w:lang w:val="en-GB"/>
        </w:rPr>
        <w:t>Hilmiana</w:t>
      </w:r>
      <w:proofErr w:type="spellEnd"/>
      <w:r w:rsidRPr="00282722">
        <w:rPr>
          <w:rFonts w:ascii="Arial" w:hAnsi="Arial" w:cs="Arial"/>
          <w:szCs w:val="24"/>
          <w:lang w:val="en-GB"/>
        </w:rPr>
        <w:t xml:space="preserve">, Widianto, S. and Muizu, W.O.Z., 2024. Workforce agility: a systematic literature review and research agenda. Frontiers in Psychology, 15, 1376399. Available at: </w:t>
      </w:r>
      <w:hyperlink r:id="rId12" w:history="1">
        <w:r w:rsidRPr="00282722">
          <w:rPr>
            <w:lang w:val="en-GB"/>
          </w:rPr>
          <w:t>https://doi.org/10.3389/fpsyg.2024.1376399</w:t>
        </w:r>
      </w:hyperlink>
      <w:r w:rsidRPr="00282722">
        <w:rPr>
          <w:rFonts w:ascii="Arial" w:hAnsi="Arial" w:cs="Arial"/>
          <w:szCs w:val="24"/>
          <w:lang w:val="en-GB"/>
        </w:rPr>
        <w:t xml:space="preserve"> [Accessed: 11 June 2026].</w:t>
      </w:r>
    </w:p>
    <w:p w14:paraId="6A756FE0" w14:textId="77777777" w:rsidR="00A975C3" w:rsidRPr="00282722" w:rsidRDefault="00A975C3" w:rsidP="00282722">
      <w:pPr>
        <w:jc w:val="both"/>
        <w:rPr>
          <w:rFonts w:ascii="Arial" w:hAnsi="Arial" w:cs="Arial"/>
          <w:szCs w:val="24"/>
          <w:lang w:val="en-GB"/>
        </w:rPr>
      </w:pPr>
      <w:proofErr w:type="spellStart"/>
      <w:r w:rsidRPr="00282722">
        <w:rPr>
          <w:rFonts w:ascii="Arial" w:hAnsi="Arial" w:cs="Arial"/>
          <w:szCs w:val="24"/>
          <w:lang w:val="en-GB"/>
        </w:rPr>
        <w:t>Bankins</w:t>
      </w:r>
      <w:proofErr w:type="spellEnd"/>
      <w:r w:rsidRPr="00282722">
        <w:rPr>
          <w:rFonts w:ascii="Arial" w:hAnsi="Arial" w:cs="Arial"/>
          <w:szCs w:val="24"/>
          <w:lang w:val="en-GB"/>
        </w:rPr>
        <w:t xml:space="preserve">, S., 2021. The ethical use of artificial intelligence in human resource management: a decision-making framework. Ethics and Information Technology, 23(4), pp.841-854. Available at: </w:t>
      </w:r>
      <w:hyperlink r:id="rId13" w:history="1">
        <w:r w:rsidRPr="00282722">
          <w:rPr>
            <w:lang w:val="en-GB"/>
          </w:rPr>
          <w:t>https://doi.org/10.1007/s10676-021-09619-6</w:t>
        </w:r>
      </w:hyperlink>
      <w:r w:rsidRPr="00282722">
        <w:rPr>
          <w:rFonts w:ascii="Arial" w:hAnsi="Arial" w:cs="Arial"/>
          <w:szCs w:val="24"/>
          <w:lang w:val="en-GB"/>
        </w:rPr>
        <w:t xml:space="preserve"> [Accessed: 11 June 2026].</w:t>
      </w:r>
    </w:p>
    <w:p w14:paraId="3651D7B1" w14:textId="77777777" w:rsidR="00A975C3" w:rsidRPr="00282722" w:rsidRDefault="00A975C3" w:rsidP="00282722">
      <w:pPr>
        <w:jc w:val="both"/>
        <w:rPr>
          <w:rFonts w:ascii="Arial" w:hAnsi="Arial" w:cs="Arial"/>
          <w:szCs w:val="24"/>
          <w:lang w:val="en-GB"/>
        </w:rPr>
      </w:pPr>
      <w:proofErr w:type="spellStart"/>
      <w:r w:rsidRPr="00282722">
        <w:rPr>
          <w:rFonts w:ascii="Arial" w:hAnsi="Arial" w:cs="Arial"/>
          <w:szCs w:val="24"/>
          <w:lang w:val="en-GB"/>
        </w:rPr>
        <w:t>Cotič</w:t>
      </w:r>
      <w:proofErr w:type="spellEnd"/>
      <w:r w:rsidRPr="00282722">
        <w:rPr>
          <w:rFonts w:ascii="Arial" w:hAnsi="Arial" w:cs="Arial"/>
          <w:szCs w:val="24"/>
          <w:lang w:val="en-GB"/>
        </w:rPr>
        <w:t xml:space="preserve">, L.P., Man, M.M.K., Soga, L.R., Konstantopoulou, A. and </w:t>
      </w:r>
      <w:proofErr w:type="spellStart"/>
      <w:r w:rsidRPr="00282722">
        <w:rPr>
          <w:rFonts w:ascii="Arial" w:hAnsi="Arial" w:cs="Arial"/>
          <w:szCs w:val="24"/>
          <w:lang w:val="en-GB"/>
        </w:rPr>
        <w:t>Lodorfos</w:t>
      </w:r>
      <w:proofErr w:type="spellEnd"/>
      <w:r w:rsidRPr="00282722">
        <w:rPr>
          <w:rFonts w:ascii="Arial" w:hAnsi="Arial" w:cs="Arial"/>
          <w:szCs w:val="24"/>
          <w:lang w:val="en-GB"/>
        </w:rPr>
        <w:t xml:space="preserve">, G., 2025. Job characteristics for work engagement: autonomy, feedback, skill variety, task identity, and task significance. Global Business and Organizational Excellence, 44(5), pp.75-85. Available at: </w:t>
      </w:r>
      <w:hyperlink r:id="rId14" w:history="1">
        <w:r w:rsidRPr="00282722">
          <w:rPr>
            <w:lang w:val="en-GB"/>
          </w:rPr>
          <w:t>https://doi.org/10.1002/joe.22295</w:t>
        </w:r>
      </w:hyperlink>
      <w:r w:rsidRPr="00282722">
        <w:rPr>
          <w:rFonts w:ascii="Arial" w:hAnsi="Arial" w:cs="Arial"/>
          <w:szCs w:val="24"/>
          <w:lang w:val="en-GB"/>
        </w:rPr>
        <w:t xml:space="preserve"> [Accessed: 11 June 2026].</w:t>
      </w:r>
    </w:p>
    <w:p w14:paraId="7CCC69AE"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Deloitte Insights., 2022. The skills-based organization: a new operating model for work and the workforce. Available at: </w:t>
      </w:r>
      <w:hyperlink r:id="rId15" w:history="1">
        <w:r w:rsidRPr="00282722">
          <w:rPr>
            <w:lang w:val="en-GB"/>
          </w:rPr>
          <w:t>https://www.deloitte.com/us/en/insights/topics/talent/organizational-skill-based-hiring.html</w:t>
        </w:r>
      </w:hyperlink>
      <w:r w:rsidRPr="00282722">
        <w:rPr>
          <w:rFonts w:ascii="Arial" w:hAnsi="Arial" w:cs="Arial"/>
          <w:szCs w:val="24"/>
          <w:lang w:val="en-GB"/>
        </w:rPr>
        <w:t xml:space="preserve"> [Accessed: 11 June 2026].</w:t>
      </w:r>
    </w:p>
    <w:p w14:paraId="48FF23E2" w14:textId="06BD9EE6"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Didion, E., Perello-Marin, M.R., Catala-Perez, D. and Ambrosius, U., 2024. Mapping the organizational socialization and onboarding literature: a bibliometric analysis of the field. Cogent Business &amp; Management, 11(1), 2337957. Available at: </w:t>
      </w:r>
      <w:hyperlink r:id="rId16" w:history="1">
        <w:r w:rsidRPr="00282722">
          <w:rPr>
            <w:lang w:val="en-GB"/>
          </w:rPr>
          <w:t>https://doi.org/10.1080/23311975.2024.2337957</w:t>
        </w:r>
      </w:hyperlink>
      <w:r w:rsidR="009976E4">
        <w:rPr>
          <w:rFonts w:ascii="Arial" w:hAnsi="Arial" w:cs="Arial"/>
          <w:szCs w:val="24"/>
          <w:lang w:val="en-GB"/>
        </w:rPr>
        <w:t xml:space="preserve"> </w:t>
      </w:r>
      <w:r w:rsidRPr="00282722">
        <w:rPr>
          <w:rFonts w:ascii="Arial" w:hAnsi="Arial" w:cs="Arial"/>
          <w:szCs w:val="24"/>
          <w:lang w:val="en-GB"/>
        </w:rPr>
        <w:t>[Accessed: 11 June 2026].</w:t>
      </w:r>
    </w:p>
    <w:p w14:paraId="7F106FB0"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lastRenderedPageBreak/>
        <w:t xml:space="preserve">Douglas, S. and Haley, G.R., 2025. Transforming HR into a strategic partner: a case study of organizational redesign for sustainable growth. Strategic HR Review, 24(3), pp.123-127. Available at: </w:t>
      </w:r>
      <w:hyperlink r:id="rId17" w:history="1">
        <w:r w:rsidRPr="00282722">
          <w:rPr>
            <w:lang w:val="en-GB"/>
          </w:rPr>
          <w:t>https://doi.org/10.1108/SHR-12-2024-0101</w:t>
        </w:r>
      </w:hyperlink>
      <w:r w:rsidRPr="00282722">
        <w:rPr>
          <w:rFonts w:ascii="Arial" w:hAnsi="Arial" w:cs="Arial"/>
          <w:szCs w:val="24"/>
          <w:lang w:val="en-GB"/>
        </w:rPr>
        <w:t xml:space="preserve"> [Accessed: 11 June 2026].</w:t>
      </w:r>
    </w:p>
    <w:p w14:paraId="3499A3EE" w14:textId="77777777" w:rsidR="00A975C3" w:rsidRPr="00282722" w:rsidRDefault="00A975C3" w:rsidP="00282722">
      <w:pPr>
        <w:jc w:val="both"/>
        <w:rPr>
          <w:rFonts w:ascii="Arial" w:hAnsi="Arial" w:cs="Arial"/>
          <w:szCs w:val="24"/>
          <w:lang w:val="en-GB"/>
        </w:rPr>
      </w:pPr>
      <w:proofErr w:type="spellStart"/>
      <w:r w:rsidRPr="00282722">
        <w:rPr>
          <w:rFonts w:ascii="Arial" w:hAnsi="Arial" w:cs="Arial"/>
          <w:szCs w:val="24"/>
          <w:lang w:val="en-GB"/>
        </w:rPr>
        <w:t>Frögéli</w:t>
      </w:r>
      <w:proofErr w:type="spellEnd"/>
      <w:r w:rsidRPr="00282722">
        <w:rPr>
          <w:rFonts w:ascii="Arial" w:hAnsi="Arial" w:cs="Arial"/>
          <w:szCs w:val="24"/>
          <w:lang w:val="en-GB"/>
        </w:rPr>
        <w:t xml:space="preserve">, E., Jenner, B. and Gustavsson, P., 2023. Effectiveness of formal onboarding for facilitating organizational socialization: a systematic review. </w:t>
      </w:r>
      <w:proofErr w:type="spellStart"/>
      <w:r w:rsidRPr="00282722">
        <w:rPr>
          <w:rFonts w:ascii="Arial" w:hAnsi="Arial" w:cs="Arial"/>
          <w:szCs w:val="24"/>
          <w:lang w:val="en-GB"/>
        </w:rPr>
        <w:t>PLoS</w:t>
      </w:r>
      <w:proofErr w:type="spellEnd"/>
      <w:r w:rsidRPr="00282722">
        <w:rPr>
          <w:rFonts w:ascii="Arial" w:hAnsi="Arial" w:cs="Arial"/>
          <w:szCs w:val="24"/>
          <w:lang w:val="en-GB"/>
        </w:rPr>
        <w:t xml:space="preserve"> ONE, 18(2), e0281823. Available at: </w:t>
      </w:r>
      <w:hyperlink r:id="rId18" w:history="1">
        <w:r w:rsidRPr="00282722">
          <w:rPr>
            <w:lang w:val="en-GB"/>
          </w:rPr>
          <w:t>https://doi.org/10.1371/journal.pone.0281823</w:t>
        </w:r>
      </w:hyperlink>
      <w:r w:rsidRPr="00282722">
        <w:rPr>
          <w:rFonts w:ascii="Arial" w:hAnsi="Arial" w:cs="Arial"/>
          <w:szCs w:val="24"/>
          <w:lang w:val="en-GB"/>
        </w:rPr>
        <w:t xml:space="preserve"> [Accessed: 11 June 2026].</w:t>
      </w:r>
    </w:p>
    <w:p w14:paraId="0532B802"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Hamilton, A. and </w:t>
      </w:r>
      <w:proofErr w:type="spellStart"/>
      <w:r w:rsidRPr="00282722">
        <w:rPr>
          <w:rFonts w:ascii="Arial" w:hAnsi="Arial" w:cs="Arial"/>
          <w:szCs w:val="24"/>
          <w:lang w:val="en-GB"/>
        </w:rPr>
        <w:t>Odibo</w:t>
      </w:r>
      <w:proofErr w:type="spellEnd"/>
      <w:r w:rsidRPr="00282722">
        <w:rPr>
          <w:rFonts w:ascii="Arial" w:hAnsi="Arial" w:cs="Arial"/>
          <w:szCs w:val="24"/>
          <w:lang w:val="en-GB"/>
        </w:rPr>
        <w:t xml:space="preserve">, R., 2024. HR business partnering in the modern workplace. Cornell University ILR School, CAHRS. Available at: </w:t>
      </w:r>
      <w:hyperlink r:id="rId19" w:history="1">
        <w:r w:rsidRPr="00282722">
          <w:rPr>
            <w:lang w:val="en-GB"/>
          </w:rPr>
          <w:t>https://www.ilr.cornell.edu/sites/default/files-d8/2024-12/cahrs-hrbp-cahrscast-december-2024.pdf</w:t>
        </w:r>
      </w:hyperlink>
      <w:r w:rsidRPr="00282722">
        <w:rPr>
          <w:rFonts w:ascii="Arial" w:hAnsi="Arial" w:cs="Arial"/>
          <w:szCs w:val="24"/>
          <w:lang w:val="en-GB"/>
        </w:rPr>
        <w:t xml:space="preserve"> [Accessed: 11 June 2026].</w:t>
      </w:r>
    </w:p>
    <w:p w14:paraId="05C9D057"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Hosen, S., Hamzah, S.R., Ismail, I.A., Alias, S.N., Abd Aziz, M.F. and Rahman, M.M., 2024. Training &amp; development, career development, and organizational commitment as the predictor of work performance. </w:t>
      </w:r>
      <w:proofErr w:type="spellStart"/>
      <w:r w:rsidRPr="00282722">
        <w:rPr>
          <w:rFonts w:ascii="Arial" w:hAnsi="Arial" w:cs="Arial"/>
          <w:szCs w:val="24"/>
          <w:lang w:val="en-GB"/>
        </w:rPr>
        <w:t>Heliyon</w:t>
      </w:r>
      <w:proofErr w:type="spellEnd"/>
      <w:r w:rsidRPr="00282722">
        <w:rPr>
          <w:rFonts w:ascii="Arial" w:hAnsi="Arial" w:cs="Arial"/>
          <w:szCs w:val="24"/>
          <w:lang w:val="en-GB"/>
        </w:rPr>
        <w:t xml:space="preserve">, 10(1), e23903. Available at: </w:t>
      </w:r>
      <w:hyperlink r:id="rId20" w:history="1">
        <w:r w:rsidRPr="00282722">
          <w:rPr>
            <w:lang w:val="en-GB"/>
          </w:rPr>
          <w:t>https://doi.org/10.1016/j.heliyon.2023.e23903</w:t>
        </w:r>
      </w:hyperlink>
      <w:r w:rsidRPr="00282722">
        <w:rPr>
          <w:rFonts w:ascii="Arial" w:hAnsi="Arial" w:cs="Arial"/>
          <w:szCs w:val="24"/>
          <w:lang w:val="en-GB"/>
        </w:rPr>
        <w:t xml:space="preserve"> [Accessed: 11 June 2026].</w:t>
      </w:r>
    </w:p>
    <w:p w14:paraId="2A4A4225"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Li, L., 2024. Reskilling and upskilling the future-ready workforce for Industry 4.0 and beyond. Information Systems Frontiers, 26(5), pp.1697-1712. Available at: </w:t>
      </w:r>
      <w:hyperlink r:id="rId21" w:history="1">
        <w:r w:rsidRPr="00282722">
          <w:rPr>
            <w:lang w:val="en-GB"/>
          </w:rPr>
          <w:t>https://doi.org/10.1007/s10796-022-10308-y</w:t>
        </w:r>
      </w:hyperlink>
      <w:r w:rsidRPr="00282722">
        <w:rPr>
          <w:rFonts w:ascii="Arial" w:hAnsi="Arial" w:cs="Arial"/>
          <w:szCs w:val="24"/>
          <w:lang w:val="en-GB"/>
        </w:rPr>
        <w:t xml:space="preserve"> [Accessed: 11 June 2026].</w:t>
      </w:r>
    </w:p>
    <w:p w14:paraId="7DD8432E"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OECD., 2025. Empowering the workforce in the context of a skills-first approach. OECD Publishing. Available at: </w:t>
      </w:r>
      <w:hyperlink r:id="rId22" w:history="1">
        <w:r w:rsidRPr="00282722">
          <w:rPr>
            <w:lang w:val="en-GB"/>
          </w:rPr>
          <w:t>https://www.oecd.org/content/dam/oecd/en/publications/reports/2025/06/empowering-the-</w:t>
        </w:r>
        <w:r w:rsidRPr="00282722">
          <w:rPr>
            <w:lang w:val="en-GB"/>
          </w:rPr>
          <w:lastRenderedPageBreak/>
          <w:t>workforce-in-the-context-of-a-skills-first-approach_0e3be363/345b6528-en.pdf</w:t>
        </w:r>
      </w:hyperlink>
      <w:r w:rsidRPr="00282722">
        <w:rPr>
          <w:rFonts w:ascii="Arial" w:hAnsi="Arial" w:cs="Arial"/>
          <w:szCs w:val="24"/>
          <w:lang w:val="en-GB"/>
        </w:rPr>
        <w:t xml:space="preserve"> [Accessed: 11 June 2026].</w:t>
      </w:r>
    </w:p>
    <w:p w14:paraId="6C962F53"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Pincus, J.D., 2022. Employee engagement as human motivation: implications for theory, methods, and practice. Integrative Psychological and </w:t>
      </w:r>
      <w:proofErr w:type="spellStart"/>
      <w:r w:rsidRPr="00282722">
        <w:rPr>
          <w:rFonts w:ascii="Arial" w:hAnsi="Arial" w:cs="Arial"/>
          <w:szCs w:val="24"/>
          <w:lang w:val="en-GB"/>
        </w:rPr>
        <w:t>Behavioral</w:t>
      </w:r>
      <w:proofErr w:type="spellEnd"/>
      <w:r w:rsidRPr="00282722">
        <w:rPr>
          <w:rFonts w:ascii="Arial" w:hAnsi="Arial" w:cs="Arial"/>
          <w:szCs w:val="24"/>
          <w:lang w:val="en-GB"/>
        </w:rPr>
        <w:t xml:space="preserve"> Science, 56(4), pp.1223-1255. Available at: </w:t>
      </w:r>
      <w:hyperlink r:id="rId23" w:history="1">
        <w:r w:rsidRPr="00282722">
          <w:rPr>
            <w:lang w:val="en-GB"/>
          </w:rPr>
          <w:t>https://doi.org/10.1007/s12124-022-09737-w</w:t>
        </w:r>
      </w:hyperlink>
      <w:r w:rsidRPr="00282722">
        <w:rPr>
          <w:rFonts w:ascii="Arial" w:hAnsi="Arial" w:cs="Arial"/>
          <w:szCs w:val="24"/>
          <w:lang w:val="en-GB"/>
        </w:rPr>
        <w:t xml:space="preserve"> [Accessed: 11 June 2026].</w:t>
      </w:r>
    </w:p>
    <w:p w14:paraId="58A2677B"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S, D. and Christopher, B.P., 2024. A decadal review of organizational identification: insights from bibliometric analysis and content analysis. Humanities &amp; Social Sciences Communications, 11, 1483. Available at: </w:t>
      </w:r>
      <w:hyperlink r:id="rId24" w:history="1">
        <w:r w:rsidRPr="00282722">
          <w:rPr>
            <w:lang w:val="en-GB"/>
          </w:rPr>
          <w:t>https://doi.org/10.1057/s41599-024-03990-7</w:t>
        </w:r>
      </w:hyperlink>
      <w:r w:rsidRPr="00282722">
        <w:rPr>
          <w:rFonts w:ascii="Arial" w:hAnsi="Arial" w:cs="Arial"/>
          <w:szCs w:val="24"/>
          <w:lang w:val="en-GB"/>
        </w:rPr>
        <w:t xml:space="preserve"> [Accessed: 11 June 2026].</w:t>
      </w:r>
    </w:p>
    <w:p w14:paraId="6968BBEA"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Taslim, W.S., </w:t>
      </w:r>
      <w:proofErr w:type="spellStart"/>
      <w:r w:rsidRPr="00282722">
        <w:rPr>
          <w:rFonts w:ascii="Arial" w:hAnsi="Arial" w:cs="Arial"/>
          <w:szCs w:val="24"/>
          <w:lang w:val="en-GB"/>
        </w:rPr>
        <w:t>Rosnani</w:t>
      </w:r>
      <w:proofErr w:type="spellEnd"/>
      <w:r w:rsidRPr="00282722">
        <w:rPr>
          <w:rFonts w:ascii="Arial" w:hAnsi="Arial" w:cs="Arial"/>
          <w:szCs w:val="24"/>
          <w:lang w:val="en-GB"/>
        </w:rPr>
        <w:t xml:space="preserve">, T. and Fauzan, R., 2025. Employee involvement in AI-driven HR decision-making: a systematic review. SA Journal of Human Resource Management, 23(0), a2856. Available at: </w:t>
      </w:r>
      <w:hyperlink r:id="rId25" w:history="1">
        <w:r w:rsidRPr="00282722">
          <w:rPr>
            <w:lang w:val="en-GB"/>
          </w:rPr>
          <w:t>https://doi.org/10.4102/sajhrm.v23i0.2856</w:t>
        </w:r>
      </w:hyperlink>
      <w:r w:rsidRPr="00282722">
        <w:rPr>
          <w:rFonts w:ascii="Arial" w:hAnsi="Arial" w:cs="Arial"/>
          <w:szCs w:val="24"/>
          <w:lang w:val="en-GB"/>
        </w:rPr>
        <w:t xml:space="preserve"> [Accessed: 11 June 2026].</w:t>
      </w:r>
    </w:p>
    <w:p w14:paraId="71FDDEDD"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Tims, M. and Twemlow, M., 2025. Job crafting theory and perspectives. In: Transformative Work Design: Synthesis and New Directions. Oxford University Press, pp.415-438. Available at: </w:t>
      </w:r>
      <w:hyperlink r:id="rId26" w:history="1">
        <w:r w:rsidRPr="00282722">
          <w:rPr>
            <w:lang w:val="en-GB"/>
          </w:rPr>
          <w:t>https://doi.org/10.1093/oso/9780197692554.003.0016</w:t>
        </w:r>
      </w:hyperlink>
      <w:r w:rsidRPr="00282722">
        <w:rPr>
          <w:rFonts w:ascii="Arial" w:hAnsi="Arial" w:cs="Arial"/>
          <w:szCs w:val="24"/>
          <w:lang w:val="en-GB"/>
        </w:rPr>
        <w:t xml:space="preserve"> [Accessed: 11 June 2026].</w:t>
      </w:r>
    </w:p>
    <w:p w14:paraId="335BC2D7"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Topa, G., Aranda-Carmena, M. and De-Maria, B., 2022. Psychological contract breach and outcomes: a systematic review of reviews. International Journal of Environmental Research and Public Health, 19(23), 15527. Available at: </w:t>
      </w:r>
      <w:hyperlink r:id="rId27" w:history="1">
        <w:r w:rsidRPr="00282722">
          <w:rPr>
            <w:lang w:val="en-GB"/>
          </w:rPr>
          <w:t>https://doi.org/10.3390/ijerph192315527</w:t>
        </w:r>
      </w:hyperlink>
      <w:r w:rsidRPr="00282722">
        <w:rPr>
          <w:rFonts w:ascii="Arial" w:hAnsi="Arial" w:cs="Arial"/>
          <w:szCs w:val="24"/>
          <w:lang w:val="en-GB"/>
        </w:rPr>
        <w:t xml:space="preserve"> [Accessed: 11 June 2026].</w:t>
      </w:r>
    </w:p>
    <w:p w14:paraId="624E8400"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lastRenderedPageBreak/>
        <w:t xml:space="preserve">Vo, T.T.D., Tuliao, K.V. and Chen, C.-W., 2022. Work motivation: the roles of individual needs and social conditions. </w:t>
      </w:r>
      <w:proofErr w:type="spellStart"/>
      <w:r w:rsidRPr="00282722">
        <w:rPr>
          <w:rFonts w:ascii="Arial" w:hAnsi="Arial" w:cs="Arial"/>
          <w:szCs w:val="24"/>
          <w:lang w:val="en-GB"/>
        </w:rPr>
        <w:t>Behavioral</w:t>
      </w:r>
      <w:proofErr w:type="spellEnd"/>
      <w:r w:rsidRPr="00282722">
        <w:rPr>
          <w:rFonts w:ascii="Arial" w:hAnsi="Arial" w:cs="Arial"/>
          <w:szCs w:val="24"/>
          <w:lang w:val="en-GB"/>
        </w:rPr>
        <w:t xml:space="preserve"> Sciences, 12(2), 49. Available at: </w:t>
      </w:r>
      <w:hyperlink r:id="rId28" w:history="1">
        <w:r w:rsidRPr="00282722">
          <w:rPr>
            <w:lang w:val="en-GB"/>
          </w:rPr>
          <w:t>https://doi.org/10.3390/bs12020049</w:t>
        </w:r>
      </w:hyperlink>
      <w:r w:rsidRPr="00282722">
        <w:rPr>
          <w:rFonts w:ascii="Arial" w:hAnsi="Arial" w:cs="Arial"/>
          <w:szCs w:val="24"/>
          <w:lang w:val="en-GB"/>
        </w:rPr>
        <w:t xml:space="preserve"> [Accessed: 11 June 2026].</w:t>
      </w:r>
    </w:p>
    <w:p w14:paraId="792AE24B"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Weisman, H., Wu, C.-H., Yoshikawa, K. and Lee, H.-J., 2023. Antecedents of organizational identification: a review and agenda for future research. Journal of Management, 49(6), pp.2030-2061. Available at: </w:t>
      </w:r>
      <w:hyperlink r:id="rId29" w:history="1">
        <w:r w:rsidRPr="00282722">
          <w:rPr>
            <w:lang w:val="en-GB"/>
          </w:rPr>
          <w:t>https://doi.org/10.1177/01492063221140049</w:t>
        </w:r>
      </w:hyperlink>
      <w:r w:rsidRPr="00282722">
        <w:rPr>
          <w:rFonts w:ascii="Arial" w:hAnsi="Arial" w:cs="Arial"/>
          <w:szCs w:val="24"/>
          <w:lang w:val="en-GB"/>
        </w:rPr>
        <w:t xml:space="preserve"> [Accessed: 11 June 2026].</w:t>
      </w:r>
    </w:p>
    <w:p w14:paraId="7D383F78"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World Economic Forum., 2020. Measuring stakeholder capitalism: towards common metrics and consistent reporting of sustainable value creation. Available at: </w:t>
      </w:r>
      <w:hyperlink r:id="rId30" w:history="1">
        <w:r w:rsidRPr="00282722">
          <w:rPr>
            <w:lang w:val="en-GB"/>
          </w:rPr>
          <w:t>https://www3.weforum.org/docs/WEF_IBC_Measuring_Stakeholder_Capitalism_Report_2020.pdf</w:t>
        </w:r>
      </w:hyperlink>
      <w:r w:rsidRPr="00282722">
        <w:rPr>
          <w:rFonts w:ascii="Arial" w:hAnsi="Arial" w:cs="Arial"/>
          <w:szCs w:val="24"/>
          <w:lang w:val="en-GB"/>
        </w:rPr>
        <w:t xml:space="preserve"> [Accessed: 11 June 2026].</w:t>
      </w:r>
    </w:p>
    <w:p w14:paraId="71E7D1E8" w14:textId="77777777" w:rsidR="00A975C3" w:rsidRPr="00282722" w:rsidRDefault="00A975C3" w:rsidP="00282722">
      <w:pPr>
        <w:jc w:val="both"/>
        <w:rPr>
          <w:rFonts w:ascii="Arial" w:hAnsi="Arial" w:cs="Arial"/>
          <w:szCs w:val="24"/>
          <w:lang w:val="en-GB"/>
        </w:rPr>
      </w:pPr>
      <w:r w:rsidRPr="00282722">
        <w:rPr>
          <w:rFonts w:ascii="Arial" w:hAnsi="Arial" w:cs="Arial"/>
          <w:szCs w:val="24"/>
          <w:lang w:val="en-GB"/>
        </w:rPr>
        <w:t xml:space="preserve">World Economic Forum., 2025. Future of jobs report 2025. Available at: </w:t>
      </w:r>
      <w:hyperlink r:id="rId31" w:history="1">
        <w:r w:rsidRPr="00282722">
          <w:rPr>
            <w:lang w:val="en-GB"/>
          </w:rPr>
          <w:t>https://reports.weforum.org/docs/WEF_Future_of_Jobs_Report_2025.pdf</w:t>
        </w:r>
      </w:hyperlink>
      <w:r w:rsidRPr="00282722">
        <w:rPr>
          <w:rFonts w:ascii="Arial" w:hAnsi="Arial" w:cs="Arial"/>
          <w:szCs w:val="24"/>
          <w:lang w:val="en-GB"/>
        </w:rPr>
        <w:t xml:space="preserve"> [Accessed: 11 June 2026].</w:t>
      </w:r>
    </w:p>
    <w:p w14:paraId="2D0FB765" w14:textId="77777777" w:rsidR="00A975C3" w:rsidRPr="00282722" w:rsidRDefault="00A975C3" w:rsidP="00A975C3">
      <w:pPr>
        <w:rPr>
          <w:rFonts w:ascii="Arial" w:hAnsi="Arial" w:cs="Arial"/>
          <w:szCs w:val="24"/>
          <w:lang w:val="en-GB"/>
        </w:rPr>
      </w:pPr>
    </w:p>
    <w:sectPr w:rsidR="00A975C3" w:rsidRPr="00282722" w:rsidSect="001A6B26">
      <w:footerReference w:type="default" r:id="rId32"/>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80FF1E" w14:textId="77777777" w:rsidR="00CF333A" w:rsidRDefault="00CF333A" w:rsidP="001A6B26">
      <w:pPr>
        <w:spacing w:after="0" w:line="240" w:lineRule="auto"/>
      </w:pPr>
      <w:r>
        <w:separator/>
      </w:r>
    </w:p>
  </w:endnote>
  <w:endnote w:type="continuationSeparator" w:id="0">
    <w:p w14:paraId="2784A52E" w14:textId="77777777" w:rsidR="00CF333A" w:rsidRDefault="00CF333A" w:rsidP="001A6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62766485"/>
      <w:docPartObj>
        <w:docPartGallery w:val="Page Numbers (Bottom of Page)"/>
        <w:docPartUnique/>
      </w:docPartObj>
    </w:sdtPr>
    <w:sdtEndPr>
      <w:rPr>
        <w:noProof/>
      </w:rPr>
    </w:sdtEndPr>
    <w:sdtContent>
      <w:p w14:paraId="1DDA8899" w14:textId="03D448BB" w:rsidR="001A6B26" w:rsidRDefault="001A6B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1B106" w14:textId="77777777" w:rsidR="001A6B26" w:rsidRDefault="001A6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AAEF09" w14:textId="77777777" w:rsidR="00CF333A" w:rsidRDefault="00CF333A" w:rsidP="001A6B26">
      <w:pPr>
        <w:spacing w:after="0" w:line="240" w:lineRule="auto"/>
      </w:pPr>
      <w:r>
        <w:separator/>
      </w:r>
    </w:p>
  </w:footnote>
  <w:footnote w:type="continuationSeparator" w:id="0">
    <w:p w14:paraId="62BB8C27" w14:textId="77777777" w:rsidR="00CF333A" w:rsidRDefault="00CF333A" w:rsidP="001A6B26">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1C7"/>
    <w:rsid w:val="0000164E"/>
    <w:rsid w:val="00056D5B"/>
    <w:rsid w:val="000865FC"/>
    <w:rsid w:val="000B460A"/>
    <w:rsid w:val="000D120B"/>
    <w:rsid w:val="000E398C"/>
    <w:rsid w:val="000E4A42"/>
    <w:rsid w:val="001146C7"/>
    <w:rsid w:val="001234DE"/>
    <w:rsid w:val="00124F90"/>
    <w:rsid w:val="0013715C"/>
    <w:rsid w:val="0019427A"/>
    <w:rsid w:val="001A6B26"/>
    <w:rsid w:val="001B3C4D"/>
    <w:rsid w:val="001B5690"/>
    <w:rsid w:val="001B7573"/>
    <w:rsid w:val="001D13FD"/>
    <w:rsid w:val="001E14FE"/>
    <w:rsid w:val="001F12D6"/>
    <w:rsid w:val="00230F5F"/>
    <w:rsid w:val="00233D72"/>
    <w:rsid w:val="00236771"/>
    <w:rsid w:val="00240C3B"/>
    <w:rsid w:val="00265615"/>
    <w:rsid w:val="00274DC5"/>
    <w:rsid w:val="00282722"/>
    <w:rsid w:val="00282C3C"/>
    <w:rsid w:val="00324FD5"/>
    <w:rsid w:val="00325A7D"/>
    <w:rsid w:val="00326C61"/>
    <w:rsid w:val="0035384C"/>
    <w:rsid w:val="00364CAC"/>
    <w:rsid w:val="00370479"/>
    <w:rsid w:val="00371E5F"/>
    <w:rsid w:val="00394A38"/>
    <w:rsid w:val="003B2C59"/>
    <w:rsid w:val="003C1DB5"/>
    <w:rsid w:val="003D2362"/>
    <w:rsid w:val="003E75D3"/>
    <w:rsid w:val="003F12BC"/>
    <w:rsid w:val="004004E8"/>
    <w:rsid w:val="00411149"/>
    <w:rsid w:val="0043087D"/>
    <w:rsid w:val="00466A4B"/>
    <w:rsid w:val="00473D4B"/>
    <w:rsid w:val="004A2368"/>
    <w:rsid w:val="004A3B3D"/>
    <w:rsid w:val="00550F3D"/>
    <w:rsid w:val="00557A88"/>
    <w:rsid w:val="0059107C"/>
    <w:rsid w:val="00597CD8"/>
    <w:rsid w:val="005A0612"/>
    <w:rsid w:val="005B7320"/>
    <w:rsid w:val="005B757F"/>
    <w:rsid w:val="005C01A8"/>
    <w:rsid w:val="005C700E"/>
    <w:rsid w:val="005D5D53"/>
    <w:rsid w:val="005E020F"/>
    <w:rsid w:val="005E43BC"/>
    <w:rsid w:val="005F0F8E"/>
    <w:rsid w:val="00620A77"/>
    <w:rsid w:val="006339B8"/>
    <w:rsid w:val="00681621"/>
    <w:rsid w:val="006A0A6E"/>
    <w:rsid w:val="00737102"/>
    <w:rsid w:val="00762BF4"/>
    <w:rsid w:val="007D1297"/>
    <w:rsid w:val="007D5DFB"/>
    <w:rsid w:val="00801918"/>
    <w:rsid w:val="00810896"/>
    <w:rsid w:val="008217C4"/>
    <w:rsid w:val="0084154B"/>
    <w:rsid w:val="008439DE"/>
    <w:rsid w:val="00844E0E"/>
    <w:rsid w:val="00855093"/>
    <w:rsid w:val="00863A57"/>
    <w:rsid w:val="00865134"/>
    <w:rsid w:val="008A7A9E"/>
    <w:rsid w:val="008F3A78"/>
    <w:rsid w:val="00915A2E"/>
    <w:rsid w:val="00935878"/>
    <w:rsid w:val="00940019"/>
    <w:rsid w:val="00964C7F"/>
    <w:rsid w:val="0097079B"/>
    <w:rsid w:val="009976E4"/>
    <w:rsid w:val="009A1EBD"/>
    <w:rsid w:val="009A6235"/>
    <w:rsid w:val="009C2511"/>
    <w:rsid w:val="009E18CE"/>
    <w:rsid w:val="00A25222"/>
    <w:rsid w:val="00A307C9"/>
    <w:rsid w:val="00A36DA2"/>
    <w:rsid w:val="00A50602"/>
    <w:rsid w:val="00A50865"/>
    <w:rsid w:val="00A5401F"/>
    <w:rsid w:val="00A5442B"/>
    <w:rsid w:val="00A607B5"/>
    <w:rsid w:val="00A661C7"/>
    <w:rsid w:val="00A975C3"/>
    <w:rsid w:val="00AC026C"/>
    <w:rsid w:val="00AF195E"/>
    <w:rsid w:val="00AF1DDF"/>
    <w:rsid w:val="00B01B42"/>
    <w:rsid w:val="00B16949"/>
    <w:rsid w:val="00B247C0"/>
    <w:rsid w:val="00B42136"/>
    <w:rsid w:val="00B73383"/>
    <w:rsid w:val="00B81F4A"/>
    <w:rsid w:val="00B82B08"/>
    <w:rsid w:val="00BB6AC6"/>
    <w:rsid w:val="00BB6BAD"/>
    <w:rsid w:val="00BD460A"/>
    <w:rsid w:val="00BE08EB"/>
    <w:rsid w:val="00C13DDB"/>
    <w:rsid w:val="00C3007D"/>
    <w:rsid w:val="00C4022A"/>
    <w:rsid w:val="00C40E3B"/>
    <w:rsid w:val="00CC578F"/>
    <w:rsid w:val="00CE2927"/>
    <w:rsid w:val="00CE755A"/>
    <w:rsid w:val="00CF333A"/>
    <w:rsid w:val="00D02DCE"/>
    <w:rsid w:val="00D07F97"/>
    <w:rsid w:val="00D15FB4"/>
    <w:rsid w:val="00D84D32"/>
    <w:rsid w:val="00DA3A39"/>
    <w:rsid w:val="00DE249D"/>
    <w:rsid w:val="00DE5786"/>
    <w:rsid w:val="00E04484"/>
    <w:rsid w:val="00E166CD"/>
    <w:rsid w:val="00E2434E"/>
    <w:rsid w:val="00E352FC"/>
    <w:rsid w:val="00E440AC"/>
    <w:rsid w:val="00E54B72"/>
    <w:rsid w:val="00E81B58"/>
    <w:rsid w:val="00E8796C"/>
    <w:rsid w:val="00E96A31"/>
    <w:rsid w:val="00E97F4F"/>
    <w:rsid w:val="00EB6B6A"/>
    <w:rsid w:val="00ED3A5D"/>
    <w:rsid w:val="00EE7A6C"/>
    <w:rsid w:val="00F24E11"/>
    <w:rsid w:val="00F62B97"/>
    <w:rsid w:val="00FB6D16"/>
    <w:rsid w:val="00FD3E31"/>
    <w:rsid w:val="00FF1DA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F8E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5C3"/>
    <w:pPr>
      <w:spacing w:before="240" w:after="240" w:line="480" w:lineRule="auto"/>
    </w:pPr>
    <w:rPr>
      <w:rFonts w:ascii="Times New Roman" w:eastAsia="Times New Roman" w:hAnsi="Times New Roman"/>
      <w:color w:val="000000"/>
      <w:kern w:val="0"/>
      <w:szCs w:val="22"/>
      <w:lang w:val="en-US"/>
      <w14:ligatures w14:val="none"/>
    </w:rPr>
  </w:style>
  <w:style w:type="paragraph" w:styleId="Heading1">
    <w:name w:val="heading 1"/>
    <w:basedOn w:val="Normal"/>
    <w:next w:val="Normal"/>
    <w:link w:val="Heading1Char"/>
    <w:uiPriority w:val="9"/>
    <w:qFormat/>
    <w:rsid w:val="00F62B9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F62B9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661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61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1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1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1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1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1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B97"/>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F62B97"/>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rsid w:val="00A661C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A661C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661C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661C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61C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661C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61C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661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1C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61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1C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61C7"/>
    <w:pPr>
      <w:spacing w:before="160"/>
      <w:jc w:val="center"/>
    </w:pPr>
    <w:rPr>
      <w:i/>
      <w:iCs/>
      <w:color w:val="404040" w:themeColor="text1" w:themeTint="BF"/>
    </w:rPr>
  </w:style>
  <w:style w:type="character" w:customStyle="1" w:styleId="QuoteChar">
    <w:name w:val="Quote Char"/>
    <w:basedOn w:val="DefaultParagraphFont"/>
    <w:link w:val="Quote"/>
    <w:uiPriority w:val="29"/>
    <w:rsid w:val="00A661C7"/>
    <w:rPr>
      <w:i/>
      <w:iCs/>
      <w:color w:val="404040" w:themeColor="text1" w:themeTint="BF"/>
      <w:lang w:val="en-GB"/>
    </w:rPr>
  </w:style>
  <w:style w:type="paragraph" w:styleId="ListParagraph">
    <w:name w:val="List Paragraph"/>
    <w:basedOn w:val="Normal"/>
    <w:uiPriority w:val="34"/>
    <w:qFormat/>
    <w:rsid w:val="00A661C7"/>
    <w:pPr>
      <w:ind w:left="720"/>
      <w:contextualSpacing/>
    </w:pPr>
  </w:style>
  <w:style w:type="character" w:styleId="IntenseEmphasis">
    <w:name w:val="Intense Emphasis"/>
    <w:basedOn w:val="DefaultParagraphFont"/>
    <w:uiPriority w:val="21"/>
    <w:qFormat/>
    <w:rsid w:val="00A661C7"/>
    <w:rPr>
      <w:i/>
      <w:iCs/>
      <w:color w:val="0F4761" w:themeColor="accent1" w:themeShade="BF"/>
    </w:rPr>
  </w:style>
  <w:style w:type="paragraph" w:styleId="IntenseQuote">
    <w:name w:val="Intense Quote"/>
    <w:basedOn w:val="Normal"/>
    <w:next w:val="Normal"/>
    <w:link w:val="IntenseQuoteChar"/>
    <w:uiPriority w:val="30"/>
    <w:qFormat/>
    <w:rsid w:val="00A661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1C7"/>
    <w:rPr>
      <w:i/>
      <w:iCs/>
      <w:color w:val="0F4761" w:themeColor="accent1" w:themeShade="BF"/>
      <w:lang w:val="en-GB"/>
    </w:rPr>
  </w:style>
  <w:style w:type="character" w:styleId="IntenseReference">
    <w:name w:val="Intense Reference"/>
    <w:basedOn w:val="DefaultParagraphFont"/>
    <w:uiPriority w:val="32"/>
    <w:qFormat/>
    <w:rsid w:val="00A661C7"/>
    <w:rPr>
      <w:b/>
      <w:bCs/>
      <w:smallCaps/>
      <w:color w:val="0F4761" w:themeColor="accent1" w:themeShade="BF"/>
      <w:spacing w:val="5"/>
    </w:rPr>
  </w:style>
  <w:style w:type="paragraph" w:styleId="Header">
    <w:name w:val="header"/>
    <w:basedOn w:val="Normal"/>
    <w:link w:val="HeaderChar"/>
    <w:uiPriority w:val="99"/>
    <w:unhideWhenUsed/>
    <w:rsid w:val="001A6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B26"/>
    <w:rPr>
      <w:lang w:val="en-GB"/>
    </w:rPr>
  </w:style>
  <w:style w:type="paragraph" w:styleId="Footer">
    <w:name w:val="footer"/>
    <w:basedOn w:val="Normal"/>
    <w:link w:val="FooterChar"/>
    <w:uiPriority w:val="99"/>
    <w:unhideWhenUsed/>
    <w:rsid w:val="001A6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B26"/>
    <w:rPr>
      <w:lang w:val="en-GB"/>
    </w:rPr>
  </w:style>
  <w:style w:type="character" w:styleId="Hyperlink">
    <w:name w:val="Hyperlink"/>
    <w:basedOn w:val="DefaultParagraphFont"/>
    <w:uiPriority w:val="99"/>
    <w:unhideWhenUsed/>
    <w:rsid w:val="00915A2E"/>
    <w:rPr>
      <w:color w:val="467886" w:themeColor="hyperlink"/>
      <w:u w:val="single"/>
    </w:rPr>
  </w:style>
  <w:style w:type="character" w:styleId="UnresolvedMention">
    <w:name w:val="Unresolved Mention"/>
    <w:basedOn w:val="DefaultParagraphFont"/>
    <w:uiPriority w:val="99"/>
    <w:semiHidden/>
    <w:unhideWhenUsed/>
    <w:rsid w:val="00915A2E"/>
    <w:rPr>
      <w:color w:val="605E5C"/>
      <w:shd w:val="clear" w:color="auto" w:fill="E1DFDD"/>
    </w:rPr>
  </w:style>
  <w:style w:type="table" w:styleId="TableGrid">
    <w:name w:val="Table Grid"/>
    <w:basedOn w:val="TableNormal"/>
    <w:uiPriority w:val="39"/>
    <w:rsid w:val="001B56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B7320"/>
    <w:pPr>
      <w:spacing w:before="240" w:after="0" w:line="259" w:lineRule="auto"/>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5B7320"/>
    <w:pPr>
      <w:spacing w:after="100"/>
    </w:pPr>
  </w:style>
  <w:style w:type="paragraph" w:styleId="TOC2">
    <w:name w:val="toc 2"/>
    <w:basedOn w:val="Normal"/>
    <w:next w:val="Normal"/>
    <w:autoRedefine/>
    <w:uiPriority w:val="39"/>
    <w:unhideWhenUsed/>
    <w:rsid w:val="005B7320"/>
    <w:pPr>
      <w:spacing w:after="100"/>
      <w:ind w:left="240"/>
    </w:pPr>
  </w:style>
  <w:style w:type="character" w:styleId="FollowedHyperlink">
    <w:name w:val="FollowedHyperlink"/>
    <w:basedOn w:val="DefaultParagraphFont"/>
    <w:uiPriority w:val="99"/>
    <w:semiHidden/>
    <w:unhideWhenUsed/>
    <w:rsid w:val="00324FD5"/>
    <w:rPr>
      <w:color w:val="96607D" w:themeColor="followedHyperlink"/>
      <w:u w:val="single"/>
    </w:rPr>
  </w:style>
  <w:style w:type="paragraph" w:styleId="Caption">
    <w:name w:val="caption"/>
    <w:basedOn w:val="Normal"/>
    <w:next w:val="Normal"/>
    <w:uiPriority w:val="35"/>
    <w:unhideWhenUsed/>
    <w:qFormat/>
    <w:rsid w:val="00324FD5"/>
    <w:pPr>
      <w:spacing w:before="0" w:after="200" w:line="240" w:lineRule="auto"/>
    </w:pPr>
    <w:rPr>
      <w:i/>
      <w:iCs/>
      <w:color w:val="0E2841" w:themeColor="text2"/>
      <w:sz w:val="18"/>
      <w:szCs w:val="18"/>
    </w:rPr>
  </w:style>
  <w:style w:type="character" w:styleId="SubtleEmphasis">
    <w:name w:val="Subtle Emphasis"/>
    <w:basedOn w:val="DefaultParagraphFont"/>
    <w:uiPriority w:val="19"/>
    <w:qFormat/>
    <w:rsid w:val="003D2362"/>
    <w:rPr>
      <w:i/>
      <w:iCs/>
      <w:color w:val="404040" w:themeColor="text1" w:themeTint="BF"/>
    </w:rPr>
  </w:style>
  <w:style w:type="paragraph" w:styleId="NoSpacing">
    <w:name w:val="No Spacing"/>
    <w:uiPriority w:val="1"/>
    <w:qFormat/>
    <w:rsid w:val="003D2362"/>
    <w:pPr>
      <w:spacing w:after="0" w:line="240" w:lineRule="auto"/>
    </w:pPr>
    <w:rPr>
      <w:rFonts w:ascii="Times New Roman" w:eastAsia="Times New Roman" w:hAnsi="Times New Roman"/>
      <w:color w:val="000000"/>
      <w:kern w:val="0"/>
      <w:szCs w:val="22"/>
      <w:lang w:val="en-US"/>
      <w14:ligatures w14:val="none"/>
    </w:rPr>
  </w:style>
  <w:style w:type="table" w:styleId="GridTable5Dark-Accent6">
    <w:name w:val="Grid Table 5 Dark Accent 6"/>
    <w:basedOn w:val="TableNormal"/>
    <w:uiPriority w:val="50"/>
    <w:rsid w:val="004A236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76-021-09619-6" TargetMode="External"/><Relationship Id="rId18" Type="http://schemas.openxmlformats.org/officeDocument/2006/relationships/hyperlink" Target="https://doi.org/10.1371/journal.pone.0281823" TargetMode="External"/><Relationship Id="rId26" Type="http://schemas.openxmlformats.org/officeDocument/2006/relationships/hyperlink" Target="https://doi.org/10.1093/oso/9780197692554.003.0016" TargetMode="External"/><Relationship Id="rId3" Type="http://schemas.openxmlformats.org/officeDocument/2006/relationships/settings" Target="settings.xml"/><Relationship Id="rId21" Type="http://schemas.openxmlformats.org/officeDocument/2006/relationships/hyperlink" Target="https://doi.org/10.1007/s10796-022-10308-y"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3389/fpsyg.2024.1376399" TargetMode="External"/><Relationship Id="rId17" Type="http://schemas.openxmlformats.org/officeDocument/2006/relationships/hyperlink" Target="https://doi.org/10.1108/SHR-12-2024-0101" TargetMode="External"/><Relationship Id="rId25" Type="http://schemas.openxmlformats.org/officeDocument/2006/relationships/hyperlink" Target="https://doi.org/10.4102/sajhrm.v23i0.2856"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23311975.2024.2337957" TargetMode="External"/><Relationship Id="rId20" Type="http://schemas.openxmlformats.org/officeDocument/2006/relationships/hyperlink" Target="https://doi.org/10.1016/j.heliyon.2023.e23903" TargetMode="External"/><Relationship Id="rId29" Type="http://schemas.openxmlformats.org/officeDocument/2006/relationships/hyperlink" Target="https://doi.org/10.1177/0149206322114004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57/s41599-024-03990-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eloitte.com/us/en/insights/topics/talent/organizational-skill-based-hiring.html" TargetMode="External"/><Relationship Id="rId23" Type="http://schemas.openxmlformats.org/officeDocument/2006/relationships/hyperlink" Target="https://doi.org/10.1007/s12124-022-09737-w" TargetMode="External"/><Relationship Id="rId28" Type="http://schemas.openxmlformats.org/officeDocument/2006/relationships/hyperlink" Target="https://doi.org/10.3390/bs12020049" TargetMode="External"/><Relationship Id="rId10" Type="http://schemas.openxmlformats.org/officeDocument/2006/relationships/image" Target="media/image4.png"/><Relationship Id="rId19" Type="http://schemas.openxmlformats.org/officeDocument/2006/relationships/hyperlink" Target="https://www.ilr.cornell.edu/sites/default/files-d8/2024-12/cahrs-hrbp-cahrscast-december-2024.pdf" TargetMode="External"/><Relationship Id="rId31" Type="http://schemas.openxmlformats.org/officeDocument/2006/relationships/hyperlink" Target="https://reports.weforum.org/docs/WEF_Future_of_Jobs_Report_2025.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2/joe.22295" TargetMode="External"/><Relationship Id="rId22" Type="http://schemas.openxmlformats.org/officeDocument/2006/relationships/hyperlink" Target="https://www.oecd.org/content/dam/oecd/en/publications/reports/2025/06/empowering-the-workforce-in-the-context-of-a-skills-first-approach_0e3be363/345b6528-en.pdf" TargetMode="External"/><Relationship Id="rId27" Type="http://schemas.openxmlformats.org/officeDocument/2006/relationships/hyperlink" Target="https://doi.org/10.3390/ijerph192315527" TargetMode="External"/><Relationship Id="rId30" Type="http://schemas.openxmlformats.org/officeDocument/2006/relationships/hyperlink" Target="https://www3.weforum.org/docs/WEF_IBC_Measuring_Stakeholder_Capitalism_Report_2020.pdf"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BDAC4-0430-4EDD-AEB1-BFD3F4623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3468</Words>
  <Characters>21242</Characters>
  <Application>Microsoft Office Word</Application>
  <DocSecurity>0</DocSecurity>
  <Lines>354</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2026-06-25T17:46:00Z</dcterms:created>
  <dcterms:modified xsi:type="dcterms:W3CDTF">2026-06-25T17:46:00Z</dcterms:modified>
  <cp:category/>
</cp:coreProperties>
</file>