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48352" w14:textId="6165B8F5" w:rsidR="002354BB" w:rsidRPr="002354BB" w:rsidRDefault="002354BB" w:rsidP="002354BB">
      <w:pPr>
        <w:rPr>
          <w:b/>
          <w:bCs/>
        </w:rPr>
      </w:pPr>
      <w:r w:rsidRPr="002354BB">
        <w:rPr>
          <w:b/>
          <w:bCs/>
        </w:rPr>
        <w:t xml:space="preserve">Assessment Rubric for </w:t>
      </w:r>
      <w:r w:rsidR="001051BF">
        <w:rPr>
          <w:b/>
          <w:bCs/>
        </w:rPr>
        <w:t>Data Warehousing &amp; Data Mining Assessment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8"/>
        <w:gridCol w:w="1744"/>
        <w:gridCol w:w="1837"/>
        <w:gridCol w:w="1787"/>
        <w:gridCol w:w="1840"/>
        <w:gridCol w:w="1793"/>
        <w:gridCol w:w="1971"/>
        <w:gridCol w:w="1958"/>
      </w:tblGrid>
      <w:tr w:rsidR="0071210D" w:rsidRPr="001051BF" w14:paraId="6A9285DA" w14:textId="77777777" w:rsidTr="001051BF">
        <w:trPr>
          <w:trHeight w:val="792"/>
        </w:trPr>
        <w:tc>
          <w:tcPr>
            <w:tcW w:w="0" w:type="auto"/>
            <w:tcBorders>
              <w:top w:val="nil"/>
              <w:left w:val="nil"/>
              <w:right w:val="nil"/>
            </w:tcBorders>
            <w:vAlign w:val="center"/>
          </w:tcPr>
          <w:p w14:paraId="226E9FE1" w14:textId="6FF8F992" w:rsidR="0071210D" w:rsidRPr="002354BB" w:rsidRDefault="001051BF" w:rsidP="001051BF">
            <w:pPr>
              <w:spacing w:after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051BF">
              <w:rPr>
                <w:rFonts w:ascii="Arial" w:hAnsi="Arial" w:cs="Arial"/>
                <w:b/>
                <w:bCs/>
                <w:sz w:val="28"/>
                <w:szCs w:val="28"/>
              </w:rPr>
              <w:t>STUDENT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right w:val="nil"/>
            </w:tcBorders>
            <w:vAlign w:val="center"/>
          </w:tcPr>
          <w:p w14:paraId="52BFAA75" w14:textId="1A0CE950" w:rsidR="0071210D" w:rsidRPr="002354BB" w:rsidRDefault="00D07FF9" w:rsidP="001051BF">
            <w:pPr>
              <w:spacing w:after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Jonathan Wilcox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vAlign w:val="center"/>
          </w:tcPr>
          <w:p w14:paraId="1DFB1AD4" w14:textId="545F584C" w:rsidR="0071210D" w:rsidRPr="002354BB" w:rsidRDefault="001051BF" w:rsidP="001051BF">
            <w:pPr>
              <w:spacing w:after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051BF">
              <w:rPr>
                <w:rFonts w:ascii="Arial" w:hAnsi="Arial" w:cs="Arial"/>
                <w:b/>
                <w:bCs/>
                <w:sz w:val="28"/>
                <w:szCs w:val="28"/>
              </w:rPr>
              <w:t>GRADE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vAlign w:val="center"/>
          </w:tcPr>
          <w:p w14:paraId="45410611" w14:textId="0B4B34FF" w:rsidR="0071210D" w:rsidRPr="00E72BBD" w:rsidRDefault="002537F2" w:rsidP="001051BF">
            <w:pPr>
              <w:spacing w:after="0"/>
              <w:rPr>
                <w:rFonts w:ascii="Arial" w:hAnsi="Arial" w:cs="Arial"/>
                <w:b/>
                <w:bCs/>
                <w:color w:val="E97132" w:themeColor="accent2"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color w:val="E97132" w:themeColor="accent2"/>
                <w:sz w:val="40"/>
                <w:szCs w:val="40"/>
              </w:rPr>
              <w:t>84%</w:t>
            </w:r>
          </w:p>
        </w:tc>
      </w:tr>
      <w:tr w:rsidR="0071210D" w:rsidRPr="001051BF" w14:paraId="468915D6" w14:textId="77777777" w:rsidTr="001051BF">
        <w:trPr>
          <w:tblHeader/>
        </w:trPr>
        <w:tc>
          <w:tcPr>
            <w:tcW w:w="0" w:type="auto"/>
            <w:shd w:val="clear" w:color="auto" w:fill="E8E8E8" w:themeFill="background2"/>
            <w:vAlign w:val="center"/>
          </w:tcPr>
          <w:p w14:paraId="3EAE37BD" w14:textId="356934A4" w:rsidR="0071210D" w:rsidRP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Criteria</w:t>
            </w: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4D1BC626" w14:textId="2E15F60C" w:rsid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Fail</w:t>
            </w:r>
          </w:p>
          <w:p w14:paraId="3C9D2002" w14:textId="3BB29570" w:rsidR="0071210D" w:rsidRP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(0-29%)</w:t>
            </w:r>
          </w:p>
        </w:tc>
        <w:tc>
          <w:tcPr>
            <w:tcW w:w="0" w:type="auto"/>
            <w:tcBorders>
              <w:right w:val="double" w:sz="4" w:space="0" w:color="auto"/>
            </w:tcBorders>
            <w:shd w:val="clear" w:color="auto" w:fill="E8E8E8" w:themeFill="background2"/>
            <w:vAlign w:val="center"/>
          </w:tcPr>
          <w:p w14:paraId="6194B109" w14:textId="1B8CEB66" w:rsid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Marginal Fail</w:t>
            </w:r>
          </w:p>
          <w:p w14:paraId="72E1B81A" w14:textId="7A77D0DD" w:rsidR="0071210D" w:rsidRP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(30-39%)</w:t>
            </w:r>
          </w:p>
        </w:tc>
        <w:tc>
          <w:tcPr>
            <w:tcW w:w="0" w:type="auto"/>
            <w:tcBorders>
              <w:left w:val="double" w:sz="4" w:space="0" w:color="auto"/>
            </w:tcBorders>
            <w:shd w:val="clear" w:color="auto" w:fill="E8E8E8" w:themeFill="background2"/>
            <w:vAlign w:val="center"/>
          </w:tcPr>
          <w:p w14:paraId="7855370A" w14:textId="082F7503" w:rsid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Satisfactory</w:t>
            </w:r>
          </w:p>
          <w:p w14:paraId="5860B34E" w14:textId="3D8D7F30" w:rsidR="0071210D" w:rsidRP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(40-49%)</w:t>
            </w: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0407B2E8" w14:textId="1FA8961C" w:rsid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Good</w:t>
            </w:r>
          </w:p>
          <w:p w14:paraId="10CBACE7" w14:textId="782D7C55" w:rsidR="0071210D" w:rsidRP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(50-59%)</w:t>
            </w: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2DA95F99" w14:textId="466964C9" w:rsid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Very Good</w:t>
            </w:r>
          </w:p>
          <w:p w14:paraId="70B4CD2B" w14:textId="366722A8" w:rsidR="0071210D" w:rsidRP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(60-69%)</w:t>
            </w: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0B0A36D3" w14:textId="2D8723B7" w:rsid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Excellent</w:t>
            </w:r>
          </w:p>
          <w:p w14:paraId="632FCDC0" w14:textId="55C53EE2" w:rsidR="0071210D" w:rsidRP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(70-84%)</w:t>
            </w: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1047D07D" w14:textId="1F6FCA31" w:rsid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Exceptional</w:t>
            </w:r>
          </w:p>
          <w:p w14:paraId="3BF52494" w14:textId="21E60483" w:rsidR="0071210D" w:rsidRP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(85-100%)</w:t>
            </w:r>
          </w:p>
        </w:tc>
      </w:tr>
      <w:tr w:rsidR="0071210D" w:rsidRPr="001051BF" w14:paraId="097904C8" w14:textId="77777777" w:rsidTr="001051BF">
        <w:trPr>
          <w:trHeight w:val="2767"/>
        </w:trPr>
        <w:tc>
          <w:tcPr>
            <w:tcW w:w="0" w:type="auto"/>
            <w:shd w:val="clear" w:color="auto" w:fill="E8E8E8" w:themeFill="background2"/>
            <w:hideMark/>
          </w:tcPr>
          <w:p w14:paraId="1225E792" w14:textId="7777777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  <w:b/>
                <w:bCs/>
              </w:rPr>
              <w:t>Understanding of OLTP vs Data Warehouse (Task 1, 10%)</w:t>
            </w:r>
          </w:p>
        </w:tc>
        <w:tc>
          <w:tcPr>
            <w:tcW w:w="0" w:type="auto"/>
            <w:hideMark/>
          </w:tcPr>
          <w:p w14:paraId="53318AAE" w14:textId="7777777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Little to no understanding of OLTP or data warehouses. Discussion lacks relevance to the case study.</w:t>
            </w:r>
          </w:p>
        </w:tc>
        <w:tc>
          <w:tcPr>
            <w:tcW w:w="0" w:type="auto"/>
            <w:tcBorders>
              <w:right w:val="double" w:sz="4" w:space="0" w:color="auto"/>
            </w:tcBorders>
            <w:hideMark/>
          </w:tcPr>
          <w:p w14:paraId="2EA2095B" w14:textId="7777777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Minimal understanding of OLTP and data warehouses. Discussion is poorly applied to the case study context.</w:t>
            </w:r>
          </w:p>
        </w:tc>
        <w:tc>
          <w:tcPr>
            <w:tcW w:w="0" w:type="auto"/>
            <w:tcBorders>
              <w:left w:val="double" w:sz="4" w:space="0" w:color="auto"/>
            </w:tcBorders>
            <w:hideMark/>
          </w:tcPr>
          <w:p w14:paraId="194DC13A" w14:textId="7777777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Basic understanding of OLTP vs data warehouses. Some relevance to the case study, but lacking depth or clarity.</w:t>
            </w:r>
          </w:p>
        </w:tc>
        <w:tc>
          <w:tcPr>
            <w:tcW w:w="0" w:type="auto"/>
            <w:hideMark/>
          </w:tcPr>
          <w:p w14:paraId="56FA8764" w14:textId="40CAF6B9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Clear understanding of OLTP vs data warehouses. Discussion is relevant to the case study and demonstrates basic application.</w:t>
            </w:r>
          </w:p>
        </w:tc>
        <w:tc>
          <w:tcPr>
            <w:tcW w:w="0" w:type="auto"/>
            <w:hideMark/>
          </w:tcPr>
          <w:p w14:paraId="6428DF71" w14:textId="08088BE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Strong understanding of OLTP vs data warehouses with detailed and relevant discussion applied to the case study.</w:t>
            </w:r>
          </w:p>
        </w:tc>
        <w:tc>
          <w:tcPr>
            <w:tcW w:w="0" w:type="auto"/>
            <w:hideMark/>
          </w:tcPr>
          <w:p w14:paraId="0F10E345" w14:textId="556456C6" w:rsidR="0071210D" w:rsidRPr="002354BB" w:rsidRDefault="002537F2" w:rsidP="007121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DDA3A8F" wp14:editId="127DAFCB">
                      <wp:simplePos x="0" y="0"/>
                      <wp:positionH relativeFrom="column">
                        <wp:posOffset>44347</wp:posOffset>
                      </wp:positionH>
                      <wp:positionV relativeFrom="paragraph">
                        <wp:posOffset>31573</wp:posOffset>
                      </wp:positionV>
                      <wp:extent cx="1104900" cy="1800225"/>
                      <wp:effectExtent l="19050" t="19050" r="38100" b="47625"/>
                      <wp:wrapNone/>
                      <wp:docPr id="1362584606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04900" cy="1800225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chemeClr val="accent2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34E10DE" id="Oval 1" o:spid="_x0000_s1026" style="position:absolute;margin-left:3.5pt;margin-top:2.5pt;width:87pt;height:14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" filled="f" strokecolor="#e97132 [3205]" strokeweight="4.5pt">
                      <v:stroke joinstyle="miter"/>
                    </v:oval>
                  </w:pict>
                </mc:Fallback>
              </mc:AlternateContent>
            </w:r>
            <w:r w:rsidR="0071210D" w:rsidRPr="002354BB">
              <w:rPr>
                <w:rFonts w:ascii="Arial" w:hAnsi="Arial" w:cs="Arial"/>
              </w:rPr>
              <w:t>Excellent understanding of OLTP vs data warehouses with well-structured and insightful discussion applied to the case study.</w:t>
            </w:r>
          </w:p>
        </w:tc>
        <w:tc>
          <w:tcPr>
            <w:tcW w:w="0" w:type="auto"/>
            <w:hideMark/>
          </w:tcPr>
          <w:p w14:paraId="15EB9327" w14:textId="7777777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Exceptional understanding of OLTP vs data warehouses, demonstrating nuanced insights and innovative application to the case study.</w:t>
            </w:r>
          </w:p>
        </w:tc>
      </w:tr>
      <w:tr w:rsidR="0071210D" w:rsidRPr="001051BF" w14:paraId="7C7F5A11" w14:textId="77777777" w:rsidTr="001051BF">
        <w:trPr>
          <w:trHeight w:val="2524"/>
        </w:trPr>
        <w:tc>
          <w:tcPr>
            <w:tcW w:w="0" w:type="auto"/>
            <w:shd w:val="clear" w:color="auto" w:fill="E8E8E8" w:themeFill="background2"/>
            <w:hideMark/>
          </w:tcPr>
          <w:p w14:paraId="02B91652" w14:textId="7777777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  <w:b/>
                <w:bCs/>
              </w:rPr>
              <w:t>Data Warehouse Architecture and ETL (Task 1, 15%)</w:t>
            </w:r>
          </w:p>
        </w:tc>
        <w:tc>
          <w:tcPr>
            <w:tcW w:w="0" w:type="auto"/>
            <w:hideMark/>
          </w:tcPr>
          <w:p w14:paraId="1199FAF8" w14:textId="67AB03F3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No explanation of data warehouse architecture or ETL process. Diagrams missing or irrelevant.</w:t>
            </w:r>
          </w:p>
        </w:tc>
        <w:tc>
          <w:tcPr>
            <w:tcW w:w="0" w:type="auto"/>
            <w:tcBorders>
              <w:right w:val="double" w:sz="4" w:space="0" w:color="auto"/>
            </w:tcBorders>
            <w:hideMark/>
          </w:tcPr>
          <w:p w14:paraId="5B3DB1E5" w14:textId="7777777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Weak explanation of data warehouse architecture or ETL process. Diagrams are unclear or poorly applied.</w:t>
            </w:r>
          </w:p>
        </w:tc>
        <w:tc>
          <w:tcPr>
            <w:tcW w:w="0" w:type="auto"/>
            <w:tcBorders>
              <w:left w:val="double" w:sz="4" w:space="0" w:color="auto"/>
            </w:tcBorders>
            <w:hideMark/>
          </w:tcPr>
          <w:p w14:paraId="68DE78B4" w14:textId="055A4FDD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Basic explanation of data warehouse architecture and ETL process with relevant but simple diagrams.</w:t>
            </w:r>
          </w:p>
        </w:tc>
        <w:tc>
          <w:tcPr>
            <w:tcW w:w="0" w:type="auto"/>
            <w:hideMark/>
          </w:tcPr>
          <w:p w14:paraId="39C97B6A" w14:textId="34671176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Clear explanation of data warehouse architecture and ETL process, supported by relevant diagrams.</w:t>
            </w:r>
          </w:p>
        </w:tc>
        <w:tc>
          <w:tcPr>
            <w:tcW w:w="0" w:type="auto"/>
            <w:hideMark/>
          </w:tcPr>
          <w:p w14:paraId="01906C2D" w14:textId="54DE12E0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Strong explanation of data warehouse architecture and ETL process with detailed and accurate diagrams.</w:t>
            </w:r>
          </w:p>
        </w:tc>
        <w:tc>
          <w:tcPr>
            <w:tcW w:w="0" w:type="auto"/>
            <w:hideMark/>
          </w:tcPr>
          <w:p w14:paraId="1C92A595" w14:textId="6AD2FF1A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Comprehensive explanation of data warehouse architecture and ETL process with insightful and precise diagrams.</w:t>
            </w:r>
          </w:p>
        </w:tc>
        <w:tc>
          <w:tcPr>
            <w:tcW w:w="0" w:type="auto"/>
            <w:hideMark/>
          </w:tcPr>
          <w:p w14:paraId="40E7178D" w14:textId="26C36216" w:rsidR="0071210D" w:rsidRPr="002354BB" w:rsidRDefault="002537F2" w:rsidP="007121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0DCC5F5" wp14:editId="4ACD76E2">
                      <wp:simplePos x="0" y="0"/>
                      <wp:positionH relativeFrom="column">
                        <wp:posOffset>-570392</wp:posOffset>
                      </wp:positionH>
                      <wp:positionV relativeFrom="paragraph">
                        <wp:posOffset>-4918</wp:posOffset>
                      </wp:positionV>
                      <wp:extent cx="1104900" cy="1571625"/>
                      <wp:effectExtent l="19050" t="19050" r="38100" b="47625"/>
                      <wp:wrapNone/>
                      <wp:docPr id="401620650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04900" cy="1571625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chemeClr val="accent2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2DC11BF" id="Oval 1" o:spid="_x0000_s1026" style="position:absolute;margin-left:-44.9pt;margin-top:-.4pt;width:87pt;height:123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" filled="f" strokecolor="#e97132 [3205]" strokeweight="4.5pt">
                      <v:stroke joinstyle="miter"/>
                    </v:oval>
                  </w:pict>
                </mc:Fallback>
              </mc:AlternateContent>
            </w:r>
            <w:r w:rsidR="0071210D" w:rsidRPr="002354BB">
              <w:rPr>
                <w:rFonts w:ascii="Arial" w:hAnsi="Arial" w:cs="Arial"/>
              </w:rPr>
              <w:t>Exceptional explanation of data warehouse architecture and ETL process with innovative insights and professional-quality diagrams.</w:t>
            </w:r>
          </w:p>
        </w:tc>
      </w:tr>
      <w:tr w:rsidR="0071210D" w:rsidRPr="001051BF" w14:paraId="42D1E2AB" w14:textId="77777777" w:rsidTr="001051BF">
        <w:tc>
          <w:tcPr>
            <w:tcW w:w="0" w:type="auto"/>
            <w:shd w:val="clear" w:color="auto" w:fill="E8E8E8" w:themeFill="background2"/>
            <w:hideMark/>
          </w:tcPr>
          <w:p w14:paraId="3CAF3E9A" w14:textId="7777777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  <w:b/>
                <w:bCs/>
              </w:rPr>
              <w:t>Use of Data Marts (Task 1, 15%)</w:t>
            </w:r>
          </w:p>
        </w:tc>
        <w:tc>
          <w:tcPr>
            <w:tcW w:w="0" w:type="auto"/>
            <w:hideMark/>
          </w:tcPr>
          <w:p w14:paraId="2A0180AC" w14:textId="53DFB668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No explanation of data marts or their relevance to the case study.</w:t>
            </w:r>
          </w:p>
        </w:tc>
        <w:tc>
          <w:tcPr>
            <w:tcW w:w="0" w:type="auto"/>
            <w:tcBorders>
              <w:right w:val="double" w:sz="4" w:space="0" w:color="auto"/>
            </w:tcBorders>
            <w:hideMark/>
          </w:tcPr>
          <w:p w14:paraId="16B22173" w14:textId="0BACF42F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Minimal understanding of data marts. Relevance to the case study is weak or unclear.</w:t>
            </w:r>
          </w:p>
        </w:tc>
        <w:tc>
          <w:tcPr>
            <w:tcW w:w="0" w:type="auto"/>
            <w:tcBorders>
              <w:left w:val="double" w:sz="4" w:space="0" w:color="auto"/>
            </w:tcBorders>
            <w:hideMark/>
          </w:tcPr>
          <w:p w14:paraId="4AB9FFE2" w14:textId="2CD69AB3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Basic explanation of data marts with some relevance to the case study.</w:t>
            </w:r>
          </w:p>
        </w:tc>
        <w:tc>
          <w:tcPr>
            <w:tcW w:w="0" w:type="auto"/>
            <w:hideMark/>
          </w:tcPr>
          <w:p w14:paraId="5C9A6966" w14:textId="7777777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Clear explanation of data marts and their application to the case study.</w:t>
            </w:r>
          </w:p>
        </w:tc>
        <w:tc>
          <w:tcPr>
            <w:tcW w:w="0" w:type="auto"/>
            <w:hideMark/>
          </w:tcPr>
          <w:p w14:paraId="2ACA6844" w14:textId="7777777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Strong explanation of data marts with detailed and relevant application to the case study.</w:t>
            </w:r>
          </w:p>
        </w:tc>
        <w:tc>
          <w:tcPr>
            <w:tcW w:w="0" w:type="auto"/>
            <w:hideMark/>
          </w:tcPr>
          <w:p w14:paraId="320EB5FF" w14:textId="2A2518B2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Excellent explanation of data marts with insightful discussion and clear relevance to the case study.</w:t>
            </w:r>
          </w:p>
        </w:tc>
        <w:tc>
          <w:tcPr>
            <w:tcW w:w="0" w:type="auto"/>
            <w:hideMark/>
          </w:tcPr>
          <w:p w14:paraId="7968C170" w14:textId="48658FB8" w:rsidR="0071210D" w:rsidRPr="002354BB" w:rsidRDefault="002537F2" w:rsidP="007121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ACB7886" wp14:editId="7B33D825">
                      <wp:simplePos x="0" y="0"/>
                      <wp:positionH relativeFrom="column">
                        <wp:posOffset>-549127</wp:posOffset>
                      </wp:positionH>
                      <wp:positionV relativeFrom="paragraph">
                        <wp:posOffset>-12065</wp:posOffset>
                      </wp:positionV>
                      <wp:extent cx="1104900" cy="1485900"/>
                      <wp:effectExtent l="19050" t="19050" r="38100" b="38100"/>
                      <wp:wrapNone/>
                      <wp:docPr id="752242822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04900" cy="1485900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chemeClr val="accent2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60E683B" id="Oval 1" o:spid="_x0000_s1026" style="position:absolute;margin-left:-43.25pt;margin-top:-.95pt;width:87pt;height:117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" filled="f" strokecolor="#e97132 [3205]" strokeweight="4.5pt">
                      <v:stroke joinstyle="miter"/>
                    </v:oval>
                  </w:pict>
                </mc:Fallback>
              </mc:AlternateContent>
            </w:r>
            <w:r w:rsidR="0071210D" w:rsidRPr="002354BB">
              <w:rPr>
                <w:rFonts w:ascii="Arial" w:hAnsi="Arial" w:cs="Arial"/>
              </w:rPr>
              <w:t>Exceptional explanation of data marts, demonstrating innovative and highly relevant application to the case study.</w:t>
            </w:r>
          </w:p>
        </w:tc>
      </w:tr>
      <w:tr w:rsidR="0071210D" w:rsidRPr="001051BF" w14:paraId="78FB9C8F" w14:textId="77777777" w:rsidTr="001051BF">
        <w:tc>
          <w:tcPr>
            <w:tcW w:w="0" w:type="auto"/>
            <w:shd w:val="clear" w:color="auto" w:fill="E8E8E8" w:themeFill="background2"/>
            <w:hideMark/>
          </w:tcPr>
          <w:p w14:paraId="08F19311" w14:textId="7777777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  <w:b/>
                <w:bCs/>
              </w:rPr>
              <w:lastRenderedPageBreak/>
              <w:t>Star Schema and Dimensions (Task 1, 10%)</w:t>
            </w:r>
          </w:p>
        </w:tc>
        <w:tc>
          <w:tcPr>
            <w:tcW w:w="0" w:type="auto"/>
            <w:hideMark/>
          </w:tcPr>
          <w:p w14:paraId="36A39798" w14:textId="175BA2C5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No explanation of star schema or its components. Diagrams missing or irrelevant.</w:t>
            </w:r>
            <w:r w:rsidR="00E72BBD">
              <w:rPr>
                <w:rFonts w:ascii="Arial" w:hAnsi="Arial" w:cs="Arial"/>
                <w:b/>
                <w:bCs/>
                <w:noProof/>
              </w:rPr>
              <w:t xml:space="preserve"> </w:t>
            </w:r>
          </w:p>
        </w:tc>
        <w:tc>
          <w:tcPr>
            <w:tcW w:w="0" w:type="auto"/>
            <w:tcBorders>
              <w:right w:val="double" w:sz="4" w:space="0" w:color="auto"/>
            </w:tcBorders>
            <w:hideMark/>
          </w:tcPr>
          <w:p w14:paraId="3CFB6056" w14:textId="2965AB48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Weak explanation of star schema with minimal understanding of facts and dimensions. Diagrams are unclear or poorly applied.</w:t>
            </w:r>
          </w:p>
        </w:tc>
        <w:tc>
          <w:tcPr>
            <w:tcW w:w="0" w:type="auto"/>
            <w:tcBorders>
              <w:left w:val="double" w:sz="4" w:space="0" w:color="auto"/>
            </w:tcBorders>
            <w:hideMark/>
          </w:tcPr>
          <w:p w14:paraId="12AB8CFA" w14:textId="0F1A3C5A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Basic explanation of star schema and its components with simple but relevant diagrams.</w:t>
            </w:r>
          </w:p>
        </w:tc>
        <w:tc>
          <w:tcPr>
            <w:tcW w:w="0" w:type="auto"/>
            <w:hideMark/>
          </w:tcPr>
          <w:p w14:paraId="5A4BFC1B" w14:textId="7777777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Clear explanation of star schema and its components with appropriate and accurate diagrams.</w:t>
            </w:r>
          </w:p>
        </w:tc>
        <w:tc>
          <w:tcPr>
            <w:tcW w:w="0" w:type="auto"/>
            <w:hideMark/>
          </w:tcPr>
          <w:p w14:paraId="301374DF" w14:textId="5985472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Strong explanation of star schema and its components with detailed and insightful diagrams.</w:t>
            </w:r>
          </w:p>
        </w:tc>
        <w:tc>
          <w:tcPr>
            <w:tcW w:w="0" w:type="auto"/>
            <w:hideMark/>
          </w:tcPr>
          <w:p w14:paraId="7577596A" w14:textId="64AE4395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Comprehensive explanation of star schema and its components with well-structured and precise diagrams.</w:t>
            </w:r>
          </w:p>
        </w:tc>
        <w:tc>
          <w:tcPr>
            <w:tcW w:w="0" w:type="auto"/>
            <w:hideMark/>
          </w:tcPr>
          <w:p w14:paraId="7EAE1F81" w14:textId="31801E95" w:rsidR="0071210D" w:rsidRPr="002354BB" w:rsidRDefault="002537F2" w:rsidP="007121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AE0333F" wp14:editId="78D06BFC">
                      <wp:simplePos x="0" y="0"/>
                      <wp:positionH relativeFrom="column">
                        <wp:posOffset>-598967</wp:posOffset>
                      </wp:positionH>
                      <wp:positionV relativeFrom="paragraph">
                        <wp:posOffset>-7133</wp:posOffset>
                      </wp:positionV>
                      <wp:extent cx="1104900" cy="1638300"/>
                      <wp:effectExtent l="19050" t="19050" r="38100" b="38100"/>
                      <wp:wrapNone/>
                      <wp:docPr id="1226750750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04900" cy="1638300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chemeClr val="accent2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FC57984" id="Oval 1" o:spid="_x0000_s1026" style="position:absolute;margin-left:-47.15pt;margin-top:-.55pt;width:87pt;height:129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" filled="f" strokecolor="#e97132 [3205]" strokeweight="4.5pt">
                      <v:stroke joinstyle="miter"/>
                    </v:oval>
                  </w:pict>
                </mc:Fallback>
              </mc:AlternateContent>
            </w:r>
            <w:r w:rsidR="0071210D" w:rsidRPr="002354BB">
              <w:rPr>
                <w:rFonts w:ascii="Arial" w:hAnsi="Arial" w:cs="Arial"/>
              </w:rPr>
              <w:t>Exceptional explanation of star schema and its components, demonstrating innovative insights and professional-quality diagrams.</w:t>
            </w:r>
          </w:p>
        </w:tc>
      </w:tr>
      <w:tr w:rsidR="0071210D" w:rsidRPr="001051BF" w14:paraId="4CAD2C39" w14:textId="77777777" w:rsidTr="001051BF">
        <w:tc>
          <w:tcPr>
            <w:tcW w:w="0" w:type="auto"/>
            <w:shd w:val="clear" w:color="auto" w:fill="E8E8E8" w:themeFill="background2"/>
            <w:hideMark/>
          </w:tcPr>
          <w:p w14:paraId="67B20E29" w14:textId="7777777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  <w:b/>
                <w:bCs/>
              </w:rPr>
              <w:t>Identification of Sources and Schema (Task 2, 25%)</w:t>
            </w:r>
          </w:p>
        </w:tc>
        <w:tc>
          <w:tcPr>
            <w:tcW w:w="0" w:type="auto"/>
            <w:hideMark/>
          </w:tcPr>
          <w:p w14:paraId="34D6309C" w14:textId="724C0C3A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Sources and schema are incomplete or missing. No connection to case study requirements.</w:t>
            </w:r>
          </w:p>
        </w:tc>
        <w:tc>
          <w:tcPr>
            <w:tcW w:w="0" w:type="auto"/>
            <w:tcBorders>
              <w:right w:val="double" w:sz="4" w:space="0" w:color="auto"/>
            </w:tcBorders>
            <w:hideMark/>
          </w:tcPr>
          <w:p w14:paraId="181391DD" w14:textId="6E184DD4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Limited identification of sources and schema with weak or unclear connection to case study requirements.</w:t>
            </w:r>
          </w:p>
        </w:tc>
        <w:tc>
          <w:tcPr>
            <w:tcW w:w="0" w:type="auto"/>
            <w:tcBorders>
              <w:left w:val="double" w:sz="4" w:space="0" w:color="auto"/>
            </w:tcBorders>
            <w:hideMark/>
          </w:tcPr>
          <w:p w14:paraId="41CF7FCF" w14:textId="7777777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Basic identification of sources and schema with some relevance to the case study.</w:t>
            </w:r>
          </w:p>
        </w:tc>
        <w:tc>
          <w:tcPr>
            <w:tcW w:w="0" w:type="auto"/>
            <w:hideMark/>
          </w:tcPr>
          <w:p w14:paraId="50670EB3" w14:textId="25E9CED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Clear identification of sources and schema, relevant to the case study and demonstrating understanding of requirements.</w:t>
            </w:r>
          </w:p>
        </w:tc>
        <w:tc>
          <w:tcPr>
            <w:tcW w:w="0" w:type="auto"/>
            <w:hideMark/>
          </w:tcPr>
          <w:p w14:paraId="1CABD573" w14:textId="23C9F0F1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Strong identification of sources and schema with detailed and accurate application to the case study.</w:t>
            </w:r>
          </w:p>
        </w:tc>
        <w:tc>
          <w:tcPr>
            <w:tcW w:w="0" w:type="auto"/>
            <w:hideMark/>
          </w:tcPr>
          <w:p w14:paraId="07287040" w14:textId="7E65E484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Excellent identification of sources and schema with insightful and precise application to the case study.</w:t>
            </w:r>
          </w:p>
        </w:tc>
        <w:tc>
          <w:tcPr>
            <w:tcW w:w="0" w:type="auto"/>
            <w:hideMark/>
          </w:tcPr>
          <w:p w14:paraId="35670810" w14:textId="25FC854E" w:rsidR="0071210D" w:rsidRPr="002354BB" w:rsidRDefault="002537F2" w:rsidP="007121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E57F476" wp14:editId="09D3A511">
                      <wp:simplePos x="0" y="0"/>
                      <wp:positionH relativeFrom="column">
                        <wp:posOffset>-568709</wp:posOffset>
                      </wp:positionH>
                      <wp:positionV relativeFrom="paragraph">
                        <wp:posOffset>-6808</wp:posOffset>
                      </wp:positionV>
                      <wp:extent cx="1104900" cy="1657350"/>
                      <wp:effectExtent l="19050" t="19050" r="38100" b="38100"/>
                      <wp:wrapNone/>
                      <wp:docPr id="2097728658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04900" cy="1657350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chemeClr val="accent2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8202D3B" id="Oval 1" o:spid="_x0000_s1026" style="position:absolute;margin-left:-44.8pt;margin-top:-.55pt;width:87pt;height:130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" filled="f" strokecolor="#e97132 [3205]" strokeweight="4.5pt">
                      <v:stroke joinstyle="miter"/>
                    </v:oval>
                  </w:pict>
                </mc:Fallback>
              </mc:AlternateContent>
            </w:r>
            <w:r w:rsidR="0071210D" w:rsidRPr="002354BB">
              <w:rPr>
                <w:rFonts w:ascii="Arial" w:hAnsi="Arial" w:cs="Arial"/>
              </w:rPr>
              <w:t>Exceptional identification of sources and schema, demonstrating innovative and highly relevant application to the case study.</w:t>
            </w:r>
          </w:p>
        </w:tc>
      </w:tr>
      <w:tr w:rsidR="0071210D" w:rsidRPr="001051BF" w14:paraId="6268D520" w14:textId="77777777" w:rsidTr="001051BF">
        <w:tc>
          <w:tcPr>
            <w:tcW w:w="0" w:type="auto"/>
            <w:shd w:val="clear" w:color="auto" w:fill="E8E8E8" w:themeFill="background2"/>
            <w:hideMark/>
          </w:tcPr>
          <w:p w14:paraId="2A865B74" w14:textId="7777777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  <w:b/>
                <w:bCs/>
              </w:rPr>
              <w:t>ETL Plan and Data Governance (Task 2, 25%)</w:t>
            </w:r>
          </w:p>
        </w:tc>
        <w:tc>
          <w:tcPr>
            <w:tcW w:w="0" w:type="auto"/>
            <w:hideMark/>
          </w:tcPr>
          <w:p w14:paraId="7F6F3552" w14:textId="434CE426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ETL plan and governance issues are incomplete or missing. No relevance to case study.</w:t>
            </w:r>
          </w:p>
        </w:tc>
        <w:tc>
          <w:tcPr>
            <w:tcW w:w="0" w:type="auto"/>
            <w:tcBorders>
              <w:right w:val="double" w:sz="4" w:space="0" w:color="auto"/>
            </w:tcBorders>
            <w:hideMark/>
          </w:tcPr>
          <w:p w14:paraId="685D963A" w14:textId="7777777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Minimal ETL plan with limited discussion of governance issues. Weak relevance to the case study.</w:t>
            </w:r>
          </w:p>
        </w:tc>
        <w:tc>
          <w:tcPr>
            <w:tcW w:w="0" w:type="auto"/>
            <w:tcBorders>
              <w:left w:val="double" w:sz="4" w:space="0" w:color="auto"/>
            </w:tcBorders>
            <w:hideMark/>
          </w:tcPr>
          <w:p w14:paraId="6959309E" w14:textId="4186ECDE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Basic ETL plan with some discussion of governance issues. Relevance to the case study is clear but lacks depth.</w:t>
            </w:r>
          </w:p>
        </w:tc>
        <w:tc>
          <w:tcPr>
            <w:tcW w:w="0" w:type="auto"/>
            <w:hideMark/>
          </w:tcPr>
          <w:p w14:paraId="1DAB1FC7" w14:textId="7777777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Clear ETL plan with relevant discussion of governance issues. Demonstrates understanding of case study requirements.</w:t>
            </w:r>
          </w:p>
        </w:tc>
        <w:tc>
          <w:tcPr>
            <w:tcW w:w="0" w:type="auto"/>
            <w:hideMark/>
          </w:tcPr>
          <w:p w14:paraId="48EECADE" w14:textId="00A09125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Strong ETL plan with detailed and relevant discussion of governance issues.</w:t>
            </w:r>
          </w:p>
        </w:tc>
        <w:tc>
          <w:tcPr>
            <w:tcW w:w="0" w:type="auto"/>
            <w:hideMark/>
          </w:tcPr>
          <w:p w14:paraId="0BE97B9F" w14:textId="7777777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Excellent ETL plan with insightful and precise discussion of governance issues.</w:t>
            </w:r>
          </w:p>
        </w:tc>
        <w:tc>
          <w:tcPr>
            <w:tcW w:w="0" w:type="auto"/>
            <w:hideMark/>
          </w:tcPr>
          <w:p w14:paraId="1738357E" w14:textId="77D95D65" w:rsidR="0071210D" w:rsidRPr="002354BB" w:rsidRDefault="002537F2" w:rsidP="007121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6EAB382" wp14:editId="2D1D06BB">
                      <wp:simplePos x="0" y="0"/>
                      <wp:positionH relativeFrom="column">
                        <wp:posOffset>-593873</wp:posOffset>
                      </wp:positionH>
                      <wp:positionV relativeFrom="paragraph">
                        <wp:posOffset>-5715</wp:posOffset>
                      </wp:positionV>
                      <wp:extent cx="1104900" cy="1638300"/>
                      <wp:effectExtent l="19050" t="19050" r="38100" b="38100"/>
                      <wp:wrapNone/>
                      <wp:docPr id="1815228003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04900" cy="1638300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chemeClr val="accent2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96C9C21" id="Oval 1" o:spid="_x0000_s1026" style="position:absolute;margin-left:-46.75pt;margin-top:-.45pt;width:87pt;height:129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" filled="f" strokecolor="#e97132 [3205]" strokeweight="4.5pt">
                      <v:stroke joinstyle="miter"/>
                    </v:oval>
                  </w:pict>
                </mc:Fallback>
              </mc:AlternateContent>
            </w:r>
            <w:r w:rsidR="0071210D" w:rsidRPr="002354BB">
              <w:rPr>
                <w:rFonts w:ascii="Arial" w:hAnsi="Arial" w:cs="Arial"/>
              </w:rPr>
              <w:t>Exceptional ETL plan with innovative insights and comprehensive discussion of governance issues, highly relevant to the case study.</w:t>
            </w:r>
          </w:p>
        </w:tc>
      </w:tr>
    </w:tbl>
    <w:p w14:paraId="1AECA053" w14:textId="6B6C0167" w:rsidR="0071210D" w:rsidRDefault="0071210D">
      <w:pPr>
        <w:rPr>
          <w:b/>
          <w:bCs/>
          <w:u w:val="single"/>
        </w:rPr>
      </w:pPr>
      <w:r w:rsidRPr="001A503B">
        <w:rPr>
          <w:b/>
          <w:bCs/>
          <w:u w:val="single"/>
        </w:rPr>
        <w:t>Comments</w:t>
      </w:r>
    </w:p>
    <w:p w14:paraId="481ACDFD" w14:textId="72D5C968" w:rsidR="001A503B" w:rsidRPr="001A503B" w:rsidRDefault="002537F2" w:rsidP="001A503B">
      <w:pPr>
        <w:spacing w:after="0"/>
      </w:pPr>
      <w:r>
        <w:t>Excellent diagrams with very strong explanations. Excellent work overall.</w:t>
      </w:r>
    </w:p>
    <w:sectPr w:rsidR="001A503B" w:rsidRPr="001A503B" w:rsidSect="0071210D">
      <w:pgSz w:w="16838" w:h="11906" w:orient="landscape"/>
      <w:pgMar w:top="851" w:right="1080" w:bottom="70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4BB"/>
    <w:rsid w:val="001051BF"/>
    <w:rsid w:val="001A503B"/>
    <w:rsid w:val="002354BB"/>
    <w:rsid w:val="002537F2"/>
    <w:rsid w:val="0029723A"/>
    <w:rsid w:val="00331A82"/>
    <w:rsid w:val="0045074A"/>
    <w:rsid w:val="00531C52"/>
    <w:rsid w:val="005B1885"/>
    <w:rsid w:val="00632B1F"/>
    <w:rsid w:val="006F7B3D"/>
    <w:rsid w:val="0071210D"/>
    <w:rsid w:val="0079064B"/>
    <w:rsid w:val="009375B1"/>
    <w:rsid w:val="009621A6"/>
    <w:rsid w:val="009763CD"/>
    <w:rsid w:val="00AF2D2D"/>
    <w:rsid w:val="00B33488"/>
    <w:rsid w:val="00D07FF9"/>
    <w:rsid w:val="00D64D33"/>
    <w:rsid w:val="00E72BBD"/>
    <w:rsid w:val="00F54EBD"/>
    <w:rsid w:val="00F97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45555"/>
  <w15:chartTrackingRefBased/>
  <w15:docId w15:val="{C4DBB0EF-571F-47DD-B212-B430C3C8D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54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54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54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54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54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54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54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54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54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54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54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54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54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54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54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54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54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54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54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54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54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54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54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54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54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54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54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54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54B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26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776</Words>
  <Characters>4130</Characters>
  <Application>Microsoft Office Word</Application>
  <DocSecurity>0</DocSecurity>
  <Lines>295</Lines>
  <Paragraphs>169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 Whitehead</dc:creator>
  <cp:keywords/>
  <dc:description/>
  <cp:lastModifiedBy>Nik Whitehead</cp:lastModifiedBy>
  <cp:revision>3</cp:revision>
  <dcterms:created xsi:type="dcterms:W3CDTF">2026-05-19T15:24:00Z</dcterms:created>
  <dcterms:modified xsi:type="dcterms:W3CDTF">2026-05-29T12:44:00Z</dcterms:modified>
</cp:coreProperties>
</file>