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8D930" w14:textId="77777777" w:rsidR="00B720BE" w:rsidRPr="00342477" w:rsidRDefault="00B720BE" w:rsidP="00B720BE">
      <w:pPr>
        <w:pStyle w:val="Ttulo"/>
        <w:rPr>
          <w:rFonts w:eastAsia="Times New Roman"/>
        </w:rPr>
      </w:pPr>
    </w:p>
    <w:p w14:paraId="4060DA35" w14:textId="77777777" w:rsidR="00B720BE" w:rsidRPr="00342477" w:rsidRDefault="00B720BE" w:rsidP="00B720BE">
      <w:pPr>
        <w:pStyle w:val="Ttulo"/>
        <w:rPr>
          <w:rFonts w:eastAsia="Times New Roman"/>
        </w:rPr>
      </w:pPr>
    </w:p>
    <w:p w14:paraId="5E9FFFF0" w14:textId="77777777" w:rsidR="00B720BE" w:rsidRPr="00342477" w:rsidRDefault="00B720BE" w:rsidP="00B720BE">
      <w:pPr>
        <w:pStyle w:val="Ttulo"/>
        <w:rPr>
          <w:rFonts w:eastAsia="Times New Roman"/>
        </w:rPr>
      </w:pPr>
    </w:p>
    <w:p w14:paraId="3B2A8E7A" w14:textId="77777777" w:rsidR="00B720BE" w:rsidRPr="00342477" w:rsidRDefault="00B720BE" w:rsidP="00B720BE">
      <w:pPr>
        <w:pStyle w:val="Ttulo"/>
        <w:rPr>
          <w:rFonts w:eastAsia="Times New Roman"/>
        </w:rPr>
      </w:pPr>
    </w:p>
    <w:p w14:paraId="6AA8B48F" w14:textId="77777777" w:rsidR="00B720BE" w:rsidRPr="00342477" w:rsidRDefault="00B720BE" w:rsidP="00B720BE">
      <w:pPr>
        <w:pStyle w:val="Ttulo"/>
        <w:rPr>
          <w:rFonts w:eastAsia="Times New Roman"/>
        </w:rPr>
      </w:pPr>
    </w:p>
    <w:p w14:paraId="6523D4C6" w14:textId="77777777" w:rsidR="00B720BE" w:rsidRPr="00342477" w:rsidRDefault="00B720BE" w:rsidP="00B720BE">
      <w:pPr>
        <w:pStyle w:val="Ttulo"/>
        <w:rPr>
          <w:rFonts w:eastAsia="Times New Roman"/>
        </w:rPr>
      </w:pPr>
    </w:p>
    <w:p w14:paraId="2AA68F51" w14:textId="77777777" w:rsidR="00B720BE" w:rsidRPr="00342477" w:rsidRDefault="00B720BE" w:rsidP="00B720BE">
      <w:pPr>
        <w:pStyle w:val="Ttulo"/>
        <w:rPr>
          <w:rFonts w:eastAsia="Times New Roman"/>
        </w:rPr>
      </w:pPr>
    </w:p>
    <w:p w14:paraId="52D4D2AB" w14:textId="77777777" w:rsidR="00B720BE" w:rsidRPr="00342477" w:rsidRDefault="00B720BE" w:rsidP="00B720BE">
      <w:pPr>
        <w:pStyle w:val="Ttulo"/>
        <w:rPr>
          <w:rFonts w:eastAsia="Times New Roman"/>
        </w:rPr>
      </w:pPr>
    </w:p>
    <w:p w14:paraId="49A2C575" w14:textId="77777777" w:rsidR="00B720BE" w:rsidRPr="00342477" w:rsidRDefault="00B720BE" w:rsidP="009914F4">
      <w:pPr>
        <w:pStyle w:val="Ttulo"/>
        <w:jc w:val="left"/>
        <w:rPr>
          <w:rFonts w:eastAsia="Times New Roman"/>
        </w:rPr>
      </w:pPr>
    </w:p>
    <w:p w14:paraId="047E0375" w14:textId="77777777" w:rsidR="009914F4" w:rsidRDefault="0013250A" w:rsidP="009914F4">
      <w:pPr>
        <w:pStyle w:val="Ttulo"/>
        <w:rPr>
          <w:rFonts w:eastAsia="Times New Roman"/>
          <w:sz w:val="32"/>
          <w:szCs w:val="32"/>
        </w:rPr>
      </w:pPr>
      <w:r w:rsidRPr="009914F4">
        <w:rPr>
          <w:rFonts w:eastAsia="Times New Roman"/>
          <w:sz w:val="32"/>
          <w:szCs w:val="32"/>
        </w:rPr>
        <w:t>Community Engagement A2</w:t>
      </w:r>
      <w:r w:rsidR="009914F4" w:rsidRPr="009914F4">
        <w:rPr>
          <w:rFonts w:eastAsia="Times New Roman"/>
          <w:sz w:val="32"/>
          <w:szCs w:val="32"/>
        </w:rPr>
        <w:t xml:space="preserve"> </w:t>
      </w:r>
    </w:p>
    <w:p w14:paraId="71574CD5" w14:textId="77777777" w:rsidR="009914F4" w:rsidRPr="009914F4" w:rsidRDefault="009914F4" w:rsidP="009914F4">
      <w:pPr>
        <w:pStyle w:val="Ttulo"/>
        <w:rPr>
          <w:rFonts w:eastAsia="Times New Roman"/>
          <w:sz w:val="24"/>
          <w:szCs w:val="24"/>
        </w:rPr>
      </w:pPr>
      <w:r w:rsidRPr="009914F4">
        <w:rPr>
          <w:rFonts w:eastAsia="Times New Roman"/>
          <w:sz w:val="24"/>
          <w:szCs w:val="24"/>
        </w:rPr>
        <w:t>Programme: Ba Business Management </w:t>
      </w:r>
    </w:p>
    <w:p w14:paraId="3D2B8376" w14:textId="77777777" w:rsidR="009914F4" w:rsidRPr="009914F4" w:rsidRDefault="009914F4" w:rsidP="009914F4">
      <w:pPr>
        <w:pStyle w:val="Ttulo"/>
        <w:rPr>
          <w:rFonts w:eastAsia="Times New Roman"/>
          <w:sz w:val="24"/>
          <w:szCs w:val="24"/>
        </w:rPr>
      </w:pPr>
      <w:r w:rsidRPr="009914F4">
        <w:rPr>
          <w:rFonts w:eastAsia="Times New Roman"/>
          <w:sz w:val="24"/>
          <w:szCs w:val="24"/>
        </w:rPr>
        <w:t>Module Title: Community Engagement </w:t>
      </w:r>
    </w:p>
    <w:p w14:paraId="495F17EA" w14:textId="77777777" w:rsidR="009914F4" w:rsidRPr="009914F4" w:rsidRDefault="009914F4" w:rsidP="009914F4">
      <w:pPr>
        <w:pStyle w:val="Ttulo"/>
        <w:rPr>
          <w:rFonts w:eastAsia="Times New Roman"/>
          <w:sz w:val="24"/>
          <w:szCs w:val="24"/>
        </w:rPr>
      </w:pPr>
      <w:r w:rsidRPr="009914F4">
        <w:rPr>
          <w:rFonts w:eastAsia="Times New Roman"/>
          <w:sz w:val="24"/>
          <w:szCs w:val="24"/>
        </w:rPr>
        <w:t>Module Code: Lcbb4002</w:t>
      </w:r>
    </w:p>
    <w:p w14:paraId="602541E0" w14:textId="28A2D233" w:rsidR="009914F4" w:rsidRPr="009914F4" w:rsidRDefault="009914F4" w:rsidP="009914F4">
      <w:pPr>
        <w:pStyle w:val="Ttulo"/>
        <w:rPr>
          <w:rFonts w:eastAsia="Times New Roman"/>
          <w:sz w:val="24"/>
          <w:szCs w:val="24"/>
        </w:rPr>
      </w:pPr>
      <w:r w:rsidRPr="009914F4">
        <w:rPr>
          <w:rFonts w:eastAsia="Times New Roman"/>
          <w:sz w:val="24"/>
          <w:szCs w:val="24"/>
        </w:rPr>
        <w:t xml:space="preserve">Assignment Title: Assessment </w:t>
      </w:r>
      <w:r w:rsidR="00BC40C7">
        <w:rPr>
          <w:rFonts w:eastAsia="Times New Roman"/>
          <w:sz w:val="24"/>
          <w:szCs w:val="24"/>
        </w:rPr>
        <w:t>2</w:t>
      </w:r>
      <w:r w:rsidRPr="009914F4">
        <w:rPr>
          <w:rFonts w:eastAsia="Times New Roman"/>
          <w:sz w:val="24"/>
          <w:szCs w:val="24"/>
        </w:rPr>
        <w:t xml:space="preserve"> Community Engagement </w:t>
      </w:r>
    </w:p>
    <w:p w14:paraId="105D0E5D" w14:textId="77777777" w:rsidR="009914F4" w:rsidRPr="009914F4" w:rsidRDefault="009914F4" w:rsidP="009914F4">
      <w:pPr>
        <w:pStyle w:val="Ttulo"/>
        <w:rPr>
          <w:rFonts w:eastAsia="Times New Roman"/>
          <w:sz w:val="24"/>
          <w:szCs w:val="24"/>
        </w:rPr>
      </w:pPr>
      <w:r w:rsidRPr="009914F4">
        <w:rPr>
          <w:rFonts w:eastAsia="Times New Roman"/>
          <w:sz w:val="24"/>
          <w:szCs w:val="24"/>
        </w:rPr>
        <w:t>Student Name: Anca Larisa Costache </w:t>
      </w:r>
    </w:p>
    <w:p w14:paraId="5CFCAD0C" w14:textId="77777777" w:rsidR="00B720BE" w:rsidRPr="009914F4" w:rsidRDefault="009914F4" w:rsidP="009914F4">
      <w:pPr>
        <w:pStyle w:val="Ttulo"/>
        <w:rPr>
          <w:rFonts w:eastAsia="Times New Roman"/>
          <w:sz w:val="24"/>
          <w:szCs w:val="24"/>
        </w:rPr>
      </w:pPr>
      <w:r w:rsidRPr="009914F4">
        <w:rPr>
          <w:rFonts w:eastAsia="Times New Roman"/>
          <w:sz w:val="24"/>
          <w:szCs w:val="24"/>
        </w:rPr>
        <w:t>Student Number:</w:t>
      </w:r>
      <w:r>
        <w:rPr>
          <w:rFonts w:eastAsia="Times New Roman"/>
          <w:sz w:val="24"/>
          <w:szCs w:val="24"/>
        </w:rPr>
        <w:t xml:space="preserve"> </w:t>
      </w:r>
      <w:r w:rsidRPr="009914F4">
        <w:rPr>
          <w:rFonts w:eastAsia="Times New Roman"/>
          <w:sz w:val="24"/>
          <w:szCs w:val="24"/>
        </w:rPr>
        <w:t>2021935</w:t>
      </w:r>
    </w:p>
    <w:p w14:paraId="64878617" w14:textId="77777777" w:rsidR="009914F4" w:rsidRPr="009914F4" w:rsidRDefault="009914F4" w:rsidP="009914F4"/>
    <w:p w14:paraId="3E300D4D" w14:textId="77777777" w:rsidR="009914F4" w:rsidRPr="009914F4" w:rsidRDefault="009914F4" w:rsidP="009914F4"/>
    <w:p w14:paraId="547B20DB" w14:textId="77777777" w:rsidR="00B720BE" w:rsidRPr="00342477" w:rsidRDefault="0013250A" w:rsidP="00B720BE">
      <w:pPr>
        <w:rPr>
          <w:rFonts w:cstheme="majorBidi"/>
          <w:spacing w:val="5"/>
          <w:kern w:val="28"/>
          <w:sz w:val="36"/>
          <w:szCs w:val="52"/>
        </w:rPr>
      </w:pPr>
      <w:r w:rsidRPr="00342477">
        <w:br w:type="page"/>
      </w:r>
    </w:p>
    <w:bookmarkStart w:id="0" w:name="_Toc77700019" w:displacedByCustomXml="next"/>
    <w:sdt>
      <w:sdtPr>
        <w:rPr>
          <w:rFonts w:ascii="Times New Roman" w:eastAsiaTheme="minorHAnsi" w:hAnsi="Times New Roman" w:cstheme="minorBidi"/>
          <w:b w:val="0"/>
          <w:bCs w:val="0"/>
          <w:color w:val="auto"/>
          <w:sz w:val="24"/>
          <w:szCs w:val="22"/>
        </w:rPr>
        <w:id w:val="1588672"/>
        <w:docPartObj>
          <w:docPartGallery w:val="Table of Contents"/>
          <w:docPartUnique/>
        </w:docPartObj>
      </w:sdtPr>
      <w:sdtEndPr/>
      <w:sdtContent>
        <w:p w14:paraId="12A86241" w14:textId="77777777" w:rsidR="008D0E4C" w:rsidRDefault="008D0E4C" w:rsidP="008D0E4C">
          <w:pPr>
            <w:pStyle w:val="TtuloTDC"/>
            <w:jc w:val="center"/>
          </w:pPr>
          <w:r w:rsidRPr="008D0E4C">
            <w:rPr>
              <w:rFonts w:ascii="Times New Roman" w:hAnsi="Times New Roman" w:cs="Times New Roman"/>
              <w:color w:val="auto"/>
              <w:sz w:val="24"/>
              <w:szCs w:val="24"/>
            </w:rPr>
            <w:t>Table of Contents</w:t>
          </w:r>
        </w:p>
        <w:p w14:paraId="60CE1248" w14:textId="77777777" w:rsidR="008D0E4C" w:rsidRDefault="008D0E4C">
          <w:pPr>
            <w:pStyle w:val="TDC1"/>
            <w:tabs>
              <w:tab w:val="right" w:leader="dot" w:pos="9350"/>
            </w:tabs>
            <w:rPr>
              <w:noProof/>
            </w:rPr>
          </w:pPr>
          <w:r>
            <w:fldChar w:fldCharType="begin"/>
          </w:r>
          <w:r>
            <w:instrText xml:space="preserve"> TOC \o "1-3" \h \z \u </w:instrText>
          </w:r>
          <w:r>
            <w:fldChar w:fldCharType="separate"/>
          </w:r>
          <w:hyperlink w:anchor="_Toc78037811" w:history="1">
            <w:r w:rsidRPr="006C13B7">
              <w:rPr>
                <w:rStyle w:val="Hipervnculo"/>
                <w:noProof/>
              </w:rPr>
              <w:t>Introduction:</w:t>
            </w:r>
            <w:r>
              <w:rPr>
                <w:noProof/>
                <w:webHidden/>
              </w:rPr>
              <w:tab/>
            </w:r>
            <w:r>
              <w:rPr>
                <w:noProof/>
                <w:webHidden/>
              </w:rPr>
              <w:fldChar w:fldCharType="begin"/>
            </w:r>
            <w:r>
              <w:rPr>
                <w:noProof/>
                <w:webHidden/>
              </w:rPr>
              <w:instrText xml:space="preserve"> PAGEREF _Toc78037811 \h </w:instrText>
            </w:r>
            <w:r>
              <w:rPr>
                <w:noProof/>
                <w:webHidden/>
              </w:rPr>
            </w:r>
            <w:r>
              <w:rPr>
                <w:noProof/>
                <w:webHidden/>
              </w:rPr>
              <w:fldChar w:fldCharType="separate"/>
            </w:r>
            <w:r>
              <w:rPr>
                <w:noProof/>
                <w:webHidden/>
              </w:rPr>
              <w:t>2</w:t>
            </w:r>
            <w:r>
              <w:rPr>
                <w:noProof/>
                <w:webHidden/>
              </w:rPr>
              <w:fldChar w:fldCharType="end"/>
            </w:r>
          </w:hyperlink>
        </w:p>
        <w:p w14:paraId="5CA0369C" w14:textId="77777777" w:rsidR="008D0E4C" w:rsidRDefault="00BC40C7">
          <w:pPr>
            <w:pStyle w:val="TDC1"/>
            <w:tabs>
              <w:tab w:val="right" w:leader="dot" w:pos="9350"/>
            </w:tabs>
            <w:rPr>
              <w:noProof/>
            </w:rPr>
          </w:pPr>
          <w:hyperlink w:anchor="_Toc78037812" w:history="1">
            <w:r w:rsidR="008D0E4C" w:rsidRPr="006C13B7">
              <w:rPr>
                <w:rStyle w:val="Hipervnculo"/>
                <w:noProof/>
              </w:rPr>
              <w:t>1. Describe the difference between both projects, compare, analyze and evaluate the best practices on their community engagement approaches; Reflect on what they do differently and why?</w:t>
            </w:r>
            <w:r w:rsidR="008D0E4C">
              <w:rPr>
                <w:noProof/>
                <w:webHidden/>
              </w:rPr>
              <w:tab/>
            </w:r>
            <w:r w:rsidR="008D0E4C">
              <w:rPr>
                <w:noProof/>
                <w:webHidden/>
              </w:rPr>
              <w:fldChar w:fldCharType="begin"/>
            </w:r>
            <w:r w:rsidR="008D0E4C">
              <w:rPr>
                <w:noProof/>
                <w:webHidden/>
              </w:rPr>
              <w:instrText xml:space="preserve"> PAGEREF _Toc78037812 \h </w:instrText>
            </w:r>
            <w:r w:rsidR="008D0E4C">
              <w:rPr>
                <w:noProof/>
                <w:webHidden/>
              </w:rPr>
            </w:r>
            <w:r w:rsidR="008D0E4C">
              <w:rPr>
                <w:noProof/>
                <w:webHidden/>
              </w:rPr>
              <w:fldChar w:fldCharType="separate"/>
            </w:r>
            <w:r w:rsidR="008D0E4C">
              <w:rPr>
                <w:noProof/>
                <w:webHidden/>
              </w:rPr>
              <w:t>2</w:t>
            </w:r>
            <w:r w:rsidR="008D0E4C">
              <w:rPr>
                <w:noProof/>
                <w:webHidden/>
              </w:rPr>
              <w:fldChar w:fldCharType="end"/>
            </w:r>
          </w:hyperlink>
        </w:p>
        <w:p w14:paraId="095BF271" w14:textId="77777777" w:rsidR="008D0E4C" w:rsidRDefault="00BC40C7">
          <w:pPr>
            <w:pStyle w:val="TDC1"/>
            <w:tabs>
              <w:tab w:val="right" w:leader="dot" w:pos="9350"/>
            </w:tabs>
            <w:rPr>
              <w:noProof/>
            </w:rPr>
          </w:pPr>
          <w:hyperlink w:anchor="_Toc78037813" w:history="1">
            <w:r w:rsidR="008D0E4C" w:rsidRPr="006C13B7">
              <w:rPr>
                <w:rStyle w:val="Hipervnculo"/>
                <w:noProof/>
              </w:rPr>
              <w:t>2. Discuss what differences effective communication, active stakeholders’ participation, and inclusion can make in community engagement.</w:t>
            </w:r>
            <w:r w:rsidR="008D0E4C">
              <w:rPr>
                <w:noProof/>
                <w:webHidden/>
              </w:rPr>
              <w:tab/>
            </w:r>
            <w:r w:rsidR="008D0E4C">
              <w:rPr>
                <w:noProof/>
                <w:webHidden/>
              </w:rPr>
              <w:fldChar w:fldCharType="begin"/>
            </w:r>
            <w:r w:rsidR="008D0E4C">
              <w:rPr>
                <w:noProof/>
                <w:webHidden/>
              </w:rPr>
              <w:instrText xml:space="preserve"> PAGEREF _Toc78037813 \h </w:instrText>
            </w:r>
            <w:r w:rsidR="008D0E4C">
              <w:rPr>
                <w:noProof/>
                <w:webHidden/>
              </w:rPr>
            </w:r>
            <w:r w:rsidR="008D0E4C">
              <w:rPr>
                <w:noProof/>
                <w:webHidden/>
              </w:rPr>
              <w:fldChar w:fldCharType="separate"/>
            </w:r>
            <w:r w:rsidR="008D0E4C">
              <w:rPr>
                <w:noProof/>
                <w:webHidden/>
              </w:rPr>
              <w:t>4</w:t>
            </w:r>
            <w:r w:rsidR="008D0E4C">
              <w:rPr>
                <w:noProof/>
                <w:webHidden/>
              </w:rPr>
              <w:fldChar w:fldCharType="end"/>
            </w:r>
          </w:hyperlink>
        </w:p>
        <w:p w14:paraId="27707E84" w14:textId="77777777" w:rsidR="008D0E4C" w:rsidRDefault="00BC40C7">
          <w:pPr>
            <w:pStyle w:val="TDC2"/>
            <w:tabs>
              <w:tab w:val="right" w:leader="dot" w:pos="9350"/>
            </w:tabs>
            <w:rPr>
              <w:noProof/>
            </w:rPr>
          </w:pPr>
          <w:hyperlink w:anchor="_Toc78037814" w:history="1">
            <w:r w:rsidR="008D0E4C" w:rsidRPr="006C13B7">
              <w:rPr>
                <w:rStyle w:val="Hipervnculo"/>
                <w:noProof/>
              </w:rPr>
              <w:t>Community mapping</w:t>
            </w:r>
            <w:r w:rsidR="008D0E4C">
              <w:rPr>
                <w:noProof/>
                <w:webHidden/>
              </w:rPr>
              <w:tab/>
            </w:r>
            <w:r w:rsidR="008D0E4C">
              <w:rPr>
                <w:noProof/>
                <w:webHidden/>
              </w:rPr>
              <w:fldChar w:fldCharType="begin"/>
            </w:r>
            <w:r w:rsidR="008D0E4C">
              <w:rPr>
                <w:noProof/>
                <w:webHidden/>
              </w:rPr>
              <w:instrText xml:space="preserve"> PAGEREF _Toc78037814 \h </w:instrText>
            </w:r>
            <w:r w:rsidR="008D0E4C">
              <w:rPr>
                <w:noProof/>
                <w:webHidden/>
              </w:rPr>
            </w:r>
            <w:r w:rsidR="008D0E4C">
              <w:rPr>
                <w:noProof/>
                <w:webHidden/>
              </w:rPr>
              <w:fldChar w:fldCharType="separate"/>
            </w:r>
            <w:r w:rsidR="008D0E4C">
              <w:rPr>
                <w:noProof/>
                <w:webHidden/>
              </w:rPr>
              <w:t>5</w:t>
            </w:r>
            <w:r w:rsidR="008D0E4C">
              <w:rPr>
                <w:noProof/>
                <w:webHidden/>
              </w:rPr>
              <w:fldChar w:fldCharType="end"/>
            </w:r>
          </w:hyperlink>
        </w:p>
        <w:p w14:paraId="21B260E7" w14:textId="77777777" w:rsidR="008D0E4C" w:rsidRDefault="00BC40C7">
          <w:pPr>
            <w:pStyle w:val="TDC2"/>
            <w:tabs>
              <w:tab w:val="right" w:leader="dot" w:pos="9350"/>
            </w:tabs>
            <w:rPr>
              <w:noProof/>
            </w:rPr>
          </w:pPr>
          <w:hyperlink w:anchor="_Toc78037815" w:history="1">
            <w:r w:rsidR="008D0E4C" w:rsidRPr="006C13B7">
              <w:rPr>
                <w:rStyle w:val="Hipervnculo"/>
                <w:noProof/>
              </w:rPr>
              <w:t>Social media engagement</w:t>
            </w:r>
            <w:r w:rsidR="008D0E4C">
              <w:rPr>
                <w:noProof/>
                <w:webHidden/>
              </w:rPr>
              <w:tab/>
            </w:r>
            <w:r w:rsidR="008D0E4C">
              <w:rPr>
                <w:noProof/>
                <w:webHidden/>
              </w:rPr>
              <w:fldChar w:fldCharType="begin"/>
            </w:r>
            <w:r w:rsidR="008D0E4C">
              <w:rPr>
                <w:noProof/>
                <w:webHidden/>
              </w:rPr>
              <w:instrText xml:space="preserve"> PAGEREF _Toc78037815 \h </w:instrText>
            </w:r>
            <w:r w:rsidR="008D0E4C">
              <w:rPr>
                <w:noProof/>
                <w:webHidden/>
              </w:rPr>
            </w:r>
            <w:r w:rsidR="008D0E4C">
              <w:rPr>
                <w:noProof/>
                <w:webHidden/>
              </w:rPr>
              <w:fldChar w:fldCharType="separate"/>
            </w:r>
            <w:r w:rsidR="008D0E4C">
              <w:rPr>
                <w:noProof/>
                <w:webHidden/>
              </w:rPr>
              <w:t>5</w:t>
            </w:r>
            <w:r w:rsidR="008D0E4C">
              <w:rPr>
                <w:noProof/>
                <w:webHidden/>
              </w:rPr>
              <w:fldChar w:fldCharType="end"/>
            </w:r>
          </w:hyperlink>
        </w:p>
        <w:p w14:paraId="533C3451" w14:textId="77777777" w:rsidR="008D0E4C" w:rsidRDefault="00BC40C7">
          <w:pPr>
            <w:pStyle w:val="TDC2"/>
            <w:tabs>
              <w:tab w:val="right" w:leader="dot" w:pos="9350"/>
            </w:tabs>
            <w:rPr>
              <w:noProof/>
            </w:rPr>
          </w:pPr>
          <w:hyperlink w:anchor="_Toc78037816" w:history="1">
            <w:r w:rsidR="008D0E4C" w:rsidRPr="006C13B7">
              <w:rPr>
                <w:rStyle w:val="Hipervnculo"/>
                <w:noProof/>
              </w:rPr>
              <w:t>Impact analysis and conducting research</w:t>
            </w:r>
            <w:r w:rsidR="008D0E4C">
              <w:rPr>
                <w:noProof/>
                <w:webHidden/>
              </w:rPr>
              <w:tab/>
            </w:r>
            <w:r w:rsidR="008D0E4C">
              <w:rPr>
                <w:noProof/>
                <w:webHidden/>
              </w:rPr>
              <w:fldChar w:fldCharType="begin"/>
            </w:r>
            <w:r w:rsidR="008D0E4C">
              <w:rPr>
                <w:noProof/>
                <w:webHidden/>
              </w:rPr>
              <w:instrText xml:space="preserve"> PAGEREF _Toc78037816 \h </w:instrText>
            </w:r>
            <w:r w:rsidR="008D0E4C">
              <w:rPr>
                <w:noProof/>
                <w:webHidden/>
              </w:rPr>
            </w:r>
            <w:r w:rsidR="008D0E4C">
              <w:rPr>
                <w:noProof/>
                <w:webHidden/>
              </w:rPr>
              <w:fldChar w:fldCharType="separate"/>
            </w:r>
            <w:r w:rsidR="008D0E4C">
              <w:rPr>
                <w:noProof/>
                <w:webHidden/>
              </w:rPr>
              <w:t>6</w:t>
            </w:r>
            <w:r w:rsidR="008D0E4C">
              <w:rPr>
                <w:noProof/>
                <w:webHidden/>
              </w:rPr>
              <w:fldChar w:fldCharType="end"/>
            </w:r>
          </w:hyperlink>
        </w:p>
        <w:p w14:paraId="47AFDC52" w14:textId="77777777" w:rsidR="008D0E4C" w:rsidRDefault="00BC40C7">
          <w:pPr>
            <w:pStyle w:val="TDC2"/>
            <w:tabs>
              <w:tab w:val="right" w:leader="dot" w:pos="9350"/>
            </w:tabs>
            <w:rPr>
              <w:noProof/>
            </w:rPr>
          </w:pPr>
          <w:hyperlink w:anchor="_Toc78037817" w:history="1">
            <w:r w:rsidR="008D0E4C" w:rsidRPr="006C13B7">
              <w:rPr>
                <w:rStyle w:val="Hipervnculo"/>
                <w:noProof/>
              </w:rPr>
              <w:t>Evaluation and justify the best practices</w:t>
            </w:r>
            <w:r w:rsidR="008D0E4C">
              <w:rPr>
                <w:noProof/>
                <w:webHidden/>
              </w:rPr>
              <w:tab/>
            </w:r>
            <w:r w:rsidR="008D0E4C">
              <w:rPr>
                <w:noProof/>
                <w:webHidden/>
              </w:rPr>
              <w:fldChar w:fldCharType="begin"/>
            </w:r>
            <w:r w:rsidR="008D0E4C">
              <w:rPr>
                <w:noProof/>
                <w:webHidden/>
              </w:rPr>
              <w:instrText xml:space="preserve"> PAGEREF _Toc78037817 \h </w:instrText>
            </w:r>
            <w:r w:rsidR="008D0E4C">
              <w:rPr>
                <w:noProof/>
                <w:webHidden/>
              </w:rPr>
            </w:r>
            <w:r w:rsidR="008D0E4C">
              <w:rPr>
                <w:noProof/>
                <w:webHidden/>
              </w:rPr>
              <w:fldChar w:fldCharType="separate"/>
            </w:r>
            <w:r w:rsidR="008D0E4C">
              <w:rPr>
                <w:noProof/>
                <w:webHidden/>
              </w:rPr>
              <w:t>6</w:t>
            </w:r>
            <w:r w:rsidR="008D0E4C">
              <w:rPr>
                <w:noProof/>
                <w:webHidden/>
              </w:rPr>
              <w:fldChar w:fldCharType="end"/>
            </w:r>
          </w:hyperlink>
        </w:p>
        <w:p w14:paraId="40A407E9" w14:textId="77777777" w:rsidR="008D0E4C" w:rsidRDefault="00BC40C7">
          <w:pPr>
            <w:pStyle w:val="TDC1"/>
            <w:tabs>
              <w:tab w:val="right" w:leader="dot" w:pos="9350"/>
            </w:tabs>
            <w:rPr>
              <w:noProof/>
            </w:rPr>
          </w:pPr>
          <w:hyperlink w:anchor="_Toc78037818" w:history="1">
            <w:r w:rsidR="008D0E4C" w:rsidRPr="006C13B7">
              <w:rPr>
                <w:rStyle w:val="Hipervnculo"/>
                <w:noProof/>
              </w:rPr>
              <w:t>Conclusion:</w:t>
            </w:r>
            <w:r w:rsidR="008D0E4C">
              <w:rPr>
                <w:noProof/>
                <w:webHidden/>
              </w:rPr>
              <w:tab/>
            </w:r>
            <w:r w:rsidR="008D0E4C">
              <w:rPr>
                <w:noProof/>
                <w:webHidden/>
              </w:rPr>
              <w:fldChar w:fldCharType="begin"/>
            </w:r>
            <w:r w:rsidR="008D0E4C">
              <w:rPr>
                <w:noProof/>
                <w:webHidden/>
              </w:rPr>
              <w:instrText xml:space="preserve"> PAGEREF _Toc78037818 \h </w:instrText>
            </w:r>
            <w:r w:rsidR="008D0E4C">
              <w:rPr>
                <w:noProof/>
                <w:webHidden/>
              </w:rPr>
            </w:r>
            <w:r w:rsidR="008D0E4C">
              <w:rPr>
                <w:noProof/>
                <w:webHidden/>
              </w:rPr>
              <w:fldChar w:fldCharType="separate"/>
            </w:r>
            <w:r w:rsidR="008D0E4C">
              <w:rPr>
                <w:noProof/>
                <w:webHidden/>
              </w:rPr>
              <w:t>6</w:t>
            </w:r>
            <w:r w:rsidR="008D0E4C">
              <w:rPr>
                <w:noProof/>
                <w:webHidden/>
              </w:rPr>
              <w:fldChar w:fldCharType="end"/>
            </w:r>
          </w:hyperlink>
        </w:p>
        <w:p w14:paraId="6FD0527A" w14:textId="77777777" w:rsidR="008D0E4C" w:rsidRDefault="00BC40C7">
          <w:pPr>
            <w:pStyle w:val="TDC1"/>
            <w:tabs>
              <w:tab w:val="right" w:leader="dot" w:pos="9350"/>
            </w:tabs>
            <w:rPr>
              <w:noProof/>
            </w:rPr>
          </w:pPr>
          <w:hyperlink w:anchor="_Toc78037819" w:history="1">
            <w:r w:rsidR="008D0E4C" w:rsidRPr="006C13B7">
              <w:rPr>
                <w:rStyle w:val="Hipervnculo"/>
                <w:noProof/>
                <w:lang w:val="en-GB"/>
              </w:rPr>
              <w:t>References</w:t>
            </w:r>
            <w:r w:rsidR="008D0E4C">
              <w:rPr>
                <w:noProof/>
                <w:webHidden/>
              </w:rPr>
              <w:tab/>
            </w:r>
            <w:r w:rsidR="008D0E4C">
              <w:rPr>
                <w:noProof/>
                <w:webHidden/>
              </w:rPr>
              <w:fldChar w:fldCharType="begin"/>
            </w:r>
            <w:r w:rsidR="008D0E4C">
              <w:rPr>
                <w:noProof/>
                <w:webHidden/>
              </w:rPr>
              <w:instrText xml:space="preserve"> PAGEREF _Toc78037819 \h </w:instrText>
            </w:r>
            <w:r w:rsidR="008D0E4C">
              <w:rPr>
                <w:noProof/>
                <w:webHidden/>
              </w:rPr>
            </w:r>
            <w:r w:rsidR="008D0E4C">
              <w:rPr>
                <w:noProof/>
                <w:webHidden/>
              </w:rPr>
              <w:fldChar w:fldCharType="separate"/>
            </w:r>
            <w:r w:rsidR="008D0E4C">
              <w:rPr>
                <w:noProof/>
                <w:webHidden/>
              </w:rPr>
              <w:t>8</w:t>
            </w:r>
            <w:r w:rsidR="008D0E4C">
              <w:rPr>
                <w:noProof/>
                <w:webHidden/>
              </w:rPr>
              <w:fldChar w:fldCharType="end"/>
            </w:r>
          </w:hyperlink>
        </w:p>
        <w:p w14:paraId="25F9148C" w14:textId="77777777" w:rsidR="008D0E4C" w:rsidRDefault="008D0E4C">
          <w:r>
            <w:fldChar w:fldCharType="end"/>
          </w:r>
        </w:p>
      </w:sdtContent>
    </w:sdt>
    <w:p w14:paraId="5F960D02" w14:textId="77777777" w:rsidR="008D0E4C" w:rsidRDefault="008D0E4C">
      <w:pPr>
        <w:spacing w:line="276" w:lineRule="auto"/>
        <w:rPr>
          <w:rFonts w:eastAsiaTheme="majorEastAsia" w:cstheme="majorBidi"/>
          <w:b/>
          <w:bCs/>
          <w:szCs w:val="24"/>
        </w:rPr>
      </w:pPr>
      <w:r>
        <w:rPr>
          <w:szCs w:val="24"/>
        </w:rPr>
        <w:br w:type="page"/>
      </w:r>
    </w:p>
    <w:p w14:paraId="1A7DF0E0" w14:textId="77777777" w:rsidR="00342477" w:rsidRDefault="0013250A" w:rsidP="00342477">
      <w:pPr>
        <w:pStyle w:val="Ttulo1"/>
        <w:rPr>
          <w:szCs w:val="24"/>
        </w:rPr>
      </w:pPr>
      <w:bookmarkStart w:id="1" w:name="_Toc78037811"/>
      <w:r w:rsidRPr="00342477">
        <w:rPr>
          <w:szCs w:val="24"/>
        </w:rPr>
        <w:lastRenderedPageBreak/>
        <w:t>Introduction:</w:t>
      </w:r>
      <w:bookmarkEnd w:id="1"/>
      <w:bookmarkEnd w:id="0"/>
    </w:p>
    <w:p w14:paraId="6C8E9179" w14:textId="77777777" w:rsidR="00FE73DB" w:rsidRPr="00FE73DB" w:rsidRDefault="0013250A" w:rsidP="00904D75">
      <w:pPr>
        <w:jc w:val="both"/>
      </w:pPr>
      <w:r>
        <w:t>The tactical procedure for community engagement is used to indulge specified groups and locations of people considering</w:t>
      </w:r>
      <w:r w:rsidR="00904D75">
        <w:t xml:space="preserve"> the p</w:t>
      </w:r>
      <w:r>
        <w:t xml:space="preserve">urpose of working for the resolution of </w:t>
      </w:r>
      <w:r w:rsidR="00904D75">
        <w:t>challenges</w:t>
      </w:r>
      <w:r>
        <w:t xml:space="preserve"> </w:t>
      </w:r>
      <w:r w:rsidR="00904D75">
        <w:t>endured</w:t>
      </w:r>
      <w:r>
        <w:t xml:space="preserve">. The community engagement events or projects are developed via </w:t>
      </w:r>
      <w:r w:rsidR="00904D75">
        <w:t>cooperation</w:t>
      </w:r>
      <w:r>
        <w:t xml:space="preserve"> and collaboration with the team of </w:t>
      </w:r>
      <w:r w:rsidR="00904D75">
        <w:t>individuals</w:t>
      </w:r>
      <w:r>
        <w:t xml:space="preserve"> having a universal stake for effective reduction of the issues that tend</w:t>
      </w:r>
      <w:r w:rsidR="00904D75">
        <w:t xml:space="preserve"> </w:t>
      </w:r>
      <w:r>
        <w:t xml:space="preserve">to influence people/community well-being. </w:t>
      </w:r>
      <w:r w:rsidR="00904D75">
        <w:t>Influential</w:t>
      </w:r>
      <w:r>
        <w:t xml:space="preserve"> community programs are concentrated upon art and science associated activities like private and public policy, hea</w:t>
      </w:r>
      <w:r w:rsidR="00904D75">
        <w:t>l</w:t>
      </w:r>
      <w:r>
        <w:t>th and safety psychology cultural as well as social progress. The action and approaches launched within the community programs are stress</w:t>
      </w:r>
      <w:r w:rsidR="00904D75">
        <w:t>e</w:t>
      </w:r>
      <w:r>
        <w:t xml:space="preserve">d upon ensuring radical transformation in the environment or </w:t>
      </w:r>
      <w:r w:rsidR="00904D75">
        <w:t>behavioral</w:t>
      </w:r>
      <w:r>
        <w:t xml:space="preserve"> factors. It is </w:t>
      </w:r>
      <w:r w:rsidR="00904D75">
        <w:t>likely</w:t>
      </w:r>
      <w:r>
        <w:t xml:space="preserve"> to contribute to improvement in health and harmonious living of the comm</w:t>
      </w:r>
      <w:r w:rsidR="00904D75">
        <w:t>un</w:t>
      </w:r>
      <w:r>
        <w:t xml:space="preserve">ity along </w:t>
      </w:r>
      <w:r w:rsidR="00904D75">
        <w:t>w</w:t>
      </w:r>
      <w:r>
        <w:t xml:space="preserve">ith its people. To comprehend the processes, functions, principles, and actions are </w:t>
      </w:r>
      <w:r w:rsidR="00904D75">
        <w:t>performed</w:t>
      </w:r>
      <w:r>
        <w:t xml:space="preserve"> by respective community programs and projects, which the unit has involved for a brief discussion. Within the approach of interpreting the community </w:t>
      </w:r>
      <w:r w:rsidR="00904D75">
        <w:t>management</w:t>
      </w:r>
      <w:r>
        <w:t xml:space="preserve"> working </w:t>
      </w:r>
      <w:r w:rsidR="00904D75">
        <w:t>practice</w:t>
      </w:r>
      <w:r>
        <w:t xml:space="preserve">, the reflection work-piece involves </w:t>
      </w:r>
      <w:r w:rsidR="00904D75">
        <w:t>analysis</w:t>
      </w:r>
      <w:r>
        <w:t xml:space="preserve"> of standards alo</w:t>
      </w:r>
      <w:r w:rsidR="00904D75">
        <w:t>n</w:t>
      </w:r>
      <w:r>
        <w:t xml:space="preserve">g with the model of the community engagement program. The </w:t>
      </w:r>
      <w:r w:rsidR="00904D75">
        <w:t>study</w:t>
      </w:r>
      <w:r>
        <w:t xml:space="preserve"> has </w:t>
      </w:r>
      <w:r w:rsidR="00904D75">
        <w:t>emphasized</w:t>
      </w:r>
      <w:r>
        <w:t xml:space="preserve"> </w:t>
      </w:r>
      <w:r w:rsidR="00904D75">
        <w:t>stakeholders'</w:t>
      </w:r>
      <w:r>
        <w:t xml:space="preserve"> participation also</w:t>
      </w:r>
      <w:r w:rsidR="00904D75">
        <w:t xml:space="preserve"> a</w:t>
      </w:r>
      <w:r>
        <w:t xml:space="preserve"> comparative analysis of best practices</w:t>
      </w:r>
      <w:r w:rsidR="00904D75">
        <w:t xml:space="preserve"> amidst Scania Ltd and Carnegie Trust UK involving respective community programs within the UK.   </w:t>
      </w:r>
      <w:r>
        <w:t xml:space="preserve">   </w:t>
      </w:r>
    </w:p>
    <w:p w14:paraId="346FAF77" w14:textId="77777777" w:rsidR="00E4777C" w:rsidRDefault="00E4777C" w:rsidP="00DA5AAB">
      <w:pPr>
        <w:pStyle w:val="Ttulo1"/>
        <w:rPr>
          <w:szCs w:val="24"/>
        </w:rPr>
      </w:pPr>
      <w:bookmarkStart w:id="2" w:name="_Toc77700020"/>
      <w:bookmarkStart w:id="3" w:name="_Toc78037812"/>
      <w:r>
        <w:rPr>
          <w:szCs w:val="24"/>
        </w:rPr>
        <w:br w:type="page"/>
      </w:r>
    </w:p>
    <w:p w14:paraId="3BAB4046" w14:textId="77777777" w:rsidR="00DA5AAB" w:rsidRDefault="0013250A" w:rsidP="00DA5AAB">
      <w:pPr>
        <w:pStyle w:val="Ttulo1"/>
        <w:rPr>
          <w:szCs w:val="24"/>
        </w:rPr>
      </w:pPr>
      <w:r w:rsidRPr="00342477">
        <w:rPr>
          <w:szCs w:val="24"/>
        </w:rPr>
        <w:lastRenderedPageBreak/>
        <w:t>1. Describe the difference between both projects, compare, analyze and evaluate the best practices on their community engagement approaches; Reflect on what they do differently and why?</w:t>
      </w:r>
      <w:bookmarkEnd w:id="2"/>
      <w:bookmarkEnd w:id="3"/>
    </w:p>
    <w:p w14:paraId="33CD8151" w14:textId="77777777" w:rsidR="000E55F3" w:rsidRDefault="0013250A" w:rsidP="00DA5AAB">
      <w:pPr>
        <w:jc w:val="both"/>
      </w:pPr>
      <w:r>
        <w:t>Carnegie UK Trust is a registered charitable enterprise located in Scotland and functions within diverse programs of community engagement in most regions of Ireland and the UK. The key program currently being stress upon by Carnegie UK Trust is Community Engagement and COVID-19. The program is concerned with collaboration with diverse communities, which has been raised that emphasis of the trust towards response to well-being and healthcare of public at the UK (</w:t>
      </w:r>
      <w:r w:rsidR="006037E0" w:rsidRPr="003D07FF">
        <w:rPr>
          <w:rFonts w:eastAsia="Times New Roman" w:cs="Times New Roman"/>
          <w:color w:val="000000"/>
          <w:szCs w:val="24"/>
        </w:rPr>
        <w:t>Carnegie UK Trust</w:t>
      </w:r>
      <w:r w:rsidR="006037E0">
        <w:rPr>
          <w:rFonts w:eastAsia="Times New Roman" w:cs="Times New Roman"/>
          <w:color w:val="000000"/>
          <w:szCs w:val="24"/>
        </w:rPr>
        <w:t xml:space="preserve"> 2021</w:t>
      </w:r>
      <w:r>
        <w:t>). During the present ongoing crisis of the COVID-19 pandemic, Carnegie UK Trust is committed to forming a key community program for making brief and tactical interactions with 80 communities within the United Kingdom associated with emergency response for the epidemic.</w:t>
      </w:r>
    </w:p>
    <w:p w14:paraId="6DE6C9A1" w14:textId="77777777" w:rsidR="00A53A54" w:rsidRDefault="0013250A" w:rsidP="00BA07E5">
      <w:pPr>
        <w:jc w:val="both"/>
      </w:pPr>
      <w:r>
        <w:t xml:space="preserve">Carnegie UK Trust is strived towards comprehending and addressing the issues endured in the pandemic like social isolation, ill-health, </w:t>
      </w:r>
      <w:r w:rsidR="006037E0">
        <w:t>and poverty amongst the public (</w:t>
      </w:r>
      <w:r w:rsidR="006037E0" w:rsidRPr="003D07FF">
        <w:rPr>
          <w:rFonts w:eastAsia="Times New Roman" w:cs="Times New Roman"/>
          <w:color w:val="000000"/>
          <w:szCs w:val="24"/>
        </w:rPr>
        <w:t>Carnegie UK Trust</w:t>
      </w:r>
      <w:r w:rsidR="006037E0">
        <w:rPr>
          <w:rFonts w:eastAsia="Times New Roman" w:cs="Times New Roman"/>
          <w:color w:val="000000"/>
          <w:szCs w:val="24"/>
        </w:rPr>
        <w:t xml:space="preserve"> 2021</w:t>
      </w:r>
      <w:r w:rsidR="006037E0">
        <w:t>)</w:t>
      </w:r>
      <w:r>
        <w:t>. Transparent and clear interaction has been regarded as the key aspects of the collaborative working and engagement of the community. As an outcome, the enterprise has enjoyed positive cooperation with various communities such as Armagh Covid Response Committee. The community has emphasized addressing emergence items like PPE kits and food packages at hospitals, conversing</w:t>
      </w:r>
      <w:r w:rsidR="006037E0">
        <w:t xml:space="preserve"> with care centers, and others (</w:t>
      </w:r>
      <w:r w:rsidR="006037E0" w:rsidRPr="003D07FF">
        <w:rPr>
          <w:rFonts w:eastAsia="Times New Roman" w:cs="Times New Roman"/>
          <w:color w:val="000000"/>
          <w:szCs w:val="24"/>
        </w:rPr>
        <w:t>Carnegie UK Trust</w:t>
      </w:r>
      <w:r w:rsidR="006037E0">
        <w:rPr>
          <w:rFonts w:eastAsia="Times New Roman" w:cs="Times New Roman"/>
          <w:color w:val="000000"/>
          <w:szCs w:val="24"/>
        </w:rPr>
        <w:t xml:space="preserve"> 2021</w:t>
      </w:r>
      <w:r w:rsidR="006037E0">
        <w:t>)</w:t>
      </w:r>
      <w:r>
        <w:t>. Around 120 volunteers are collaboratively working in the delivery of necessary medicinal items and further essential to the public requiring it in the era pandemic crisis with the association of Carnegie UK Trust</w:t>
      </w:r>
      <w:r w:rsidR="006037E0">
        <w:t xml:space="preserve"> (</w:t>
      </w:r>
      <w:r w:rsidR="006037E0" w:rsidRPr="003D07FF">
        <w:rPr>
          <w:rFonts w:eastAsia="Times New Roman" w:cs="Times New Roman"/>
          <w:color w:val="000000"/>
          <w:szCs w:val="24"/>
        </w:rPr>
        <w:t>Carnegie UK Trust</w:t>
      </w:r>
      <w:r w:rsidR="006037E0">
        <w:rPr>
          <w:rFonts w:eastAsia="Times New Roman" w:cs="Times New Roman"/>
          <w:color w:val="000000"/>
          <w:szCs w:val="24"/>
        </w:rPr>
        <w:t xml:space="preserve"> 2021</w:t>
      </w:r>
      <w:r w:rsidR="006037E0">
        <w:t>)</w:t>
      </w:r>
      <w:r>
        <w:t xml:space="preserve">. In comparison to it, Scania Ltd has been </w:t>
      </w:r>
      <w:r w:rsidR="00BA07E5">
        <w:t>emphasized</w:t>
      </w:r>
      <w:r>
        <w:t xml:space="preserve"> </w:t>
      </w:r>
      <w:r w:rsidR="00BA07E5">
        <w:t>o</w:t>
      </w:r>
      <w:r>
        <w:t xml:space="preserve">n </w:t>
      </w:r>
      <w:r w:rsidR="00BA07E5">
        <w:t>raising</w:t>
      </w:r>
      <w:r>
        <w:t xml:space="preserve"> funds for supporting </w:t>
      </w:r>
      <w:r w:rsidR="00BA07E5">
        <w:t>tactics</w:t>
      </w:r>
      <w:r>
        <w:t xml:space="preserve"> for strategic management of cancer risks and ensuring advanced treatment for the deadly emerging health disorder (</w:t>
      </w:r>
      <w:r w:rsidR="00D31E7F" w:rsidRPr="00CD65D5">
        <w:rPr>
          <w:shd w:val="clear" w:color="auto" w:fill="FFFFFF"/>
        </w:rPr>
        <w:t>Scania Great Britain</w:t>
      </w:r>
      <w:r w:rsidR="00D31E7F">
        <w:rPr>
          <w:shd w:val="clear" w:color="auto" w:fill="FFFFFF"/>
        </w:rPr>
        <w:t xml:space="preserve"> 2021</w:t>
      </w:r>
      <w:r>
        <w:t xml:space="preserve">). The company, in partnership with Cancer Research UK, through the community engagement program named Scania Community has been </w:t>
      </w:r>
      <w:r w:rsidR="003C11B8">
        <w:t xml:space="preserve">aimed at leading a social </w:t>
      </w:r>
      <w:r w:rsidR="001F53FD">
        <w:t>transformation</w:t>
      </w:r>
      <w:r w:rsidR="003C11B8">
        <w:t xml:space="preserve"> relied upon the philanthropy </w:t>
      </w:r>
      <w:r w:rsidR="001F53FD">
        <w:t>community</w:t>
      </w:r>
      <w:r w:rsidR="00D31E7F">
        <w:t xml:space="preserve"> (</w:t>
      </w:r>
      <w:r w:rsidR="00D31E7F" w:rsidRPr="00CD65D5">
        <w:rPr>
          <w:shd w:val="clear" w:color="auto" w:fill="FFFFFF"/>
        </w:rPr>
        <w:t>Scania Great Britain</w:t>
      </w:r>
      <w:r w:rsidR="00D31E7F">
        <w:rPr>
          <w:shd w:val="clear" w:color="auto" w:fill="FFFFFF"/>
        </w:rPr>
        <w:t xml:space="preserve"> 2021</w:t>
      </w:r>
      <w:r w:rsidR="00D31E7F">
        <w:t>)</w:t>
      </w:r>
      <w:r w:rsidR="003C11B8">
        <w:t xml:space="preserve">. The respective </w:t>
      </w:r>
      <w:r w:rsidR="001F53FD">
        <w:t>community</w:t>
      </w:r>
      <w:r w:rsidR="003C11B8">
        <w:t xml:space="preserve"> foundation is </w:t>
      </w:r>
      <w:r w:rsidR="001F53FD">
        <w:t>highly</w:t>
      </w:r>
      <w:r w:rsidR="003C11B8">
        <w:t xml:space="preserve"> committed </w:t>
      </w:r>
      <w:r w:rsidR="001F53FD">
        <w:t>to</w:t>
      </w:r>
      <w:r w:rsidR="003C11B8">
        <w:t xml:space="preserve"> enhancing the </w:t>
      </w:r>
      <w:r w:rsidR="001F53FD">
        <w:t>quality</w:t>
      </w:r>
      <w:r w:rsidR="003C11B8">
        <w:t xml:space="preserve"> of living of the public via local </w:t>
      </w:r>
      <w:r w:rsidR="001F53FD">
        <w:t>fundraising</w:t>
      </w:r>
      <w:r w:rsidR="003C11B8">
        <w:t xml:space="preserve"> al</w:t>
      </w:r>
      <w:r w:rsidR="001F53FD">
        <w:t>o</w:t>
      </w:r>
      <w:r w:rsidR="003C11B8">
        <w:t>ng wi</w:t>
      </w:r>
      <w:r w:rsidR="001F53FD">
        <w:t>t</w:t>
      </w:r>
      <w:r w:rsidR="003C11B8">
        <w:t xml:space="preserve">h community engagement like cancer research. I have </w:t>
      </w:r>
      <w:r w:rsidR="001F53FD">
        <w:t>analyzed</w:t>
      </w:r>
      <w:r w:rsidR="003C11B8">
        <w:t xml:space="preserve"> that key </w:t>
      </w:r>
      <w:r w:rsidR="001F53FD">
        <w:t>functions</w:t>
      </w:r>
      <w:r w:rsidR="003C11B8">
        <w:t xml:space="preserve"> and activities under community engagement are </w:t>
      </w:r>
      <w:r w:rsidR="001F53FD">
        <w:t>emphasized</w:t>
      </w:r>
      <w:r w:rsidR="003C11B8">
        <w:t xml:space="preserve"> on specified objectives and aims. The community trusts have been highlighted by diverse priorities, goals, and objectives for helping people and </w:t>
      </w:r>
      <w:r w:rsidR="003C11B8">
        <w:lastRenderedPageBreak/>
        <w:t>form appropriate well-being within the UK.</w:t>
      </w:r>
      <w:r w:rsidR="007E0CD4">
        <w:t xml:space="preserve"> The Scania Community has been stressed towa</w:t>
      </w:r>
      <w:r w:rsidR="001F53FD">
        <w:t>r</w:t>
      </w:r>
      <w:r w:rsidR="007E0CD4">
        <w:t>ds developing cancer projects for affected people within the UK regions</w:t>
      </w:r>
      <w:r w:rsidR="00D31E7F">
        <w:t xml:space="preserve"> (</w:t>
      </w:r>
      <w:r w:rsidR="00D31E7F" w:rsidRPr="00CD65D5">
        <w:rPr>
          <w:shd w:val="clear" w:color="auto" w:fill="FFFFFF"/>
        </w:rPr>
        <w:t>Scania Great Britain</w:t>
      </w:r>
      <w:r w:rsidR="00D31E7F">
        <w:rPr>
          <w:shd w:val="clear" w:color="auto" w:fill="FFFFFF"/>
        </w:rPr>
        <w:t xml:space="preserve"> 2021</w:t>
      </w:r>
      <w:r w:rsidR="00D31E7F">
        <w:t>)</w:t>
      </w:r>
      <w:r w:rsidR="007E0CD4">
        <w:t xml:space="preserve">. Carnegie Trust on the other hand is </w:t>
      </w:r>
      <w:r w:rsidR="001F53FD">
        <w:t>emphasized</w:t>
      </w:r>
      <w:r w:rsidR="007E0CD4">
        <w:t xml:space="preserve"> forming </w:t>
      </w:r>
      <w:r w:rsidR="001F53FD">
        <w:t>collaboration</w:t>
      </w:r>
      <w:r w:rsidR="007E0CD4">
        <w:t>, communication also responding to key requirement</w:t>
      </w:r>
      <w:r w:rsidR="006037E0">
        <w:t>s of people during the crisis (</w:t>
      </w:r>
      <w:r w:rsidR="006037E0" w:rsidRPr="003D07FF">
        <w:rPr>
          <w:rFonts w:eastAsia="Times New Roman" w:cs="Times New Roman"/>
          <w:color w:val="000000"/>
          <w:szCs w:val="24"/>
        </w:rPr>
        <w:t>Carnegie UK Trust</w:t>
      </w:r>
      <w:r w:rsidR="006037E0">
        <w:rPr>
          <w:rFonts w:eastAsia="Times New Roman" w:cs="Times New Roman"/>
          <w:color w:val="000000"/>
          <w:szCs w:val="24"/>
        </w:rPr>
        <w:t xml:space="preserve"> 2021</w:t>
      </w:r>
      <w:r w:rsidR="006037E0">
        <w:t>)</w:t>
      </w:r>
      <w:r w:rsidR="007E0CD4">
        <w:t>. I have noted that the community program associated have developed by Carnegie Trust UK, have included communities that ha</w:t>
      </w:r>
      <w:r w:rsidR="001F53FD">
        <w:t>v</w:t>
      </w:r>
      <w:r w:rsidR="007E0CD4">
        <w:t xml:space="preserve">e engaged within the emergency pandemic works, despite the fund yielding communities are </w:t>
      </w:r>
      <w:r w:rsidR="001F53FD">
        <w:t xml:space="preserve">linked to the Scania Community. I have analyzed that, community engagement programs, which different trust communities introduce, need allied entities interested in identical activities and initiatives. It tends to develop the affectivity and priority of the community engagement program involved by foundation ruts. I have inferred that the community engagement program proposed by Scania Ltd has been much focused and dedicated as best practice. I have noted that Carnegie Trust UK's community program has been stressed on establishing open communication also sharing information for </w:t>
      </w:r>
      <w:r w:rsidR="00BA07E5">
        <w:t>helping</w:t>
      </w:r>
      <w:r w:rsidR="001F53FD">
        <w:t xml:space="preserve"> in </w:t>
      </w:r>
      <w:r w:rsidR="00BA07E5">
        <w:t>the development</w:t>
      </w:r>
      <w:r w:rsidR="001F53FD">
        <w:t xml:space="preserve"> of working efficiencies of further associations, involved in </w:t>
      </w:r>
      <w:r w:rsidR="00BA07E5">
        <w:t>the satisfaction</w:t>
      </w:r>
      <w:r w:rsidR="001F53FD">
        <w:t xml:space="preserve"> of </w:t>
      </w:r>
      <w:r w:rsidR="00BA07E5">
        <w:t>emergency</w:t>
      </w:r>
      <w:r w:rsidR="001F53FD">
        <w:t xml:space="preserve"> requirements. The UK community has effective coordinated working aspects that boost their endeavors for </w:t>
      </w:r>
      <w:r w:rsidR="00BA07E5">
        <w:t>forming</w:t>
      </w:r>
      <w:r w:rsidR="001F53FD">
        <w:t xml:space="preserve"> qu</w:t>
      </w:r>
      <w:r w:rsidR="00BA07E5">
        <w:t>a</w:t>
      </w:r>
      <w:r w:rsidR="001F53FD">
        <w:t xml:space="preserve">lity results. Carnegie UK Trust, via its </w:t>
      </w:r>
      <w:r w:rsidR="00BA07E5">
        <w:t>ongoing pandemic program, has been bridging gaps amidst trusts and communities that may be regarded as the second factor for forming key results of empowering people within the epidemic situation</w:t>
      </w:r>
      <w:r w:rsidR="006037E0">
        <w:t xml:space="preserve"> (</w:t>
      </w:r>
      <w:r w:rsidR="006037E0" w:rsidRPr="003D07FF">
        <w:rPr>
          <w:rFonts w:eastAsia="Times New Roman" w:cs="Times New Roman"/>
          <w:color w:val="000000"/>
          <w:szCs w:val="24"/>
        </w:rPr>
        <w:t>Carnegie UK Trust</w:t>
      </w:r>
      <w:r w:rsidR="006037E0">
        <w:rPr>
          <w:rFonts w:eastAsia="Times New Roman" w:cs="Times New Roman"/>
          <w:color w:val="000000"/>
          <w:szCs w:val="24"/>
        </w:rPr>
        <w:t xml:space="preserve"> 2021</w:t>
      </w:r>
      <w:r w:rsidR="006037E0">
        <w:t>)</w:t>
      </w:r>
      <w:r w:rsidR="00BA07E5">
        <w:t xml:space="preserve">. However, amongst the 2 programs, I consider Carnegie UK Trust one's more dedicated towards community and engagement and welfare since having a status of the charitable entity and complying with related core purposes of people welfare in contrast to Scania Ltd (a private company) that has just led the program as its CSR activity.    </w:t>
      </w:r>
      <w:r w:rsidR="001F53FD">
        <w:t xml:space="preserve">       </w:t>
      </w:r>
      <w:r w:rsidR="007E0CD4">
        <w:t xml:space="preserve">  </w:t>
      </w:r>
      <w:r w:rsidR="003C11B8">
        <w:t xml:space="preserve">    </w:t>
      </w:r>
      <w:r>
        <w:t xml:space="preserve"> </w:t>
      </w:r>
    </w:p>
    <w:p w14:paraId="49D21116" w14:textId="77777777" w:rsidR="00CE0A46" w:rsidRDefault="0013250A" w:rsidP="00CE0A46">
      <w:pPr>
        <w:pStyle w:val="Ttulo1"/>
        <w:jc w:val="both"/>
        <w:rPr>
          <w:szCs w:val="24"/>
        </w:rPr>
      </w:pPr>
      <w:bookmarkStart w:id="4" w:name="_Toc77700021"/>
      <w:bookmarkStart w:id="5" w:name="_Toc78037813"/>
      <w:r w:rsidRPr="00342477">
        <w:rPr>
          <w:szCs w:val="24"/>
        </w:rPr>
        <w:t>2. Discuss what differences effective communication, active stakeholders’ participation, and inclusion can make in community engagement.</w:t>
      </w:r>
      <w:bookmarkEnd w:id="4"/>
      <w:bookmarkEnd w:id="5"/>
    </w:p>
    <w:p w14:paraId="1AE64C8A" w14:textId="77777777" w:rsidR="00342477" w:rsidRPr="00342477" w:rsidRDefault="0013250A" w:rsidP="001D2F47">
      <w:pPr>
        <w:jc w:val="both"/>
      </w:pPr>
      <w:r>
        <w:t>Communication, collaboration, and integration are key aspects involved in the community program. The Carnegie UK Trust has been involving the program to manage the communities with essential items during the pandemic via collaboration of stakeholders, developing association and ownership with further communities</w:t>
      </w:r>
      <w:r w:rsidR="006037E0">
        <w:t xml:space="preserve"> (</w:t>
      </w:r>
      <w:r w:rsidR="006037E0" w:rsidRPr="003D07FF">
        <w:rPr>
          <w:rFonts w:eastAsia="Times New Roman" w:cs="Times New Roman"/>
          <w:color w:val="000000"/>
          <w:szCs w:val="24"/>
        </w:rPr>
        <w:t>Carnegie UK Trust</w:t>
      </w:r>
      <w:r w:rsidR="006037E0">
        <w:rPr>
          <w:rFonts w:eastAsia="Times New Roman" w:cs="Times New Roman"/>
          <w:color w:val="000000"/>
          <w:szCs w:val="24"/>
        </w:rPr>
        <w:t xml:space="preserve"> 2021</w:t>
      </w:r>
      <w:r w:rsidR="006037E0">
        <w:t>)</w:t>
      </w:r>
      <w:r>
        <w:t>.</w:t>
      </w:r>
      <w:r w:rsidR="00A70256">
        <w:t xml:space="preserve"> I seem that effective communication tends to play a fundamental role in sharing necessary information, which is supportive in the improvement of the flow of actions.</w:t>
      </w:r>
      <w:r>
        <w:t xml:space="preserve"> </w:t>
      </w:r>
      <w:r w:rsidR="00A70256">
        <w:t xml:space="preserve">Tactical, as well as two-way </w:t>
      </w:r>
      <w:r w:rsidR="006D3D59">
        <w:t>communication</w:t>
      </w:r>
      <w:r w:rsidR="00A70256">
        <w:t xml:space="preserve"> </w:t>
      </w:r>
      <w:r w:rsidR="00A70256">
        <w:lastRenderedPageBreak/>
        <w:t>is developed by the committee trust that is used to help in enhancing strategic execution and preparation with the perception of accomplishment of the program associated with community engagement</w:t>
      </w:r>
      <w:r w:rsidR="006D3D59">
        <w:t xml:space="preserve"> (Louw et al. 2020)</w:t>
      </w:r>
      <w:r w:rsidR="00A70256">
        <w:t>. Nonetheless, in consideration of the requirements, priorities of diverse community trusts, forms of communication are changed.</w:t>
      </w:r>
      <w:r w:rsidR="001D2F47">
        <w:t xml:space="preserve"> Effective communication included by the Carnegie UK Trust is likely to enhance the flow of actions</w:t>
      </w:r>
      <w:r w:rsidR="006037E0">
        <w:t xml:space="preserve"> (</w:t>
      </w:r>
      <w:r w:rsidR="006037E0" w:rsidRPr="003D07FF">
        <w:rPr>
          <w:rFonts w:eastAsia="Times New Roman" w:cs="Times New Roman"/>
          <w:color w:val="000000"/>
          <w:szCs w:val="24"/>
        </w:rPr>
        <w:t>Carnegie UK Trust</w:t>
      </w:r>
      <w:r w:rsidR="006037E0">
        <w:rPr>
          <w:rFonts w:eastAsia="Times New Roman" w:cs="Times New Roman"/>
          <w:color w:val="000000"/>
          <w:szCs w:val="24"/>
        </w:rPr>
        <w:t xml:space="preserve"> 2021</w:t>
      </w:r>
      <w:r w:rsidR="006037E0">
        <w:t>)</w:t>
      </w:r>
      <w:r w:rsidR="001D2F47">
        <w:t xml:space="preserve">. The respective community program becomes much smoother as well as effective for gaining their targets because of the placement of the correct type of information from key stakeholders and associated as well of the firm. As per my belief establishment of the effective communication develops the responsibilities, priorities, and interests of volunteers, helpful in the development </w:t>
      </w:r>
      <w:r w:rsidR="006037E0">
        <w:t>o</w:t>
      </w:r>
      <w:r w:rsidR="001D2F47">
        <w:t xml:space="preserve">f their level of confidence in meeting the program criteria.  </w:t>
      </w:r>
      <w:r w:rsidR="00A70256">
        <w:t xml:space="preserve">   </w:t>
      </w:r>
      <w:r w:rsidRPr="00342477">
        <w:t xml:space="preserve"> </w:t>
      </w:r>
    </w:p>
    <w:p w14:paraId="101311EB" w14:textId="77777777" w:rsidR="0030720D" w:rsidRDefault="0013250A" w:rsidP="00CE0A46">
      <w:pPr>
        <w:jc w:val="both"/>
        <w:rPr>
          <w:rFonts w:cs="Times New Roman"/>
          <w:szCs w:val="24"/>
          <w:lang w:val="en-GB"/>
        </w:rPr>
      </w:pPr>
      <w:r w:rsidRPr="0030720D">
        <w:rPr>
          <w:rFonts w:cs="Times New Roman"/>
          <w:szCs w:val="24"/>
          <w:lang w:val="en-GB"/>
        </w:rPr>
        <w:t>The use of a suitable communication mode helps in managing people's actions or community programs and succeeding in the program for associated trust.</w:t>
      </w:r>
      <w:r>
        <w:rPr>
          <w:rFonts w:cs="Times New Roman"/>
          <w:szCs w:val="24"/>
          <w:lang w:val="en-GB"/>
        </w:rPr>
        <w:t xml:space="preserve"> Inclusion and participation of stakeholders develop </w:t>
      </w:r>
      <w:r w:rsidR="00CE0A46">
        <w:rPr>
          <w:rFonts w:cs="Times New Roman"/>
          <w:szCs w:val="24"/>
          <w:lang w:val="en-GB"/>
        </w:rPr>
        <w:t>fundraising</w:t>
      </w:r>
      <w:r>
        <w:rPr>
          <w:rFonts w:cs="Times New Roman"/>
          <w:szCs w:val="24"/>
          <w:lang w:val="en-GB"/>
        </w:rPr>
        <w:t xml:space="preserve"> scope and better program </w:t>
      </w:r>
      <w:r w:rsidR="00CE0A46">
        <w:rPr>
          <w:rFonts w:cs="Times New Roman"/>
          <w:szCs w:val="24"/>
          <w:lang w:val="en-GB"/>
        </w:rPr>
        <w:t>decision</w:t>
      </w:r>
      <w:r>
        <w:rPr>
          <w:rFonts w:cs="Times New Roman"/>
          <w:szCs w:val="24"/>
          <w:lang w:val="en-GB"/>
        </w:rPr>
        <w:t>-making for en</w:t>
      </w:r>
      <w:r w:rsidR="00CE0A46">
        <w:rPr>
          <w:rFonts w:cs="Times New Roman"/>
          <w:szCs w:val="24"/>
          <w:lang w:val="en-GB"/>
        </w:rPr>
        <w:t>s</w:t>
      </w:r>
      <w:r>
        <w:rPr>
          <w:rFonts w:cs="Times New Roman"/>
          <w:szCs w:val="24"/>
          <w:lang w:val="en-GB"/>
        </w:rPr>
        <w:t xml:space="preserve">uring </w:t>
      </w:r>
      <w:r w:rsidR="00CE0A46">
        <w:rPr>
          <w:rFonts w:cs="Times New Roman"/>
          <w:szCs w:val="24"/>
          <w:lang w:val="en-GB"/>
        </w:rPr>
        <w:t>sustainable</w:t>
      </w:r>
      <w:r>
        <w:rPr>
          <w:rFonts w:cs="Times New Roman"/>
          <w:szCs w:val="24"/>
          <w:lang w:val="en-GB"/>
        </w:rPr>
        <w:t xml:space="preserve"> community engagement. It </w:t>
      </w:r>
      <w:r w:rsidR="00CE0A46">
        <w:rPr>
          <w:rFonts w:cs="Times New Roman"/>
          <w:szCs w:val="24"/>
          <w:lang w:val="en-GB"/>
        </w:rPr>
        <w:t xml:space="preserve">portrays innovation; critical thinking and systematic idea sharing that make key transformations to the community program for raising its effectiveness and reach the targeted populace. </w:t>
      </w:r>
    </w:p>
    <w:p w14:paraId="46A3184C" w14:textId="77777777" w:rsidR="00342477" w:rsidRPr="008C5542" w:rsidRDefault="0013250A" w:rsidP="0030720D">
      <w:pPr>
        <w:jc w:val="both"/>
        <w:rPr>
          <w:rFonts w:cs="Times New Roman"/>
          <w:szCs w:val="24"/>
        </w:rPr>
      </w:pPr>
      <w:r w:rsidRPr="008C5542">
        <w:rPr>
          <w:rFonts w:cs="Times New Roman"/>
          <w:szCs w:val="24"/>
        </w:rPr>
        <w:t>I have analyzed</w:t>
      </w:r>
      <w:r>
        <w:rPr>
          <w:rFonts w:cs="Times New Roman"/>
          <w:szCs w:val="24"/>
        </w:rPr>
        <w:t xml:space="preserve"> stakeholders' involvement checks mistakes and risk possibilities. During my involvement in one of the projects at Carnegie Trust, I acknowledged that stakeholders' inclusion remains the best approach for </w:t>
      </w:r>
      <w:r w:rsidR="0030720D">
        <w:rPr>
          <w:rFonts w:cs="Times New Roman"/>
          <w:szCs w:val="24"/>
        </w:rPr>
        <w:t>the establishment of sustainable connections. It supported me in forming a systematic workflow for succeeding in the targeted community-engaged program. Community programs could be seamless facilities for community people by decreasing potential barriers via stakeholders' engagement concerning diverse program activities</w:t>
      </w:r>
      <w:r w:rsidR="006D3D59">
        <w:rPr>
          <w:rFonts w:cs="Times New Roman"/>
          <w:szCs w:val="24"/>
        </w:rPr>
        <w:t xml:space="preserve"> (</w:t>
      </w:r>
      <w:r w:rsidR="006D3D59">
        <w:rPr>
          <w:shd w:val="clear" w:color="auto" w:fill="FFFFFF"/>
        </w:rPr>
        <w:t>Ferreira et al. 2020</w:t>
      </w:r>
      <w:r w:rsidR="006D3D59">
        <w:rPr>
          <w:rFonts w:cs="Times New Roman"/>
          <w:szCs w:val="24"/>
        </w:rPr>
        <w:t>)</w:t>
      </w:r>
      <w:r w:rsidR="0030720D">
        <w:rPr>
          <w:rFonts w:cs="Times New Roman"/>
          <w:szCs w:val="24"/>
        </w:rPr>
        <w:t xml:space="preserve">. During working on the pandemic managing program of Carnegie Trust UK, I have understood that participants' inclusion led to risk-sharing. Each one has engaged within specified tasks that in collaborative and efficient program completion. Hence, the inclusion of appropriate people boosts service quality produced by the trust for serving people negatively impacted by the epidemic.    </w:t>
      </w:r>
      <w:r>
        <w:rPr>
          <w:rFonts w:cs="Times New Roman"/>
          <w:szCs w:val="24"/>
        </w:rPr>
        <w:t xml:space="preserve"> </w:t>
      </w:r>
      <w:r w:rsidRPr="008C5542">
        <w:rPr>
          <w:rFonts w:cs="Times New Roman"/>
          <w:szCs w:val="24"/>
        </w:rPr>
        <w:t xml:space="preserve">  </w:t>
      </w:r>
    </w:p>
    <w:p w14:paraId="79E7F0BA" w14:textId="77777777" w:rsidR="00342477" w:rsidRDefault="0013250A" w:rsidP="00BA07E5">
      <w:pPr>
        <w:pStyle w:val="Ttulo2"/>
        <w:jc w:val="both"/>
        <w:rPr>
          <w:szCs w:val="24"/>
        </w:rPr>
      </w:pPr>
      <w:bookmarkStart w:id="6" w:name="_Toc77700022"/>
      <w:bookmarkStart w:id="7" w:name="_Toc78037814"/>
      <w:r>
        <w:rPr>
          <w:szCs w:val="24"/>
        </w:rPr>
        <w:t>C</w:t>
      </w:r>
      <w:r w:rsidRPr="00342477">
        <w:rPr>
          <w:szCs w:val="24"/>
        </w:rPr>
        <w:t>ommunity mapping</w:t>
      </w:r>
      <w:bookmarkEnd w:id="6"/>
      <w:bookmarkEnd w:id="7"/>
    </w:p>
    <w:p w14:paraId="520AF699" w14:textId="77777777" w:rsidR="00FD0959" w:rsidRPr="00FD0959" w:rsidRDefault="0013250A" w:rsidP="008C5542">
      <w:pPr>
        <w:jc w:val="both"/>
      </w:pPr>
      <w:r>
        <w:t xml:space="preserve">The crisis management program indulges a certain set of activities, which necessitate appropriate placement and networking of sources for ensuring timely program success. Community mapping tends to serve as network development amidst participants for inclusion of a set of actions for </w:t>
      </w:r>
      <w:r w:rsidR="008C5542">
        <w:lastRenderedPageBreak/>
        <w:t>accomplishing community programs much permanently</w:t>
      </w:r>
      <w:r w:rsidR="006D3D59">
        <w:t xml:space="preserve"> (Newell et al. 2021)</w:t>
      </w:r>
      <w:r w:rsidR="008C5542">
        <w:t xml:space="preserve">. Furthermore, the networking map involves activities of resource arrangement, planning and developing of layout, designing, site inspection, and ultimate analysis as well.  </w:t>
      </w:r>
    </w:p>
    <w:p w14:paraId="09A31C22" w14:textId="77777777" w:rsidR="00342477" w:rsidRDefault="0013250A" w:rsidP="00BA07E5">
      <w:pPr>
        <w:pStyle w:val="Ttulo2"/>
        <w:jc w:val="both"/>
        <w:rPr>
          <w:szCs w:val="24"/>
        </w:rPr>
      </w:pPr>
      <w:bookmarkStart w:id="8" w:name="_Toc77700023"/>
      <w:bookmarkStart w:id="9" w:name="_Toc78037815"/>
      <w:r w:rsidRPr="00BA07E5">
        <w:rPr>
          <w:bCs w:val="0"/>
          <w:szCs w:val="24"/>
        </w:rPr>
        <w:t>S</w:t>
      </w:r>
      <w:r w:rsidRPr="00342477">
        <w:rPr>
          <w:szCs w:val="24"/>
        </w:rPr>
        <w:t>ocial media engagement</w:t>
      </w:r>
      <w:bookmarkEnd w:id="8"/>
      <w:bookmarkEnd w:id="9"/>
    </w:p>
    <w:p w14:paraId="517B01F1" w14:textId="77777777" w:rsidR="007F5BC3" w:rsidRPr="007F5BC3" w:rsidRDefault="0013250A" w:rsidP="00FD0959">
      <w:pPr>
        <w:jc w:val="both"/>
      </w:pPr>
      <w:r>
        <w:t>Social media is the most economical and efficient platform for collecting information for the crisis management project</w:t>
      </w:r>
      <w:r w:rsidR="006037E0">
        <w:t xml:space="preserve"> (</w:t>
      </w:r>
      <w:r w:rsidR="006037E0">
        <w:rPr>
          <w:shd w:val="clear" w:color="auto" w:fill="FFFFFF"/>
        </w:rPr>
        <w:t>Vervoort et al. 2020</w:t>
      </w:r>
      <w:r w:rsidR="006037E0">
        <w:t>)</w:t>
      </w:r>
      <w:r>
        <w:t xml:space="preserve">. Key initiatives of the community engagement program are shared via social networking sites, like Twitter, Pinterest, and others to share the program, mission, vision, and priorities to the public for gaining their valuable support towards the program's effectiveness. All initiatives support Carnegie UK Trust in making communication, sharing ideas, financial </w:t>
      </w:r>
      <w:r w:rsidR="00FD0959">
        <w:t>support, and forming networks to boost the program's proceedings</w:t>
      </w:r>
      <w:r w:rsidR="006037E0">
        <w:t xml:space="preserve"> (</w:t>
      </w:r>
      <w:r w:rsidR="006037E0" w:rsidRPr="003D07FF">
        <w:rPr>
          <w:rFonts w:eastAsia="Times New Roman" w:cs="Times New Roman"/>
          <w:color w:val="000000"/>
          <w:szCs w:val="24"/>
        </w:rPr>
        <w:t>Carnegie UK Trust</w:t>
      </w:r>
      <w:r w:rsidR="006037E0">
        <w:rPr>
          <w:rFonts w:eastAsia="Times New Roman" w:cs="Times New Roman"/>
          <w:color w:val="000000"/>
          <w:szCs w:val="24"/>
        </w:rPr>
        <w:t xml:space="preserve"> 2021</w:t>
      </w:r>
      <w:r w:rsidR="006037E0">
        <w:t>)</w:t>
      </w:r>
      <w:r w:rsidR="00FD0959">
        <w:t>. Social media engagement poses a strong influence on people participating as volunteers</w:t>
      </w:r>
      <w:r w:rsidR="006037E0">
        <w:t xml:space="preserve"> (</w:t>
      </w:r>
      <w:r w:rsidR="006037E0">
        <w:rPr>
          <w:shd w:val="clear" w:color="auto" w:fill="FFFFFF"/>
        </w:rPr>
        <w:t>Vervoort et al. 2020</w:t>
      </w:r>
      <w:r w:rsidR="006037E0">
        <w:t>)</w:t>
      </w:r>
      <w:r w:rsidR="00FD0959">
        <w:t xml:space="preserve">. Therefore, sharing the program vision via the network established better approachable surroundings for the successful accomplishment of community projects.    </w:t>
      </w:r>
      <w:r>
        <w:t xml:space="preserve">   </w:t>
      </w:r>
    </w:p>
    <w:p w14:paraId="7706603A" w14:textId="77777777" w:rsidR="00985B49" w:rsidRDefault="0013250A" w:rsidP="00BA07E5">
      <w:pPr>
        <w:pStyle w:val="Ttulo2"/>
        <w:jc w:val="both"/>
      </w:pPr>
      <w:bookmarkStart w:id="10" w:name="_Toc78037816"/>
      <w:r w:rsidRPr="00342477">
        <w:t>Impact analysis a</w:t>
      </w:r>
      <w:r w:rsidR="00BA07E5">
        <w:t>n</w:t>
      </w:r>
      <w:r w:rsidRPr="00342477">
        <w:t>d conducting research</w:t>
      </w:r>
      <w:bookmarkEnd w:id="10"/>
    </w:p>
    <w:p w14:paraId="4AA67D91" w14:textId="77777777" w:rsidR="00342477" w:rsidRPr="00342477" w:rsidRDefault="0013250A" w:rsidP="00985B49">
      <w:pPr>
        <w:jc w:val="both"/>
      </w:pPr>
      <w:r>
        <w:t>Whilst the community development program, the impact analysis tends to indicate that layout, site selection as well as planning is important aspects. The site selection is used to deduce the value of emergency services they might be derived by the community for affected people from COVID within the UK. Considering the era of technological evolution, most of the research remains data-driven</w:t>
      </w:r>
      <w:r w:rsidR="008D1D4E">
        <w:t xml:space="preserve"> (</w:t>
      </w:r>
      <w:r w:rsidR="008D1D4E">
        <w:rPr>
          <w:shd w:val="clear" w:color="auto" w:fill="FFFFFF"/>
        </w:rPr>
        <w:t>O’Hagan et al. 2020</w:t>
      </w:r>
      <w:r w:rsidR="008D1D4E">
        <w:t>)</w:t>
      </w:r>
      <w:r>
        <w:t xml:space="preserve">. The </w:t>
      </w:r>
      <w:r w:rsidR="008D1D4E">
        <w:t>usage of the internet and search engines tends</w:t>
      </w:r>
      <w:r>
        <w:t xml:space="preserve"> to play a key role in the extraction of useful information associated with the community program for deriving successful outcomes. Additionally, interviews, as well as survey mapping, are supportive of the assembly of trustworthy research-based data. It is profitable for the organization to the development of future initiatives and projects systematically.  </w:t>
      </w:r>
      <w:r w:rsidRPr="00342477">
        <w:t xml:space="preserve"> </w:t>
      </w:r>
    </w:p>
    <w:p w14:paraId="702BFE1D" w14:textId="77777777" w:rsidR="00342477" w:rsidRDefault="0013250A" w:rsidP="00BA07E5">
      <w:pPr>
        <w:pStyle w:val="Ttulo2"/>
        <w:jc w:val="both"/>
        <w:rPr>
          <w:szCs w:val="24"/>
        </w:rPr>
      </w:pPr>
      <w:bookmarkStart w:id="11" w:name="_Toc77700024"/>
      <w:bookmarkStart w:id="12" w:name="_Toc78037817"/>
      <w:r w:rsidRPr="00342477">
        <w:rPr>
          <w:szCs w:val="24"/>
        </w:rPr>
        <w:t>Evaluation and justify the best practices</w:t>
      </w:r>
      <w:bookmarkEnd w:id="11"/>
      <w:bookmarkEnd w:id="12"/>
    </w:p>
    <w:p w14:paraId="62C08197" w14:textId="77777777" w:rsidR="0070316F" w:rsidRPr="0070316F" w:rsidRDefault="0013250A" w:rsidP="004A60E2">
      <w:pPr>
        <w:jc w:val="both"/>
      </w:pPr>
      <w:r>
        <w:t xml:space="preserve">All activities have fostered an association with healthcare and hospitality entities to introduce better living for </w:t>
      </w:r>
      <w:r w:rsidR="004A60E2">
        <w:t>people significantly affected by the pandemic hit. The emails and other efficient platforms have been utilized to remain in touch with the localized workshops, established to comprehend the project targets along with preparation of skills needed for practicing and accomplishing the program effectively</w:t>
      </w:r>
      <w:r w:rsidR="006D3D59">
        <w:t xml:space="preserve"> (Smith et al. 2017)</w:t>
      </w:r>
      <w:r w:rsidR="004A60E2">
        <w:t xml:space="preserve">. Best practices for Carnegie UK Trust indulge arrangement of finances, food, medicines, and other necessary items for affected people </w:t>
      </w:r>
      <w:r w:rsidR="004A60E2">
        <w:lastRenderedPageBreak/>
        <w:t>in the UK</w:t>
      </w:r>
      <w:r w:rsidR="006037E0">
        <w:t xml:space="preserve"> (</w:t>
      </w:r>
      <w:r w:rsidR="006037E0" w:rsidRPr="003D07FF">
        <w:rPr>
          <w:rFonts w:eastAsia="Times New Roman" w:cs="Times New Roman"/>
          <w:color w:val="000000"/>
          <w:szCs w:val="24"/>
        </w:rPr>
        <w:t>Carnegie UK Trust</w:t>
      </w:r>
      <w:r w:rsidR="006037E0">
        <w:rPr>
          <w:rFonts w:eastAsia="Times New Roman" w:cs="Times New Roman"/>
          <w:color w:val="000000"/>
          <w:szCs w:val="24"/>
        </w:rPr>
        <w:t xml:space="preserve"> 2021</w:t>
      </w:r>
      <w:r w:rsidR="006037E0">
        <w:t>)</w:t>
      </w:r>
      <w:r w:rsidR="004A60E2">
        <w:t>. The registered charity in the UK has been strongly involved in the management of the crisis endured by the public in general</w:t>
      </w:r>
      <w:r w:rsidR="006037E0">
        <w:t xml:space="preserve"> (</w:t>
      </w:r>
      <w:r w:rsidR="006037E0" w:rsidRPr="003D07FF">
        <w:rPr>
          <w:rFonts w:eastAsia="Times New Roman" w:cs="Times New Roman"/>
          <w:color w:val="000000"/>
          <w:szCs w:val="24"/>
        </w:rPr>
        <w:t>Carnegie UK Trust</w:t>
      </w:r>
      <w:r w:rsidR="006037E0">
        <w:rPr>
          <w:rFonts w:eastAsia="Times New Roman" w:cs="Times New Roman"/>
          <w:color w:val="000000"/>
          <w:szCs w:val="24"/>
        </w:rPr>
        <w:t xml:space="preserve"> 2021</w:t>
      </w:r>
      <w:r w:rsidR="006037E0">
        <w:t>)</w:t>
      </w:r>
      <w:r w:rsidR="004A60E2">
        <w:t xml:space="preserve">. The engagement and collaboration of stakeholders have remained best practice, which facilitated a better growth opportunity for the trust.      </w:t>
      </w:r>
    </w:p>
    <w:p w14:paraId="0E385CCB" w14:textId="77777777" w:rsidR="00E4777C" w:rsidRDefault="00E4777C" w:rsidP="00342477">
      <w:pPr>
        <w:pStyle w:val="Ttulo1"/>
        <w:rPr>
          <w:szCs w:val="24"/>
        </w:rPr>
      </w:pPr>
      <w:bookmarkStart w:id="13" w:name="_Toc77700025"/>
      <w:bookmarkStart w:id="14" w:name="_Toc78037818"/>
      <w:r>
        <w:rPr>
          <w:szCs w:val="24"/>
        </w:rPr>
        <w:br w:type="page"/>
      </w:r>
    </w:p>
    <w:p w14:paraId="234C908B" w14:textId="77777777" w:rsidR="00342477" w:rsidRDefault="0013250A" w:rsidP="00342477">
      <w:pPr>
        <w:pStyle w:val="Ttulo1"/>
        <w:rPr>
          <w:szCs w:val="24"/>
        </w:rPr>
      </w:pPr>
      <w:r w:rsidRPr="00342477">
        <w:rPr>
          <w:szCs w:val="24"/>
        </w:rPr>
        <w:lastRenderedPageBreak/>
        <w:t>Conclusion:</w:t>
      </w:r>
      <w:bookmarkEnd w:id="13"/>
      <w:bookmarkEnd w:id="14"/>
    </w:p>
    <w:p w14:paraId="4B51F232" w14:textId="77777777" w:rsidR="0062490A" w:rsidRDefault="0013250A" w:rsidP="0062490A">
      <w:pPr>
        <w:jc w:val="both"/>
      </w:pPr>
      <w:r>
        <w:t>Considering the discussion made above, it is concluded that community engagement relates to the growth of some initiatives focused on better health and life quality of the community people. Some diversified charitable enterprises and trusts have launched projects and programs, which were stress sustainable community progress. Community engaging events involved groups of people that are stressed on managing the trending issue across the society. Carnegie UK Trust is one of the companies, which even committed to setting communication support also engaged in assisting hands during a sensitive situation of the epidemic by integrating with multiple UK Communities associations. Furthermore, Scania Ltd has been indulged in raising funds for ensuring better cancer treatment in the nation for ensuring healthy living for people around the UK regions.  The procedure of stakeholders' involvement fund generation even the approach of resource allocation is varied because of diversity in needs and interests for the accomplishment of the program proposed. In the conclusion of the unit, I have noted that the incorporation of mission, vision as well as the direction of working for the community association tend to vary to their initiatives.</w:t>
      </w:r>
    </w:p>
    <w:p w14:paraId="21C54FDE" w14:textId="77777777" w:rsidR="00BA07E5" w:rsidRPr="00BA07E5" w:rsidRDefault="0013250A" w:rsidP="008B6AA8">
      <w:pPr>
        <w:jc w:val="both"/>
      </w:pPr>
      <w:r>
        <w:t>Stakeholders of various trusts make use of diversified channels or mediums of communication for ensuring a tactical share of necessary information regarding the program for considering needs to successfully commence and accomplish a community-engaged program. I have evaluated that viewpoints</w:t>
      </w:r>
      <w:r w:rsidR="008B6AA8">
        <w:t xml:space="preserve"> exchange</w:t>
      </w:r>
      <w:r>
        <w:t xml:space="preserve"> is </w:t>
      </w:r>
      <w:r w:rsidR="008B6AA8">
        <w:t>regarded</w:t>
      </w:r>
      <w:r>
        <w:t xml:space="preserve"> as one of the key aspects of community programs. </w:t>
      </w:r>
      <w:r w:rsidR="008B6AA8">
        <w:t>Further</w:t>
      </w:r>
      <w:r>
        <w:t xml:space="preserve">, I have learned that the need for </w:t>
      </w:r>
      <w:r w:rsidR="008B6AA8">
        <w:t>informed</w:t>
      </w:r>
      <w:r>
        <w:t xml:space="preserve"> </w:t>
      </w:r>
      <w:r w:rsidR="008B6AA8">
        <w:t>decision</w:t>
      </w:r>
      <w:r>
        <w:t>-making</w:t>
      </w:r>
      <w:r w:rsidR="008B6AA8">
        <w:t xml:space="preserve"> help leads to strategic changes in the implementation of the communication framework. Stakeholders' involvement helps in improving the g the research and work behavior to ensure satisfaction of needs for program goal accomplishment. I acknowledged that best practices of the program reflect stakeholders' engagement application.  It is supportive of tactical information sharing to ensure better outcomes</w:t>
      </w:r>
      <w:r w:rsidR="00863FD1">
        <w:t>.</w:t>
      </w:r>
      <w:r w:rsidR="008B6AA8">
        <w:t xml:space="preserve">     </w:t>
      </w:r>
      <w:r>
        <w:t xml:space="preserve">      </w:t>
      </w:r>
    </w:p>
    <w:p w14:paraId="2995BA1D" w14:textId="77777777" w:rsidR="00342477" w:rsidRPr="00342477" w:rsidRDefault="0013250A">
      <w:pPr>
        <w:spacing w:line="276" w:lineRule="auto"/>
        <w:rPr>
          <w:rFonts w:cs="Times New Roman"/>
          <w:szCs w:val="24"/>
          <w:lang w:val="en-GB"/>
        </w:rPr>
      </w:pPr>
      <w:r w:rsidRPr="00342477">
        <w:rPr>
          <w:rFonts w:cs="Times New Roman"/>
          <w:szCs w:val="24"/>
          <w:lang w:val="en-GB"/>
        </w:rPr>
        <w:br w:type="page"/>
      </w:r>
    </w:p>
    <w:p w14:paraId="7011A26E" w14:textId="77777777" w:rsidR="00B720BE" w:rsidRDefault="0013250A" w:rsidP="00342477">
      <w:pPr>
        <w:pStyle w:val="Ttulo1"/>
        <w:jc w:val="both"/>
        <w:rPr>
          <w:lang w:val="en-GB"/>
        </w:rPr>
      </w:pPr>
      <w:bookmarkStart w:id="15" w:name="_Toc78037819"/>
      <w:r w:rsidRPr="00342477">
        <w:rPr>
          <w:lang w:val="en-GB"/>
        </w:rPr>
        <w:lastRenderedPageBreak/>
        <w:t>References</w:t>
      </w:r>
      <w:bookmarkEnd w:id="15"/>
    </w:p>
    <w:p w14:paraId="6F914321" w14:textId="77777777" w:rsidR="006D3D59" w:rsidRDefault="006D3D59" w:rsidP="006D3D59">
      <w:pPr>
        <w:jc w:val="both"/>
        <w:rPr>
          <w:rFonts w:eastAsia="Times New Roman" w:cs="Times New Roman"/>
          <w:color w:val="000000"/>
          <w:szCs w:val="24"/>
        </w:rPr>
      </w:pPr>
      <w:r w:rsidRPr="006D3D59">
        <w:rPr>
          <w:rFonts w:eastAsia="Times New Roman" w:cs="Times New Roman"/>
          <w:color w:val="000000"/>
          <w:szCs w:val="24"/>
        </w:rPr>
        <w:t>Carnegie UK Trust. 2021. </w:t>
      </w:r>
      <w:r w:rsidRPr="006D3D59">
        <w:rPr>
          <w:rFonts w:eastAsia="Times New Roman" w:cs="Times New Roman"/>
          <w:i/>
          <w:iCs/>
          <w:color w:val="000000"/>
          <w:szCs w:val="24"/>
        </w:rPr>
        <w:t>Community engagement and COVID-19</w:t>
      </w:r>
      <w:r w:rsidRPr="006D3D59">
        <w:rPr>
          <w:rFonts w:eastAsia="Times New Roman" w:cs="Times New Roman"/>
          <w:color w:val="000000"/>
          <w:szCs w:val="24"/>
        </w:rPr>
        <w:t>. [online] Available at: &lt;https://www.carnegieuktrust.org.uk/blog/community-engagement-and-covid-19/&gt; [Accessed 24 July 2021].</w:t>
      </w:r>
    </w:p>
    <w:p w14:paraId="32C93BDB" w14:textId="77777777" w:rsidR="006D3D59" w:rsidRPr="006D3D59" w:rsidRDefault="006D3D59" w:rsidP="006D3D59">
      <w:pPr>
        <w:jc w:val="both"/>
        <w:rPr>
          <w:rFonts w:eastAsia="Times New Roman" w:cs="Times New Roman"/>
          <w:color w:val="000000"/>
          <w:szCs w:val="24"/>
        </w:rPr>
      </w:pPr>
      <w:r>
        <w:rPr>
          <w:shd w:val="clear" w:color="auto" w:fill="FFFFFF"/>
        </w:rPr>
        <w:t>Ferreira, V., Barreira, A.P., Loures, L., Antunes, D. and Panagopoulos, T., 2020. Stakeholders’ engagement on nature-based solutions: A systematic literature review. </w:t>
      </w:r>
      <w:r>
        <w:rPr>
          <w:i/>
          <w:iCs/>
          <w:shd w:val="clear" w:color="auto" w:fill="FFFFFF"/>
        </w:rPr>
        <w:t>Sustainability</w:t>
      </w:r>
      <w:r>
        <w:rPr>
          <w:shd w:val="clear" w:color="auto" w:fill="FFFFFF"/>
        </w:rPr>
        <w:t>, </w:t>
      </w:r>
      <w:r>
        <w:rPr>
          <w:i/>
          <w:iCs/>
          <w:shd w:val="clear" w:color="auto" w:fill="FFFFFF"/>
        </w:rPr>
        <w:t>12</w:t>
      </w:r>
      <w:r>
        <w:rPr>
          <w:shd w:val="clear" w:color="auto" w:fill="FFFFFF"/>
        </w:rPr>
        <w:t>(2), p.640.</w:t>
      </w:r>
    </w:p>
    <w:p w14:paraId="6D0A0591" w14:textId="77777777" w:rsidR="006D3D59" w:rsidRPr="0070316F" w:rsidRDefault="006D3D59" w:rsidP="006D3D59">
      <w:pPr>
        <w:jc w:val="both"/>
      </w:pPr>
      <w:r w:rsidRPr="006D3D59">
        <w:rPr>
          <w:shd w:val="clear" w:color="auto" w:fill="FFFFFF"/>
        </w:rPr>
        <w:t>Louw, S., Taliep, N., Ismail, G. and Bulbulia, S., 2020. Navigating and reimagining community engagement amidst COVID-19. </w:t>
      </w:r>
      <w:r w:rsidRPr="006D3D59">
        <w:rPr>
          <w:i/>
          <w:iCs/>
          <w:shd w:val="clear" w:color="auto" w:fill="FFFFFF"/>
        </w:rPr>
        <w:t>Social and Health Sciences</w:t>
      </w:r>
      <w:r w:rsidRPr="006D3D59">
        <w:rPr>
          <w:shd w:val="clear" w:color="auto" w:fill="FFFFFF"/>
        </w:rPr>
        <w:t>, </w:t>
      </w:r>
      <w:r w:rsidRPr="006D3D59">
        <w:rPr>
          <w:i/>
          <w:iCs/>
          <w:shd w:val="clear" w:color="auto" w:fill="FFFFFF"/>
        </w:rPr>
        <w:t>18</w:t>
      </w:r>
      <w:r w:rsidRPr="006D3D59">
        <w:rPr>
          <w:shd w:val="clear" w:color="auto" w:fill="FFFFFF"/>
        </w:rPr>
        <w:t>(2), pp.48-69.</w:t>
      </w:r>
    </w:p>
    <w:p w14:paraId="348470AE" w14:textId="77777777" w:rsidR="006D3D59" w:rsidRPr="006D3D59" w:rsidRDefault="006D3D59" w:rsidP="006D3D59">
      <w:pPr>
        <w:jc w:val="both"/>
        <w:rPr>
          <w:shd w:val="clear" w:color="auto" w:fill="FFFFFF"/>
        </w:rPr>
      </w:pPr>
      <w:r w:rsidRPr="006D3D59">
        <w:rPr>
          <w:shd w:val="clear" w:color="auto" w:fill="FFFFFF"/>
        </w:rPr>
        <w:t>Newell, R., McCarthy, N., Picketts, I., Davis, F., Hovem, G. and Navarrete, S., 2021. Communicating complexity: interactive model explorers and immersive visualizations as tools for local planning and community engagement. </w:t>
      </w:r>
      <w:r w:rsidRPr="006D3D59">
        <w:rPr>
          <w:i/>
          <w:iCs/>
          <w:shd w:val="clear" w:color="auto" w:fill="FFFFFF"/>
        </w:rPr>
        <w:t>FACETS</w:t>
      </w:r>
      <w:r w:rsidRPr="006D3D59">
        <w:rPr>
          <w:shd w:val="clear" w:color="auto" w:fill="FFFFFF"/>
        </w:rPr>
        <w:t>, </w:t>
      </w:r>
      <w:r w:rsidRPr="006D3D59">
        <w:rPr>
          <w:i/>
          <w:iCs/>
          <w:shd w:val="clear" w:color="auto" w:fill="FFFFFF"/>
        </w:rPr>
        <w:t>6</w:t>
      </w:r>
      <w:r w:rsidRPr="006D3D59">
        <w:rPr>
          <w:shd w:val="clear" w:color="auto" w:fill="FFFFFF"/>
        </w:rPr>
        <w:t>(1), pp.287-316.</w:t>
      </w:r>
    </w:p>
    <w:p w14:paraId="57E3975B" w14:textId="77777777" w:rsidR="006D3D59" w:rsidRPr="006D3D59" w:rsidRDefault="006D3D59" w:rsidP="006D3D59">
      <w:pPr>
        <w:jc w:val="both"/>
        <w:rPr>
          <w:shd w:val="clear" w:color="auto" w:fill="FFFFFF"/>
        </w:rPr>
      </w:pPr>
      <w:r w:rsidRPr="006D3D59">
        <w:rPr>
          <w:shd w:val="clear" w:color="auto" w:fill="FFFFFF"/>
        </w:rPr>
        <w:t>O’Hagan, A., MacRae, C., O’Connor, C.H. and Teedon, P., 2020. Participatory budgeting, community engagement and impact on public services in Scotland. </w:t>
      </w:r>
      <w:r w:rsidRPr="006D3D59">
        <w:rPr>
          <w:i/>
          <w:iCs/>
          <w:shd w:val="clear" w:color="auto" w:fill="FFFFFF"/>
        </w:rPr>
        <w:t>Public Money &amp; Management</w:t>
      </w:r>
      <w:r w:rsidRPr="006D3D59">
        <w:rPr>
          <w:shd w:val="clear" w:color="auto" w:fill="FFFFFF"/>
        </w:rPr>
        <w:t>, </w:t>
      </w:r>
      <w:r w:rsidRPr="006D3D59">
        <w:rPr>
          <w:i/>
          <w:iCs/>
          <w:shd w:val="clear" w:color="auto" w:fill="FFFFFF"/>
        </w:rPr>
        <w:t>40</w:t>
      </w:r>
      <w:r w:rsidRPr="006D3D59">
        <w:rPr>
          <w:shd w:val="clear" w:color="auto" w:fill="FFFFFF"/>
        </w:rPr>
        <w:t>(6), pp.446-456.</w:t>
      </w:r>
    </w:p>
    <w:p w14:paraId="51325739" w14:textId="77777777" w:rsidR="006D3D59" w:rsidRPr="006D3D59" w:rsidRDefault="006D3D59" w:rsidP="006D3D59">
      <w:pPr>
        <w:jc w:val="both"/>
        <w:rPr>
          <w:shd w:val="clear" w:color="auto" w:fill="FFFFFF"/>
        </w:rPr>
      </w:pPr>
      <w:r w:rsidRPr="006D3D59">
        <w:rPr>
          <w:shd w:val="clear" w:color="auto" w:fill="FFFFFF"/>
        </w:rPr>
        <w:t>Scania Great Britain, 2021, </w:t>
      </w:r>
      <w:r w:rsidRPr="006D3D59">
        <w:rPr>
          <w:i/>
          <w:iCs/>
          <w:shd w:val="clear" w:color="auto" w:fill="FFFFFF"/>
        </w:rPr>
        <w:t>Scania announces a community engagement program and new charity partnership</w:t>
      </w:r>
      <w:r w:rsidRPr="006D3D59">
        <w:rPr>
          <w:shd w:val="clear" w:color="auto" w:fill="FFFFFF"/>
        </w:rPr>
        <w:t>. [online] Available at: &lt;https://www.scania.com/uk/en/home/experience-scania/news-and-events/news/2021/06/scania-announces-community-engagement-programme-and-new-charity-.html&gt; [Accessed 24 July 2021].</w:t>
      </w:r>
    </w:p>
    <w:p w14:paraId="13490565" w14:textId="77777777" w:rsidR="006D3D59" w:rsidRPr="006D3D59" w:rsidRDefault="006D3D59" w:rsidP="006D3D59">
      <w:pPr>
        <w:jc w:val="both"/>
        <w:rPr>
          <w:shd w:val="clear" w:color="auto" w:fill="FFFFFF"/>
        </w:rPr>
      </w:pPr>
      <w:r w:rsidRPr="006D3D59">
        <w:rPr>
          <w:shd w:val="clear" w:color="auto" w:fill="FFFFFF"/>
        </w:rPr>
        <w:t>Smith, J.A., Larkin, S., Yibarbuk, D. and Guenther, J., 2017. What do we know about community engagement in Indigenous education contexts and how might this impact on pathways into higher education?. In </w:t>
      </w:r>
      <w:r w:rsidRPr="006D3D59">
        <w:rPr>
          <w:i/>
          <w:iCs/>
          <w:shd w:val="clear" w:color="auto" w:fill="FFFFFF"/>
        </w:rPr>
        <w:t>Indigenous pathways, transitions and participation in higher education</w:t>
      </w:r>
      <w:r w:rsidRPr="006D3D59">
        <w:rPr>
          <w:shd w:val="clear" w:color="auto" w:fill="FFFFFF"/>
        </w:rPr>
        <w:t> (pp. 31-44). Springer, Singapore.</w:t>
      </w:r>
    </w:p>
    <w:p w14:paraId="7360A571" w14:textId="77777777" w:rsidR="00DB7662" w:rsidRPr="00E4777C" w:rsidRDefault="006D3D59" w:rsidP="00E4777C">
      <w:pPr>
        <w:jc w:val="both"/>
        <w:rPr>
          <w:rFonts w:eastAsia="Times New Roman" w:cs="Times New Roman"/>
          <w:color w:val="000000"/>
          <w:szCs w:val="24"/>
        </w:rPr>
      </w:pPr>
      <w:r w:rsidRPr="006D3D59">
        <w:rPr>
          <w:shd w:val="clear" w:color="auto" w:fill="FFFFFF"/>
        </w:rPr>
        <w:t>Vervoort, D., Ma, X., Luc, J.G. and Zieroth, S., 2020. Rapid scholarly dissemination and cardiovascular community engagement to combat the infodemic of the COVID-19 pandemic. </w:t>
      </w:r>
      <w:r w:rsidRPr="006D3D59">
        <w:rPr>
          <w:i/>
          <w:iCs/>
          <w:shd w:val="clear" w:color="auto" w:fill="FFFFFF"/>
        </w:rPr>
        <w:t>Canadian Journal of Cardiology</w:t>
      </w:r>
      <w:r w:rsidRPr="006D3D59">
        <w:rPr>
          <w:shd w:val="clear" w:color="auto" w:fill="FFFFFF"/>
        </w:rPr>
        <w:t>, </w:t>
      </w:r>
      <w:r w:rsidRPr="006D3D59">
        <w:rPr>
          <w:i/>
          <w:iCs/>
          <w:shd w:val="clear" w:color="auto" w:fill="FFFFFF"/>
        </w:rPr>
        <w:t>36</w:t>
      </w:r>
      <w:r w:rsidRPr="006D3D59">
        <w:rPr>
          <w:shd w:val="clear" w:color="auto" w:fill="FFFFFF"/>
        </w:rPr>
        <w:t>(6), pp.969-e1.</w:t>
      </w:r>
    </w:p>
    <w:sectPr w:rsidR="00DB7662" w:rsidRPr="00E4777C" w:rsidSect="00B720BE">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DB30A" w14:textId="77777777" w:rsidR="00A275E0" w:rsidRDefault="00A275E0" w:rsidP="00CB32B9">
      <w:pPr>
        <w:spacing w:after="0" w:line="240" w:lineRule="auto"/>
      </w:pPr>
      <w:r>
        <w:separator/>
      </w:r>
    </w:p>
  </w:endnote>
  <w:endnote w:type="continuationSeparator" w:id="0">
    <w:p w14:paraId="35D0F803" w14:textId="77777777" w:rsidR="00A275E0" w:rsidRDefault="00A275E0" w:rsidP="00CB3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7276233"/>
      <w:docPartObj>
        <w:docPartGallery w:val="Page Numbers (Bottom of Page)"/>
        <w:docPartUnique/>
      </w:docPartObj>
    </w:sdtPr>
    <w:sdtEndPr/>
    <w:sdtContent>
      <w:p w14:paraId="75671370" w14:textId="77777777" w:rsidR="0030720D" w:rsidRDefault="004A2A53">
        <w:pPr>
          <w:pStyle w:val="Piedepgina"/>
          <w:jc w:val="right"/>
        </w:pPr>
        <w:r>
          <w:fldChar w:fldCharType="begin"/>
        </w:r>
        <w:r w:rsidR="0013250A">
          <w:instrText xml:space="preserve"> PAGE   \* MERGEFORMAT </w:instrText>
        </w:r>
        <w:r>
          <w:fldChar w:fldCharType="separate"/>
        </w:r>
        <w:r w:rsidR="008D0E4C">
          <w:rPr>
            <w:noProof/>
          </w:rPr>
          <w:t>1</w:t>
        </w:r>
        <w:r>
          <w:rPr>
            <w:noProof/>
          </w:rPr>
          <w:fldChar w:fldCharType="end"/>
        </w:r>
      </w:p>
    </w:sdtContent>
  </w:sdt>
  <w:p w14:paraId="0E619598" w14:textId="77777777" w:rsidR="0030720D" w:rsidRDefault="0030720D">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40939" w14:textId="77777777" w:rsidR="00A275E0" w:rsidRDefault="00A275E0" w:rsidP="00CB32B9">
      <w:pPr>
        <w:spacing w:after="0" w:line="240" w:lineRule="auto"/>
      </w:pPr>
      <w:r>
        <w:separator/>
      </w:r>
    </w:p>
  </w:footnote>
  <w:footnote w:type="continuationSeparator" w:id="0">
    <w:p w14:paraId="0E32265C" w14:textId="77777777" w:rsidR="00A275E0" w:rsidRDefault="00A275E0" w:rsidP="00CB32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F61D7"/>
    <w:multiLevelType w:val="hybridMultilevel"/>
    <w:tmpl w:val="6BB6BB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removePersonalInformation/>
  <w:removeDateAndTime/>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0BE"/>
    <w:rsid w:val="000507EA"/>
    <w:rsid w:val="000E55F3"/>
    <w:rsid w:val="0013250A"/>
    <w:rsid w:val="0019756B"/>
    <w:rsid w:val="001D2F47"/>
    <w:rsid w:val="001F53FD"/>
    <w:rsid w:val="00232ABD"/>
    <w:rsid w:val="00245F21"/>
    <w:rsid w:val="0030720D"/>
    <w:rsid w:val="00342477"/>
    <w:rsid w:val="003C11B8"/>
    <w:rsid w:val="003D07FF"/>
    <w:rsid w:val="004A2A53"/>
    <w:rsid w:val="004A60E2"/>
    <w:rsid w:val="005D635C"/>
    <w:rsid w:val="006037E0"/>
    <w:rsid w:val="0062490A"/>
    <w:rsid w:val="006D3D59"/>
    <w:rsid w:val="0070316F"/>
    <w:rsid w:val="007E0CD4"/>
    <w:rsid w:val="007F5BC3"/>
    <w:rsid w:val="00863FD1"/>
    <w:rsid w:val="008B6AA8"/>
    <w:rsid w:val="008C5542"/>
    <w:rsid w:val="008D0E4C"/>
    <w:rsid w:val="008D1D4E"/>
    <w:rsid w:val="00904D75"/>
    <w:rsid w:val="00985B49"/>
    <w:rsid w:val="009914F4"/>
    <w:rsid w:val="00A275E0"/>
    <w:rsid w:val="00A53A54"/>
    <w:rsid w:val="00A70256"/>
    <w:rsid w:val="00B720BE"/>
    <w:rsid w:val="00BA07E5"/>
    <w:rsid w:val="00BC40C7"/>
    <w:rsid w:val="00C54B9B"/>
    <w:rsid w:val="00CB32B9"/>
    <w:rsid w:val="00CD65D5"/>
    <w:rsid w:val="00CE0A46"/>
    <w:rsid w:val="00D31E7F"/>
    <w:rsid w:val="00DA5AAB"/>
    <w:rsid w:val="00DB7662"/>
    <w:rsid w:val="00E4777C"/>
    <w:rsid w:val="00F069D1"/>
    <w:rsid w:val="00FD0959"/>
    <w:rsid w:val="00FE73D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25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4B9B"/>
    <w:pPr>
      <w:spacing w:line="360" w:lineRule="auto"/>
    </w:pPr>
    <w:rPr>
      <w:rFonts w:ascii="Times New Roman" w:hAnsi="Times New Roman"/>
      <w:sz w:val="24"/>
    </w:rPr>
  </w:style>
  <w:style w:type="paragraph" w:styleId="Ttulo1">
    <w:name w:val="heading 1"/>
    <w:basedOn w:val="Normal"/>
    <w:next w:val="Normal"/>
    <w:link w:val="Ttulo1Car"/>
    <w:uiPriority w:val="9"/>
    <w:qFormat/>
    <w:rsid w:val="00C54B9B"/>
    <w:pPr>
      <w:keepNext/>
      <w:keepLines/>
      <w:spacing w:before="480" w:after="0"/>
      <w:outlineLvl w:val="0"/>
    </w:pPr>
    <w:rPr>
      <w:rFonts w:eastAsiaTheme="majorEastAsia" w:cstheme="majorBidi"/>
      <w:b/>
      <w:bCs/>
      <w:szCs w:val="28"/>
    </w:rPr>
  </w:style>
  <w:style w:type="paragraph" w:styleId="Ttulo2">
    <w:name w:val="heading 2"/>
    <w:basedOn w:val="Normal"/>
    <w:next w:val="Normal"/>
    <w:link w:val="Ttulo2Car"/>
    <w:uiPriority w:val="9"/>
    <w:unhideWhenUsed/>
    <w:qFormat/>
    <w:rsid w:val="00C54B9B"/>
    <w:pPr>
      <w:keepNext/>
      <w:keepLines/>
      <w:spacing w:before="200" w:after="0"/>
      <w:outlineLvl w:val="1"/>
    </w:pPr>
    <w:rPr>
      <w:rFonts w:eastAsiaTheme="majorEastAsia" w:cstheme="majorBidi"/>
      <w:b/>
      <w:bCs/>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C54B9B"/>
    <w:rPr>
      <w:rFonts w:ascii="Times New Roman" w:eastAsiaTheme="majorEastAsia" w:hAnsi="Times New Roman" w:cstheme="majorBidi"/>
      <w:b/>
      <w:bCs/>
      <w:sz w:val="24"/>
      <w:szCs w:val="28"/>
    </w:rPr>
  </w:style>
  <w:style w:type="character" w:customStyle="1" w:styleId="Ttulo2Car">
    <w:name w:val="Título 2 Car"/>
    <w:basedOn w:val="Fuentedeprrafopredeter"/>
    <w:link w:val="Ttulo2"/>
    <w:uiPriority w:val="9"/>
    <w:rsid w:val="00C54B9B"/>
    <w:rPr>
      <w:rFonts w:ascii="Times New Roman" w:eastAsiaTheme="majorEastAsia" w:hAnsi="Times New Roman" w:cstheme="majorBidi"/>
      <w:b/>
      <w:bCs/>
      <w:sz w:val="24"/>
      <w:szCs w:val="26"/>
    </w:rPr>
  </w:style>
  <w:style w:type="paragraph" w:styleId="Ttulo">
    <w:name w:val="Title"/>
    <w:basedOn w:val="Normal"/>
    <w:next w:val="Normal"/>
    <w:link w:val="TtuloCar"/>
    <w:uiPriority w:val="10"/>
    <w:qFormat/>
    <w:rsid w:val="00C54B9B"/>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tuloCar">
    <w:name w:val="Título Car"/>
    <w:basedOn w:val="Fuentedeprrafopredeter"/>
    <w:link w:val="Ttulo"/>
    <w:uiPriority w:val="10"/>
    <w:rsid w:val="00C54B9B"/>
    <w:rPr>
      <w:rFonts w:ascii="Times New Roman" w:eastAsiaTheme="majorEastAsia" w:hAnsi="Times New Roman" w:cstheme="majorBidi"/>
      <w:b/>
      <w:spacing w:val="5"/>
      <w:kern w:val="28"/>
      <w:sz w:val="36"/>
      <w:szCs w:val="52"/>
    </w:rPr>
  </w:style>
  <w:style w:type="paragraph" w:styleId="Encabezado">
    <w:name w:val="header"/>
    <w:basedOn w:val="Normal"/>
    <w:link w:val="EncabezadoCar"/>
    <w:uiPriority w:val="99"/>
    <w:semiHidden/>
    <w:unhideWhenUsed/>
    <w:rsid w:val="00B720BE"/>
    <w:pPr>
      <w:tabs>
        <w:tab w:val="center" w:pos="4680"/>
        <w:tab w:val="right" w:pos="9360"/>
      </w:tabs>
      <w:spacing w:after="0" w:line="240" w:lineRule="auto"/>
    </w:pPr>
  </w:style>
  <w:style w:type="character" w:customStyle="1" w:styleId="EncabezadoCar">
    <w:name w:val="Encabezado Car"/>
    <w:basedOn w:val="Fuentedeprrafopredeter"/>
    <w:link w:val="Encabezado"/>
    <w:uiPriority w:val="99"/>
    <w:semiHidden/>
    <w:rsid w:val="00B720BE"/>
    <w:rPr>
      <w:rFonts w:ascii="Times New Roman" w:hAnsi="Times New Roman"/>
      <w:sz w:val="24"/>
    </w:rPr>
  </w:style>
  <w:style w:type="paragraph" w:styleId="Piedepgina">
    <w:name w:val="footer"/>
    <w:basedOn w:val="Normal"/>
    <w:link w:val="PiedepginaCar"/>
    <w:uiPriority w:val="99"/>
    <w:unhideWhenUsed/>
    <w:rsid w:val="00B720BE"/>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B720BE"/>
    <w:rPr>
      <w:rFonts w:ascii="Times New Roman" w:hAnsi="Times New Roman"/>
      <w:sz w:val="24"/>
    </w:rPr>
  </w:style>
  <w:style w:type="paragraph" w:styleId="Prrafodelista">
    <w:name w:val="List Paragraph"/>
    <w:basedOn w:val="Normal"/>
    <w:uiPriority w:val="34"/>
    <w:qFormat/>
    <w:rsid w:val="006D3D59"/>
    <w:pPr>
      <w:ind w:left="720"/>
      <w:contextualSpacing/>
    </w:pPr>
  </w:style>
  <w:style w:type="paragraph" w:styleId="TtuloTDC">
    <w:name w:val="TOC Heading"/>
    <w:basedOn w:val="Ttulo1"/>
    <w:next w:val="Normal"/>
    <w:uiPriority w:val="39"/>
    <w:semiHidden/>
    <w:unhideWhenUsed/>
    <w:qFormat/>
    <w:rsid w:val="008D0E4C"/>
    <w:pPr>
      <w:spacing w:line="276" w:lineRule="auto"/>
      <w:outlineLvl w:val="9"/>
    </w:pPr>
    <w:rPr>
      <w:rFonts w:asciiTheme="majorHAnsi" w:hAnsiTheme="majorHAnsi"/>
      <w:color w:val="365F91" w:themeColor="accent1" w:themeShade="BF"/>
      <w:sz w:val="28"/>
    </w:rPr>
  </w:style>
  <w:style w:type="paragraph" w:styleId="TDC1">
    <w:name w:val="toc 1"/>
    <w:basedOn w:val="Normal"/>
    <w:next w:val="Normal"/>
    <w:autoRedefine/>
    <w:uiPriority w:val="39"/>
    <w:unhideWhenUsed/>
    <w:rsid w:val="008D0E4C"/>
    <w:pPr>
      <w:spacing w:after="100"/>
    </w:pPr>
  </w:style>
  <w:style w:type="paragraph" w:styleId="TDC2">
    <w:name w:val="toc 2"/>
    <w:basedOn w:val="Normal"/>
    <w:next w:val="Normal"/>
    <w:autoRedefine/>
    <w:uiPriority w:val="39"/>
    <w:unhideWhenUsed/>
    <w:rsid w:val="008D0E4C"/>
    <w:pPr>
      <w:spacing w:after="100"/>
      <w:ind w:left="240"/>
    </w:pPr>
  </w:style>
  <w:style w:type="character" w:styleId="Hipervnculo">
    <w:name w:val="Hyperlink"/>
    <w:basedOn w:val="Fuentedeprrafopredeter"/>
    <w:uiPriority w:val="99"/>
    <w:unhideWhenUsed/>
    <w:rsid w:val="008D0E4C"/>
    <w:rPr>
      <w:color w:val="0000FF" w:themeColor="hyperlink"/>
      <w:u w:val="single"/>
    </w:rPr>
  </w:style>
  <w:style w:type="paragraph" w:styleId="Textodeglobo">
    <w:name w:val="Balloon Text"/>
    <w:basedOn w:val="Normal"/>
    <w:link w:val="TextodegloboCar"/>
    <w:uiPriority w:val="99"/>
    <w:semiHidden/>
    <w:unhideWhenUsed/>
    <w:rsid w:val="008D0E4C"/>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8D0E4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9190893">
      <w:bodyDiv w:val="1"/>
      <w:marLeft w:val="0"/>
      <w:marRight w:val="0"/>
      <w:marTop w:val="0"/>
      <w:marBottom w:val="0"/>
      <w:divBdr>
        <w:top w:val="none" w:sz="0" w:space="0" w:color="auto"/>
        <w:left w:val="none" w:sz="0" w:space="0" w:color="auto"/>
        <w:bottom w:val="none" w:sz="0" w:space="0" w:color="auto"/>
        <w:right w:val="none" w:sz="0" w:space="0" w:color="auto"/>
      </w:divBdr>
      <w:divsChild>
        <w:div w:id="503320578">
          <w:marLeft w:val="0"/>
          <w:marRight w:val="0"/>
          <w:marTop w:val="120"/>
          <w:marBottom w:val="0"/>
          <w:divBdr>
            <w:top w:val="none" w:sz="0" w:space="0" w:color="auto"/>
            <w:left w:val="none" w:sz="0" w:space="0" w:color="auto"/>
            <w:bottom w:val="none" w:sz="0" w:space="0" w:color="auto"/>
            <w:right w:val="none" w:sz="0" w:space="0" w:color="auto"/>
          </w:divBdr>
          <w:divsChild>
            <w:div w:id="577642602">
              <w:marLeft w:val="0"/>
              <w:marRight w:val="0"/>
              <w:marTop w:val="0"/>
              <w:marBottom w:val="0"/>
              <w:divBdr>
                <w:top w:val="none" w:sz="0" w:space="0" w:color="auto"/>
                <w:left w:val="none" w:sz="0" w:space="0" w:color="auto"/>
                <w:bottom w:val="none" w:sz="0" w:space="0" w:color="auto"/>
                <w:right w:val="none" w:sz="0" w:space="0" w:color="auto"/>
              </w:divBdr>
              <w:divsChild>
                <w:div w:id="386488424">
                  <w:marLeft w:val="0"/>
                  <w:marRight w:val="0"/>
                  <w:marTop w:val="0"/>
                  <w:marBottom w:val="0"/>
                  <w:divBdr>
                    <w:top w:val="none" w:sz="0" w:space="0" w:color="auto"/>
                    <w:left w:val="none" w:sz="0" w:space="0" w:color="auto"/>
                    <w:bottom w:val="none" w:sz="0" w:space="0" w:color="auto"/>
                    <w:right w:val="none" w:sz="0" w:space="0" w:color="auto"/>
                  </w:divBdr>
                  <w:divsChild>
                    <w:div w:id="378752253">
                      <w:marLeft w:val="0"/>
                      <w:marRight w:val="0"/>
                      <w:marTop w:val="0"/>
                      <w:marBottom w:val="0"/>
                      <w:divBdr>
                        <w:top w:val="none" w:sz="0" w:space="0" w:color="auto"/>
                        <w:left w:val="none" w:sz="0" w:space="0" w:color="auto"/>
                        <w:bottom w:val="none" w:sz="0" w:space="0" w:color="auto"/>
                        <w:right w:val="none" w:sz="0" w:space="0" w:color="auto"/>
                      </w:divBdr>
                      <w:divsChild>
                        <w:div w:id="1559626919">
                          <w:marLeft w:val="0"/>
                          <w:marRight w:val="0"/>
                          <w:marTop w:val="0"/>
                          <w:marBottom w:val="0"/>
                          <w:divBdr>
                            <w:top w:val="none" w:sz="0" w:space="0" w:color="auto"/>
                            <w:left w:val="none" w:sz="0" w:space="0" w:color="auto"/>
                            <w:bottom w:val="none" w:sz="0" w:space="0" w:color="auto"/>
                            <w:right w:val="none" w:sz="0" w:space="0" w:color="auto"/>
                          </w:divBdr>
                          <w:divsChild>
                            <w:div w:id="559483223">
                              <w:marLeft w:val="0"/>
                              <w:marRight w:val="0"/>
                              <w:marTop w:val="0"/>
                              <w:marBottom w:val="0"/>
                              <w:divBdr>
                                <w:top w:val="none" w:sz="0" w:space="0" w:color="auto"/>
                                <w:left w:val="none" w:sz="0" w:space="0" w:color="auto"/>
                                <w:bottom w:val="none" w:sz="0" w:space="0" w:color="auto"/>
                                <w:right w:val="none" w:sz="0" w:space="0" w:color="auto"/>
                              </w:divBdr>
                              <w:divsChild>
                                <w:div w:id="422645859">
                                  <w:marLeft w:val="0"/>
                                  <w:marRight w:val="0"/>
                                  <w:marTop w:val="0"/>
                                  <w:marBottom w:val="0"/>
                                  <w:divBdr>
                                    <w:top w:val="none" w:sz="0" w:space="0" w:color="auto"/>
                                    <w:left w:val="none" w:sz="0" w:space="0" w:color="auto"/>
                                    <w:bottom w:val="none" w:sz="0" w:space="0" w:color="auto"/>
                                    <w:right w:val="none" w:sz="0" w:space="0" w:color="auto"/>
                                  </w:divBdr>
                                  <w:divsChild>
                                    <w:div w:id="509608644">
                                      <w:marLeft w:val="0"/>
                                      <w:marRight w:val="0"/>
                                      <w:marTop w:val="0"/>
                                      <w:marBottom w:val="0"/>
                                      <w:divBdr>
                                        <w:top w:val="none" w:sz="0" w:space="0" w:color="auto"/>
                                        <w:left w:val="none" w:sz="0" w:space="0" w:color="auto"/>
                                        <w:bottom w:val="none" w:sz="0" w:space="0" w:color="auto"/>
                                        <w:right w:val="none" w:sz="0" w:space="0" w:color="auto"/>
                                      </w:divBdr>
                                      <w:divsChild>
                                        <w:div w:id="1799227507">
                                          <w:marLeft w:val="0"/>
                                          <w:marRight w:val="0"/>
                                          <w:marTop w:val="0"/>
                                          <w:marBottom w:val="0"/>
                                          <w:divBdr>
                                            <w:top w:val="none" w:sz="0" w:space="0" w:color="auto"/>
                                            <w:left w:val="none" w:sz="0" w:space="0" w:color="auto"/>
                                            <w:bottom w:val="none" w:sz="0" w:space="0" w:color="auto"/>
                                            <w:right w:val="none" w:sz="0" w:space="0" w:color="auto"/>
                                          </w:divBdr>
                                          <w:divsChild>
                                            <w:div w:id="660160272">
                                              <w:marLeft w:val="0"/>
                                              <w:marRight w:val="0"/>
                                              <w:marTop w:val="0"/>
                                              <w:marBottom w:val="0"/>
                                              <w:divBdr>
                                                <w:top w:val="none" w:sz="0" w:space="0" w:color="auto"/>
                                                <w:left w:val="none" w:sz="0" w:space="0" w:color="auto"/>
                                                <w:bottom w:val="none" w:sz="0" w:space="0" w:color="auto"/>
                                                <w:right w:val="none" w:sz="0" w:space="0" w:color="auto"/>
                                              </w:divBdr>
                                              <w:divsChild>
                                                <w:div w:id="1887058722">
                                                  <w:marLeft w:val="0"/>
                                                  <w:marRight w:val="0"/>
                                                  <w:marTop w:val="0"/>
                                                  <w:marBottom w:val="0"/>
                                                  <w:divBdr>
                                                    <w:top w:val="none" w:sz="0" w:space="0" w:color="auto"/>
                                                    <w:left w:val="none" w:sz="0" w:space="0" w:color="auto"/>
                                                    <w:bottom w:val="none" w:sz="0" w:space="0" w:color="auto"/>
                                                    <w:right w:val="none" w:sz="0" w:space="0" w:color="auto"/>
                                                  </w:divBdr>
                                                  <w:divsChild>
                                                    <w:div w:id="2092236953">
                                                      <w:marLeft w:val="0"/>
                                                      <w:marRight w:val="0"/>
                                                      <w:marTop w:val="0"/>
                                                      <w:marBottom w:val="0"/>
                                                      <w:divBdr>
                                                        <w:top w:val="none" w:sz="0" w:space="0" w:color="auto"/>
                                                        <w:left w:val="none" w:sz="0" w:space="0" w:color="auto"/>
                                                        <w:bottom w:val="none" w:sz="0" w:space="0" w:color="auto"/>
                                                        <w:right w:val="none" w:sz="0" w:space="0" w:color="auto"/>
                                                      </w:divBdr>
                                                      <w:divsChild>
                                                        <w:div w:id="1047493181">
                                                          <w:marLeft w:val="0"/>
                                                          <w:marRight w:val="0"/>
                                                          <w:marTop w:val="0"/>
                                                          <w:marBottom w:val="0"/>
                                                          <w:divBdr>
                                                            <w:top w:val="none" w:sz="0" w:space="0" w:color="auto"/>
                                                            <w:left w:val="none" w:sz="0" w:space="0" w:color="auto"/>
                                                            <w:bottom w:val="none" w:sz="0" w:space="0" w:color="auto"/>
                                                            <w:right w:val="none" w:sz="0" w:space="0" w:color="auto"/>
                                                          </w:divBdr>
                                                        </w:div>
                                                        <w:div w:id="482895259">
                                                          <w:marLeft w:val="0"/>
                                                          <w:marRight w:val="0"/>
                                                          <w:marTop w:val="0"/>
                                                          <w:marBottom w:val="0"/>
                                                          <w:divBdr>
                                                            <w:top w:val="none" w:sz="0" w:space="0" w:color="auto"/>
                                                            <w:left w:val="none" w:sz="0" w:space="0" w:color="auto"/>
                                                            <w:bottom w:val="none" w:sz="0" w:space="0" w:color="auto"/>
                                                            <w:right w:val="none" w:sz="0" w:space="0" w:color="auto"/>
                                                          </w:divBdr>
                                                        </w:div>
                                                        <w:div w:id="515464491">
                                                          <w:marLeft w:val="0"/>
                                                          <w:marRight w:val="0"/>
                                                          <w:marTop w:val="0"/>
                                                          <w:marBottom w:val="0"/>
                                                          <w:divBdr>
                                                            <w:top w:val="none" w:sz="0" w:space="0" w:color="auto"/>
                                                            <w:left w:val="none" w:sz="0" w:space="0" w:color="auto"/>
                                                            <w:bottom w:val="none" w:sz="0" w:space="0" w:color="auto"/>
                                                            <w:right w:val="none" w:sz="0" w:space="0" w:color="auto"/>
                                                          </w:divBdr>
                                                        </w:div>
                                                        <w:div w:id="1845583773">
                                                          <w:marLeft w:val="0"/>
                                                          <w:marRight w:val="0"/>
                                                          <w:marTop w:val="0"/>
                                                          <w:marBottom w:val="0"/>
                                                          <w:divBdr>
                                                            <w:top w:val="none" w:sz="0" w:space="0" w:color="auto"/>
                                                            <w:left w:val="none" w:sz="0" w:space="0" w:color="auto"/>
                                                            <w:bottom w:val="none" w:sz="0" w:space="0" w:color="auto"/>
                                                            <w:right w:val="none" w:sz="0" w:space="0" w:color="auto"/>
                                                          </w:divBdr>
                                                        </w:div>
                                                        <w:div w:id="592861864">
                                                          <w:marLeft w:val="0"/>
                                                          <w:marRight w:val="0"/>
                                                          <w:marTop w:val="0"/>
                                                          <w:marBottom w:val="0"/>
                                                          <w:divBdr>
                                                            <w:top w:val="none" w:sz="0" w:space="0" w:color="auto"/>
                                                            <w:left w:val="none" w:sz="0" w:space="0" w:color="auto"/>
                                                            <w:bottom w:val="none" w:sz="0" w:space="0" w:color="auto"/>
                                                            <w:right w:val="none" w:sz="0" w:space="0" w:color="auto"/>
                                                          </w:divBdr>
                                                        </w:div>
                                                        <w:div w:id="1508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E0B85A-086E-C949-8BEB-9DD4265C53C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2733</Words>
  <Characters>15034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2021-08-22T16:28:00Z</dcterms:created>
  <dcterms:modified xsi:type="dcterms:W3CDTF">2021-08-22T16:28:00Z</dcterms:modified>
</cp:coreProperties>
</file>