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87D4A" w14:textId="77777777" w:rsidR="007F0A0D" w:rsidRPr="0088702A" w:rsidRDefault="005F414F" w:rsidP="0088702A">
      <w:pPr>
        <w:spacing w:after="320"/>
        <w:rPr>
          <w:rFonts w:ascii="Times New Roman" w:hAnsi="Times New Roman" w:cs="Times New Roman"/>
          <w:szCs w:val="24"/>
        </w:rPr>
      </w:pPr>
      <w:r w:rsidRPr="0088702A">
        <w:rPr>
          <w:rFonts w:ascii="Times New Roman" w:hAnsi="Times New Roman" w:cs="Times New Roman"/>
          <w:noProof/>
          <w:szCs w:val="24"/>
          <w:lang w:val="en-IN" w:eastAsia="en-IN"/>
        </w:rPr>
        <w:drawing>
          <wp:inline distT="0" distB="0" distL="0" distR="0" wp14:anchorId="0AA3135D" wp14:editId="2D2A91E8">
            <wp:extent cx="1737360" cy="830322"/>
            <wp:effectExtent l="0" t="0" r="0" b="8255"/>
            <wp:docPr id="1" name="UWTSD logo" descr="University of Wales Trinity Saint David logo" title="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_crop.png"/>
                    <pic:cNvPicPr/>
                  </pic:nvPicPr>
                  <pic:blipFill rotWithShape="1">
                    <a:blip r:embed="rId8"/>
                    <a:srcRect r="11600" b="19110"/>
                    <a:stretch>
                      <a:fillRect/>
                    </a:stretch>
                  </pic:blipFill>
                  <pic:spPr bwMode="auto">
                    <a:xfrm>
                      <a:off x="0" y="0"/>
                      <a:ext cx="1737921" cy="830590"/>
                    </a:xfrm>
                    <a:prstGeom prst="rect">
                      <a:avLst/>
                    </a:prstGeom>
                    <a:ln>
                      <a:noFill/>
                    </a:ln>
                    <a:extLst>
                      <a:ext uri="{53640926-AAD7-44D8-BBD7-CCE9431645EC}">
                        <a14:shadowObscured xmlns:a14="http://schemas.microsoft.com/office/drawing/2010/main"/>
                      </a:ext>
                    </a:extLst>
                  </pic:spPr>
                </pic:pic>
              </a:graphicData>
            </a:graphic>
          </wp:inline>
        </w:drawing>
      </w:r>
    </w:p>
    <w:p w14:paraId="567B7931" w14:textId="77777777" w:rsidR="007F0A0D" w:rsidRPr="0088702A" w:rsidRDefault="005F414F" w:rsidP="0088702A">
      <w:pPr>
        <w:spacing w:after="160"/>
        <w:jc w:val="center"/>
        <w:rPr>
          <w:rFonts w:ascii="Times New Roman" w:hAnsi="Times New Roman" w:cs="Times New Roman"/>
          <w:szCs w:val="24"/>
        </w:rPr>
      </w:pPr>
      <w:r w:rsidRPr="0088702A">
        <w:rPr>
          <w:rFonts w:ascii="Times New Roman" w:hAnsi="Times New Roman" w:cs="Times New Roman"/>
          <w:b/>
          <w:szCs w:val="24"/>
        </w:rPr>
        <w:t>Portfolio: Sustainable Brand Extension Strategy</w:t>
      </w:r>
    </w:p>
    <w:p w14:paraId="59E529A3" w14:textId="77777777" w:rsidR="007F0A0D" w:rsidRPr="0088702A" w:rsidRDefault="005F414F" w:rsidP="0088702A">
      <w:pPr>
        <w:spacing w:after="360"/>
        <w:jc w:val="center"/>
        <w:rPr>
          <w:rFonts w:ascii="Times New Roman" w:hAnsi="Times New Roman" w:cs="Times New Roman"/>
          <w:szCs w:val="24"/>
        </w:rPr>
      </w:pPr>
      <w:r w:rsidRPr="0088702A">
        <w:rPr>
          <w:rFonts w:ascii="Times New Roman" w:hAnsi="Times New Roman" w:cs="Times New Roman"/>
          <w:b/>
          <w:szCs w:val="24"/>
        </w:rPr>
        <w:t>Boots Refill &amp; Return Beauty Bar</w:t>
      </w:r>
    </w:p>
    <w:tbl>
      <w:tblPr>
        <w:tblStyle w:val="TableGrid"/>
        <w:tblW w:w="0" w:type="auto"/>
        <w:jc w:val="center"/>
        <w:tblLayout w:type="fixed"/>
        <w:tblLook w:val="04A0" w:firstRow="1" w:lastRow="0" w:firstColumn="1" w:lastColumn="0" w:noHBand="0" w:noVBand="1"/>
      </w:tblPr>
      <w:tblGrid>
        <w:gridCol w:w="2376"/>
        <w:gridCol w:w="6984"/>
      </w:tblGrid>
      <w:tr w:rsidR="007F0A0D" w:rsidRPr="0088702A" w14:paraId="2AEFA4EA" w14:textId="77777777">
        <w:trPr>
          <w:jc w:val="center"/>
        </w:trPr>
        <w:tc>
          <w:tcPr>
            <w:tcW w:w="2376" w:type="dxa"/>
            <w:shd w:val="clear" w:color="auto" w:fill="D9EAF7"/>
            <w:tcMar>
              <w:top w:w="120" w:type="dxa"/>
              <w:left w:w="120" w:type="dxa"/>
              <w:bottom w:w="120" w:type="dxa"/>
              <w:right w:w="120" w:type="dxa"/>
            </w:tcMar>
            <w:vAlign w:val="center"/>
          </w:tcPr>
          <w:p w14:paraId="477B2E14"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b/>
                <w:szCs w:val="24"/>
              </w:rPr>
              <w:t>Programme</w:t>
            </w:r>
          </w:p>
        </w:tc>
        <w:tc>
          <w:tcPr>
            <w:tcW w:w="6984" w:type="dxa"/>
            <w:tcMar>
              <w:top w:w="120" w:type="dxa"/>
              <w:left w:w="120" w:type="dxa"/>
              <w:bottom w:w="120" w:type="dxa"/>
              <w:right w:w="120" w:type="dxa"/>
            </w:tcMar>
            <w:vAlign w:val="center"/>
          </w:tcPr>
          <w:p w14:paraId="5BA38344"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szCs w:val="24"/>
              </w:rPr>
              <w:t>Master of Business Administration</w:t>
            </w:r>
          </w:p>
        </w:tc>
      </w:tr>
      <w:tr w:rsidR="007F0A0D" w:rsidRPr="0088702A" w14:paraId="210B1471" w14:textId="77777777">
        <w:trPr>
          <w:jc w:val="center"/>
        </w:trPr>
        <w:tc>
          <w:tcPr>
            <w:tcW w:w="2376" w:type="dxa"/>
            <w:shd w:val="clear" w:color="auto" w:fill="D9EAF7"/>
            <w:tcMar>
              <w:top w:w="120" w:type="dxa"/>
              <w:left w:w="120" w:type="dxa"/>
              <w:bottom w:w="120" w:type="dxa"/>
              <w:right w:w="120" w:type="dxa"/>
            </w:tcMar>
            <w:vAlign w:val="center"/>
          </w:tcPr>
          <w:p w14:paraId="46967D59"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b/>
                <w:szCs w:val="24"/>
              </w:rPr>
              <w:t>Module</w:t>
            </w:r>
          </w:p>
        </w:tc>
        <w:tc>
          <w:tcPr>
            <w:tcW w:w="6984" w:type="dxa"/>
            <w:tcMar>
              <w:top w:w="120" w:type="dxa"/>
              <w:left w:w="120" w:type="dxa"/>
              <w:bottom w:w="120" w:type="dxa"/>
              <w:right w:w="120" w:type="dxa"/>
            </w:tcMar>
            <w:vAlign w:val="center"/>
          </w:tcPr>
          <w:p w14:paraId="16539F18"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szCs w:val="24"/>
              </w:rPr>
              <w:t>Marketing Management</w:t>
            </w:r>
          </w:p>
        </w:tc>
      </w:tr>
      <w:tr w:rsidR="007F0A0D" w:rsidRPr="0088702A" w14:paraId="645785C5" w14:textId="77777777">
        <w:trPr>
          <w:jc w:val="center"/>
        </w:trPr>
        <w:tc>
          <w:tcPr>
            <w:tcW w:w="2376" w:type="dxa"/>
            <w:shd w:val="clear" w:color="auto" w:fill="D9EAF7"/>
            <w:tcMar>
              <w:top w:w="120" w:type="dxa"/>
              <w:left w:w="120" w:type="dxa"/>
              <w:bottom w:w="120" w:type="dxa"/>
              <w:right w:w="120" w:type="dxa"/>
            </w:tcMar>
            <w:vAlign w:val="center"/>
          </w:tcPr>
          <w:p w14:paraId="411BF9C9"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b/>
                <w:szCs w:val="24"/>
              </w:rPr>
              <w:t>Module code</w:t>
            </w:r>
          </w:p>
        </w:tc>
        <w:tc>
          <w:tcPr>
            <w:tcW w:w="6984" w:type="dxa"/>
            <w:tcMar>
              <w:top w:w="120" w:type="dxa"/>
              <w:left w:w="120" w:type="dxa"/>
              <w:bottom w:w="120" w:type="dxa"/>
              <w:right w:w="120" w:type="dxa"/>
            </w:tcMar>
            <w:vAlign w:val="center"/>
          </w:tcPr>
          <w:p w14:paraId="694A597A"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szCs w:val="24"/>
              </w:rPr>
              <w:t>LCMB7024</w:t>
            </w:r>
          </w:p>
        </w:tc>
      </w:tr>
      <w:tr w:rsidR="007F0A0D" w:rsidRPr="0088702A" w14:paraId="46E6AEF1" w14:textId="77777777">
        <w:trPr>
          <w:jc w:val="center"/>
        </w:trPr>
        <w:tc>
          <w:tcPr>
            <w:tcW w:w="2376" w:type="dxa"/>
            <w:shd w:val="clear" w:color="auto" w:fill="D9EAF7"/>
            <w:tcMar>
              <w:top w:w="120" w:type="dxa"/>
              <w:left w:w="120" w:type="dxa"/>
              <w:bottom w:w="120" w:type="dxa"/>
              <w:right w:w="120" w:type="dxa"/>
            </w:tcMar>
            <w:vAlign w:val="center"/>
          </w:tcPr>
          <w:p w14:paraId="0CB3B85A"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b/>
                <w:szCs w:val="24"/>
              </w:rPr>
              <w:t>Lecturers</w:t>
            </w:r>
          </w:p>
        </w:tc>
        <w:tc>
          <w:tcPr>
            <w:tcW w:w="6984" w:type="dxa"/>
            <w:tcMar>
              <w:top w:w="120" w:type="dxa"/>
              <w:left w:w="120" w:type="dxa"/>
              <w:bottom w:w="120" w:type="dxa"/>
              <w:right w:w="120" w:type="dxa"/>
            </w:tcMar>
            <w:vAlign w:val="center"/>
          </w:tcPr>
          <w:p w14:paraId="65B409BE"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szCs w:val="24"/>
              </w:rPr>
              <w:t>Laila Maazouz; Taonga Kaonga Sobere-Snithers</w:t>
            </w:r>
          </w:p>
        </w:tc>
      </w:tr>
      <w:tr w:rsidR="007F0A0D" w:rsidRPr="0088702A" w14:paraId="5E4A595E" w14:textId="77777777">
        <w:trPr>
          <w:jc w:val="center"/>
        </w:trPr>
        <w:tc>
          <w:tcPr>
            <w:tcW w:w="2376" w:type="dxa"/>
            <w:shd w:val="clear" w:color="auto" w:fill="D9EAF7"/>
            <w:tcMar>
              <w:top w:w="120" w:type="dxa"/>
              <w:left w:w="120" w:type="dxa"/>
              <w:bottom w:w="120" w:type="dxa"/>
              <w:right w:w="120" w:type="dxa"/>
            </w:tcMar>
            <w:vAlign w:val="center"/>
          </w:tcPr>
          <w:p w14:paraId="1AD22321"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b/>
                <w:szCs w:val="24"/>
              </w:rPr>
              <w:t>Student name</w:t>
            </w:r>
          </w:p>
        </w:tc>
        <w:tc>
          <w:tcPr>
            <w:tcW w:w="6984" w:type="dxa"/>
            <w:tcMar>
              <w:top w:w="120" w:type="dxa"/>
              <w:left w:w="120" w:type="dxa"/>
              <w:bottom w:w="120" w:type="dxa"/>
              <w:right w:w="120" w:type="dxa"/>
            </w:tcMar>
            <w:vAlign w:val="center"/>
          </w:tcPr>
          <w:p w14:paraId="0A9A58B9" w14:textId="77777777" w:rsidR="007F0A0D" w:rsidRPr="0088702A" w:rsidRDefault="0088702A" w:rsidP="0088702A">
            <w:pPr>
              <w:spacing w:after="0"/>
              <w:rPr>
                <w:rFonts w:ascii="Times New Roman" w:hAnsi="Times New Roman" w:cs="Times New Roman"/>
                <w:szCs w:val="24"/>
              </w:rPr>
            </w:pPr>
            <w:r w:rsidRPr="0088702A">
              <w:rPr>
                <w:rFonts w:ascii="Times New Roman" w:hAnsi="Times New Roman" w:cs="Times New Roman"/>
                <w:szCs w:val="24"/>
              </w:rPr>
              <w:t>Muhammed Zaid</w:t>
            </w:r>
          </w:p>
        </w:tc>
      </w:tr>
      <w:tr w:rsidR="007F0A0D" w:rsidRPr="0088702A" w14:paraId="0A839C67" w14:textId="77777777">
        <w:trPr>
          <w:jc w:val="center"/>
        </w:trPr>
        <w:tc>
          <w:tcPr>
            <w:tcW w:w="2376" w:type="dxa"/>
            <w:shd w:val="clear" w:color="auto" w:fill="D9EAF7"/>
            <w:tcMar>
              <w:top w:w="120" w:type="dxa"/>
              <w:left w:w="120" w:type="dxa"/>
              <w:bottom w:w="120" w:type="dxa"/>
              <w:right w:w="120" w:type="dxa"/>
            </w:tcMar>
            <w:vAlign w:val="center"/>
          </w:tcPr>
          <w:p w14:paraId="655352C6"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b/>
                <w:szCs w:val="24"/>
              </w:rPr>
              <w:t>Student ID number</w:t>
            </w:r>
          </w:p>
        </w:tc>
        <w:tc>
          <w:tcPr>
            <w:tcW w:w="6984" w:type="dxa"/>
            <w:tcMar>
              <w:top w:w="120" w:type="dxa"/>
              <w:left w:w="120" w:type="dxa"/>
              <w:bottom w:w="120" w:type="dxa"/>
              <w:right w:w="120" w:type="dxa"/>
            </w:tcMar>
            <w:vAlign w:val="center"/>
          </w:tcPr>
          <w:p w14:paraId="489B57C9" w14:textId="77777777" w:rsidR="007F0A0D" w:rsidRPr="0088702A" w:rsidRDefault="0088702A" w:rsidP="0088702A">
            <w:pPr>
              <w:spacing w:after="0"/>
              <w:rPr>
                <w:rFonts w:ascii="Times New Roman" w:hAnsi="Times New Roman" w:cs="Times New Roman"/>
                <w:szCs w:val="24"/>
              </w:rPr>
            </w:pPr>
            <w:r w:rsidRPr="0088702A">
              <w:rPr>
                <w:rFonts w:ascii="Times New Roman" w:hAnsi="Times New Roman" w:cs="Times New Roman"/>
                <w:szCs w:val="24"/>
              </w:rPr>
              <w:t>2535787</w:t>
            </w:r>
          </w:p>
        </w:tc>
      </w:tr>
      <w:tr w:rsidR="007F0A0D" w:rsidRPr="0088702A" w14:paraId="7C92B615" w14:textId="77777777">
        <w:trPr>
          <w:jc w:val="center"/>
        </w:trPr>
        <w:tc>
          <w:tcPr>
            <w:tcW w:w="2376" w:type="dxa"/>
            <w:shd w:val="clear" w:color="auto" w:fill="D9EAF7"/>
            <w:tcMar>
              <w:top w:w="120" w:type="dxa"/>
              <w:left w:w="120" w:type="dxa"/>
              <w:bottom w:w="120" w:type="dxa"/>
              <w:right w:w="120" w:type="dxa"/>
            </w:tcMar>
            <w:vAlign w:val="center"/>
          </w:tcPr>
          <w:p w14:paraId="7613E1D9"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b/>
                <w:szCs w:val="24"/>
              </w:rPr>
              <w:t>Word count</w:t>
            </w:r>
          </w:p>
        </w:tc>
        <w:tc>
          <w:tcPr>
            <w:tcW w:w="6984" w:type="dxa"/>
            <w:tcMar>
              <w:top w:w="120" w:type="dxa"/>
              <w:left w:w="120" w:type="dxa"/>
              <w:bottom w:w="120" w:type="dxa"/>
              <w:right w:w="120" w:type="dxa"/>
            </w:tcMar>
            <w:vAlign w:val="center"/>
          </w:tcPr>
          <w:p w14:paraId="73CC3824" w14:textId="192698A9"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szCs w:val="24"/>
              </w:rPr>
              <w:t>2,</w:t>
            </w:r>
            <w:r w:rsidR="00BF1903" w:rsidRPr="0088702A">
              <w:rPr>
                <w:rFonts w:ascii="Times New Roman" w:hAnsi="Times New Roman" w:cs="Times New Roman"/>
                <w:szCs w:val="24"/>
              </w:rPr>
              <w:t>4</w:t>
            </w:r>
            <w:r w:rsidR="00D81B25">
              <w:rPr>
                <w:rFonts w:ascii="Times New Roman" w:hAnsi="Times New Roman" w:cs="Times New Roman"/>
                <w:szCs w:val="24"/>
              </w:rPr>
              <w:t>49</w:t>
            </w:r>
            <w:r w:rsidRPr="0088702A">
              <w:rPr>
                <w:rFonts w:ascii="Times New Roman" w:hAnsi="Times New Roman" w:cs="Times New Roman"/>
                <w:szCs w:val="24"/>
              </w:rPr>
              <w:t xml:space="preserve"> words</w:t>
            </w:r>
          </w:p>
        </w:tc>
      </w:tr>
      <w:tr w:rsidR="007F0A0D" w:rsidRPr="0088702A" w14:paraId="7CEE644C" w14:textId="77777777">
        <w:trPr>
          <w:jc w:val="center"/>
        </w:trPr>
        <w:tc>
          <w:tcPr>
            <w:tcW w:w="2376" w:type="dxa"/>
            <w:shd w:val="clear" w:color="auto" w:fill="D9EAF7"/>
            <w:tcMar>
              <w:top w:w="120" w:type="dxa"/>
              <w:left w:w="120" w:type="dxa"/>
              <w:bottom w:w="120" w:type="dxa"/>
              <w:right w:w="120" w:type="dxa"/>
            </w:tcMar>
            <w:vAlign w:val="center"/>
          </w:tcPr>
          <w:p w14:paraId="23605152"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b/>
                <w:szCs w:val="24"/>
              </w:rPr>
              <w:t>Submission date</w:t>
            </w:r>
          </w:p>
        </w:tc>
        <w:tc>
          <w:tcPr>
            <w:tcW w:w="6984" w:type="dxa"/>
            <w:tcMar>
              <w:top w:w="120" w:type="dxa"/>
              <w:left w:w="120" w:type="dxa"/>
              <w:bottom w:w="120" w:type="dxa"/>
              <w:right w:w="120" w:type="dxa"/>
            </w:tcMar>
            <w:vAlign w:val="center"/>
          </w:tcPr>
          <w:p w14:paraId="411C7CD9" w14:textId="77777777" w:rsidR="007F0A0D" w:rsidRPr="0088702A" w:rsidRDefault="005F414F" w:rsidP="0088702A">
            <w:pPr>
              <w:spacing w:after="0"/>
              <w:rPr>
                <w:rFonts w:ascii="Times New Roman" w:hAnsi="Times New Roman" w:cs="Times New Roman"/>
                <w:szCs w:val="24"/>
              </w:rPr>
            </w:pPr>
            <w:r w:rsidRPr="0088702A">
              <w:rPr>
                <w:rFonts w:ascii="Times New Roman" w:hAnsi="Times New Roman" w:cs="Times New Roman"/>
                <w:szCs w:val="24"/>
              </w:rPr>
              <w:t>Friday 14 August 2026</w:t>
            </w:r>
          </w:p>
        </w:tc>
      </w:tr>
    </w:tbl>
    <w:p w14:paraId="608AC526" w14:textId="77777777" w:rsidR="007F0A0D" w:rsidRPr="0088702A" w:rsidRDefault="005F414F" w:rsidP="0088702A">
      <w:pPr>
        <w:rPr>
          <w:rFonts w:ascii="Times New Roman" w:hAnsi="Times New Roman" w:cs="Times New Roman"/>
          <w:szCs w:val="24"/>
        </w:rPr>
      </w:pPr>
      <w:r w:rsidRPr="0088702A">
        <w:rPr>
          <w:rFonts w:ascii="Times New Roman" w:hAnsi="Times New Roman" w:cs="Times New Roman"/>
          <w:szCs w:val="24"/>
        </w:rPr>
        <w:br w:type="page"/>
      </w:r>
    </w:p>
    <w:sdt>
      <w:sdtPr>
        <w:rPr>
          <w:rFonts w:ascii="Times New Roman" w:eastAsia="Arial" w:hAnsi="Times New Roman" w:cs="Times New Roman"/>
          <w:b w:val="0"/>
          <w:bCs w:val="0"/>
          <w:color w:val="auto"/>
          <w:sz w:val="24"/>
          <w:szCs w:val="24"/>
        </w:rPr>
        <w:id w:val="-133947941"/>
        <w:docPartObj>
          <w:docPartGallery w:val="Table of Contents"/>
          <w:docPartUnique/>
        </w:docPartObj>
      </w:sdtPr>
      <w:sdtEndPr>
        <w:rPr>
          <w:noProof/>
        </w:rPr>
      </w:sdtEndPr>
      <w:sdtContent>
        <w:p w14:paraId="46BA214A" w14:textId="77777777" w:rsidR="00C3616A" w:rsidRPr="0088702A" w:rsidRDefault="00C3616A" w:rsidP="0088702A">
          <w:pPr>
            <w:pStyle w:val="TOCHeading"/>
            <w:rPr>
              <w:rFonts w:ascii="Times New Roman" w:hAnsi="Times New Roman" w:cs="Times New Roman"/>
              <w:color w:val="auto"/>
              <w:sz w:val="24"/>
              <w:szCs w:val="24"/>
            </w:rPr>
          </w:pPr>
          <w:r w:rsidRPr="0088702A">
            <w:rPr>
              <w:rFonts w:ascii="Times New Roman" w:hAnsi="Times New Roman" w:cs="Times New Roman"/>
              <w:color w:val="auto"/>
              <w:sz w:val="24"/>
              <w:szCs w:val="24"/>
            </w:rPr>
            <w:t>Contents</w:t>
          </w:r>
        </w:p>
        <w:p w14:paraId="6D9BEF98" w14:textId="160C0323" w:rsidR="00C3616A" w:rsidRPr="0088702A" w:rsidRDefault="00C3616A" w:rsidP="0088702A">
          <w:pPr>
            <w:pStyle w:val="TOC1"/>
            <w:tabs>
              <w:tab w:val="right" w:leader="dot" w:pos="9595"/>
            </w:tabs>
            <w:rPr>
              <w:rFonts w:ascii="Times New Roman" w:eastAsiaTheme="minorEastAsia" w:hAnsi="Times New Roman" w:cs="Times New Roman"/>
              <w:noProof/>
              <w:kern w:val="2"/>
              <w:szCs w:val="24"/>
              <w:lang w:val="en-IN" w:eastAsia="en-IN" w:bidi="hi-IN"/>
              <w14:ligatures w14:val="standardContextual"/>
            </w:rPr>
          </w:pPr>
          <w:r w:rsidRPr="0088702A">
            <w:rPr>
              <w:rFonts w:ascii="Times New Roman" w:hAnsi="Times New Roman" w:cs="Times New Roman"/>
              <w:szCs w:val="24"/>
            </w:rPr>
            <w:fldChar w:fldCharType="begin"/>
          </w:r>
          <w:r w:rsidRPr="0088702A">
            <w:rPr>
              <w:rFonts w:ascii="Times New Roman" w:hAnsi="Times New Roman" w:cs="Times New Roman"/>
              <w:szCs w:val="24"/>
            </w:rPr>
            <w:instrText xml:space="preserve"> TOC \o "1-3" \h \z \u </w:instrText>
          </w:r>
          <w:r w:rsidRPr="0088702A">
            <w:rPr>
              <w:rFonts w:ascii="Times New Roman" w:hAnsi="Times New Roman" w:cs="Times New Roman"/>
              <w:szCs w:val="24"/>
            </w:rPr>
            <w:fldChar w:fldCharType="separate"/>
          </w:r>
          <w:hyperlink w:anchor="_Toc234589397" w:history="1">
            <w:r w:rsidRPr="0088702A">
              <w:rPr>
                <w:rStyle w:val="Hyperlink"/>
                <w:rFonts w:ascii="Times New Roman" w:hAnsi="Times New Roman" w:cs="Times New Roman"/>
                <w:noProof/>
                <w:szCs w:val="24"/>
              </w:rPr>
              <w:t>Element 1: Sustainable Brand Extension Poster Presentation</w:t>
            </w:r>
            <w:r w:rsidRPr="0088702A">
              <w:rPr>
                <w:rFonts w:ascii="Times New Roman" w:hAnsi="Times New Roman" w:cs="Times New Roman"/>
                <w:noProof/>
                <w:webHidden/>
                <w:szCs w:val="24"/>
              </w:rPr>
              <w:tab/>
            </w:r>
            <w:r w:rsidRPr="0088702A">
              <w:rPr>
                <w:rFonts w:ascii="Times New Roman" w:hAnsi="Times New Roman" w:cs="Times New Roman"/>
                <w:noProof/>
                <w:webHidden/>
                <w:szCs w:val="24"/>
              </w:rPr>
              <w:fldChar w:fldCharType="begin"/>
            </w:r>
            <w:r w:rsidRPr="0088702A">
              <w:rPr>
                <w:rFonts w:ascii="Times New Roman" w:hAnsi="Times New Roman" w:cs="Times New Roman"/>
                <w:noProof/>
                <w:webHidden/>
                <w:szCs w:val="24"/>
              </w:rPr>
              <w:instrText xml:space="preserve"> PAGEREF _Toc234589397 \h </w:instrText>
            </w:r>
            <w:r w:rsidRPr="0088702A">
              <w:rPr>
                <w:rFonts w:ascii="Times New Roman" w:hAnsi="Times New Roman" w:cs="Times New Roman"/>
                <w:noProof/>
                <w:webHidden/>
                <w:szCs w:val="24"/>
              </w:rPr>
            </w:r>
            <w:r w:rsidRPr="0088702A">
              <w:rPr>
                <w:rFonts w:ascii="Times New Roman" w:hAnsi="Times New Roman" w:cs="Times New Roman"/>
                <w:noProof/>
                <w:webHidden/>
                <w:szCs w:val="24"/>
              </w:rPr>
              <w:fldChar w:fldCharType="separate"/>
            </w:r>
            <w:r w:rsidR="00D81B25">
              <w:rPr>
                <w:rFonts w:ascii="Times New Roman" w:hAnsi="Times New Roman" w:cs="Times New Roman"/>
                <w:noProof/>
                <w:webHidden/>
                <w:szCs w:val="24"/>
              </w:rPr>
              <w:t>3</w:t>
            </w:r>
            <w:r w:rsidRPr="0088702A">
              <w:rPr>
                <w:rFonts w:ascii="Times New Roman" w:hAnsi="Times New Roman" w:cs="Times New Roman"/>
                <w:noProof/>
                <w:webHidden/>
                <w:szCs w:val="24"/>
              </w:rPr>
              <w:fldChar w:fldCharType="end"/>
            </w:r>
          </w:hyperlink>
        </w:p>
        <w:p w14:paraId="124380A6" w14:textId="09FCC1C8" w:rsidR="00C3616A" w:rsidRPr="0088702A" w:rsidRDefault="00C3616A" w:rsidP="0088702A">
          <w:pPr>
            <w:pStyle w:val="TOC1"/>
            <w:tabs>
              <w:tab w:val="right" w:leader="dot" w:pos="9595"/>
            </w:tabs>
            <w:rPr>
              <w:rFonts w:ascii="Times New Roman" w:eastAsiaTheme="minorEastAsia" w:hAnsi="Times New Roman" w:cs="Times New Roman"/>
              <w:noProof/>
              <w:kern w:val="2"/>
              <w:szCs w:val="24"/>
              <w:lang w:val="en-IN" w:eastAsia="en-IN" w:bidi="hi-IN"/>
              <w14:ligatures w14:val="standardContextual"/>
            </w:rPr>
          </w:pPr>
          <w:hyperlink w:anchor="_Toc234589398" w:history="1">
            <w:r w:rsidRPr="0088702A">
              <w:rPr>
                <w:rStyle w:val="Hyperlink"/>
                <w:rFonts w:ascii="Times New Roman" w:hAnsi="Times New Roman" w:cs="Times New Roman"/>
                <w:noProof/>
                <w:szCs w:val="24"/>
              </w:rPr>
              <w:t>Element 2: Segmentation, Targeting, Differentiation and Positioning Analysis</w:t>
            </w:r>
            <w:r w:rsidRPr="0088702A">
              <w:rPr>
                <w:rFonts w:ascii="Times New Roman" w:hAnsi="Times New Roman" w:cs="Times New Roman"/>
                <w:noProof/>
                <w:webHidden/>
                <w:szCs w:val="24"/>
              </w:rPr>
              <w:tab/>
            </w:r>
            <w:r w:rsidRPr="0088702A">
              <w:rPr>
                <w:rFonts w:ascii="Times New Roman" w:hAnsi="Times New Roman" w:cs="Times New Roman"/>
                <w:noProof/>
                <w:webHidden/>
                <w:szCs w:val="24"/>
              </w:rPr>
              <w:fldChar w:fldCharType="begin"/>
            </w:r>
            <w:r w:rsidRPr="0088702A">
              <w:rPr>
                <w:rFonts w:ascii="Times New Roman" w:hAnsi="Times New Roman" w:cs="Times New Roman"/>
                <w:noProof/>
                <w:webHidden/>
                <w:szCs w:val="24"/>
              </w:rPr>
              <w:instrText xml:space="preserve"> PAGEREF _Toc234589398 \h </w:instrText>
            </w:r>
            <w:r w:rsidRPr="0088702A">
              <w:rPr>
                <w:rFonts w:ascii="Times New Roman" w:hAnsi="Times New Roman" w:cs="Times New Roman"/>
                <w:noProof/>
                <w:webHidden/>
                <w:szCs w:val="24"/>
              </w:rPr>
            </w:r>
            <w:r w:rsidRPr="0088702A">
              <w:rPr>
                <w:rFonts w:ascii="Times New Roman" w:hAnsi="Times New Roman" w:cs="Times New Roman"/>
                <w:noProof/>
                <w:webHidden/>
                <w:szCs w:val="24"/>
              </w:rPr>
              <w:fldChar w:fldCharType="separate"/>
            </w:r>
            <w:r w:rsidR="00D81B25">
              <w:rPr>
                <w:rFonts w:ascii="Times New Roman" w:hAnsi="Times New Roman" w:cs="Times New Roman"/>
                <w:noProof/>
                <w:webHidden/>
                <w:szCs w:val="24"/>
              </w:rPr>
              <w:t>4</w:t>
            </w:r>
            <w:r w:rsidRPr="0088702A">
              <w:rPr>
                <w:rFonts w:ascii="Times New Roman" w:hAnsi="Times New Roman" w:cs="Times New Roman"/>
                <w:noProof/>
                <w:webHidden/>
                <w:szCs w:val="24"/>
              </w:rPr>
              <w:fldChar w:fldCharType="end"/>
            </w:r>
          </w:hyperlink>
        </w:p>
        <w:p w14:paraId="42AB1F78" w14:textId="0DA21747" w:rsidR="00C3616A" w:rsidRPr="0088702A" w:rsidRDefault="00C3616A" w:rsidP="0088702A">
          <w:pPr>
            <w:pStyle w:val="TOC1"/>
            <w:tabs>
              <w:tab w:val="right" w:leader="dot" w:pos="9595"/>
            </w:tabs>
            <w:rPr>
              <w:rFonts w:ascii="Times New Roman" w:eastAsiaTheme="minorEastAsia" w:hAnsi="Times New Roman" w:cs="Times New Roman"/>
              <w:noProof/>
              <w:kern w:val="2"/>
              <w:szCs w:val="24"/>
              <w:lang w:val="en-IN" w:eastAsia="en-IN" w:bidi="hi-IN"/>
              <w14:ligatures w14:val="standardContextual"/>
            </w:rPr>
          </w:pPr>
          <w:hyperlink w:anchor="_Toc234589399" w:history="1">
            <w:r w:rsidRPr="0088702A">
              <w:rPr>
                <w:rStyle w:val="Hyperlink"/>
                <w:rFonts w:ascii="Times New Roman" w:hAnsi="Times New Roman" w:cs="Times New Roman"/>
                <w:noProof/>
                <w:szCs w:val="24"/>
              </w:rPr>
              <w:t>Element 3: Marketing Mix 7Ps</w:t>
            </w:r>
            <w:r w:rsidRPr="0088702A">
              <w:rPr>
                <w:rFonts w:ascii="Times New Roman" w:hAnsi="Times New Roman" w:cs="Times New Roman"/>
                <w:noProof/>
                <w:webHidden/>
                <w:szCs w:val="24"/>
              </w:rPr>
              <w:tab/>
            </w:r>
            <w:r w:rsidRPr="0088702A">
              <w:rPr>
                <w:rFonts w:ascii="Times New Roman" w:hAnsi="Times New Roman" w:cs="Times New Roman"/>
                <w:noProof/>
                <w:webHidden/>
                <w:szCs w:val="24"/>
              </w:rPr>
              <w:fldChar w:fldCharType="begin"/>
            </w:r>
            <w:r w:rsidRPr="0088702A">
              <w:rPr>
                <w:rFonts w:ascii="Times New Roman" w:hAnsi="Times New Roman" w:cs="Times New Roman"/>
                <w:noProof/>
                <w:webHidden/>
                <w:szCs w:val="24"/>
              </w:rPr>
              <w:instrText xml:space="preserve"> PAGEREF _Toc234589399 \h </w:instrText>
            </w:r>
            <w:r w:rsidRPr="0088702A">
              <w:rPr>
                <w:rFonts w:ascii="Times New Roman" w:hAnsi="Times New Roman" w:cs="Times New Roman"/>
                <w:noProof/>
                <w:webHidden/>
                <w:szCs w:val="24"/>
              </w:rPr>
            </w:r>
            <w:r w:rsidRPr="0088702A">
              <w:rPr>
                <w:rFonts w:ascii="Times New Roman" w:hAnsi="Times New Roman" w:cs="Times New Roman"/>
                <w:noProof/>
                <w:webHidden/>
                <w:szCs w:val="24"/>
              </w:rPr>
              <w:fldChar w:fldCharType="separate"/>
            </w:r>
            <w:r w:rsidR="00D81B25">
              <w:rPr>
                <w:rFonts w:ascii="Times New Roman" w:hAnsi="Times New Roman" w:cs="Times New Roman"/>
                <w:noProof/>
                <w:webHidden/>
                <w:szCs w:val="24"/>
              </w:rPr>
              <w:t>6</w:t>
            </w:r>
            <w:r w:rsidRPr="0088702A">
              <w:rPr>
                <w:rFonts w:ascii="Times New Roman" w:hAnsi="Times New Roman" w:cs="Times New Roman"/>
                <w:noProof/>
                <w:webHidden/>
                <w:szCs w:val="24"/>
              </w:rPr>
              <w:fldChar w:fldCharType="end"/>
            </w:r>
          </w:hyperlink>
        </w:p>
        <w:p w14:paraId="39E31D27" w14:textId="4B6C23E4" w:rsidR="00C3616A" w:rsidRPr="0088702A" w:rsidRDefault="00C3616A" w:rsidP="0088702A">
          <w:pPr>
            <w:pStyle w:val="TOC1"/>
            <w:tabs>
              <w:tab w:val="right" w:leader="dot" w:pos="9595"/>
            </w:tabs>
            <w:rPr>
              <w:rFonts w:ascii="Times New Roman" w:eastAsiaTheme="minorEastAsia" w:hAnsi="Times New Roman" w:cs="Times New Roman"/>
              <w:noProof/>
              <w:kern w:val="2"/>
              <w:szCs w:val="24"/>
              <w:lang w:val="en-IN" w:eastAsia="en-IN" w:bidi="hi-IN"/>
              <w14:ligatures w14:val="standardContextual"/>
            </w:rPr>
          </w:pPr>
          <w:hyperlink w:anchor="_Toc234589400" w:history="1">
            <w:r w:rsidRPr="0088702A">
              <w:rPr>
                <w:rStyle w:val="Hyperlink"/>
                <w:rFonts w:ascii="Times New Roman" w:hAnsi="Times New Roman" w:cs="Times New Roman"/>
                <w:noProof/>
                <w:szCs w:val="24"/>
              </w:rPr>
              <w:t>Element 4: Reflection</w:t>
            </w:r>
            <w:r w:rsidRPr="0088702A">
              <w:rPr>
                <w:rFonts w:ascii="Times New Roman" w:hAnsi="Times New Roman" w:cs="Times New Roman"/>
                <w:noProof/>
                <w:webHidden/>
                <w:szCs w:val="24"/>
              </w:rPr>
              <w:tab/>
            </w:r>
            <w:r w:rsidRPr="0088702A">
              <w:rPr>
                <w:rFonts w:ascii="Times New Roman" w:hAnsi="Times New Roman" w:cs="Times New Roman"/>
                <w:noProof/>
                <w:webHidden/>
                <w:szCs w:val="24"/>
              </w:rPr>
              <w:fldChar w:fldCharType="begin"/>
            </w:r>
            <w:r w:rsidRPr="0088702A">
              <w:rPr>
                <w:rFonts w:ascii="Times New Roman" w:hAnsi="Times New Roman" w:cs="Times New Roman"/>
                <w:noProof/>
                <w:webHidden/>
                <w:szCs w:val="24"/>
              </w:rPr>
              <w:instrText xml:space="preserve"> PAGEREF _Toc234589400 \h </w:instrText>
            </w:r>
            <w:r w:rsidRPr="0088702A">
              <w:rPr>
                <w:rFonts w:ascii="Times New Roman" w:hAnsi="Times New Roman" w:cs="Times New Roman"/>
                <w:noProof/>
                <w:webHidden/>
                <w:szCs w:val="24"/>
              </w:rPr>
            </w:r>
            <w:r w:rsidRPr="0088702A">
              <w:rPr>
                <w:rFonts w:ascii="Times New Roman" w:hAnsi="Times New Roman" w:cs="Times New Roman"/>
                <w:noProof/>
                <w:webHidden/>
                <w:szCs w:val="24"/>
              </w:rPr>
              <w:fldChar w:fldCharType="separate"/>
            </w:r>
            <w:r w:rsidR="00D81B25">
              <w:rPr>
                <w:rFonts w:ascii="Times New Roman" w:hAnsi="Times New Roman" w:cs="Times New Roman"/>
                <w:noProof/>
                <w:webHidden/>
                <w:szCs w:val="24"/>
              </w:rPr>
              <w:t>8</w:t>
            </w:r>
            <w:r w:rsidRPr="0088702A">
              <w:rPr>
                <w:rFonts w:ascii="Times New Roman" w:hAnsi="Times New Roman" w:cs="Times New Roman"/>
                <w:noProof/>
                <w:webHidden/>
                <w:szCs w:val="24"/>
              </w:rPr>
              <w:fldChar w:fldCharType="end"/>
            </w:r>
          </w:hyperlink>
        </w:p>
        <w:p w14:paraId="58E243D9" w14:textId="5F0675CA" w:rsidR="00C3616A" w:rsidRPr="0088702A" w:rsidRDefault="00C3616A" w:rsidP="0088702A">
          <w:pPr>
            <w:pStyle w:val="TOC1"/>
            <w:tabs>
              <w:tab w:val="right" w:leader="dot" w:pos="9595"/>
            </w:tabs>
            <w:rPr>
              <w:rFonts w:ascii="Times New Roman" w:eastAsiaTheme="minorEastAsia" w:hAnsi="Times New Roman" w:cs="Times New Roman"/>
              <w:noProof/>
              <w:kern w:val="2"/>
              <w:szCs w:val="24"/>
              <w:lang w:val="en-IN" w:eastAsia="en-IN" w:bidi="hi-IN"/>
              <w14:ligatures w14:val="standardContextual"/>
            </w:rPr>
          </w:pPr>
          <w:hyperlink w:anchor="_Toc234589401" w:history="1">
            <w:r w:rsidRPr="0088702A">
              <w:rPr>
                <w:rStyle w:val="Hyperlink"/>
                <w:rFonts w:ascii="Times New Roman" w:hAnsi="Times New Roman" w:cs="Times New Roman"/>
                <w:noProof/>
                <w:szCs w:val="24"/>
              </w:rPr>
              <w:t>References</w:t>
            </w:r>
            <w:r w:rsidRPr="0088702A">
              <w:rPr>
                <w:rFonts w:ascii="Times New Roman" w:hAnsi="Times New Roman" w:cs="Times New Roman"/>
                <w:noProof/>
                <w:webHidden/>
                <w:szCs w:val="24"/>
              </w:rPr>
              <w:tab/>
            </w:r>
            <w:r w:rsidRPr="0088702A">
              <w:rPr>
                <w:rFonts w:ascii="Times New Roman" w:hAnsi="Times New Roman" w:cs="Times New Roman"/>
                <w:noProof/>
                <w:webHidden/>
                <w:szCs w:val="24"/>
              </w:rPr>
              <w:fldChar w:fldCharType="begin"/>
            </w:r>
            <w:r w:rsidRPr="0088702A">
              <w:rPr>
                <w:rFonts w:ascii="Times New Roman" w:hAnsi="Times New Roman" w:cs="Times New Roman"/>
                <w:noProof/>
                <w:webHidden/>
                <w:szCs w:val="24"/>
              </w:rPr>
              <w:instrText xml:space="preserve"> PAGEREF _Toc234589401 \h </w:instrText>
            </w:r>
            <w:r w:rsidRPr="0088702A">
              <w:rPr>
                <w:rFonts w:ascii="Times New Roman" w:hAnsi="Times New Roman" w:cs="Times New Roman"/>
                <w:noProof/>
                <w:webHidden/>
                <w:szCs w:val="24"/>
              </w:rPr>
            </w:r>
            <w:r w:rsidRPr="0088702A">
              <w:rPr>
                <w:rFonts w:ascii="Times New Roman" w:hAnsi="Times New Roman" w:cs="Times New Roman"/>
                <w:noProof/>
                <w:webHidden/>
                <w:szCs w:val="24"/>
              </w:rPr>
              <w:fldChar w:fldCharType="separate"/>
            </w:r>
            <w:r w:rsidR="00D81B25">
              <w:rPr>
                <w:rFonts w:ascii="Times New Roman" w:hAnsi="Times New Roman" w:cs="Times New Roman"/>
                <w:noProof/>
                <w:webHidden/>
                <w:szCs w:val="24"/>
              </w:rPr>
              <w:t>10</w:t>
            </w:r>
            <w:r w:rsidRPr="0088702A">
              <w:rPr>
                <w:rFonts w:ascii="Times New Roman" w:hAnsi="Times New Roman" w:cs="Times New Roman"/>
                <w:noProof/>
                <w:webHidden/>
                <w:szCs w:val="24"/>
              </w:rPr>
              <w:fldChar w:fldCharType="end"/>
            </w:r>
          </w:hyperlink>
        </w:p>
        <w:p w14:paraId="7B51BE22" w14:textId="77777777" w:rsidR="00C3616A" w:rsidRPr="0088702A" w:rsidRDefault="00C3616A" w:rsidP="0088702A">
          <w:pPr>
            <w:rPr>
              <w:rFonts w:ascii="Times New Roman" w:hAnsi="Times New Roman" w:cs="Times New Roman"/>
              <w:szCs w:val="24"/>
            </w:rPr>
          </w:pPr>
          <w:r w:rsidRPr="0088702A">
            <w:rPr>
              <w:rFonts w:ascii="Times New Roman" w:hAnsi="Times New Roman" w:cs="Times New Roman"/>
              <w:b/>
              <w:bCs/>
              <w:noProof/>
              <w:szCs w:val="24"/>
            </w:rPr>
            <w:fldChar w:fldCharType="end"/>
          </w:r>
        </w:p>
      </w:sdtContent>
    </w:sdt>
    <w:p w14:paraId="09F82A8C" w14:textId="77777777" w:rsidR="007F0A0D" w:rsidRPr="0088702A" w:rsidRDefault="007F0A0D" w:rsidP="0088702A">
      <w:pPr>
        <w:pStyle w:val="TOCEntry"/>
        <w:tabs>
          <w:tab w:val="right" w:pos="9288"/>
        </w:tabs>
        <w:rPr>
          <w:rFonts w:ascii="Times New Roman" w:hAnsi="Times New Roman" w:cs="Times New Roman"/>
          <w:szCs w:val="24"/>
        </w:rPr>
      </w:pPr>
    </w:p>
    <w:p w14:paraId="1084EAA5" w14:textId="77777777" w:rsidR="007F0A0D" w:rsidRPr="0088702A" w:rsidRDefault="005F414F" w:rsidP="0088702A">
      <w:pPr>
        <w:rPr>
          <w:rFonts w:ascii="Times New Roman" w:hAnsi="Times New Roman" w:cs="Times New Roman"/>
          <w:szCs w:val="24"/>
        </w:rPr>
      </w:pPr>
      <w:r w:rsidRPr="0088702A">
        <w:rPr>
          <w:rFonts w:ascii="Times New Roman" w:hAnsi="Times New Roman" w:cs="Times New Roman"/>
          <w:szCs w:val="24"/>
        </w:rPr>
        <w:br w:type="page"/>
      </w:r>
    </w:p>
    <w:p w14:paraId="562A6EBE" w14:textId="77777777" w:rsidR="007F0A0D" w:rsidRPr="00734AC0" w:rsidRDefault="005F414F" w:rsidP="0088702A">
      <w:pPr>
        <w:pStyle w:val="Heading1"/>
        <w:rPr>
          <w:rFonts w:ascii="Times New Roman" w:hAnsi="Times New Roman" w:cs="Times New Roman"/>
          <w:color w:val="auto"/>
          <w:sz w:val="24"/>
          <w:szCs w:val="24"/>
        </w:rPr>
      </w:pPr>
      <w:bookmarkStart w:id="0" w:name="_Toc234589348"/>
      <w:bookmarkStart w:id="1" w:name="_Toc234589397"/>
      <w:r w:rsidRPr="00734AC0">
        <w:rPr>
          <w:rFonts w:ascii="Times New Roman" w:eastAsia="Arial" w:hAnsi="Times New Roman" w:cs="Times New Roman"/>
          <w:color w:val="auto"/>
          <w:sz w:val="24"/>
          <w:szCs w:val="24"/>
        </w:rPr>
        <w:lastRenderedPageBreak/>
        <w:t>Element 1: Sustainable Brand Extension Poster Presentation</w:t>
      </w:r>
      <w:bookmarkEnd w:id="0"/>
      <w:bookmarkEnd w:id="1"/>
    </w:p>
    <w:p w14:paraId="34E74EB5" w14:textId="77777777" w:rsidR="007312F8" w:rsidRPr="00734AC0" w:rsidRDefault="007312F8" w:rsidP="0088702A">
      <w:pPr>
        <w:keepNext/>
        <w:jc w:val="center"/>
        <w:rPr>
          <w:rFonts w:ascii="Times New Roman" w:hAnsi="Times New Roman" w:cs="Times New Roman"/>
          <w:szCs w:val="24"/>
        </w:rPr>
      </w:pPr>
      <w:r w:rsidRPr="00734AC0">
        <w:rPr>
          <w:rFonts w:ascii="Times New Roman" w:hAnsi="Times New Roman" w:cs="Times New Roman"/>
          <w:noProof/>
          <w:szCs w:val="24"/>
          <w:lang w:val="en-IN" w:eastAsia="en-IN"/>
        </w:rPr>
        <w:drawing>
          <wp:inline distT="0" distB="0" distL="0" distR="0" wp14:anchorId="552C30D2" wp14:editId="1B59C354">
            <wp:extent cx="6099175" cy="3430905"/>
            <wp:effectExtent l="0" t="0" r="0" b="0"/>
            <wp:docPr id="13220328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03282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099175" cy="3430905"/>
                    </a:xfrm>
                    <a:prstGeom prst="rect">
                      <a:avLst/>
                    </a:prstGeom>
                  </pic:spPr>
                </pic:pic>
              </a:graphicData>
            </a:graphic>
          </wp:inline>
        </w:drawing>
      </w:r>
    </w:p>
    <w:p w14:paraId="28C34DDF" w14:textId="77777777" w:rsidR="00204467" w:rsidRPr="00734AC0" w:rsidRDefault="00204467" w:rsidP="0088702A">
      <w:pPr>
        <w:keepNext/>
        <w:jc w:val="center"/>
        <w:rPr>
          <w:rFonts w:ascii="Times New Roman" w:hAnsi="Times New Roman" w:cs="Times New Roman"/>
          <w:sz w:val="18"/>
          <w:szCs w:val="18"/>
        </w:rPr>
      </w:pPr>
      <w:r w:rsidRPr="00734AC0">
        <w:rPr>
          <w:rFonts w:ascii="Times New Roman" w:hAnsi="Times New Roman" w:cs="Times New Roman"/>
          <w:sz w:val="18"/>
          <w:szCs w:val="18"/>
        </w:rPr>
        <w:t>Figure 1: Boots Refill &amp; Return Beauty Bar poster. Source: author-created poster; evidence based on Boots Group (2025), Boots UK (2025a, 2025b), CMA (2024), Deloitte (2024) and Euromonitor International (2025).</w:t>
      </w:r>
    </w:p>
    <w:p w14:paraId="678F2EDD" w14:textId="77777777" w:rsidR="007F0A0D" w:rsidRPr="00734AC0" w:rsidRDefault="00C3616A" w:rsidP="0088702A">
      <w:pPr>
        <w:jc w:val="both"/>
        <w:rPr>
          <w:rFonts w:ascii="Times New Roman" w:hAnsi="Times New Roman" w:cs="Times New Roman"/>
          <w:szCs w:val="24"/>
        </w:rPr>
      </w:pPr>
      <w:r w:rsidRPr="00734AC0">
        <w:rPr>
          <w:rFonts w:ascii="Times New Roman" w:hAnsi="Times New Roman"/>
        </w:rPr>
        <w:t>Boots UK is a national health, wellness and beauty brand, owned by a British pharmacy that employs over 51,000 staff members across the UK, with over 1,800 stores. Boots Refill &amp; Return Beauty Bar will combine in-store and app-based features, enabling customers to refill selected own-brand beauty products, return hard-to-recycle empties, receive information about the impacts of packaging and allow them to earn Advantage Card rewards. It is a continuation of Recycle at Boots, a scheme for packaging that “cannot typically be recycled through household kerbside collections”, which has already engaged over 17 million Advantage Card members, and the Group's reported diversion of over 11 million hard-to-recycle items from landfill in 2025. (Boots UK, 2025a; Boots Group, 2025).</w:t>
      </w:r>
    </w:p>
    <w:p w14:paraId="7B05BFBB" w14:textId="77777777" w:rsidR="007F0A0D" w:rsidRPr="00734AC0" w:rsidRDefault="00C3616A" w:rsidP="0088702A">
      <w:pPr>
        <w:jc w:val="both"/>
        <w:rPr>
          <w:rFonts w:ascii="Times New Roman" w:hAnsi="Times New Roman" w:cs="Times New Roman"/>
          <w:szCs w:val="24"/>
        </w:rPr>
      </w:pPr>
      <w:r w:rsidRPr="00734AC0">
        <w:rPr>
          <w:rFonts w:ascii="Times New Roman" w:hAnsi="Times New Roman" w:cs="Times New Roman"/>
          <w:szCs w:val="24"/>
        </w:rPr>
        <w:t>The extension addresses the market demand for people who want sustainability, value and convenience all in one. The customer would be able to save through refill pricing and customer incentives, decrease packaging waste, and get verified recycling information. For investors, Boots can leverage its store footprint, own-brand control and customer information to pilot adoption before expanding. The concept underpins the sustainable Bootprint agenda at Boots and the Green Claims Code requirement that environmental claims “must not omit or hide important relevant information” (Boots UK, 2025b; Competition and Markets Authority [CMA], 2024; Euromonitor International, 2025).</w:t>
      </w:r>
    </w:p>
    <w:p w14:paraId="269954E8" w14:textId="77777777" w:rsidR="007F0A0D" w:rsidRPr="00734AC0" w:rsidRDefault="005F414F" w:rsidP="0088702A">
      <w:pPr>
        <w:pStyle w:val="Heading1"/>
        <w:rPr>
          <w:rFonts w:ascii="Times New Roman" w:hAnsi="Times New Roman" w:cs="Times New Roman"/>
          <w:color w:val="auto"/>
          <w:sz w:val="24"/>
          <w:szCs w:val="24"/>
        </w:rPr>
      </w:pPr>
      <w:bookmarkStart w:id="2" w:name="_Toc234589349"/>
      <w:bookmarkStart w:id="3" w:name="_Toc234589398"/>
      <w:r w:rsidRPr="00734AC0">
        <w:rPr>
          <w:rFonts w:ascii="Times New Roman" w:eastAsia="Arial" w:hAnsi="Times New Roman" w:cs="Times New Roman"/>
          <w:color w:val="auto"/>
          <w:sz w:val="24"/>
          <w:szCs w:val="24"/>
        </w:rPr>
        <w:lastRenderedPageBreak/>
        <w:t>Element 2: Segmentation, Targeting, Differentiation and Positioning Analysis</w:t>
      </w:r>
      <w:bookmarkEnd w:id="2"/>
      <w:bookmarkEnd w:id="3"/>
    </w:p>
    <w:p w14:paraId="635B1861" w14:textId="77777777" w:rsidR="007F0A0D" w:rsidRPr="00734AC0" w:rsidRDefault="000A69D7" w:rsidP="0088702A">
      <w:pPr>
        <w:jc w:val="both"/>
        <w:rPr>
          <w:rFonts w:ascii="Times New Roman" w:hAnsi="Times New Roman" w:cs="Times New Roman"/>
          <w:szCs w:val="24"/>
        </w:rPr>
      </w:pPr>
      <w:r w:rsidRPr="00734AC0">
        <w:rPr>
          <w:rFonts w:ascii="Times New Roman" w:hAnsi="Times New Roman"/>
        </w:rPr>
        <w:t>Boots Refill &amp; Return Beauty Bar is a high fit extension due to the existing Boots resources: beauty expertise, pharmacy credibility, control of its own brand and a UK beauty and wellness industry collection network. The study reveals that extensions become more popular when they are consistent with the function, resources, target market and image of the parent brand (Peng et al., 2023). The proposal extends what Boots is by adding a circular service. This fit serves as a foundational basis for targeting and positioning decision-making that occurs thereafter.</w:t>
      </w:r>
    </w:p>
    <w:p w14:paraId="38C321BF" w14:textId="77777777" w:rsidR="007F0A0D" w:rsidRPr="00734AC0" w:rsidRDefault="005F414F" w:rsidP="0088702A">
      <w:pPr>
        <w:pStyle w:val="ReportCaption"/>
        <w:keepNext/>
        <w:rPr>
          <w:rFonts w:ascii="Times New Roman" w:hAnsi="Times New Roman" w:cs="Times New Roman"/>
          <w:szCs w:val="24"/>
        </w:rPr>
      </w:pPr>
      <w:r w:rsidRPr="00734AC0">
        <w:rPr>
          <w:rFonts w:ascii="Times New Roman" w:hAnsi="Times New Roman" w:cs="Times New Roman"/>
          <w:szCs w:val="24"/>
        </w:rPr>
        <w:t>Table 1: STDP summary for Boots Refill &amp; Return Beauty Bar</w:t>
      </w:r>
    </w:p>
    <w:p w14:paraId="30F2746E" w14:textId="77777777" w:rsidR="00B259A2" w:rsidRPr="00734AC0" w:rsidRDefault="00B259A2" w:rsidP="0088702A">
      <w:pPr>
        <w:pStyle w:val="ReportCaption"/>
        <w:rPr>
          <w:rFonts w:ascii="Times New Roman" w:hAnsi="Times New Roman" w:cs="Times New Roman"/>
          <w:szCs w:val="24"/>
        </w:rPr>
      </w:pPr>
      <w:r w:rsidRPr="00734AC0">
        <w:rPr>
          <w:rFonts w:ascii="Times New Roman" w:hAnsi="Times New Roman" w:cs="Times New Roman"/>
          <w:noProof/>
          <w:szCs w:val="24"/>
          <w:lang w:val="en-IN" w:eastAsia="en-IN"/>
        </w:rPr>
        <w:drawing>
          <wp:inline distT="0" distB="0" distL="0" distR="0" wp14:anchorId="5DA73B97" wp14:editId="73A5F408">
            <wp:extent cx="6027420" cy="5326380"/>
            <wp:effectExtent l="0" t="0" r="0" b="7620"/>
            <wp:docPr id="1523053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b="7172"/>
                    <a:stretch>
                      <a:fillRect/>
                    </a:stretch>
                  </pic:blipFill>
                  <pic:spPr bwMode="auto">
                    <a:xfrm>
                      <a:off x="0" y="0"/>
                      <a:ext cx="6027420" cy="5326380"/>
                    </a:xfrm>
                    <a:prstGeom prst="rect">
                      <a:avLst/>
                    </a:prstGeom>
                    <a:noFill/>
                    <a:ln>
                      <a:noFill/>
                    </a:ln>
                    <a:extLst>
                      <a:ext uri="{53640926-AAD7-44D8-BBD7-CCE9431645EC}">
                        <a14:shadowObscured xmlns:a14="http://schemas.microsoft.com/office/drawing/2010/main"/>
                      </a:ext>
                    </a:extLst>
                  </pic:spPr>
                </pic:pic>
              </a:graphicData>
            </a:graphic>
          </wp:inline>
        </w:drawing>
      </w:r>
    </w:p>
    <w:p w14:paraId="606963D8" w14:textId="77777777" w:rsidR="007F0A0D" w:rsidRPr="00734AC0" w:rsidRDefault="005F414F" w:rsidP="0088702A">
      <w:pPr>
        <w:pStyle w:val="ReportCaption"/>
        <w:rPr>
          <w:rFonts w:ascii="Times New Roman" w:hAnsi="Times New Roman" w:cs="Times New Roman"/>
          <w:i w:val="0"/>
          <w:sz w:val="18"/>
          <w:szCs w:val="18"/>
        </w:rPr>
      </w:pPr>
      <w:r w:rsidRPr="00734AC0">
        <w:rPr>
          <w:rFonts w:ascii="Times New Roman" w:hAnsi="Times New Roman"/>
          <w:sz w:val="18"/>
          <w:szCs w:val="16"/>
        </w:rPr>
        <w:t>Source: author’s own table, informed by Kotler, Keller and Chernev (2025), Syed et al. (2024), Boots UK (2025a) and Boots Group (2025).</w:t>
      </w:r>
    </w:p>
    <w:p w14:paraId="46284509" w14:textId="77777777" w:rsidR="007F0A0D" w:rsidRPr="00734AC0" w:rsidRDefault="00C3616A" w:rsidP="0088702A">
      <w:pPr>
        <w:jc w:val="both"/>
        <w:rPr>
          <w:rFonts w:ascii="Times New Roman" w:hAnsi="Times New Roman" w:cs="Times New Roman"/>
          <w:szCs w:val="24"/>
        </w:rPr>
      </w:pPr>
      <w:r w:rsidRPr="00734AC0">
        <w:rPr>
          <w:rFonts w:ascii="Times New Roman" w:hAnsi="Times New Roman" w:cs="Times New Roman"/>
          <w:szCs w:val="24"/>
        </w:rPr>
        <w:t xml:space="preserve">The geographical focus is the United Kingdom, particularly towns and cities with larger beauty stores, such as Boots. A phased pilot in London, Manchester, Birmingham, Nottingham, Leeds, Cardiff, Edinburgh and Bristol (LBMNLECBE) would give visibility and minimise risk. Refill and return services require trained employees, collection facilities and dedicated store space, and the </w:t>
      </w:r>
      <w:r w:rsidRPr="00734AC0">
        <w:rPr>
          <w:rFonts w:ascii="Times New Roman" w:hAnsi="Times New Roman" w:cs="Times New Roman"/>
          <w:szCs w:val="24"/>
        </w:rPr>
        <w:lastRenderedPageBreak/>
        <w:t>current Boots' Recycle at Boots network offers a practical footing for services to begin operating. (Boots UK, 2025b).</w:t>
      </w:r>
    </w:p>
    <w:p w14:paraId="11ED55DF" w14:textId="77777777" w:rsidR="007F0A0D" w:rsidRPr="00734AC0" w:rsidRDefault="00C3616A" w:rsidP="0088702A">
      <w:pPr>
        <w:jc w:val="both"/>
        <w:rPr>
          <w:rFonts w:ascii="Times New Roman" w:hAnsi="Times New Roman" w:cs="Times New Roman"/>
          <w:szCs w:val="24"/>
        </w:rPr>
      </w:pPr>
      <w:r w:rsidRPr="00734AC0">
        <w:rPr>
          <w:rFonts w:ascii="Times New Roman" w:hAnsi="Times New Roman" w:cs="Times New Roman"/>
          <w:szCs w:val="24"/>
        </w:rPr>
        <w:t>The primary target demographic consists of 18- to 45-year-old shoppers who purchase beauty, skin-care or wellness supplies regularly. Users of the older, value-oriented, trust-driven, convenience and budget-focused Advantage Card are likely to be more responsive to other aspects of sustainability language; a secondary segment made up of older and family-oriented users. With the loyalty base, you can reach Boots directly and offer them personalised offers and make them behave. (Boots UK, 2025a).</w:t>
      </w:r>
    </w:p>
    <w:p w14:paraId="5903F931" w14:textId="77777777" w:rsidR="007F0A0D" w:rsidRPr="00734AC0" w:rsidRDefault="00C3616A" w:rsidP="0088702A">
      <w:pPr>
        <w:jc w:val="both"/>
        <w:rPr>
          <w:rFonts w:ascii="Times New Roman" w:hAnsi="Times New Roman" w:cs="Times New Roman"/>
          <w:szCs w:val="24"/>
        </w:rPr>
      </w:pPr>
      <w:r w:rsidRPr="00734AC0">
        <w:rPr>
          <w:rFonts w:ascii="Times New Roman" w:hAnsi="Times New Roman"/>
        </w:rPr>
        <w:t>Psychographically, the opportunity is not just an “eco-consumer”; it is the “real sustainable consumer” who will act when the solution is affordable, convenient and credible. Evidence suggests that positive attitudes do not always translate into action because perceived control, social norms and supportive conditions are important. The service should therefore be straightforward: scan, refill/return, reward, and impact without needing an expert (Syed et al., 2024).</w:t>
      </w:r>
    </w:p>
    <w:p w14:paraId="087BBAF3" w14:textId="77777777" w:rsidR="007F0A0D" w:rsidRPr="00734AC0" w:rsidRDefault="00C3616A" w:rsidP="0088702A">
      <w:pPr>
        <w:jc w:val="both"/>
        <w:rPr>
          <w:rFonts w:ascii="Times New Roman" w:hAnsi="Times New Roman" w:cs="Times New Roman"/>
          <w:szCs w:val="24"/>
        </w:rPr>
      </w:pPr>
      <w:r w:rsidRPr="00734AC0">
        <w:rPr>
          <w:rFonts w:ascii="Times New Roman" w:hAnsi="Times New Roman" w:cs="Times New Roman"/>
          <w:szCs w:val="24"/>
        </w:rPr>
        <w:t>Repeated participation is key to the extension, which is why behavioural segmentation is crucial. Boots should target Advantage Card members, those who have already used Boots for recycling, No7 and Boots' own brand skin care customers, and users of the app offers. These groups already know what a point is, and the repeated trips to buy goods, and with this knowledge, refill and return is not a new sustainability challenge but an integrated part of everyday life (Boots UK, 2025a; Syed et al., 2024).</w:t>
      </w:r>
    </w:p>
    <w:p w14:paraId="0DBFB035" w14:textId="77777777" w:rsidR="007F0A0D" w:rsidRPr="00734AC0" w:rsidRDefault="00C3616A" w:rsidP="0088702A">
      <w:pPr>
        <w:jc w:val="both"/>
        <w:rPr>
          <w:rFonts w:ascii="Times New Roman" w:hAnsi="Times New Roman" w:cs="Times New Roman"/>
          <w:szCs w:val="24"/>
        </w:rPr>
      </w:pPr>
      <w:r w:rsidRPr="00734AC0">
        <w:rPr>
          <w:rFonts w:ascii="Times New Roman" w:hAnsi="Times New Roman" w:cs="Times New Roman"/>
          <w:szCs w:val="24"/>
        </w:rPr>
        <w:t>Differentiate the targeting strategy. The main reason it's important is that loyal Boots customers are the main target, as they already trust the brand and they can easily understand the value. The younger digital-first consumer is a second target group, as they are interested in beauty trends but also have a growing distrust of overconsumption and vague claims. The trends in value, clinical confidence, loyalty and value/ecoevaluation back up Boots' expert trust plus rewards and quantified packaging saving combination (Euromonitor International, 2025).</w:t>
      </w:r>
    </w:p>
    <w:p w14:paraId="0DD79003" w14:textId="77777777" w:rsidR="007F0A0D" w:rsidRPr="00734AC0" w:rsidRDefault="000A69D7" w:rsidP="0088702A">
      <w:pPr>
        <w:jc w:val="both"/>
        <w:rPr>
          <w:rFonts w:ascii="Times New Roman" w:hAnsi="Times New Roman" w:cs="Times New Roman"/>
          <w:szCs w:val="24"/>
        </w:rPr>
      </w:pPr>
      <w:r w:rsidRPr="00734AC0">
        <w:rPr>
          <w:rFonts w:ascii="Times New Roman" w:hAnsi="Times New Roman" w:cs="Times New Roman"/>
          <w:szCs w:val="24"/>
        </w:rPr>
        <w:t>Two simpler solutions were thought of: to improve only the recyclable packaging or to introduce an eco range of its own. Both would be easier to put into practice, but neither would have established repeated refill and return practices. Superdrug accepts only selected beauty empties, whereas Lush invites customers to “return any of their Lush plastic packaging to our shops” for recycling (Superdrug, 2022; Lush, n.d.). There are a variety of ways that Boots can offer this differentiation by integrating refill, return, and staff guidance and Advantage Card rewards into a single mainstream service. Heeremans et al. (2025) indicate that reusable systems are more appealing where the consumer is not strongly involved, and the benefits are evident. As such, a controlled in-</w:t>
      </w:r>
      <w:r w:rsidRPr="00734AC0">
        <w:rPr>
          <w:rFonts w:ascii="Times New Roman" w:hAnsi="Times New Roman" w:cs="Times New Roman"/>
          <w:szCs w:val="24"/>
        </w:rPr>
        <w:lastRenderedPageBreak/>
        <w:t>store pilot is more feasible, has more behaviour-changing power, and fits better with the brand than packaging changes alone; it is more balanced than packaging changes alone.</w:t>
      </w:r>
    </w:p>
    <w:p w14:paraId="21BC83C1" w14:textId="77777777" w:rsidR="007F0A0D" w:rsidRPr="00734AC0" w:rsidRDefault="00C3616A" w:rsidP="0088702A">
      <w:pPr>
        <w:jc w:val="both"/>
        <w:rPr>
          <w:rFonts w:ascii="Times New Roman" w:hAnsi="Times New Roman" w:cs="Times New Roman"/>
          <w:szCs w:val="24"/>
        </w:rPr>
      </w:pPr>
      <w:r w:rsidRPr="00734AC0">
        <w:rPr>
          <w:rFonts w:ascii="Times New Roman" w:hAnsi="Times New Roman" w:cs="Times New Roman"/>
          <w:szCs w:val="24"/>
        </w:rPr>
        <w:t>The positioning statement is: “Boots Refill &amp; Return Beauty Bar is the high-street brand of trusted, convenient and waste-free care for UK beauty and wellness shoppers who want to spend less and feel better. It connects sustainability to the mainstream rewards of convenience, cost-saving, care, loyalty and trust, helps Boots' ESG strategy and offers a service-led growth opportunity (Boots Group, 2025; Euromonitor International, 2025).</w:t>
      </w:r>
    </w:p>
    <w:p w14:paraId="58175396" w14:textId="77777777" w:rsidR="007F0A0D" w:rsidRPr="00734AC0" w:rsidRDefault="005F414F" w:rsidP="0088702A">
      <w:pPr>
        <w:pStyle w:val="Heading1"/>
        <w:rPr>
          <w:rFonts w:ascii="Times New Roman" w:hAnsi="Times New Roman" w:cs="Times New Roman"/>
          <w:color w:val="auto"/>
          <w:sz w:val="24"/>
          <w:szCs w:val="24"/>
        </w:rPr>
      </w:pPr>
      <w:bookmarkStart w:id="4" w:name="_Toc234589350"/>
      <w:bookmarkStart w:id="5" w:name="_Toc234589399"/>
      <w:r w:rsidRPr="00734AC0">
        <w:rPr>
          <w:rFonts w:ascii="Times New Roman" w:eastAsia="Arial" w:hAnsi="Times New Roman" w:cs="Times New Roman"/>
          <w:color w:val="auto"/>
          <w:sz w:val="24"/>
          <w:szCs w:val="24"/>
        </w:rPr>
        <w:t>Element 3: Marketing Mix 7Ps</w:t>
      </w:r>
      <w:bookmarkEnd w:id="4"/>
      <w:bookmarkEnd w:id="5"/>
    </w:p>
    <w:p w14:paraId="11EE7E7B" w14:textId="77777777" w:rsidR="007F0A0D" w:rsidRPr="00734AC0" w:rsidRDefault="005F414F" w:rsidP="0088702A">
      <w:pPr>
        <w:jc w:val="both"/>
        <w:rPr>
          <w:rFonts w:ascii="Times New Roman" w:hAnsi="Times New Roman" w:cs="Times New Roman"/>
          <w:szCs w:val="24"/>
        </w:rPr>
      </w:pPr>
      <w:r w:rsidRPr="00734AC0">
        <w:rPr>
          <w:rFonts w:ascii="Times New Roman" w:hAnsi="Times New Roman"/>
          <w:b/>
        </w:rPr>
        <w:t>Product.</w:t>
      </w:r>
      <w:r w:rsidRPr="00734AC0">
        <w:rPr>
          <w:rFonts w:ascii="Times New Roman" w:hAnsi="Times New Roman"/>
        </w:rPr>
        <w:t xml:space="preserve"> Boots Refill &amp; Return Beauty Bar should be a circular beauty service rather than only a new product range. The service would feature four offers, all linked together: refill stations with selected Boots and No7 skin care products, body wash and hand wash, a return point for products that can't be recycled at home and a reward programme via Advantage Card in the Boots app. This product-service design enables sustainable packaging behaviour, as consumers have to be provided with the sustainable option and with the infrastructure that enables consumers to use it repeatedly (Del Greco et al., 2024; Kotler, Keller and Chernev, 2025).</w:t>
      </w:r>
    </w:p>
    <w:p w14:paraId="0576F81F" w14:textId="77777777" w:rsidR="007F0A0D" w:rsidRPr="00734AC0" w:rsidRDefault="00C3616A" w:rsidP="0088702A">
      <w:pPr>
        <w:jc w:val="both"/>
        <w:rPr>
          <w:rFonts w:ascii="Times New Roman" w:hAnsi="Times New Roman" w:cs="Times New Roman"/>
          <w:szCs w:val="24"/>
        </w:rPr>
      </w:pPr>
      <w:r w:rsidRPr="00734AC0">
        <w:rPr>
          <w:rFonts w:ascii="Times New Roman" w:hAnsi="Times New Roman" w:cs="Times New Roman"/>
          <w:szCs w:val="24"/>
        </w:rPr>
        <w:t>The extension needs to start with categories in which hygiene, repeat purchase and standardised packaging can be managed, such as liquid hand wash, shower gel, body lotion, shampoo, conditioner, moisturiser refills and selected No7 products. They should not be rolled out too widely initially, as there are strict quality, cleaning, labelling and safety procedures to adhere to for refill systems. A careful and narrow pilot would ensure the integrity of the Boots brand whilst enabling the company to trial refill behaviour, product leakage, staff workload and customer satisfaction, before scaling. (Perret, Gómez Velázquez and Mehn, 2025).</w:t>
      </w:r>
    </w:p>
    <w:p w14:paraId="40198305" w14:textId="77777777" w:rsidR="007F0A0D" w:rsidRPr="00734AC0" w:rsidRDefault="005F414F" w:rsidP="0088702A">
      <w:pPr>
        <w:jc w:val="both"/>
        <w:rPr>
          <w:rFonts w:ascii="Times New Roman" w:hAnsi="Times New Roman" w:cs="Times New Roman"/>
          <w:szCs w:val="24"/>
        </w:rPr>
      </w:pPr>
      <w:r w:rsidRPr="00734AC0">
        <w:rPr>
          <w:rFonts w:ascii="Times New Roman" w:hAnsi="Times New Roman" w:cs="Times New Roman"/>
          <w:b/>
          <w:szCs w:val="24"/>
        </w:rPr>
        <w:t>Price.</w:t>
      </w:r>
      <w:r w:rsidRPr="00734AC0">
        <w:rPr>
          <w:rFonts w:ascii="Times New Roman" w:hAnsi="Times New Roman" w:cs="Times New Roman"/>
          <w:szCs w:val="24"/>
        </w:rPr>
        <w:t xml:space="preserve"> The pricing policy should eliminate this “green premium” obstacle. Refills should cost less than competing new packaged products, and rewards for returns should remain in points, as Boots customers already know what the points are worth in terms of monetary value. A simple version can provide 5-15% refill savings and bonus refills for qualified refills returned and personalised app rewards for repeat refill action. This reflects Deloitte’s UK evidence of cost pressure and fatigue, with a rising share of consumers reporting that “adopting a more sustainable lifestyle makes no difference”, so the offer should convey both environmental benefit and value for the consumer (Deloitte, 2024).</w:t>
      </w:r>
    </w:p>
    <w:p w14:paraId="2DC434C7" w14:textId="77777777" w:rsidR="007F0A0D" w:rsidRPr="00734AC0" w:rsidRDefault="00206093" w:rsidP="0088702A">
      <w:pPr>
        <w:jc w:val="both"/>
        <w:rPr>
          <w:rFonts w:ascii="Times New Roman" w:hAnsi="Times New Roman" w:cs="Times New Roman"/>
          <w:szCs w:val="24"/>
        </w:rPr>
      </w:pPr>
      <w:r w:rsidRPr="00734AC0">
        <w:rPr>
          <w:rFonts w:ascii="Times New Roman" w:hAnsi="Times New Roman" w:cs="Times New Roman"/>
          <w:b/>
          <w:szCs w:val="24"/>
        </w:rPr>
        <w:t>Place.</w:t>
      </w:r>
      <w:r w:rsidRPr="00734AC0">
        <w:rPr>
          <w:rFonts w:ascii="Times New Roman" w:hAnsi="Times New Roman" w:cs="Times New Roman"/>
          <w:bCs/>
          <w:szCs w:val="24"/>
        </w:rPr>
        <w:t xml:space="preserve"> The multi-channel approach to place should be store-led. Large Boots stores should have visibility of refill counters and return points, and the app should manage the eligibility of products, QR scanning, tracking of impact and offers. The presence of staff is important as it allows </w:t>
      </w:r>
      <w:r w:rsidRPr="00734AC0">
        <w:rPr>
          <w:rFonts w:ascii="Times New Roman" w:hAnsi="Times New Roman" w:cs="Times New Roman"/>
          <w:bCs/>
          <w:szCs w:val="24"/>
        </w:rPr>
        <w:lastRenderedPageBreak/>
        <w:t xml:space="preserve">customers to be reassured on hygiene, product authenticity and the refilling process. The app has value because loyalty, reminders and customised promotions can make refilling a habit. Boots' massive offline appeal and digital loyalty program lend the brand a significant distribution edge over speciality refill shops. </w:t>
      </w:r>
      <w:r w:rsidRPr="00734AC0">
        <w:rPr>
          <w:rFonts w:ascii="Times New Roman" w:hAnsi="Times New Roman" w:cs="Times New Roman"/>
          <w:szCs w:val="24"/>
        </w:rPr>
        <w:t>(Boots UK, 2025a; Boots UK, 2025b).</w:t>
      </w:r>
    </w:p>
    <w:p w14:paraId="5B298797" w14:textId="77777777" w:rsidR="007F0A0D" w:rsidRPr="00734AC0" w:rsidRDefault="005F414F" w:rsidP="0088702A">
      <w:pPr>
        <w:jc w:val="both"/>
        <w:rPr>
          <w:rFonts w:ascii="Times New Roman" w:hAnsi="Times New Roman" w:cs="Times New Roman"/>
          <w:szCs w:val="24"/>
        </w:rPr>
      </w:pPr>
      <w:r w:rsidRPr="00734AC0">
        <w:rPr>
          <w:rFonts w:ascii="Times New Roman" w:hAnsi="Times New Roman"/>
          <w:b/>
        </w:rPr>
        <w:t>Promotion.</w:t>
      </w:r>
      <w:r w:rsidRPr="00734AC0">
        <w:rPr>
          <w:rFonts w:ascii="Times New Roman" w:hAnsi="Times New Roman"/>
        </w:rPr>
        <w:t xml:space="preserve"> The tagline used to promote the message needs to be “Refill. Return. Reward.” It is concise, memorable and benefit-led. Words like “planet-friendly” should not be used for communications unless backed up by evidence. Environmental claims must be truthful, clear, substantiated and not deceptive, which is what the CMA Green Claims Code states, and Boots should use specific impact claims (how many items have been returned, how much packaging has been avoided, how much of the material has been verified as recycled, etc.). Consumer confidence is preserved, and the risk of greenwashing is minimised (CMA, 2024).</w:t>
      </w:r>
    </w:p>
    <w:p w14:paraId="634388C4" w14:textId="77777777" w:rsidR="007F0A0D" w:rsidRPr="00734AC0" w:rsidRDefault="00AA4083" w:rsidP="0088702A">
      <w:pPr>
        <w:jc w:val="both"/>
        <w:rPr>
          <w:rFonts w:ascii="Times New Roman" w:hAnsi="Times New Roman" w:cs="Times New Roman"/>
          <w:szCs w:val="24"/>
        </w:rPr>
      </w:pPr>
      <w:r w:rsidRPr="00734AC0">
        <w:rPr>
          <w:rFonts w:ascii="Times New Roman" w:hAnsi="Times New Roman" w:cs="Times New Roman"/>
          <w:szCs w:val="24"/>
        </w:rPr>
        <w:t>Promotion should be done via Advantage Card emails, app push notifications, in-store signage, TikTok and Instagram demonstrations, Boots beauty advisors and local launch events. The best content would be a visualisation of the customer journey: bring back empties, scan the app, refill a product, earn points and see impact. Social media influencers should not be about unrealistic beauty consumption, and a practical routine is what should be promoted, as this should not make people feel compelled to buy more products for incentives. The overarching goal is to transform re-purchasing into products with fewer waste components, without losing the business viability of Boots (Euromonitor International, 2025; Syed et al., 2024).</w:t>
      </w:r>
    </w:p>
    <w:p w14:paraId="30E2AA09" w14:textId="77777777" w:rsidR="007F0A0D" w:rsidRPr="00734AC0" w:rsidRDefault="005F414F" w:rsidP="0088702A">
      <w:pPr>
        <w:jc w:val="both"/>
        <w:rPr>
          <w:rFonts w:ascii="Times New Roman" w:hAnsi="Times New Roman" w:cs="Times New Roman"/>
          <w:szCs w:val="24"/>
        </w:rPr>
      </w:pPr>
      <w:r w:rsidRPr="00734AC0">
        <w:rPr>
          <w:rFonts w:ascii="Times New Roman" w:hAnsi="Times New Roman"/>
          <w:b/>
        </w:rPr>
        <w:t>People.</w:t>
      </w:r>
      <w:r w:rsidRPr="00734AC0">
        <w:rPr>
          <w:rFonts w:ascii="Times New Roman" w:hAnsi="Times New Roman"/>
        </w:rPr>
        <w:t xml:space="preserve">  Employees are critical as they provide explanations, reassurance and quality control for refills and returns. Boots should provide selected staff with training as “Refill Advisors” to answer questions on hygiene, which products can be refilled, reward rules and where packaging goes. This is a key service-marketing issue because staff interactions can shape perceptions of risk and trust. If there is any doubt about sustainability or hygiene, then employees can be a key factor in either gaining or losing customers (Röding et al., 2024; Rohit, Ranjan and Shainesh, 2025).</w:t>
      </w:r>
    </w:p>
    <w:p w14:paraId="02A1E527" w14:textId="77777777" w:rsidR="007F0A0D" w:rsidRPr="00734AC0" w:rsidRDefault="005F414F" w:rsidP="0088702A">
      <w:pPr>
        <w:jc w:val="both"/>
        <w:rPr>
          <w:rFonts w:ascii="Times New Roman" w:hAnsi="Times New Roman" w:cs="Times New Roman"/>
          <w:szCs w:val="24"/>
        </w:rPr>
      </w:pPr>
      <w:r w:rsidRPr="00734AC0">
        <w:rPr>
          <w:rFonts w:ascii="Times New Roman" w:hAnsi="Times New Roman" w:cs="Times New Roman"/>
          <w:b/>
          <w:szCs w:val="24"/>
        </w:rPr>
        <w:t>Process.</w:t>
      </w:r>
      <w:r w:rsidRPr="00734AC0">
        <w:rPr>
          <w:rFonts w:ascii="Times New Roman" w:hAnsi="Times New Roman" w:cs="Times New Roman"/>
          <w:szCs w:val="24"/>
        </w:rPr>
        <w:t xml:space="preserve"> The customer process should be very simple: open the Boots app, scan empty packaging, take to store, get verified, refill/return and pick up points if conditions apply. Customers will be encouraged to use a clean refill container; they will scan the product and receive a digital receipt displaying refill savings and care information, but the container will be filled under the guidance of the staff. This should comprise clear exclusions where unsafe or unsuitable packaging is involved; otherwise, there would be a risk of reducing safety and sustainability credibility in the process (Boots UK, 2025b; CMA, 2024).</w:t>
      </w:r>
    </w:p>
    <w:p w14:paraId="17E0C065" w14:textId="77777777" w:rsidR="007F0A0D" w:rsidRPr="00734AC0" w:rsidRDefault="005F414F" w:rsidP="0088702A">
      <w:pPr>
        <w:jc w:val="both"/>
        <w:rPr>
          <w:rFonts w:ascii="Times New Roman" w:hAnsi="Times New Roman" w:cs="Times New Roman"/>
          <w:szCs w:val="24"/>
        </w:rPr>
      </w:pPr>
      <w:r w:rsidRPr="00734AC0">
        <w:rPr>
          <w:rFonts w:ascii="Times New Roman" w:hAnsi="Times New Roman" w:cs="Times New Roman"/>
          <w:b/>
          <w:szCs w:val="24"/>
        </w:rPr>
        <w:t>Physical evidence.</w:t>
      </w:r>
      <w:r w:rsidRPr="00734AC0">
        <w:rPr>
          <w:rFonts w:ascii="Times New Roman" w:hAnsi="Times New Roman" w:cs="Times New Roman"/>
          <w:szCs w:val="24"/>
        </w:rPr>
        <w:t xml:space="preserve">  It should be a service with a familiar store face – pastel refill counters, clean condition and hygiene signs, QR-coded impact boards, staff badges, refill bottles and before-and-</w:t>
      </w:r>
      <w:r w:rsidRPr="00734AC0">
        <w:rPr>
          <w:rFonts w:ascii="Times New Roman" w:hAnsi="Times New Roman" w:cs="Times New Roman"/>
          <w:szCs w:val="24"/>
        </w:rPr>
        <w:lastRenderedPageBreak/>
        <w:t>after packaging displays. That's because the reality of sustainability may not be apparent unless there is physical proof. A soft blue, sage green and cream colour palette was used to create the poster design, and its hues convey care, cleanliness and calm sustainability, while retaining a professional and Boots-compatible aesthetic. In-store dashboards should provide objective results, including the number of items collected, packaging avoided, points earned, etc., in easily understandable terms (Perret, Gómez Velázquez and Mehn, 2025; Boots Group, 2025).</w:t>
      </w:r>
    </w:p>
    <w:p w14:paraId="24419127" w14:textId="77777777" w:rsidR="007F0A0D" w:rsidRPr="00734AC0" w:rsidRDefault="00AA4083" w:rsidP="0088702A">
      <w:pPr>
        <w:jc w:val="both"/>
        <w:rPr>
          <w:rFonts w:ascii="Times New Roman" w:hAnsi="Times New Roman" w:cs="Times New Roman"/>
          <w:szCs w:val="24"/>
        </w:rPr>
      </w:pPr>
      <w:r w:rsidRPr="00734AC0">
        <w:rPr>
          <w:rFonts w:ascii="Times New Roman" w:hAnsi="Times New Roman" w:cs="Times New Roman"/>
          <w:szCs w:val="24"/>
        </w:rPr>
        <w:t>All 7Ps are interdependent. The service is created by its product and process, adoption barriers are lowered by its price and promotion, its place and people make the behaviour convenient, and its physical evidence makes its sustainability proof visible. The biggest danger is that customers consider it an "extra reward game" instead of a true decrease in packaging. To prevent this, Boots should monitor repeat refill use, packaging reductions, where returned materials go, customer satisfaction, refill hygiene incidents and whether refill customers decrease purchases of similar single-use packs. To ensure sustainable marketing proves outcomes rather than just intentions, this critical measurement approach is required (CMA, 2024; Del Greco et al., 2024).</w:t>
      </w:r>
    </w:p>
    <w:p w14:paraId="026A40F7" w14:textId="77777777" w:rsidR="007F0A0D" w:rsidRPr="00734AC0" w:rsidRDefault="005F414F" w:rsidP="0088702A">
      <w:pPr>
        <w:pStyle w:val="Heading1"/>
        <w:rPr>
          <w:rFonts w:ascii="Times New Roman" w:hAnsi="Times New Roman" w:cs="Times New Roman"/>
          <w:color w:val="auto"/>
          <w:sz w:val="24"/>
          <w:szCs w:val="24"/>
        </w:rPr>
      </w:pPr>
      <w:bookmarkStart w:id="6" w:name="_Toc234589351"/>
      <w:bookmarkStart w:id="7" w:name="_Toc234589400"/>
      <w:r w:rsidRPr="00734AC0">
        <w:rPr>
          <w:rFonts w:ascii="Times New Roman" w:eastAsia="Arial" w:hAnsi="Times New Roman" w:cs="Times New Roman"/>
          <w:color w:val="auto"/>
          <w:sz w:val="24"/>
          <w:szCs w:val="24"/>
        </w:rPr>
        <w:t>Element 4: Reflection</w:t>
      </w:r>
      <w:bookmarkEnd w:id="6"/>
      <w:bookmarkEnd w:id="7"/>
    </w:p>
    <w:p w14:paraId="414AF542" w14:textId="77777777" w:rsidR="007F0A0D" w:rsidRPr="00734AC0" w:rsidRDefault="00AA4083" w:rsidP="0088702A">
      <w:pPr>
        <w:jc w:val="both"/>
        <w:rPr>
          <w:rFonts w:ascii="Times New Roman" w:hAnsi="Times New Roman" w:cs="Times New Roman"/>
          <w:szCs w:val="24"/>
        </w:rPr>
      </w:pPr>
      <w:r w:rsidRPr="00734AC0">
        <w:rPr>
          <w:rFonts w:ascii="Times New Roman" w:hAnsi="Times New Roman"/>
        </w:rPr>
        <w:t>Creating this sustainable brand extension gave me a clearer understanding of brand-development dynamics and showed me that an extension involves more than introducing a new product under an existing brand. It's a matter of how well the parent brand aligns with customer needs, market trends and credible sustainability evidence. Initially, I viewed the concepts of refill and recycling as environmental ones. I discovered that sustainable marketing has to be designed operationally: customers must be able to access stores, have clear instructions, be happy to pay a fair price, receive rewards, feel a sense of hygiene and have confidence in the evidence presented before changing their behaviour (Kotler, Keller and Chernev, 2025; Syed et al., 2024).</w:t>
      </w:r>
    </w:p>
    <w:p w14:paraId="73AFC14A" w14:textId="77777777" w:rsidR="007F0A0D" w:rsidRPr="00734AC0" w:rsidRDefault="00AA4083" w:rsidP="0088702A">
      <w:pPr>
        <w:jc w:val="both"/>
        <w:rPr>
          <w:rFonts w:ascii="Times New Roman" w:hAnsi="Times New Roman" w:cs="Times New Roman"/>
          <w:szCs w:val="24"/>
        </w:rPr>
      </w:pPr>
      <w:r w:rsidRPr="00734AC0">
        <w:rPr>
          <w:rFonts w:ascii="Times New Roman" w:hAnsi="Times New Roman"/>
        </w:rPr>
        <w:t>I found out that the target market isn't just “the people who care about the environment.” So, of course, customers might be interested in sustainability but opt for convenience, value or familiar brands. This helped me position Boots Refill &amp; Return Beauty Bar as a realistic mainstream service rather than an eco concept. The most useful learning obtained was the importance of behavioural segmentation, as Boots already has some members of Advantage Card and Recycle at Boots who will be more likely to accept the new service (Boots UK, 2025a; Deloitte, 2024).</w:t>
      </w:r>
    </w:p>
    <w:p w14:paraId="38971C55" w14:textId="77777777" w:rsidR="007F0A0D" w:rsidRPr="00734AC0" w:rsidRDefault="00AA4083" w:rsidP="0088702A">
      <w:pPr>
        <w:jc w:val="both"/>
        <w:rPr>
          <w:rFonts w:ascii="Times New Roman" w:hAnsi="Times New Roman" w:cs="Times New Roman"/>
          <w:szCs w:val="24"/>
        </w:rPr>
      </w:pPr>
      <w:r w:rsidRPr="00734AC0">
        <w:rPr>
          <w:rFonts w:ascii="Times New Roman" w:hAnsi="Times New Roman"/>
        </w:rPr>
        <w:t>Also, the marketing mix helped me become more critical in my thinking as all the 7Ps contained a strategic tension. The price needs to incentivise sustainable behaviour without being a gimmick, for example. Promotion should be convincing but not greenwashing. These conflicts proved to me that to have a sustainable brand extension, there had to be a lot of service design work done and not just pretty branding (Rohit, Ranjan and Shainesh, 2025; CMA, 2024).</w:t>
      </w:r>
    </w:p>
    <w:p w14:paraId="1826CAD0" w14:textId="77777777" w:rsidR="007F0A0D" w:rsidRPr="00734AC0" w:rsidRDefault="000A69D7" w:rsidP="0088702A">
      <w:pPr>
        <w:jc w:val="both"/>
        <w:rPr>
          <w:rFonts w:ascii="Times New Roman" w:hAnsi="Times New Roman" w:cs="Times New Roman"/>
          <w:szCs w:val="24"/>
        </w:rPr>
      </w:pPr>
      <w:r w:rsidRPr="00734AC0">
        <w:rPr>
          <w:rFonts w:ascii="Times New Roman" w:hAnsi="Times New Roman" w:cs="Times New Roman"/>
          <w:szCs w:val="24"/>
        </w:rPr>
        <w:lastRenderedPageBreak/>
        <w:t>Creating and presenting the poster gave me a good sense that analysis is not only important, but must also be communicated effectively. The time of my presentation (3-5 minutes) required me to focus on one message, to be more selective with evidence and to make shorter explanations. I wasn't as sure about operational risks and some questions I might have had to answer if I were an investor. Rehearsal helped me to develop more fluency and link customer value to commercial value. Going forward, I would do timed questions and also gain confidence, voice and the ability to adapt the message for the stakeholders by using feedback.</w:t>
      </w:r>
    </w:p>
    <w:p w14:paraId="233F508D" w14:textId="77777777" w:rsidR="00C3616A" w:rsidRPr="0088702A" w:rsidRDefault="00AA4083" w:rsidP="0088702A">
      <w:pPr>
        <w:jc w:val="both"/>
        <w:rPr>
          <w:rFonts w:ascii="Times New Roman" w:hAnsi="Times New Roman" w:cs="Times New Roman"/>
          <w:szCs w:val="24"/>
        </w:rPr>
      </w:pPr>
      <w:r w:rsidRPr="00734AC0">
        <w:rPr>
          <w:rFonts w:ascii="Times New Roman" w:hAnsi="Times New Roman" w:cs="Times New Roman"/>
          <w:szCs w:val="24"/>
        </w:rPr>
        <w:t>My performance in future projects would be enhanced by using primary data, for example, a survey of a small number of people in the UK about their willingness to use the Boots refill stations and return empties. Overall, this portfolio helped to enhance my research skills, academic referencing skills, knowledge of sustainable marketing and strategic analysis and professional communication skills, which are beneficial for my postgraduate studies and future marketing consultancy practice.</w:t>
      </w:r>
    </w:p>
    <w:p w14:paraId="4F01F389" w14:textId="77777777" w:rsidR="0088702A" w:rsidRDefault="0088702A" w:rsidP="0088702A">
      <w:pPr>
        <w:pStyle w:val="Heading1"/>
        <w:rPr>
          <w:rFonts w:ascii="Times New Roman" w:eastAsia="Arial" w:hAnsi="Times New Roman" w:cs="Times New Roman"/>
          <w:color w:val="auto"/>
          <w:sz w:val="24"/>
          <w:szCs w:val="24"/>
        </w:rPr>
      </w:pPr>
      <w:bookmarkStart w:id="8" w:name="_Toc234589352"/>
      <w:bookmarkStart w:id="9" w:name="_Toc234589401"/>
    </w:p>
    <w:p w14:paraId="18E89F18" w14:textId="77777777" w:rsidR="0088702A" w:rsidRDefault="0088702A" w:rsidP="0088702A">
      <w:pPr>
        <w:pStyle w:val="Heading1"/>
        <w:rPr>
          <w:rFonts w:ascii="Times New Roman" w:eastAsia="Arial" w:hAnsi="Times New Roman" w:cs="Times New Roman"/>
          <w:color w:val="auto"/>
          <w:sz w:val="24"/>
          <w:szCs w:val="24"/>
        </w:rPr>
      </w:pPr>
    </w:p>
    <w:p w14:paraId="2F2C2AC5" w14:textId="77777777" w:rsidR="0088702A" w:rsidRDefault="0088702A" w:rsidP="0088702A">
      <w:pPr>
        <w:pStyle w:val="Heading1"/>
        <w:rPr>
          <w:rFonts w:ascii="Times New Roman" w:eastAsia="Arial" w:hAnsi="Times New Roman" w:cs="Times New Roman"/>
          <w:color w:val="auto"/>
          <w:sz w:val="24"/>
          <w:szCs w:val="24"/>
        </w:rPr>
      </w:pPr>
    </w:p>
    <w:p w14:paraId="4C71933E" w14:textId="77777777" w:rsidR="0088702A" w:rsidRDefault="0088702A" w:rsidP="0088702A">
      <w:pPr>
        <w:pStyle w:val="Heading1"/>
        <w:rPr>
          <w:rFonts w:ascii="Times New Roman" w:eastAsia="Arial" w:hAnsi="Times New Roman" w:cs="Times New Roman"/>
          <w:color w:val="auto"/>
          <w:sz w:val="24"/>
          <w:szCs w:val="24"/>
        </w:rPr>
      </w:pPr>
    </w:p>
    <w:p w14:paraId="3C2A9CE5" w14:textId="77777777" w:rsidR="0088702A" w:rsidRDefault="0088702A" w:rsidP="0088702A">
      <w:pPr>
        <w:pStyle w:val="Heading1"/>
        <w:rPr>
          <w:rFonts w:ascii="Times New Roman" w:eastAsia="Arial" w:hAnsi="Times New Roman" w:cs="Times New Roman"/>
          <w:color w:val="auto"/>
          <w:sz w:val="24"/>
          <w:szCs w:val="24"/>
        </w:rPr>
      </w:pPr>
    </w:p>
    <w:p w14:paraId="6C04F188" w14:textId="77777777" w:rsidR="00734AC0" w:rsidRDefault="00734AC0" w:rsidP="00734AC0"/>
    <w:p w14:paraId="2F7B8837" w14:textId="77777777" w:rsidR="00734AC0" w:rsidRDefault="00734AC0" w:rsidP="00734AC0"/>
    <w:p w14:paraId="05F614DB" w14:textId="77777777" w:rsidR="00734AC0" w:rsidRDefault="00734AC0" w:rsidP="00734AC0"/>
    <w:p w14:paraId="00ABAE56" w14:textId="77777777" w:rsidR="00734AC0" w:rsidRDefault="00734AC0" w:rsidP="00734AC0"/>
    <w:p w14:paraId="594F9120" w14:textId="77777777" w:rsidR="00734AC0" w:rsidRDefault="00734AC0" w:rsidP="00734AC0"/>
    <w:p w14:paraId="1E710F8A" w14:textId="77777777" w:rsidR="00734AC0" w:rsidRDefault="00734AC0" w:rsidP="00734AC0"/>
    <w:p w14:paraId="7C14A43C" w14:textId="77777777" w:rsidR="00734AC0" w:rsidRDefault="00734AC0" w:rsidP="00734AC0"/>
    <w:p w14:paraId="3AC1DEDA" w14:textId="77777777" w:rsidR="00734AC0" w:rsidRDefault="00734AC0" w:rsidP="00734AC0"/>
    <w:p w14:paraId="1FFFFAA0" w14:textId="77777777" w:rsidR="00734AC0" w:rsidRPr="00734AC0" w:rsidRDefault="00734AC0" w:rsidP="00734AC0"/>
    <w:p w14:paraId="49D1E232" w14:textId="77777777" w:rsidR="0088702A" w:rsidRDefault="0088702A" w:rsidP="0088702A">
      <w:pPr>
        <w:pStyle w:val="Heading1"/>
        <w:rPr>
          <w:rFonts w:ascii="Times New Roman" w:eastAsia="Arial" w:hAnsi="Times New Roman" w:cs="Times New Roman"/>
          <w:color w:val="auto"/>
          <w:sz w:val="24"/>
          <w:szCs w:val="24"/>
        </w:rPr>
      </w:pPr>
    </w:p>
    <w:p w14:paraId="13DF6C50" w14:textId="77777777" w:rsidR="007F0A0D" w:rsidRPr="00734AC0" w:rsidRDefault="005F414F" w:rsidP="0088702A">
      <w:pPr>
        <w:pStyle w:val="Heading1"/>
        <w:rPr>
          <w:rFonts w:ascii="Times New Roman" w:hAnsi="Times New Roman" w:cs="Times New Roman"/>
          <w:color w:val="auto"/>
          <w:szCs w:val="32"/>
        </w:rPr>
      </w:pPr>
      <w:r w:rsidRPr="00734AC0">
        <w:rPr>
          <w:rFonts w:ascii="Times New Roman" w:eastAsia="Arial" w:hAnsi="Times New Roman" w:cs="Times New Roman"/>
          <w:color w:val="auto"/>
          <w:szCs w:val="32"/>
        </w:rPr>
        <w:t>References</w:t>
      </w:r>
      <w:bookmarkEnd w:id="8"/>
      <w:bookmarkEnd w:id="9"/>
    </w:p>
    <w:p w14:paraId="7D4AEBDC" w14:textId="77777777" w:rsidR="007F0A0D"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Boots Group (2025): </w:t>
      </w:r>
      <w:r w:rsidRPr="00734AC0">
        <w:rPr>
          <w:rFonts w:ascii="Times New Roman" w:hAnsi="Times New Roman" w:cs="Times New Roman"/>
          <w:i/>
          <w:szCs w:val="24"/>
        </w:rPr>
        <w:t>The Boots Group publishes the 2025 ESG Report demonstrating measurable progress</w:t>
      </w:r>
      <w:r w:rsidRPr="00734AC0">
        <w:rPr>
          <w:rFonts w:ascii="Times New Roman" w:hAnsi="Times New Roman" w:cs="Times New Roman"/>
          <w:szCs w:val="24"/>
        </w:rPr>
        <w:t xml:space="preserve">. Available at: </w:t>
      </w:r>
      <w:hyperlink r:id="rId12" w:history="1">
        <w:r w:rsidR="00AA3457" w:rsidRPr="00734AC0">
          <w:rPr>
            <w:rStyle w:val="Hyperlink"/>
            <w:rFonts w:ascii="Times New Roman" w:hAnsi="Times New Roman" w:cs="Times New Roman"/>
            <w:szCs w:val="24"/>
          </w:rPr>
          <w:t>https://www.thebootsgroup.co.uk/news/the-boots-group-publishes-2025-esg-report-demonstrating-measurable-progress-in-improving-access-to-healthcare-transforming-hard-to-recycle-products-and-reducing-emissions</w:t>
        </w:r>
      </w:hyperlink>
      <w:r w:rsidR="00AA3457" w:rsidRPr="00734AC0">
        <w:rPr>
          <w:rFonts w:ascii="Times New Roman" w:hAnsi="Times New Roman" w:cs="Times New Roman"/>
          <w:szCs w:val="24"/>
        </w:rPr>
        <w:t xml:space="preserve"> </w:t>
      </w:r>
      <w:r w:rsidRPr="00734AC0">
        <w:rPr>
          <w:rFonts w:ascii="Times New Roman" w:hAnsi="Times New Roman" w:cs="Times New Roman"/>
          <w:szCs w:val="24"/>
        </w:rPr>
        <w:t>(Accessed: 9 July 2026).</w:t>
      </w:r>
    </w:p>
    <w:p w14:paraId="3E475CF8" w14:textId="77777777" w:rsidR="007F0A0D"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Boots UK (2025a) </w:t>
      </w:r>
      <w:r w:rsidRPr="00734AC0">
        <w:rPr>
          <w:rFonts w:ascii="Times New Roman" w:hAnsi="Times New Roman" w:cs="Times New Roman"/>
          <w:i/>
          <w:szCs w:val="24"/>
        </w:rPr>
        <w:t>One in four Brits now has a Boots Advantage Card</w:t>
      </w:r>
      <w:r w:rsidRPr="00734AC0">
        <w:rPr>
          <w:rFonts w:ascii="Times New Roman" w:hAnsi="Times New Roman" w:cs="Times New Roman"/>
          <w:szCs w:val="24"/>
        </w:rPr>
        <w:t xml:space="preserve">. Available at: </w:t>
      </w:r>
      <w:hyperlink r:id="rId13" w:history="1">
        <w:r w:rsidR="00AA3457" w:rsidRPr="00734AC0">
          <w:rPr>
            <w:rStyle w:val="Hyperlink"/>
            <w:rFonts w:ascii="Times New Roman" w:hAnsi="Times New Roman" w:cs="Times New Roman"/>
            <w:szCs w:val="24"/>
          </w:rPr>
          <w:t>https://www.boots-uk.com/newsroom/news-item/one-in-four-brits-now-has-a-boots-advantage-card-here-s-how-they-re-saving-and-spending-their-points/</w:t>
        </w:r>
      </w:hyperlink>
      <w:r w:rsidR="00AA3457" w:rsidRPr="00734AC0">
        <w:rPr>
          <w:rFonts w:ascii="Times New Roman" w:hAnsi="Times New Roman" w:cs="Times New Roman"/>
          <w:szCs w:val="24"/>
        </w:rPr>
        <w:t xml:space="preserve"> </w:t>
      </w:r>
      <w:r w:rsidRPr="00734AC0">
        <w:rPr>
          <w:rFonts w:ascii="Times New Roman" w:hAnsi="Times New Roman" w:cs="Times New Roman"/>
          <w:szCs w:val="24"/>
        </w:rPr>
        <w:t>(Accessed: 9 July 2026).</w:t>
      </w:r>
    </w:p>
    <w:p w14:paraId="52C66E49" w14:textId="77777777" w:rsidR="007F0A0D"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Boots UK (2025b) </w:t>
      </w:r>
      <w:r w:rsidRPr="00734AC0">
        <w:rPr>
          <w:rFonts w:ascii="Times New Roman" w:hAnsi="Times New Roman" w:cs="Times New Roman"/>
          <w:i/>
          <w:szCs w:val="24"/>
        </w:rPr>
        <w:t>Progressing our sustainable Bootprint</w:t>
      </w:r>
      <w:r w:rsidRPr="00734AC0">
        <w:rPr>
          <w:rFonts w:ascii="Times New Roman" w:hAnsi="Times New Roman" w:cs="Times New Roman"/>
          <w:szCs w:val="24"/>
        </w:rPr>
        <w:t xml:space="preserve">. Available at: </w:t>
      </w:r>
      <w:hyperlink r:id="rId14" w:history="1">
        <w:r w:rsidR="00AA3457" w:rsidRPr="00734AC0">
          <w:rPr>
            <w:rStyle w:val="Hyperlink"/>
            <w:rFonts w:ascii="Times New Roman" w:hAnsi="Times New Roman" w:cs="Times New Roman"/>
            <w:szCs w:val="24"/>
          </w:rPr>
          <w:t>https://www.boots-uk.com/environmental-social-governance/what-we-do/progressing-our-sustainable-bootprint/</w:t>
        </w:r>
      </w:hyperlink>
      <w:r w:rsidR="00AA3457" w:rsidRPr="00734AC0">
        <w:rPr>
          <w:rFonts w:ascii="Times New Roman" w:hAnsi="Times New Roman" w:cs="Times New Roman"/>
          <w:szCs w:val="24"/>
        </w:rPr>
        <w:t xml:space="preserve"> </w:t>
      </w:r>
      <w:r w:rsidRPr="00734AC0">
        <w:rPr>
          <w:rFonts w:ascii="Times New Roman" w:hAnsi="Times New Roman" w:cs="Times New Roman"/>
          <w:szCs w:val="24"/>
        </w:rPr>
        <w:t>(Accessed: 9 July 2026).</w:t>
      </w:r>
    </w:p>
    <w:p w14:paraId="2181B858" w14:textId="77777777" w:rsidR="007F0A0D"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Competition and Markets Authority [CMA] (2024) </w:t>
      </w:r>
      <w:r w:rsidRPr="00734AC0">
        <w:rPr>
          <w:rFonts w:ascii="Times New Roman" w:hAnsi="Times New Roman" w:cs="Times New Roman"/>
          <w:i/>
          <w:szCs w:val="24"/>
        </w:rPr>
        <w:t>Green Claims Code: making environmental claims</w:t>
      </w:r>
      <w:r w:rsidRPr="00734AC0">
        <w:rPr>
          <w:rFonts w:ascii="Times New Roman" w:hAnsi="Times New Roman" w:cs="Times New Roman"/>
          <w:szCs w:val="24"/>
        </w:rPr>
        <w:t xml:space="preserve">. Available at: </w:t>
      </w:r>
      <w:hyperlink r:id="rId15" w:history="1">
        <w:r w:rsidR="00AA3457" w:rsidRPr="00734AC0">
          <w:rPr>
            <w:rStyle w:val="Hyperlink"/>
            <w:rFonts w:ascii="Times New Roman" w:hAnsi="Times New Roman" w:cs="Times New Roman"/>
            <w:szCs w:val="24"/>
          </w:rPr>
          <w:t>https://www.gov.uk/government/publications/green-claims-code-making-environmental-claims</w:t>
        </w:r>
      </w:hyperlink>
      <w:r w:rsidR="00AA3457" w:rsidRPr="00734AC0">
        <w:rPr>
          <w:rFonts w:ascii="Times New Roman" w:hAnsi="Times New Roman" w:cs="Times New Roman"/>
          <w:szCs w:val="24"/>
        </w:rPr>
        <w:t xml:space="preserve"> </w:t>
      </w:r>
      <w:r w:rsidRPr="00734AC0">
        <w:rPr>
          <w:rFonts w:ascii="Times New Roman" w:hAnsi="Times New Roman" w:cs="Times New Roman"/>
          <w:szCs w:val="24"/>
        </w:rPr>
        <w:t>(Accessed: 9 July 2026).</w:t>
      </w:r>
    </w:p>
    <w:p w14:paraId="0889C8EF" w14:textId="77777777" w:rsidR="00AA3457"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Del Greco, A., Bani, M., Rampoldi, G., Ardenghi, S., Galli, P., Strepparava, M.G. and Russo, S. (2024) ‘Re-evaluating beauty: attitudes and perceptions of eco-friendly packaging in beauty care products – a systematic review’, </w:t>
      </w:r>
      <w:r w:rsidRPr="00734AC0">
        <w:rPr>
          <w:rFonts w:ascii="Times New Roman" w:hAnsi="Times New Roman" w:cs="Times New Roman"/>
          <w:i/>
          <w:szCs w:val="24"/>
        </w:rPr>
        <w:t>Sustainable Production and Consumption</w:t>
      </w:r>
      <w:r w:rsidRPr="00734AC0">
        <w:rPr>
          <w:rFonts w:ascii="Times New Roman" w:hAnsi="Times New Roman" w:cs="Times New Roman"/>
          <w:szCs w:val="24"/>
        </w:rPr>
        <w:t xml:space="preserve">, 52, pp. 458–468. Available at: </w:t>
      </w:r>
      <w:hyperlink r:id="rId16" w:history="1">
        <w:r w:rsidR="00AA3457" w:rsidRPr="00734AC0">
          <w:rPr>
            <w:rStyle w:val="Hyperlink"/>
            <w:rFonts w:ascii="Times New Roman" w:hAnsi="Times New Roman" w:cs="Times New Roman"/>
            <w:szCs w:val="24"/>
          </w:rPr>
          <w:t>https://doi.org/10.1016/j.spc.2024.11.011</w:t>
        </w:r>
      </w:hyperlink>
      <w:r w:rsidRPr="00734AC0">
        <w:rPr>
          <w:rFonts w:ascii="Times New Roman" w:hAnsi="Times New Roman" w:cs="Times New Roman"/>
          <w:szCs w:val="24"/>
        </w:rPr>
        <w:t>.</w:t>
      </w:r>
    </w:p>
    <w:p w14:paraId="28EE3ECF" w14:textId="77777777" w:rsidR="00AA3457" w:rsidRPr="00734AC0" w:rsidRDefault="00AA3457" w:rsidP="0088702A">
      <w:pPr>
        <w:pStyle w:val="Reference"/>
        <w:rPr>
          <w:rFonts w:ascii="Times New Roman" w:hAnsi="Times New Roman" w:cs="Times New Roman"/>
          <w:szCs w:val="24"/>
        </w:rPr>
      </w:pPr>
    </w:p>
    <w:p w14:paraId="56EC57B3" w14:textId="77777777" w:rsidR="007F0A0D"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Deloitte (2024). </w:t>
      </w:r>
      <w:r w:rsidRPr="00734AC0">
        <w:rPr>
          <w:rFonts w:ascii="Times New Roman" w:hAnsi="Times New Roman" w:cs="Times New Roman"/>
          <w:i/>
          <w:szCs w:val="24"/>
        </w:rPr>
        <w:t>The sustainable consumer</w:t>
      </w:r>
      <w:r w:rsidRPr="00734AC0">
        <w:rPr>
          <w:rFonts w:ascii="Times New Roman" w:hAnsi="Times New Roman" w:cs="Times New Roman"/>
          <w:szCs w:val="24"/>
        </w:rPr>
        <w:t xml:space="preserve">. Available at: </w:t>
      </w:r>
      <w:hyperlink r:id="rId17" w:history="1">
        <w:r w:rsidR="00AA3457" w:rsidRPr="00734AC0">
          <w:rPr>
            <w:rStyle w:val="Hyperlink"/>
            <w:rFonts w:ascii="Times New Roman" w:hAnsi="Times New Roman" w:cs="Times New Roman"/>
            <w:szCs w:val="24"/>
          </w:rPr>
          <w:t>https://www.deloitte.com/uk/en/Industries/consumer/perspectives/the-sustainable-consumer.html</w:t>
        </w:r>
      </w:hyperlink>
      <w:r w:rsidR="00AA3457" w:rsidRPr="00734AC0">
        <w:rPr>
          <w:rFonts w:ascii="Times New Roman" w:hAnsi="Times New Roman" w:cs="Times New Roman"/>
          <w:szCs w:val="24"/>
        </w:rPr>
        <w:t xml:space="preserve"> </w:t>
      </w:r>
      <w:r w:rsidRPr="00734AC0">
        <w:rPr>
          <w:rFonts w:ascii="Times New Roman" w:hAnsi="Times New Roman" w:cs="Times New Roman"/>
          <w:szCs w:val="24"/>
        </w:rPr>
        <w:t>(Accessed: 9 July 2026).</w:t>
      </w:r>
    </w:p>
    <w:p w14:paraId="43ED5953" w14:textId="77777777" w:rsidR="007F0A0D"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Euromonitor International (2025) </w:t>
      </w:r>
      <w:r w:rsidRPr="00734AC0">
        <w:rPr>
          <w:rFonts w:ascii="Times New Roman" w:hAnsi="Times New Roman" w:cs="Times New Roman"/>
          <w:i/>
          <w:szCs w:val="24"/>
        </w:rPr>
        <w:t>Top trends shaping the beauty and personal care industry in 2025</w:t>
      </w:r>
      <w:r w:rsidRPr="00734AC0">
        <w:rPr>
          <w:rFonts w:ascii="Times New Roman" w:hAnsi="Times New Roman" w:cs="Times New Roman"/>
          <w:szCs w:val="24"/>
        </w:rPr>
        <w:t xml:space="preserve">. Available at: </w:t>
      </w:r>
      <w:hyperlink r:id="rId18" w:history="1">
        <w:r w:rsidR="00AA3457" w:rsidRPr="00734AC0">
          <w:rPr>
            <w:rStyle w:val="Hyperlink"/>
            <w:rFonts w:ascii="Times New Roman" w:hAnsi="Times New Roman" w:cs="Times New Roman"/>
            <w:szCs w:val="24"/>
          </w:rPr>
          <w:t>https://www.euromonitor.com/article/top-trends-shaping-the-beauty-and-personal-care-industry-in-2025</w:t>
        </w:r>
      </w:hyperlink>
      <w:r w:rsidR="00AA3457" w:rsidRPr="00734AC0">
        <w:rPr>
          <w:rFonts w:ascii="Times New Roman" w:hAnsi="Times New Roman" w:cs="Times New Roman"/>
          <w:szCs w:val="24"/>
        </w:rPr>
        <w:t xml:space="preserve"> </w:t>
      </w:r>
      <w:r w:rsidRPr="00734AC0">
        <w:rPr>
          <w:rFonts w:ascii="Times New Roman" w:hAnsi="Times New Roman" w:cs="Times New Roman"/>
          <w:szCs w:val="24"/>
        </w:rPr>
        <w:t>(Accessed: 9 July 2026).</w:t>
      </w:r>
    </w:p>
    <w:p w14:paraId="0388A331" w14:textId="77777777" w:rsidR="00AA3457"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Heeremans, E., De Temmerman, J., Slabbinck, H. and Geuens, M. (2025) ‘Packaging the future: Determinants of use intentions and incentive structures of reusable packaging systems’, Resources, Conservation and Recycling, 212, article 107961. Available at: </w:t>
      </w:r>
      <w:hyperlink r:id="rId19" w:history="1">
        <w:r w:rsidR="00AA3457" w:rsidRPr="00734AC0">
          <w:rPr>
            <w:rStyle w:val="Hyperlink"/>
            <w:rFonts w:ascii="Times New Roman" w:hAnsi="Times New Roman" w:cs="Times New Roman"/>
            <w:szCs w:val="24"/>
          </w:rPr>
          <w:t>https://doi.org/10.1016/j.resconrec.2024.107961</w:t>
        </w:r>
      </w:hyperlink>
      <w:r w:rsidRPr="00734AC0">
        <w:rPr>
          <w:rFonts w:ascii="Times New Roman" w:hAnsi="Times New Roman" w:cs="Times New Roman"/>
          <w:szCs w:val="24"/>
        </w:rPr>
        <w:t>.</w:t>
      </w:r>
    </w:p>
    <w:p w14:paraId="2BE940B4" w14:textId="77777777" w:rsidR="007F0A0D" w:rsidRPr="00734AC0" w:rsidRDefault="005F414F" w:rsidP="0088702A">
      <w:pPr>
        <w:pStyle w:val="Reference"/>
        <w:rPr>
          <w:rFonts w:ascii="Times New Roman" w:hAnsi="Times New Roman" w:cs="Times New Roman"/>
          <w:szCs w:val="24"/>
        </w:rPr>
      </w:pPr>
      <w:r w:rsidRPr="00734AC0">
        <w:rPr>
          <w:rFonts w:ascii="Times New Roman" w:hAnsi="Times New Roman"/>
        </w:rPr>
        <w:lastRenderedPageBreak/>
        <w:t xml:space="preserve">Kotler, P., Keller, K.L. and Chernev, A. (2025) </w:t>
      </w:r>
      <w:r w:rsidRPr="00734AC0">
        <w:rPr>
          <w:rFonts w:ascii="Times New Roman" w:hAnsi="Times New Roman"/>
          <w:i/>
        </w:rPr>
        <w:t>Marketing Management</w:t>
      </w:r>
      <w:r w:rsidRPr="00734AC0">
        <w:rPr>
          <w:rFonts w:ascii="Times New Roman" w:hAnsi="Times New Roman"/>
        </w:rPr>
        <w:t>. 17th global edn. Harlow: Pearson.</w:t>
      </w:r>
    </w:p>
    <w:p w14:paraId="2E64122F" w14:textId="77777777" w:rsidR="00982150"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Lush (n.d.) Bring It Back: The Lush way to recycle. Available at: </w:t>
      </w:r>
      <w:hyperlink r:id="rId20" w:history="1">
        <w:r w:rsidR="00AA3457" w:rsidRPr="00734AC0">
          <w:rPr>
            <w:rStyle w:val="Hyperlink"/>
            <w:rFonts w:ascii="Times New Roman" w:hAnsi="Times New Roman" w:cs="Times New Roman"/>
            <w:szCs w:val="24"/>
          </w:rPr>
          <w:t>https://www.lush.com/uk/en/a/bring-it-back-our-new-look-recycling-scheme</w:t>
        </w:r>
      </w:hyperlink>
      <w:r w:rsidR="00AA3457" w:rsidRPr="00734AC0">
        <w:rPr>
          <w:rFonts w:ascii="Times New Roman" w:hAnsi="Times New Roman" w:cs="Times New Roman"/>
          <w:szCs w:val="24"/>
        </w:rPr>
        <w:t xml:space="preserve"> </w:t>
      </w:r>
      <w:r w:rsidRPr="00734AC0">
        <w:rPr>
          <w:rFonts w:ascii="Times New Roman" w:hAnsi="Times New Roman" w:cs="Times New Roman"/>
          <w:szCs w:val="24"/>
        </w:rPr>
        <w:t>(Accessed: 10 July 2026).</w:t>
      </w:r>
    </w:p>
    <w:p w14:paraId="501A51EA" w14:textId="77777777" w:rsidR="008B096F" w:rsidRPr="00734AC0" w:rsidRDefault="00000000">
      <w:pPr>
        <w:pStyle w:val="Reference"/>
      </w:pPr>
      <w:r w:rsidRPr="00734AC0">
        <w:rPr>
          <w:rFonts w:ascii="Times New Roman" w:hAnsi="Times New Roman"/>
        </w:rPr>
        <w:t>Peng, C., Bijmolt, T.H.A., Völckner, F. and Zhao, H. (2023) ‘A Meta-Analysis of Brand Extension Success: The Effects of Parent Brand Equity and Extension Fit’, Journal of Marketing, 87(6), pp. 906–927. Available at: https://doi.org/10.1177/00222429231164654.</w:t>
      </w:r>
    </w:p>
    <w:p w14:paraId="1CC56ABB" w14:textId="77777777" w:rsidR="00AA3457"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Perret, J.K., Gómez Velázquez, A. and Mehn, A. (2025) ‘Green cosmetics—the effects of package design on consumers’ willingness-to-pay and sustainability perceptions’, </w:t>
      </w:r>
      <w:r w:rsidRPr="00734AC0">
        <w:rPr>
          <w:rFonts w:ascii="Times New Roman" w:hAnsi="Times New Roman" w:cs="Times New Roman"/>
          <w:i/>
          <w:szCs w:val="24"/>
        </w:rPr>
        <w:t>Sustainability</w:t>
      </w:r>
      <w:r w:rsidRPr="00734AC0">
        <w:rPr>
          <w:rFonts w:ascii="Times New Roman" w:hAnsi="Times New Roman" w:cs="Times New Roman"/>
          <w:szCs w:val="24"/>
        </w:rPr>
        <w:t xml:space="preserve">, 17(6), article 2581. Available at: </w:t>
      </w:r>
      <w:hyperlink r:id="rId21" w:history="1">
        <w:r w:rsidR="00AA3457" w:rsidRPr="00734AC0">
          <w:rPr>
            <w:rStyle w:val="Hyperlink"/>
            <w:rFonts w:ascii="Times New Roman" w:hAnsi="Times New Roman" w:cs="Times New Roman"/>
            <w:szCs w:val="24"/>
          </w:rPr>
          <w:t>https://doi.org/10.3390/su17062581</w:t>
        </w:r>
      </w:hyperlink>
      <w:r w:rsidRPr="00734AC0">
        <w:rPr>
          <w:rFonts w:ascii="Times New Roman" w:hAnsi="Times New Roman" w:cs="Times New Roman"/>
          <w:szCs w:val="24"/>
        </w:rPr>
        <w:t>.</w:t>
      </w:r>
    </w:p>
    <w:p w14:paraId="5C9C50EA" w14:textId="77777777" w:rsidR="008B096F" w:rsidRPr="00734AC0" w:rsidRDefault="00000000">
      <w:pPr>
        <w:pStyle w:val="Reference"/>
      </w:pPr>
      <w:r w:rsidRPr="00734AC0">
        <w:rPr>
          <w:rFonts w:ascii="Times New Roman" w:hAnsi="Times New Roman"/>
        </w:rPr>
        <w:t>Röding, T., Wagner, G., Steinmann, S., Mennekes, T. and Schramm-Klein, H. (2024) ‘How to infuse mobile technologies in frontline service encounters? An experimental analysis of customer perceptions of service competence’, The International Review of Retail, Distribution and Consumer Research, 34(2), pp. 183–200. Available at: https://doi.org/10.1080/09593969.2023.2290069.</w:t>
      </w:r>
    </w:p>
    <w:p w14:paraId="73D8F7B2" w14:textId="77777777" w:rsidR="008B096F" w:rsidRPr="00734AC0" w:rsidRDefault="00000000">
      <w:pPr>
        <w:pStyle w:val="Reference"/>
      </w:pPr>
      <w:r w:rsidRPr="00734AC0">
        <w:rPr>
          <w:rFonts w:ascii="Times New Roman" w:hAnsi="Times New Roman"/>
        </w:rPr>
        <w:t>Rohit, S., Ranjan, K.R. and Shainesh, G. (2025) ‘Service marketing mix and customer engagement: A meta-analysis’, Journal of Business Research, 194, article 115363. Available at: https://doi.org/10.1016/j.jbusres.2025.115363.</w:t>
      </w:r>
    </w:p>
    <w:p w14:paraId="65A36DEF" w14:textId="77777777" w:rsidR="00982150" w:rsidRPr="00734AC0"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Superdrug (2022) Everything You Need To Know About In-Store Recycling at Superdrug. Available at: </w:t>
      </w:r>
      <w:hyperlink r:id="rId22" w:history="1">
        <w:r w:rsidR="00AA3457" w:rsidRPr="00734AC0">
          <w:rPr>
            <w:rStyle w:val="Hyperlink"/>
            <w:rFonts w:ascii="Times New Roman" w:hAnsi="Times New Roman" w:cs="Times New Roman"/>
            <w:szCs w:val="24"/>
          </w:rPr>
          <w:t>https://www.superdrug.com/blog/new-and-trending/recycle-beauty-empties</w:t>
        </w:r>
      </w:hyperlink>
      <w:r w:rsidR="00AA3457" w:rsidRPr="00734AC0">
        <w:rPr>
          <w:rFonts w:ascii="Times New Roman" w:hAnsi="Times New Roman" w:cs="Times New Roman"/>
          <w:szCs w:val="24"/>
        </w:rPr>
        <w:t xml:space="preserve"> (</w:t>
      </w:r>
      <w:r w:rsidRPr="00734AC0">
        <w:rPr>
          <w:rFonts w:ascii="Times New Roman" w:hAnsi="Times New Roman" w:cs="Times New Roman"/>
          <w:szCs w:val="24"/>
        </w:rPr>
        <w:t>Accessed: 10 July 2026).</w:t>
      </w:r>
    </w:p>
    <w:p w14:paraId="49BD56D8" w14:textId="77777777" w:rsidR="007F0A0D" w:rsidRPr="0088702A" w:rsidRDefault="005F414F" w:rsidP="0088702A">
      <w:pPr>
        <w:pStyle w:val="Reference"/>
        <w:rPr>
          <w:rFonts w:ascii="Times New Roman" w:hAnsi="Times New Roman" w:cs="Times New Roman"/>
          <w:szCs w:val="24"/>
        </w:rPr>
      </w:pPr>
      <w:r w:rsidRPr="00734AC0">
        <w:rPr>
          <w:rFonts w:ascii="Times New Roman" w:hAnsi="Times New Roman" w:cs="Times New Roman"/>
          <w:szCs w:val="24"/>
        </w:rPr>
        <w:t xml:space="preserve">Syed, S., Acquaye, A., Khalfan, M.M., Obuobisa-Darko, T. and Yamoah, F.A. (2024) ‘Decoding sustainable consumption behaviour: a systematic review of theories and models and provision of a guidance framework’, </w:t>
      </w:r>
      <w:r w:rsidRPr="00734AC0">
        <w:rPr>
          <w:rFonts w:ascii="Times New Roman" w:hAnsi="Times New Roman" w:cs="Times New Roman"/>
          <w:i/>
          <w:szCs w:val="24"/>
        </w:rPr>
        <w:t>Resources, Conservation &amp; Recycling Advances</w:t>
      </w:r>
      <w:r w:rsidRPr="00734AC0">
        <w:rPr>
          <w:rFonts w:ascii="Times New Roman" w:hAnsi="Times New Roman" w:cs="Times New Roman"/>
          <w:szCs w:val="24"/>
        </w:rPr>
        <w:t xml:space="preserve">, 23, article 200232. Available at: </w:t>
      </w:r>
      <w:hyperlink r:id="rId23" w:history="1">
        <w:r w:rsidR="00AA3457" w:rsidRPr="00734AC0">
          <w:rPr>
            <w:rStyle w:val="Hyperlink"/>
            <w:rFonts w:ascii="Times New Roman" w:hAnsi="Times New Roman" w:cs="Times New Roman"/>
            <w:szCs w:val="24"/>
          </w:rPr>
          <w:t>https://doi.org/10.1016/j.rcradv.2024.200232</w:t>
        </w:r>
      </w:hyperlink>
      <w:r w:rsidRPr="00734AC0">
        <w:rPr>
          <w:rFonts w:ascii="Times New Roman" w:hAnsi="Times New Roman" w:cs="Times New Roman"/>
          <w:szCs w:val="24"/>
        </w:rPr>
        <w:t>.</w:t>
      </w:r>
    </w:p>
    <w:p w14:paraId="7FB98152" w14:textId="77777777" w:rsidR="00AA3457" w:rsidRPr="0088702A" w:rsidRDefault="00AA3457" w:rsidP="0088702A">
      <w:pPr>
        <w:pStyle w:val="Reference"/>
        <w:rPr>
          <w:rFonts w:ascii="Times New Roman" w:hAnsi="Times New Roman" w:cs="Times New Roman"/>
          <w:szCs w:val="24"/>
        </w:rPr>
      </w:pPr>
    </w:p>
    <w:sectPr w:rsidR="00AA3457" w:rsidRPr="0088702A" w:rsidSect="0088702A">
      <w:footerReference w:type="default" r:id="rId24"/>
      <w:footerReference w:type="first" r:id="rId25"/>
      <w:pgSz w:w="11909" w:h="16834"/>
      <w:pgMar w:top="1080" w:right="1152" w:bottom="1080" w:left="1152"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2A58E" w14:textId="77777777" w:rsidR="00135B55" w:rsidRDefault="00135B55">
      <w:pPr>
        <w:spacing w:after="0" w:line="240" w:lineRule="auto"/>
      </w:pPr>
      <w:r>
        <w:separator/>
      </w:r>
    </w:p>
  </w:endnote>
  <w:endnote w:type="continuationSeparator" w:id="0">
    <w:p w14:paraId="5DF5581F" w14:textId="77777777" w:rsidR="00135B55" w:rsidRDefault="00135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85899" w14:textId="77777777" w:rsidR="007F0A0D" w:rsidRDefault="005F414F">
    <w:pPr>
      <w:pStyle w:val="Footer"/>
      <w:jc w:val="center"/>
    </w:pPr>
    <w:r>
      <w:t xml:space="preserve">Page </w:t>
    </w:r>
    <w:r>
      <w:fldChar w:fldCharType="begin"/>
    </w:r>
    <w:r>
      <w:instrText xml:space="preserve"> PAGE </w:instrText>
    </w:r>
    <w:r>
      <w:fldChar w:fldCharType="separate"/>
    </w:r>
    <w:r w:rsidR="0088702A">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85886" w14:textId="77777777" w:rsidR="007F0A0D" w:rsidRDefault="007F0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FFA4F8" w14:textId="77777777" w:rsidR="00135B55" w:rsidRDefault="00135B55">
      <w:pPr>
        <w:spacing w:after="0" w:line="240" w:lineRule="auto"/>
      </w:pPr>
      <w:r>
        <w:separator/>
      </w:r>
    </w:p>
  </w:footnote>
  <w:footnote w:type="continuationSeparator" w:id="0">
    <w:p w14:paraId="78F67E6A" w14:textId="77777777" w:rsidR="00135B55" w:rsidRDefault="00135B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88389136">
    <w:abstractNumId w:val="8"/>
  </w:num>
  <w:num w:numId="2" w16cid:durableId="175190428">
    <w:abstractNumId w:val="6"/>
  </w:num>
  <w:num w:numId="3" w16cid:durableId="617295908">
    <w:abstractNumId w:val="5"/>
  </w:num>
  <w:num w:numId="4" w16cid:durableId="854537530">
    <w:abstractNumId w:val="4"/>
  </w:num>
  <w:num w:numId="5" w16cid:durableId="1921677695">
    <w:abstractNumId w:val="7"/>
  </w:num>
  <w:num w:numId="6" w16cid:durableId="684794182">
    <w:abstractNumId w:val="3"/>
  </w:num>
  <w:num w:numId="7" w16cid:durableId="1825200332">
    <w:abstractNumId w:val="2"/>
  </w:num>
  <w:num w:numId="8" w16cid:durableId="367223201">
    <w:abstractNumId w:val="1"/>
  </w:num>
  <w:num w:numId="9" w16cid:durableId="961037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69D7"/>
    <w:rsid w:val="000B734A"/>
    <w:rsid w:val="00135B55"/>
    <w:rsid w:val="0015074B"/>
    <w:rsid w:val="00204467"/>
    <w:rsid w:val="00206093"/>
    <w:rsid w:val="0029639D"/>
    <w:rsid w:val="00326F90"/>
    <w:rsid w:val="00411D0E"/>
    <w:rsid w:val="004E6BD6"/>
    <w:rsid w:val="005F414F"/>
    <w:rsid w:val="006500D3"/>
    <w:rsid w:val="00665547"/>
    <w:rsid w:val="00672A6D"/>
    <w:rsid w:val="006E51B7"/>
    <w:rsid w:val="007312F8"/>
    <w:rsid w:val="00734AC0"/>
    <w:rsid w:val="007F0A0D"/>
    <w:rsid w:val="0088702A"/>
    <w:rsid w:val="008B096F"/>
    <w:rsid w:val="008B6D4A"/>
    <w:rsid w:val="008D2208"/>
    <w:rsid w:val="00982150"/>
    <w:rsid w:val="009E533D"/>
    <w:rsid w:val="00AA1D8D"/>
    <w:rsid w:val="00AA3457"/>
    <w:rsid w:val="00AA4083"/>
    <w:rsid w:val="00AB7BB2"/>
    <w:rsid w:val="00B259A2"/>
    <w:rsid w:val="00B47730"/>
    <w:rsid w:val="00BF1903"/>
    <w:rsid w:val="00C04D2C"/>
    <w:rsid w:val="00C3616A"/>
    <w:rsid w:val="00C453E7"/>
    <w:rsid w:val="00CB0664"/>
    <w:rsid w:val="00D1218C"/>
    <w:rsid w:val="00D35D7C"/>
    <w:rsid w:val="00D81B25"/>
    <w:rsid w:val="00D97920"/>
    <w:rsid w:val="00E16B7C"/>
    <w:rsid w:val="00E9128A"/>
    <w:rsid w:val="00EC2A2A"/>
    <w:rsid w:val="00F002B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0E7BC2"/>
  <w14:defaultImageDpi w14:val="300"/>
  <w15:docId w15:val="{33E99F72-41A6-41FB-A251-4E578BE3E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portCaption">
    <w:name w:val="Report Caption"/>
    <w:pPr>
      <w:spacing w:after="120" w:line="360" w:lineRule="auto"/>
    </w:pPr>
    <w:rPr>
      <w:rFonts w:ascii="Arial" w:eastAsia="Arial" w:hAnsi="Arial"/>
      <w:i/>
      <w:sz w:val="24"/>
    </w:rPr>
  </w:style>
  <w:style w:type="paragraph" w:customStyle="1" w:styleId="TOCEntry">
    <w:name w:val="TOC Entry"/>
    <w:pPr>
      <w:spacing w:after="60" w:line="360" w:lineRule="auto"/>
    </w:pPr>
    <w:rPr>
      <w:rFonts w:ascii="Arial" w:eastAsia="Arial" w:hAnsi="Arial"/>
      <w:sz w:val="24"/>
    </w:rPr>
  </w:style>
  <w:style w:type="paragraph" w:customStyle="1" w:styleId="Reference">
    <w:name w:val="Reference"/>
    <w:pPr>
      <w:spacing w:after="120" w:line="360" w:lineRule="auto"/>
      <w:ind w:left="504" w:hanging="504"/>
    </w:pPr>
    <w:rPr>
      <w:rFonts w:ascii="Arial" w:eastAsia="Arial" w:hAnsi="Arial"/>
      <w:sz w:val="24"/>
    </w:rPr>
  </w:style>
  <w:style w:type="paragraph" w:styleId="TOC1">
    <w:name w:val="toc 1"/>
    <w:basedOn w:val="Normal"/>
    <w:next w:val="Normal"/>
    <w:autoRedefine/>
    <w:uiPriority w:val="39"/>
    <w:unhideWhenUsed/>
    <w:rsid w:val="00C3616A"/>
    <w:pPr>
      <w:spacing w:after="100"/>
    </w:pPr>
  </w:style>
  <w:style w:type="character" w:styleId="Hyperlink">
    <w:name w:val="Hyperlink"/>
    <w:basedOn w:val="DefaultParagraphFont"/>
    <w:uiPriority w:val="99"/>
    <w:unhideWhenUsed/>
    <w:rsid w:val="00C3616A"/>
    <w:rPr>
      <w:color w:val="0000FF" w:themeColor="hyperlink"/>
      <w:u w:val="single"/>
    </w:rPr>
  </w:style>
  <w:style w:type="character" w:customStyle="1" w:styleId="UnresolvedMention1">
    <w:name w:val="Unresolved Mention1"/>
    <w:basedOn w:val="DefaultParagraphFont"/>
    <w:uiPriority w:val="99"/>
    <w:semiHidden/>
    <w:unhideWhenUsed/>
    <w:rsid w:val="00AA3457"/>
    <w:rPr>
      <w:color w:val="605E5C"/>
      <w:shd w:val="clear" w:color="auto" w:fill="E1DFDD"/>
    </w:rPr>
  </w:style>
  <w:style w:type="paragraph" w:styleId="BalloonText">
    <w:name w:val="Balloon Text"/>
    <w:basedOn w:val="Normal"/>
    <w:link w:val="BalloonTextChar"/>
    <w:uiPriority w:val="99"/>
    <w:semiHidden/>
    <w:unhideWhenUsed/>
    <w:rsid w:val="008870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702A"/>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oots-uk.com/newsroom/news-item/one-in-four-brits-now-has-a-boots-advantage-card-here-s-how-they-re-saving-and-spending-their-points/" TargetMode="External"/><Relationship Id="rId18" Type="http://schemas.openxmlformats.org/officeDocument/2006/relationships/hyperlink" Target="https://www.euromonitor.com/article/top-trends-shaping-the-beauty-and-personal-care-industry-in-202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3390/su17062581" TargetMode="External"/><Relationship Id="rId7" Type="http://schemas.openxmlformats.org/officeDocument/2006/relationships/endnotes" Target="endnotes.xml"/><Relationship Id="rId12" Type="http://schemas.openxmlformats.org/officeDocument/2006/relationships/hyperlink" Target="https://www.thebootsgroup.co.uk/news/the-boots-group-publishes-2025-esg-report-demonstrating-measurable-progress-in-improving-access-to-healthcare-transforming-hard-to-recycle-products-and-reducing-emissions" TargetMode="External"/><Relationship Id="rId17" Type="http://schemas.openxmlformats.org/officeDocument/2006/relationships/hyperlink" Target="https://www.deloitte.com/uk/en/Industries/consumer/perspectives/the-sustainable-consumer.html"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16/j.spc.2024.11.011" TargetMode="External"/><Relationship Id="rId20" Type="http://schemas.openxmlformats.org/officeDocument/2006/relationships/hyperlink" Target="https://www.lush.com/uk/en/a/bring-it-back-our-new-look-recycling-sche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publications/green-claims-code-making-environmental-claims" TargetMode="External"/><Relationship Id="rId23" Type="http://schemas.openxmlformats.org/officeDocument/2006/relationships/hyperlink" Target="https://doi.org/10.1016/j.rcradv.2024.200232" TargetMode="External"/><Relationship Id="rId10" Type="http://schemas.openxmlformats.org/officeDocument/2006/relationships/image" Target="media/image3.svg"/><Relationship Id="rId19" Type="http://schemas.openxmlformats.org/officeDocument/2006/relationships/hyperlink" Target="https://doi.org/10.1016/j.resconrec.2024.1079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oots-uk.com/environmental-social-governance/what-we-do/progressing-our-sustainable-bootprint/" TargetMode="External"/><Relationship Id="rId22" Type="http://schemas.openxmlformats.org/officeDocument/2006/relationships/hyperlink" Target="https://www.superdrug.com/blog/new-and-trending/recycle-beauty-empti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1B9C59-34E8-45CA-A0C0-6068651A0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3336</Words>
  <Characters>19021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Boots Refill &amp; Return Beauty Bar – Sustainable Brand Extension Portfolio</vt:lpstr>
    </vt:vector>
  </TitlesOfParts>
  <Company/>
  <LinksUpToDate>false</LinksUpToDate>
  <CharactersWithSpaces>22313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Boots Refill &amp; Return Beauty Bar – Sustainable Brand Extension Portfolio</dc:title>
  <dc:subject>Marketing Management portfolio</dc:subject>
  <dc:creator>Aaryan Sharma</dc:creator>
  <cp:keywords>Boots, sustainable brand extension, STDP, marketing mix</cp:keywords>
  <dc:description>generated by python-docx</dc:description>
  <cp:lastModifiedBy>deep</cp:lastModifiedBy>
  <cp:revision>6</cp:revision>
  <dcterms:created xsi:type="dcterms:W3CDTF">2026-08-06T07:20:00Z</dcterms:created>
  <dcterms:modified xsi:type="dcterms:W3CDTF">2026-08-11T09:23:00Z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588856f1-ec85-4918-be16-7c8d98ed7d23</vt:lpwstr>
  </property>
</Properties>
</file>