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63B4D" w14:textId="587805AA" w:rsidR="00BF2602" w:rsidRDefault="002C68C9" w:rsidP="001C4392">
      <w:pPr>
        <w:pStyle w:val="pdq2pgselectionanchorcontainer"/>
        <w:spacing w:line="360" w:lineRule="auto"/>
        <w:jc w:val="both"/>
        <w:rPr>
          <w:rFonts w:ascii="Arial" w:hAnsi="Arial" w:cs="Arial"/>
          <w:b/>
          <w:bCs/>
          <w:sz w:val="22"/>
          <w:szCs w:val="22"/>
        </w:rPr>
      </w:pPr>
      <w:r>
        <w:rPr>
          <w:noProof/>
        </w:rPr>
        <w:drawing>
          <wp:anchor distT="0" distB="0" distL="114300" distR="114300" simplePos="0" relativeHeight="251658240" behindDoc="0" locked="0" layoutInCell="1" allowOverlap="1" wp14:anchorId="3BF1D9AB" wp14:editId="262586A3">
            <wp:simplePos x="0" y="0"/>
            <wp:positionH relativeFrom="page">
              <wp:posOffset>0</wp:posOffset>
            </wp:positionH>
            <wp:positionV relativeFrom="paragraph">
              <wp:posOffset>0</wp:posOffset>
            </wp:positionV>
            <wp:extent cx="3276600" cy="1516380"/>
            <wp:effectExtent l="0" t="0" r="0" b="7620"/>
            <wp:wrapSquare wrapText="bothSides"/>
            <wp:docPr id="1"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Wales Hub: description, news and contact info"/>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76600" cy="1516380"/>
                    </a:xfrm>
                    <a:prstGeom prst="rect">
                      <a:avLst/>
                    </a:prstGeom>
                    <a:noFill/>
                    <a:ln>
                      <a:noFill/>
                    </a:ln>
                  </pic:spPr>
                </pic:pic>
              </a:graphicData>
            </a:graphic>
          </wp:anchor>
        </w:drawing>
      </w:r>
    </w:p>
    <w:p w14:paraId="4DFA5F90" w14:textId="019F5477" w:rsidR="00BF2602" w:rsidRDefault="00BF2602" w:rsidP="001C4392">
      <w:pPr>
        <w:pStyle w:val="pdq2pgselectionanchorcontainer"/>
        <w:spacing w:line="360" w:lineRule="auto"/>
        <w:jc w:val="both"/>
        <w:rPr>
          <w:rFonts w:ascii="Arial" w:hAnsi="Arial" w:cs="Arial"/>
          <w:b/>
          <w:bCs/>
          <w:sz w:val="22"/>
          <w:szCs w:val="22"/>
        </w:rPr>
      </w:pPr>
    </w:p>
    <w:p w14:paraId="05557A35" w14:textId="4B2039C6" w:rsidR="00BF2602" w:rsidRDefault="00BF2602" w:rsidP="001C4392">
      <w:pPr>
        <w:pStyle w:val="pdq2pgselectionanchorcontainer"/>
        <w:spacing w:line="360" w:lineRule="auto"/>
        <w:jc w:val="both"/>
        <w:rPr>
          <w:rFonts w:ascii="Arial" w:hAnsi="Arial" w:cs="Arial"/>
          <w:b/>
          <w:bCs/>
          <w:sz w:val="22"/>
          <w:szCs w:val="22"/>
        </w:rPr>
      </w:pPr>
    </w:p>
    <w:p w14:paraId="58A06616" w14:textId="77777777" w:rsidR="00BF2602" w:rsidRDefault="00BF2602" w:rsidP="00BF2602">
      <w:pPr>
        <w:pStyle w:val="pdq2pgselectionanchorcontainer"/>
        <w:spacing w:line="360" w:lineRule="auto"/>
        <w:jc w:val="center"/>
        <w:rPr>
          <w:rFonts w:ascii="Arial" w:hAnsi="Arial" w:cs="Arial"/>
          <w:b/>
          <w:bCs/>
          <w:sz w:val="22"/>
          <w:szCs w:val="22"/>
        </w:rPr>
      </w:pPr>
    </w:p>
    <w:p w14:paraId="72A36E94" w14:textId="77777777" w:rsidR="00BF2602" w:rsidRDefault="00BF2602" w:rsidP="00BF2602">
      <w:pPr>
        <w:pStyle w:val="pdq2pgselectionanchorcontainer"/>
        <w:spacing w:line="360" w:lineRule="auto"/>
        <w:jc w:val="center"/>
        <w:rPr>
          <w:rFonts w:ascii="Arial" w:hAnsi="Arial" w:cs="Arial"/>
          <w:b/>
          <w:bCs/>
          <w:sz w:val="22"/>
          <w:szCs w:val="22"/>
        </w:rPr>
      </w:pPr>
    </w:p>
    <w:p w14:paraId="6D14A87E" w14:textId="77777777" w:rsidR="00BF2602" w:rsidRDefault="00BF2602" w:rsidP="00BF2602">
      <w:pPr>
        <w:pStyle w:val="pdq2pgselectionanchorcontainer"/>
        <w:spacing w:line="360" w:lineRule="auto"/>
        <w:jc w:val="center"/>
        <w:rPr>
          <w:rFonts w:ascii="Arial" w:hAnsi="Arial" w:cs="Arial"/>
          <w:b/>
          <w:bCs/>
          <w:sz w:val="22"/>
          <w:szCs w:val="22"/>
        </w:rPr>
      </w:pPr>
    </w:p>
    <w:p w14:paraId="6BFD40A2" w14:textId="77777777" w:rsidR="00BF2602" w:rsidRDefault="00BF2602" w:rsidP="00BF2602">
      <w:pPr>
        <w:pStyle w:val="pdq2pgselectionanchorcontainer"/>
        <w:spacing w:line="360" w:lineRule="auto"/>
        <w:jc w:val="center"/>
        <w:rPr>
          <w:rFonts w:ascii="Arial" w:hAnsi="Arial" w:cs="Arial"/>
          <w:b/>
          <w:bCs/>
          <w:sz w:val="22"/>
          <w:szCs w:val="22"/>
        </w:rPr>
      </w:pPr>
    </w:p>
    <w:p w14:paraId="51ED4417" w14:textId="4C90D9B8" w:rsidR="00BF2602" w:rsidRPr="00BF2602" w:rsidRDefault="00BF2602" w:rsidP="00BF2602">
      <w:pPr>
        <w:pStyle w:val="pdq2pgselectionanchorcontainer"/>
        <w:spacing w:line="360" w:lineRule="auto"/>
        <w:jc w:val="center"/>
        <w:rPr>
          <w:rFonts w:ascii="Arial" w:hAnsi="Arial" w:cs="Arial"/>
          <w:b/>
          <w:bCs/>
          <w:sz w:val="28"/>
          <w:szCs w:val="28"/>
        </w:rPr>
      </w:pPr>
      <w:r w:rsidRPr="00BF2602">
        <w:rPr>
          <w:rFonts w:ascii="Arial" w:hAnsi="Arial" w:cs="Arial"/>
          <w:b/>
          <w:bCs/>
          <w:sz w:val="28"/>
          <w:szCs w:val="28"/>
        </w:rPr>
        <w:t>Asfia Akhtar</w:t>
      </w:r>
    </w:p>
    <w:p w14:paraId="729BDF94" w14:textId="504A9E91" w:rsidR="00BF2602" w:rsidRPr="00BF2602" w:rsidRDefault="00BF2602" w:rsidP="00BF2602">
      <w:pPr>
        <w:pStyle w:val="pdq2pgselectionanchorcontainer"/>
        <w:spacing w:line="360" w:lineRule="auto"/>
        <w:jc w:val="center"/>
        <w:rPr>
          <w:rFonts w:ascii="Arial" w:hAnsi="Arial" w:cs="Arial"/>
          <w:b/>
          <w:bCs/>
          <w:sz w:val="28"/>
          <w:szCs w:val="28"/>
        </w:rPr>
      </w:pPr>
      <w:r w:rsidRPr="00BF2602">
        <w:rPr>
          <w:rFonts w:ascii="Arial" w:hAnsi="Arial" w:cs="Arial"/>
          <w:b/>
          <w:bCs/>
          <w:sz w:val="28"/>
          <w:szCs w:val="28"/>
        </w:rPr>
        <w:t>2432708</w:t>
      </w:r>
    </w:p>
    <w:p w14:paraId="1C2688A7" w14:textId="1D33F628" w:rsidR="00BF2602" w:rsidRPr="00BF2602" w:rsidRDefault="00BF2602" w:rsidP="00BF2602">
      <w:pPr>
        <w:pStyle w:val="pdq2pgselectionanchorcontainer"/>
        <w:spacing w:line="360" w:lineRule="auto"/>
        <w:jc w:val="center"/>
        <w:rPr>
          <w:rFonts w:ascii="Arial" w:hAnsi="Arial" w:cs="Arial"/>
          <w:b/>
          <w:bCs/>
          <w:sz w:val="28"/>
          <w:szCs w:val="28"/>
        </w:rPr>
      </w:pPr>
      <w:r w:rsidRPr="00BF2602">
        <w:rPr>
          <w:rFonts w:ascii="Arial" w:hAnsi="Arial" w:cs="Arial"/>
          <w:b/>
          <w:bCs/>
          <w:sz w:val="28"/>
          <w:szCs w:val="28"/>
        </w:rPr>
        <w:t>Principles of Health and Social Care</w:t>
      </w:r>
    </w:p>
    <w:p w14:paraId="2F0163BD" w14:textId="55273D19" w:rsidR="00BF2602" w:rsidRPr="00BF2602" w:rsidRDefault="00BF2602" w:rsidP="00BF2602">
      <w:pPr>
        <w:pStyle w:val="pdq2pgselectionanchorcontainer"/>
        <w:spacing w:line="360" w:lineRule="auto"/>
        <w:jc w:val="center"/>
        <w:rPr>
          <w:rFonts w:ascii="Arial" w:hAnsi="Arial" w:cs="Arial"/>
          <w:b/>
          <w:bCs/>
          <w:sz w:val="28"/>
          <w:szCs w:val="28"/>
        </w:rPr>
      </w:pPr>
      <w:r w:rsidRPr="00BF2602">
        <w:rPr>
          <w:rFonts w:ascii="Arial" w:hAnsi="Arial" w:cs="Arial"/>
          <w:b/>
          <w:bCs/>
          <w:sz w:val="28"/>
          <w:szCs w:val="28"/>
        </w:rPr>
        <w:t>BMHP5016</w:t>
      </w:r>
    </w:p>
    <w:p w14:paraId="0F17C716" w14:textId="3944632A" w:rsidR="00BF2602" w:rsidRPr="00BF2602" w:rsidRDefault="00BF2602" w:rsidP="00BF2602">
      <w:pPr>
        <w:pStyle w:val="pdq2pgselectionanchorcontainer"/>
        <w:spacing w:line="360" w:lineRule="auto"/>
        <w:jc w:val="center"/>
        <w:rPr>
          <w:rFonts w:ascii="Arial" w:hAnsi="Arial" w:cs="Arial"/>
          <w:b/>
          <w:bCs/>
          <w:sz w:val="28"/>
          <w:szCs w:val="28"/>
        </w:rPr>
      </w:pPr>
      <w:r w:rsidRPr="00BF2602">
        <w:rPr>
          <w:rFonts w:ascii="Arial" w:hAnsi="Arial" w:cs="Arial"/>
          <w:b/>
          <w:bCs/>
          <w:sz w:val="28"/>
          <w:szCs w:val="28"/>
        </w:rPr>
        <w:t>Written Report</w:t>
      </w:r>
    </w:p>
    <w:p w14:paraId="15ED638E" w14:textId="31706D1F" w:rsidR="00BF2602" w:rsidRPr="00BF2602" w:rsidRDefault="00BF2602" w:rsidP="00BF2602">
      <w:pPr>
        <w:pStyle w:val="pdq2pgselectionanchorcontainer"/>
        <w:spacing w:line="360" w:lineRule="auto"/>
        <w:jc w:val="center"/>
        <w:rPr>
          <w:rFonts w:ascii="Arial" w:hAnsi="Arial" w:cs="Arial"/>
          <w:b/>
          <w:bCs/>
          <w:sz w:val="28"/>
          <w:szCs w:val="28"/>
        </w:rPr>
      </w:pPr>
      <w:r w:rsidRPr="00BF2602">
        <w:rPr>
          <w:rFonts w:ascii="Arial" w:hAnsi="Arial" w:cs="Arial"/>
          <w:b/>
          <w:bCs/>
          <w:sz w:val="28"/>
          <w:szCs w:val="28"/>
        </w:rPr>
        <w:t>Azida Zainol</w:t>
      </w:r>
    </w:p>
    <w:p w14:paraId="28ECD924" w14:textId="3CFF83CF" w:rsidR="00BF2602" w:rsidRPr="00BF2602" w:rsidRDefault="00BF2602" w:rsidP="00BF2602">
      <w:pPr>
        <w:pStyle w:val="pdq2pgselectionanchorcontainer"/>
        <w:spacing w:line="360" w:lineRule="auto"/>
        <w:jc w:val="center"/>
        <w:rPr>
          <w:rFonts w:ascii="Arial" w:hAnsi="Arial" w:cs="Arial"/>
          <w:b/>
          <w:bCs/>
          <w:sz w:val="28"/>
          <w:szCs w:val="28"/>
        </w:rPr>
      </w:pPr>
      <w:r w:rsidRPr="00BF2602">
        <w:rPr>
          <w:rFonts w:ascii="Arial" w:hAnsi="Arial" w:cs="Arial"/>
          <w:b/>
          <w:bCs/>
          <w:sz w:val="28"/>
          <w:szCs w:val="28"/>
        </w:rPr>
        <w:t>20/07/2026</w:t>
      </w:r>
    </w:p>
    <w:p w14:paraId="5B22FC92" w14:textId="77777777" w:rsidR="00BF2602" w:rsidRDefault="00BF2602">
      <w:pPr>
        <w:rPr>
          <w:rFonts w:ascii="Arial" w:eastAsia="Times New Roman" w:hAnsi="Arial" w:cs="Arial"/>
          <w:b/>
          <w:bCs/>
          <w:kern w:val="0"/>
          <w:lang w:eastAsia="en-GB"/>
          <w14:ligatures w14:val="none"/>
        </w:rPr>
      </w:pPr>
      <w:r>
        <w:rPr>
          <w:rFonts w:ascii="Arial" w:hAnsi="Arial" w:cs="Arial"/>
          <w:b/>
          <w:bCs/>
        </w:rPr>
        <w:br w:type="page"/>
      </w:r>
    </w:p>
    <w:p w14:paraId="3DC28749" w14:textId="342DC673" w:rsidR="008F4BEC" w:rsidRPr="00BF2602" w:rsidRDefault="008F4BEC" w:rsidP="001C4392">
      <w:pPr>
        <w:pStyle w:val="pdq2pgselectionanchorcontainer"/>
        <w:spacing w:line="360" w:lineRule="auto"/>
        <w:jc w:val="both"/>
        <w:rPr>
          <w:rFonts w:ascii="Arial" w:hAnsi="Arial" w:cs="Arial"/>
          <w:b/>
          <w:bCs/>
          <w:sz w:val="28"/>
          <w:szCs w:val="28"/>
        </w:rPr>
      </w:pPr>
      <w:r w:rsidRPr="00BF2602">
        <w:rPr>
          <w:rFonts w:ascii="Arial" w:hAnsi="Arial" w:cs="Arial"/>
          <w:b/>
          <w:bCs/>
          <w:sz w:val="28"/>
          <w:szCs w:val="28"/>
        </w:rPr>
        <w:lastRenderedPageBreak/>
        <w:t>Abstract</w:t>
      </w:r>
    </w:p>
    <w:p w14:paraId="25228BB9" w14:textId="51BB53E1" w:rsidR="00EF60B4" w:rsidRPr="007065F5" w:rsidRDefault="00EF60B4" w:rsidP="007065F5">
      <w:pPr>
        <w:pStyle w:val="pdq2pgselectionanchorcontainer"/>
        <w:spacing w:line="360" w:lineRule="auto"/>
        <w:jc w:val="both"/>
        <w:rPr>
          <w:rFonts w:ascii="Arial" w:hAnsi="Arial" w:cs="Arial"/>
          <w:sz w:val="22"/>
          <w:szCs w:val="22"/>
        </w:rPr>
      </w:pPr>
      <w:r w:rsidRPr="007065F5">
        <w:rPr>
          <w:rFonts w:ascii="Arial" w:hAnsi="Arial" w:cs="Arial"/>
          <w:sz w:val="22"/>
          <w:szCs w:val="22"/>
        </w:rPr>
        <w:t xml:space="preserve">This report critically examines the principles of person-centred care (PCC) and partnership working (PW) within contemporary health and social care, focusing on adult acute hospital settings. It explores the benefits and limitations of PCC alongside the contribution of theoretical frameworks, ethical principles, legislation and national policy in supporting collaborative, individualised care. The report highlights that effective </w:t>
      </w:r>
      <w:r w:rsidR="002C68C9">
        <w:rPr>
          <w:rFonts w:ascii="Arial" w:hAnsi="Arial" w:cs="Arial"/>
          <w:sz w:val="22"/>
          <w:szCs w:val="22"/>
        </w:rPr>
        <w:t>PW</w:t>
      </w:r>
      <w:r w:rsidRPr="007065F5">
        <w:rPr>
          <w:rFonts w:ascii="Arial" w:hAnsi="Arial" w:cs="Arial"/>
          <w:sz w:val="22"/>
          <w:szCs w:val="22"/>
        </w:rPr>
        <w:t xml:space="preserve"> between multidisciplinary teams, patients and families improves communication, shared decision-making and continuity of care, leading to safer and higher-quality outcomes. However, workforce shortages, communication barriers and increasing service demands continue to hinder consistent implementation. The report recommends investment in workforce development, digital technologies, collaborative partnerships and ongoing service evaluation to strengthen future practice across the UK. Overall, it concludes that successful implementation of PCC and PW depends on sustained organisational commitment, effective leadership and adequate resources.</w:t>
      </w:r>
    </w:p>
    <w:p w14:paraId="1C19D8E5" w14:textId="77FFA324" w:rsidR="00F72A5E" w:rsidRPr="00BF2602" w:rsidRDefault="00F72A5E" w:rsidP="007065F5">
      <w:pPr>
        <w:pStyle w:val="pdq2pgselectionanchorcontainer"/>
        <w:spacing w:line="360" w:lineRule="auto"/>
        <w:jc w:val="both"/>
        <w:rPr>
          <w:rFonts w:ascii="Arial" w:hAnsi="Arial" w:cs="Arial"/>
          <w:b/>
          <w:bCs/>
          <w:sz w:val="28"/>
          <w:szCs w:val="28"/>
        </w:rPr>
      </w:pPr>
      <w:r w:rsidRPr="00BF2602">
        <w:rPr>
          <w:rFonts w:ascii="Arial" w:hAnsi="Arial" w:cs="Arial"/>
          <w:b/>
          <w:bCs/>
          <w:sz w:val="28"/>
          <w:szCs w:val="28"/>
        </w:rPr>
        <w:t>Introduction</w:t>
      </w:r>
    </w:p>
    <w:p w14:paraId="5EF68BF9" w14:textId="1F0C971C" w:rsidR="006538A6" w:rsidRPr="007065F5" w:rsidRDefault="006538A6" w:rsidP="007065F5">
      <w:pPr>
        <w:pStyle w:val="NormalWeb"/>
        <w:spacing w:line="360" w:lineRule="auto"/>
        <w:jc w:val="both"/>
        <w:rPr>
          <w:rFonts w:ascii="Arial" w:hAnsi="Arial" w:cs="Arial"/>
          <w:sz w:val="22"/>
          <w:szCs w:val="22"/>
        </w:rPr>
      </w:pPr>
      <w:r w:rsidRPr="007065F5">
        <w:rPr>
          <w:rFonts w:ascii="Arial" w:hAnsi="Arial" w:cs="Arial"/>
          <w:sz w:val="22"/>
          <w:szCs w:val="22"/>
        </w:rPr>
        <w:t>This report critically examines the principles of PCC</w:t>
      </w:r>
      <w:r w:rsidR="00AB64E5">
        <w:rPr>
          <w:rFonts w:ascii="Arial" w:hAnsi="Arial" w:cs="Arial"/>
          <w:sz w:val="22"/>
          <w:szCs w:val="22"/>
        </w:rPr>
        <w:t xml:space="preserve"> and </w:t>
      </w:r>
      <w:r w:rsidRPr="007065F5">
        <w:rPr>
          <w:rFonts w:ascii="Arial" w:hAnsi="Arial" w:cs="Arial"/>
          <w:sz w:val="22"/>
          <w:szCs w:val="22"/>
        </w:rPr>
        <w:t>PW within contemporary health and social care practice, focusing on an adult acute hospital ward. Delivering high-quality healthcare requires professionals to respect individuals' values, preferences and needs while working collaboratively across multidisciplinary teams to achieve effective outcomes. PCC and PW are central to modern healthcare policy because they promote coordinated and evidence-based practice that improves patient experiences and clinical outcomes (NICE, 2021</w:t>
      </w:r>
      <w:r w:rsidR="002C1FF4">
        <w:rPr>
          <w:rFonts w:ascii="Arial" w:hAnsi="Arial" w:cs="Arial"/>
          <w:sz w:val="22"/>
          <w:szCs w:val="22"/>
        </w:rPr>
        <w:t xml:space="preserve">; </w:t>
      </w:r>
      <w:r w:rsidR="00C96DCE">
        <w:rPr>
          <w:rFonts w:ascii="Arial" w:hAnsi="Arial" w:cs="Arial"/>
          <w:sz w:val="22"/>
          <w:szCs w:val="22"/>
        </w:rPr>
        <w:t xml:space="preserve">Department of </w:t>
      </w:r>
      <w:r w:rsidRPr="007065F5">
        <w:rPr>
          <w:rFonts w:ascii="Arial" w:hAnsi="Arial" w:cs="Arial"/>
          <w:sz w:val="22"/>
          <w:szCs w:val="22"/>
        </w:rPr>
        <w:t xml:space="preserve">Health and </w:t>
      </w:r>
      <w:r w:rsidR="009E64B0">
        <w:rPr>
          <w:rFonts w:ascii="Arial" w:hAnsi="Arial" w:cs="Arial"/>
          <w:sz w:val="22"/>
          <w:szCs w:val="22"/>
        </w:rPr>
        <w:t xml:space="preserve">Social </w:t>
      </w:r>
      <w:r w:rsidRPr="007065F5">
        <w:rPr>
          <w:rFonts w:ascii="Arial" w:hAnsi="Arial" w:cs="Arial"/>
          <w:sz w:val="22"/>
          <w:szCs w:val="22"/>
        </w:rPr>
        <w:t>Care</w:t>
      </w:r>
      <w:r w:rsidR="00F00CA9">
        <w:rPr>
          <w:rFonts w:ascii="Arial" w:hAnsi="Arial" w:cs="Arial"/>
          <w:sz w:val="22"/>
          <w:szCs w:val="22"/>
        </w:rPr>
        <w:t xml:space="preserve">, </w:t>
      </w:r>
      <w:r w:rsidRPr="007065F5">
        <w:rPr>
          <w:rFonts w:ascii="Arial" w:hAnsi="Arial" w:cs="Arial"/>
          <w:sz w:val="22"/>
          <w:szCs w:val="22"/>
        </w:rPr>
        <w:t xml:space="preserve">2022). The report defines </w:t>
      </w:r>
      <w:r w:rsidR="001E25B4">
        <w:rPr>
          <w:rFonts w:ascii="Arial" w:hAnsi="Arial" w:cs="Arial"/>
          <w:sz w:val="22"/>
          <w:szCs w:val="22"/>
        </w:rPr>
        <w:t>PCC</w:t>
      </w:r>
      <w:r w:rsidR="00566BBD">
        <w:rPr>
          <w:rFonts w:ascii="Arial" w:hAnsi="Arial" w:cs="Arial"/>
          <w:sz w:val="22"/>
          <w:szCs w:val="22"/>
        </w:rPr>
        <w:t>,</w:t>
      </w:r>
      <w:r w:rsidR="00A969B6">
        <w:rPr>
          <w:rFonts w:ascii="Arial" w:hAnsi="Arial" w:cs="Arial"/>
          <w:sz w:val="22"/>
          <w:szCs w:val="22"/>
        </w:rPr>
        <w:t xml:space="preserve"> </w:t>
      </w:r>
      <w:r w:rsidRPr="007065F5">
        <w:rPr>
          <w:rFonts w:ascii="Arial" w:hAnsi="Arial" w:cs="Arial"/>
          <w:sz w:val="22"/>
          <w:szCs w:val="22"/>
        </w:rPr>
        <w:t xml:space="preserve">explores its benefits and limitations, critically examines the theories underpinning it, analyses the ethical principles, evaluates </w:t>
      </w:r>
      <w:r w:rsidR="007C10D9">
        <w:rPr>
          <w:rFonts w:ascii="Arial" w:hAnsi="Arial" w:cs="Arial"/>
          <w:sz w:val="22"/>
          <w:szCs w:val="22"/>
        </w:rPr>
        <w:t>PW</w:t>
      </w:r>
      <w:r w:rsidRPr="007065F5">
        <w:rPr>
          <w:rFonts w:ascii="Arial" w:hAnsi="Arial" w:cs="Arial"/>
          <w:sz w:val="22"/>
          <w:szCs w:val="22"/>
        </w:rPr>
        <w:t>, examines relevant legislation and policy, and presents evidence-based recommendations before drawing conclusions.</w:t>
      </w:r>
    </w:p>
    <w:p w14:paraId="5EC71F29" w14:textId="3C428509" w:rsidR="00B76CCF" w:rsidRPr="00BF2602" w:rsidRDefault="00B76CCF" w:rsidP="007065F5">
      <w:pPr>
        <w:pStyle w:val="NormalWeb"/>
        <w:spacing w:line="360" w:lineRule="auto"/>
        <w:jc w:val="both"/>
        <w:rPr>
          <w:rFonts w:ascii="Arial" w:hAnsi="Arial" w:cs="Arial"/>
          <w:b/>
          <w:bCs/>
          <w:sz w:val="28"/>
          <w:szCs w:val="28"/>
        </w:rPr>
      </w:pPr>
      <w:r w:rsidRPr="00BF2602">
        <w:rPr>
          <w:rFonts w:ascii="Arial" w:hAnsi="Arial" w:cs="Arial"/>
          <w:b/>
          <w:bCs/>
          <w:sz w:val="28"/>
          <w:szCs w:val="28"/>
        </w:rPr>
        <w:t xml:space="preserve">Definition of </w:t>
      </w:r>
      <w:r w:rsidR="00DA6EE2" w:rsidRPr="00BF2602">
        <w:rPr>
          <w:rFonts w:ascii="Arial" w:hAnsi="Arial" w:cs="Arial"/>
          <w:b/>
          <w:bCs/>
          <w:sz w:val="28"/>
          <w:szCs w:val="28"/>
        </w:rPr>
        <w:t>Person-Centred Care</w:t>
      </w:r>
    </w:p>
    <w:p w14:paraId="0F431625" w14:textId="6ADBF223" w:rsidR="004857D4" w:rsidRPr="007065F5" w:rsidRDefault="00AB64E5" w:rsidP="007065F5">
      <w:pPr>
        <w:pStyle w:val="pdq2pgselectionanchorcontainer"/>
        <w:spacing w:line="360" w:lineRule="auto"/>
        <w:jc w:val="both"/>
        <w:rPr>
          <w:rFonts w:ascii="Arial" w:hAnsi="Arial" w:cs="Arial"/>
          <w:sz w:val="22"/>
          <w:szCs w:val="22"/>
        </w:rPr>
      </w:pPr>
      <w:r>
        <w:rPr>
          <w:rStyle w:val="Strong"/>
          <w:rFonts w:ascii="Arial" w:hAnsi="Arial" w:cs="Arial"/>
          <w:b w:val="0"/>
          <w:bCs w:val="0"/>
          <w:sz w:val="22"/>
          <w:szCs w:val="22"/>
        </w:rPr>
        <w:t>PCC</w:t>
      </w:r>
      <w:r w:rsidR="004857D4" w:rsidRPr="007065F5">
        <w:rPr>
          <w:rFonts w:ascii="Arial" w:hAnsi="Arial" w:cs="Arial"/>
          <w:sz w:val="22"/>
          <w:szCs w:val="22"/>
        </w:rPr>
        <w:t xml:space="preserve"> is a holistic approach that places individuals at the centre of healthcare by recognising their values, preferences and circumstances when planning and delivering care. Rather than following a professional-led approach, PCC promotes shared decision-making, enabling patients to participate actively in treatment choices while respecting their autonomy and dignity (McCormack and McCance, 2021</w:t>
      </w:r>
      <w:r w:rsidR="002C1FF4">
        <w:rPr>
          <w:rFonts w:ascii="Arial" w:hAnsi="Arial" w:cs="Arial"/>
          <w:sz w:val="22"/>
          <w:szCs w:val="22"/>
        </w:rPr>
        <w:t>; Health Foundation, 2016</w:t>
      </w:r>
      <w:r w:rsidR="004857D4" w:rsidRPr="007065F5">
        <w:rPr>
          <w:rFonts w:ascii="Arial" w:hAnsi="Arial" w:cs="Arial"/>
          <w:sz w:val="22"/>
          <w:szCs w:val="22"/>
        </w:rPr>
        <w:t>). NICE (2021) states that involving individuals in decisions helps ensure care is tailored to their needs, improving quality</w:t>
      </w:r>
      <w:r w:rsidR="00733B22">
        <w:rPr>
          <w:rFonts w:ascii="Arial" w:hAnsi="Arial" w:cs="Arial"/>
          <w:sz w:val="22"/>
          <w:szCs w:val="22"/>
        </w:rPr>
        <w:t>.</w:t>
      </w:r>
    </w:p>
    <w:p w14:paraId="1BB547A2" w14:textId="194D2EB0" w:rsidR="004857D4" w:rsidRPr="007065F5" w:rsidRDefault="004857D4" w:rsidP="007065F5">
      <w:pPr>
        <w:pStyle w:val="NormalWeb"/>
        <w:spacing w:line="360" w:lineRule="auto"/>
        <w:jc w:val="both"/>
        <w:rPr>
          <w:rFonts w:ascii="Arial" w:hAnsi="Arial" w:cs="Arial"/>
          <w:sz w:val="22"/>
          <w:szCs w:val="22"/>
        </w:rPr>
      </w:pPr>
      <w:r w:rsidRPr="007065F5">
        <w:rPr>
          <w:rFonts w:ascii="Arial" w:hAnsi="Arial" w:cs="Arial"/>
          <w:sz w:val="22"/>
          <w:szCs w:val="22"/>
        </w:rPr>
        <w:lastRenderedPageBreak/>
        <w:t xml:space="preserve">PCC offers several benefits for patients and healthcare organisations. Evidence suggests that involving patients in care planning improves satisfaction, strengthens therapeutic relationships and increases treatment adherence, contributing to better health outcomes (Coulter </w:t>
      </w:r>
      <w:r w:rsidRPr="007065F5">
        <w:rPr>
          <w:rStyle w:val="Emphasis"/>
          <w:rFonts w:ascii="Arial" w:hAnsi="Arial" w:cs="Arial"/>
          <w:sz w:val="22"/>
          <w:szCs w:val="22"/>
        </w:rPr>
        <w:t>et al.</w:t>
      </w:r>
      <w:r w:rsidRPr="007065F5">
        <w:rPr>
          <w:rFonts w:ascii="Arial" w:hAnsi="Arial" w:cs="Arial"/>
          <w:sz w:val="22"/>
          <w:szCs w:val="22"/>
        </w:rPr>
        <w:t>, 2015</w:t>
      </w:r>
      <w:r w:rsidR="000C55DA">
        <w:rPr>
          <w:rFonts w:ascii="Arial" w:hAnsi="Arial" w:cs="Arial"/>
          <w:sz w:val="22"/>
          <w:szCs w:val="22"/>
        </w:rPr>
        <w:t>;</w:t>
      </w:r>
      <w:r w:rsidR="00996C84">
        <w:rPr>
          <w:rFonts w:ascii="Arial" w:hAnsi="Arial" w:cs="Arial"/>
          <w:sz w:val="22"/>
          <w:szCs w:val="22"/>
        </w:rPr>
        <w:t xml:space="preserve"> World Health Organization, 2016</w:t>
      </w:r>
      <w:r w:rsidRPr="007065F5">
        <w:rPr>
          <w:rFonts w:ascii="Arial" w:hAnsi="Arial" w:cs="Arial"/>
          <w:sz w:val="22"/>
          <w:szCs w:val="22"/>
        </w:rPr>
        <w:t>). Within adult acute hospital wards, collaborative decision-making can support safer discharge planning, improve communication between multidisciplinary teams and patients, and enhance continuity of care.</w:t>
      </w:r>
    </w:p>
    <w:p w14:paraId="1489E28D" w14:textId="7268F7F1" w:rsidR="004857D4" w:rsidRPr="007065F5" w:rsidRDefault="004857D4" w:rsidP="007065F5">
      <w:pPr>
        <w:pStyle w:val="NormalWeb"/>
        <w:spacing w:line="360" w:lineRule="auto"/>
        <w:jc w:val="both"/>
        <w:rPr>
          <w:rFonts w:ascii="Arial" w:hAnsi="Arial" w:cs="Arial"/>
          <w:sz w:val="22"/>
          <w:szCs w:val="22"/>
        </w:rPr>
      </w:pPr>
      <w:r w:rsidRPr="007065F5">
        <w:rPr>
          <w:rFonts w:ascii="Arial" w:hAnsi="Arial" w:cs="Arial"/>
          <w:sz w:val="22"/>
          <w:szCs w:val="22"/>
        </w:rPr>
        <w:t>However, implementing PCC consistently remains challenging. Workforce shortages, increasing service demands and limited resources may reduce opportunities for meaningful patient involvement, creating a gap between policy and practice (The King's Fund, 2023). Resistance to organisational change and traditional professional-led models may also hinder shared decision-making, while patients with cognitive impairment or communication difficulties require professionals to balance autonomy with legal and ethical responsibilities. Although PCC improves patient experiences</w:t>
      </w:r>
      <w:r w:rsidR="00E968C3">
        <w:rPr>
          <w:rFonts w:ascii="Arial" w:hAnsi="Arial" w:cs="Arial"/>
          <w:sz w:val="22"/>
          <w:szCs w:val="22"/>
        </w:rPr>
        <w:t>,</w:t>
      </w:r>
      <w:r w:rsidRPr="007065F5">
        <w:rPr>
          <w:rFonts w:ascii="Arial" w:hAnsi="Arial" w:cs="Arial"/>
          <w:sz w:val="22"/>
          <w:szCs w:val="22"/>
        </w:rPr>
        <w:t xml:space="preserve"> its success depends on organisational commitment, sufficient staffing and professionals having t</w:t>
      </w:r>
      <w:r w:rsidR="00E968C3">
        <w:rPr>
          <w:rFonts w:ascii="Arial" w:hAnsi="Arial" w:cs="Arial"/>
          <w:sz w:val="22"/>
          <w:szCs w:val="22"/>
        </w:rPr>
        <w:t>he</w:t>
      </w:r>
      <w:r w:rsidRPr="007065F5">
        <w:rPr>
          <w:rFonts w:ascii="Arial" w:hAnsi="Arial" w:cs="Arial"/>
          <w:sz w:val="22"/>
          <w:szCs w:val="22"/>
        </w:rPr>
        <w:t xml:space="preserve"> skills to build therapeutic relationships. Therefore, policy alone cannot guarantee person-centred practice without adequate investment and cultural change.</w:t>
      </w:r>
    </w:p>
    <w:p w14:paraId="36651FF8" w14:textId="6E863373" w:rsidR="00BC1250" w:rsidRPr="00BF2602" w:rsidRDefault="00BC1250" w:rsidP="007065F5">
      <w:pPr>
        <w:pStyle w:val="NormalWeb"/>
        <w:spacing w:line="360" w:lineRule="auto"/>
        <w:jc w:val="both"/>
        <w:rPr>
          <w:rFonts w:ascii="Arial" w:hAnsi="Arial" w:cs="Arial"/>
          <w:b/>
          <w:bCs/>
          <w:sz w:val="28"/>
          <w:szCs w:val="28"/>
        </w:rPr>
      </w:pPr>
      <w:r w:rsidRPr="00BF2602">
        <w:rPr>
          <w:rFonts w:ascii="Arial" w:hAnsi="Arial" w:cs="Arial"/>
          <w:b/>
          <w:bCs/>
          <w:sz w:val="28"/>
          <w:szCs w:val="28"/>
        </w:rPr>
        <w:t>Theories underpinning Person-Centred Care</w:t>
      </w:r>
    </w:p>
    <w:p w14:paraId="0A7FC4A4" w14:textId="25C6C6F7" w:rsidR="004B34DF" w:rsidRPr="007065F5" w:rsidRDefault="004B34DF" w:rsidP="007065F5">
      <w:pPr>
        <w:pStyle w:val="pdq2pgselectionanchorcontainer"/>
        <w:spacing w:line="360" w:lineRule="auto"/>
        <w:jc w:val="both"/>
        <w:rPr>
          <w:rFonts w:ascii="Arial" w:hAnsi="Arial" w:cs="Arial"/>
          <w:sz w:val="22"/>
          <w:szCs w:val="22"/>
        </w:rPr>
      </w:pPr>
      <w:r w:rsidRPr="007065F5">
        <w:rPr>
          <w:rFonts w:ascii="Arial" w:hAnsi="Arial" w:cs="Arial"/>
          <w:sz w:val="22"/>
          <w:szCs w:val="22"/>
        </w:rPr>
        <w:t>P</w:t>
      </w:r>
      <w:r w:rsidR="00AB64E5">
        <w:rPr>
          <w:rFonts w:ascii="Arial" w:hAnsi="Arial" w:cs="Arial"/>
          <w:sz w:val="22"/>
          <w:szCs w:val="22"/>
        </w:rPr>
        <w:t>CC</w:t>
      </w:r>
      <w:r w:rsidRPr="007065F5">
        <w:rPr>
          <w:rFonts w:ascii="Arial" w:hAnsi="Arial" w:cs="Arial"/>
          <w:sz w:val="22"/>
          <w:szCs w:val="22"/>
        </w:rPr>
        <w:t xml:space="preserve"> is underpinned by several theoretical perspectives, particularly McCormack and McCance's Person-Centred Practice Framework and Rogers' Person-Centred Theory. Although both promote dignity and respect, they differ in how PCC is implemented.</w:t>
      </w:r>
    </w:p>
    <w:p w14:paraId="62A78CA9" w14:textId="08309851" w:rsidR="004B34DF" w:rsidRPr="007065F5" w:rsidRDefault="004B34DF" w:rsidP="007065F5">
      <w:pPr>
        <w:pStyle w:val="NormalWeb"/>
        <w:spacing w:line="360" w:lineRule="auto"/>
        <w:jc w:val="both"/>
        <w:rPr>
          <w:rFonts w:ascii="Arial" w:hAnsi="Arial" w:cs="Arial"/>
          <w:sz w:val="22"/>
          <w:szCs w:val="22"/>
        </w:rPr>
      </w:pPr>
      <w:r w:rsidRPr="007065F5">
        <w:rPr>
          <w:rFonts w:ascii="Arial" w:hAnsi="Arial" w:cs="Arial"/>
          <w:sz w:val="22"/>
          <w:szCs w:val="22"/>
        </w:rPr>
        <w:t xml:space="preserve">McCormack and McCance's framework </w:t>
      </w:r>
      <w:r w:rsidR="00E81D56" w:rsidRPr="007065F5">
        <w:rPr>
          <w:rFonts w:ascii="Arial" w:hAnsi="Arial" w:cs="Arial"/>
          <w:sz w:val="22"/>
          <w:szCs w:val="22"/>
        </w:rPr>
        <w:t>emphasise</w:t>
      </w:r>
      <w:r w:rsidRPr="007065F5">
        <w:rPr>
          <w:rFonts w:ascii="Arial" w:hAnsi="Arial" w:cs="Arial"/>
          <w:sz w:val="22"/>
          <w:szCs w:val="22"/>
        </w:rPr>
        <w:t xml:space="preserve"> that effective PCC results from competent professionals, supportive care environments and meaningful partnerships with patients (McCormack and McCance, 2021). It promotes shared decision-making, effective communication and respect for individual values, enabling care to be tailored to patients' needs. In adult acute hospitals, this supports multidisciplinary collaboration, coordinated discharge planning and holistic care. A key strength is its recognition that successful PCC depends on both professional competence and organisational culture. However, workforce shortages and service pressures may limit its consistent implementation.</w:t>
      </w:r>
    </w:p>
    <w:p w14:paraId="50CC1B5E" w14:textId="77777777" w:rsidR="004B34DF" w:rsidRPr="007065F5" w:rsidRDefault="004B34DF" w:rsidP="007065F5">
      <w:pPr>
        <w:pStyle w:val="NormalWeb"/>
        <w:spacing w:line="360" w:lineRule="auto"/>
        <w:jc w:val="both"/>
        <w:rPr>
          <w:rFonts w:ascii="Arial" w:hAnsi="Arial" w:cs="Arial"/>
          <w:sz w:val="22"/>
          <w:szCs w:val="22"/>
        </w:rPr>
      </w:pPr>
      <w:r w:rsidRPr="007065F5">
        <w:rPr>
          <w:rFonts w:ascii="Arial" w:hAnsi="Arial" w:cs="Arial"/>
          <w:sz w:val="22"/>
          <w:szCs w:val="22"/>
        </w:rPr>
        <w:t xml:space="preserve">In contrast, Rogers' Person-Centred Theory focuses on the therapeutic relationship, emphasising empathy, unconditional positive regard and genuineness (Rogers, 1961). These principles promote trust, compassion and patient empowerment, encouraging participation in care decisions. However, the theory </w:t>
      </w:r>
      <w:proofErr w:type="gramStart"/>
      <w:r w:rsidRPr="007065F5">
        <w:rPr>
          <w:rFonts w:ascii="Arial" w:hAnsi="Arial" w:cs="Arial"/>
          <w:sz w:val="22"/>
          <w:szCs w:val="22"/>
        </w:rPr>
        <w:t>gives limited consideration to</w:t>
      </w:r>
      <w:proofErr w:type="gramEnd"/>
      <w:r w:rsidRPr="007065F5">
        <w:rPr>
          <w:rFonts w:ascii="Arial" w:hAnsi="Arial" w:cs="Arial"/>
          <w:sz w:val="22"/>
          <w:szCs w:val="22"/>
        </w:rPr>
        <w:t xml:space="preserve"> organisational influences, multidisciplinary collaboration and healthcare policy, all of which are essential within modern </w:t>
      </w:r>
      <w:r w:rsidRPr="007065F5">
        <w:rPr>
          <w:rFonts w:ascii="Arial" w:hAnsi="Arial" w:cs="Arial"/>
          <w:sz w:val="22"/>
          <w:szCs w:val="22"/>
        </w:rPr>
        <w:lastRenderedPageBreak/>
        <w:t>NHS services. Consequently, while Rogers provides valuable insight into therapeutic relationships, the theory alone does not address the complexity of contemporary healthcare systems.</w:t>
      </w:r>
    </w:p>
    <w:p w14:paraId="4142B52C" w14:textId="1C9BDCB6" w:rsidR="004B34DF" w:rsidRPr="007065F5" w:rsidRDefault="004B34DF" w:rsidP="007065F5">
      <w:pPr>
        <w:pStyle w:val="NormalWeb"/>
        <w:spacing w:line="360" w:lineRule="auto"/>
        <w:jc w:val="both"/>
        <w:rPr>
          <w:rFonts w:ascii="Arial" w:hAnsi="Arial" w:cs="Arial"/>
          <w:sz w:val="22"/>
          <w:szCs w:val="22"/>
        </w:rPr>
      </w:pPr>
      <w:r w:rsidRPr="007065F5">
        <w:rPr>
          <w:rFonts w:ascii="Arial" w:hAnsi="Arial" w:cs="Arial"/>
          <w:sz w:val="22"/>
          <w:szCs w:val="22"/>
        </w:rPr>
        <w:t xml:space="preserve">Overall, both theories contribute to PCC. However, McCormack and McCance's framework </w:t>
      </w:r>
      <w:r w:rsidR="00D977FD" w:rsidRPr="007065F5">
        <w:rPr>
          <w:rFonts w:ascii="Arial" w:hAnsi="Arial" w:cs="Arial"/>
          <w:sz w:val="22"/>
          <w:szCs w:val="22"/>
        </w:rPr>
        <w:t>provide</w:t>
      </w:r>
      <w:r w:rsidR="002D5C8D">
        <w:rPr>
          <w:rFonts w:ascii="Arial" w:hAnsi="Arial" w:cs="Arial"/>
          <w:sz w:val="22"/>
          <w:szCs w:val="22"/>
        </w:rPr>
        <w:t xml:space="preserve"> </w:t>
      </w:r>
      <w:r w:rsidRPr="007065F5">
        <w:rPr>
          <w:rFonts w:ascii="Arial" w:hAnsi="Arial" w:cs="Arial"/>
          <w:sz w:val="22"/>
          <w:szCs w:val="22"/>
        </w:rPr>
        <w:t xml:space="preserve">a more comprehensive model because it integrates professional competence, organisational culture and </w:t>
      </w:r>
      <w:r w:rsidR="007C10D9">
        <w:rPr>
          <w:rFonts w:ascii="Arial" w:hAnsi="Arial" w:cs="Arial"/>
          <w:sz w:val="22"/>
          <w:szCs w:val="22"/>
        </w:rPr>
        <w:t>P</w:t>
      </w:r>
      <w:r w:rsidR="002D5C8D">
        <w:rPr>
          <w:rFonts w:ascii="Arial" w:hAnsi="Arial" w:cs="Arial"/>
          <w:sz w:val="22"/>
          <w:szCs w:val="22"/>
        </w:rPr>
        <w:t>W</w:t>
      </w:r>
      <w:r w:rsidRPr="007065F5">
        <w:rPr>
          <w:rFonts w:ascii="Arial" w:hAnsi="Arial" w:cs="Arial"/>
          <w:sz w:val="22"/>
          <w:szCs w:val="22"/>
        </w:rPr>
        <w:t xml:space="preserve">. Nevertheless, Rogers' emphasis on empathy remains essential for building trust. Combining both approaches therefore offers the strongest foundation for delivering high-quality </w:t>
      </w:r>
      <w:r w:rsidR="002D5C8D">
        <w:rPr>
          <w:rFonts w:ascii="Arial" w:hAnsi="Arial" w:cs="Arial"/>
          <w:sz w:val="22"/>
          <w:szCs w:val="22"/>
        </w:rPr>
        <w:t>PCC</w:t>
      </w:r>
      <w:r w:rsidRPr="007065F5">
        <w:rPr>
          <w:rFonts w:ascii="Arial" w:hAnsi="Arial" w:cs="Arial"/>
          <w:sz w:val="22"/>
          <w:szCs w:val="22"/>
        </w:rPr>
        <w:t>.</w:t>
      </w:r>
    </w:p>
    <w:p w14:paraId="4D35D689" w14:textId="350F9805" w:rsidR="00411CB7" w:rsidRPr="00B34F2E" w:rsidRDefault="00411CB7" w:rsidP="007065F5">
      <w:pPr>
        <w:pStyle w:val="NormalWeb"/>
        <w:spacing w:line="360" w:lineRule="auto"/>
        <w:jc w:val="both"/>
        <w:rPr>
          <w:rFonts w:ascii="Arial" w:hAnsi="Arial" w:cs="Arial"/>
          <w:b/>
          <w:bCs/>
          <w:sz w:val="28"/>
          <w:szCs w:val="28"/>
        </w:rPr>
      </w:pPr>
      <w:r w:rsidRPr="00B34F2E">
        <w:rPr>
          <w:rFonts w:ascii="Arial" w:hAnsi="Arial" w:cs="Arial"/>
          <w:b/>
          <w:bCs/>
          <w:sz w:val="28"/>
          <w:szCs w:val="28"/>
        </w:rPr>
        <w:t>Ethical Fundamentals</w:t>
      </w:r>
    </w:p>
    <w:p w14:paraId="69D22F72" w14:textId="786D367D" w:rsidR="00A11BE2" w:rsidRPr="007065F5" w:rsidRDefault="00A11BE2" w:rsidP="007065F5">
      <w:pPr>
        <w:pStyle w:val="pdq2pgselectionanchorcontainer"/>
        <w:spacing w:line="360" w:lineRule="auto"/>
        <w:jc w:val="both"/>
        <w:rPr>
          <w:rFonts w:ascii="Arial" w:hAnsi="Arial" w:cs="Arial"/>
          <w:sz w:val="22"/>
          <w:szCs w:val="22"/>
        </w:rPr>
      </w:pPr>
      <w:r w:rsidRPr="007065F5">
        <w:rPr>
          <w:rFonts w:ascii="Arial" w:hAnsi="Arial" w:cs="Arial"/>
          <w:sz w:val="22"/>
          <w:szCs w:val="22"/>
        </w:rPr>
        <w:t>Ethical principles are fundamental to delivering PCC</w:t>
      </w:r>
      <w:r w:rsidR="00014D20">
        <w:rPr>
          <w:rFonts w:ascii="Arial" w:hAnsi="Arial" w:cs="Arial"/>
          <w:sz w:val="22"/>
          <w:szCs w:val="22"/>
        </w:rPr>
        <w:t xml:space="preserve"> </w:t>
      </w:r>
      <w:r w:rsidRPr="007065F5">
        <w:rPr>
          <w:rFonts w:ascii="Arial" w:hAnsi="Arial" w:cs="Arial"/>
          <w:sz w:val="22"/>
          <w:szCs w:val="22"/>
        </w:rPr>
        <w:t>and effective</w:t>
      </w:r>
      <w:r w:rsidR="00014D20">
        <w:rPr>
          <w:rFonts w:ascii="Arial" w:hAnsi="Arial" w:cs="Arial"/>
          <w:sz w:val="22"/>
          <w:szCs w:val="22"/>
        </w:rPr>
        <w:t xml:space="preserve"> </w:t>
      </w:r>
      <w:r w:rsidRPr="007065F5">
        <w:rPr>
          <w:rFonts w:ascii="Arial" w:hAnsi="Arial" w:cs="Arial"/>
          <w:sz w:val="22"/>
          <w:szCs w:val="22"/>
        </w:rPr>
        <w:t>PW</w:t>
      </w:r>
      <w:r w:rsidR="00014D20">
        <w:rPr>
          <w:rFonts w:ascii="Arial" w:hAnsi="Arial" w:cs="Arial"/>
          <w:sz w:val="22"/>
          <w:szCs w:val="22"/>
        </w:rPr>
        <w:t xml:space="preserve"> </w:t>
      </w:r>
      <w:r w:rsidRPr="007065F5">
        <w:rPr>
          <w:rFonts w:ascii="Arial" w:hAnsi="Arial" w:cs="Arial"/>
          <w:sz w:val="22"/>
          <w:szCs w:val="22"/>
        </w:rPr>
        <w:t>because they guide healthcare professionals to provide safe, compassionate and equitable care. The four principles of biomedical ethics</w:t>
      </w:r>
      <w:r w:rsidR="00D977FD">
        <w:rPr>
          <w:rFonts w:ascii="Arial" w:hAnsi="Arial" w:cs="Arial"/>
          <w:sz w:val="22"/>
          <w:szCs w:val="22"/>
        </w:rPr>
        <w:t xml:space="preserve">, </w:t>
      </w:r>
      <w:r w:rsidRPr="007065F5">
        <w:rPr>
          <w:rFonts w:ascii="Arial" w:hAnsi="Arial" w:cs="Arial"/>
          <w:sz w:val="22"/>
          <w:szCs w:val="22"/>
        </w:rPr>
        <w:t>autonomy, beneficence, non-maleficence and justice</w:t>
      </w:r>
      <w:r w:rsidR="00D977FD">
        <w:rPr>
          <w:rFonts w:ascii="Arial" w:hAnsi="Arial" w:cs="Arial"/>
          <w:sz w:val="22"/>
          <w:szCs w:val="22"/>
        </w:rPr>
        <w:t xml:space="preserve">, </w:t>
      </w:r>
      <w:r w:rsidRPr="007065F5">
        <w:rPr>
          <w:rFonts w:ascii="Arial" w:hAnsi="Arial" w:cs="Arial"/>
          <w:sz w:val="22"/>
          <w:szCs w:val="22"/>
        </w:rPr>
        <w:t>provide a framework for ethical decision-making (Beauchamp and Childress, 2019</w:t>
      </w:r>
      <w:r w:rsidR="00136211">
        <w:rPr>
          <w:rFonts w:ascii="Arial" w:hAnsi="Arial" w:cs="Arial"/>
          <w:sz w:val="22"/>
          <w:szCs w:val="22"/>
        </w:rPr>
        <w:t>; NMC, 2018</w:t>
      </w:r>
      <w:r w:rsidRPr="007065F5">
        <w:rPr>
          <w:rFonts w:ascii="Arial" w:hAnsi="Arial" w:cs="Arial"/>
          <w:sz w:val="22"/>
          <w:szCs w:val="22"/>
        </w:rPr>
        <w:t>). Within adult acute hospital settings, these principles ensure patients are treated with dignity while supporting collaborative multidisciplinary practice.</w:t>
      </w:r>
    </w:p>
    <w:p w14:paraId="3F7329BE" w14:textId="03B82729" w:rsidR="00A11BE2" w:rsidRPr="007065F5" w:rsidRDefault="00A11BE2" w:rsidP="007065F5">
      <w:pPr>
        <w:pStyle w:val="NormalWeb"/>
        <w:spacing w:line="360" w:lineRule="auto"/>
        <w:jc w:val="both"/>
        <w:rPr>
          <w:rFonts w:ascii="Arial" w:hAnsi="Arial" w:cs="Arial"/>
          <w:sz w:val="22"/>
          <w:szCs w:val="22"/>
        </w:rPr>
      </w:pPr>
      <w:r w:rsidRPr="007065F5">
        <w:rPr>
          <w:rStyle w:val="Strong"/>
          <w:rFonts w:ascii="Arial" w:hAnsi="Arial" w:cs="Arial"/>
          <w:sz w:val="22"/>
          <w:szCs w:val="22"/>
        </w:rPr>
        <w:t>Autonomy</w:t>
      </w:r>
      <w:r w:rsidRPr="007065F5">
        <w:rPr>
          <w:rFonts w:ascii="Arial" w:hAnsi="Arial" w:cs="Arial"/>
          <w:sz w:val="22"/>
          <w:szCs w:val="22"/>
        </w:rPr>
        <w:t xml:space="preserve"> requires professionals to respect </w:t>
      </w:r>
      <w:r w:rsidR="00B96677" w:rsidRPr="007065F5">
        <w:rPr>
          <w:rFonts w:ascii="Arial" w:hAnsi="Arial" w:cs="Arial"/>
          <w:sz w:val="22"/>
          <w:szCs w:val="22"/>
        </w:rPr>
        <w:t>patient</w:t>
      </w:r>
      <w:r w:rsidR="00B96677">
        <w:rPr>
          <w:rFonts w:ascii="Arial" w:hAnsi="Arial" w:cs="Arial"/>
          <w:sz w:val="22"/>
          <w:szCs w:val="22"/>
        </w:rPr>
        <w:t>s</w:t>
      </w:r>
      <w:r w:rsidR="009F2987">
        <w:rPr>
          <w:rFonts w:ascii="Arial" w:hAnsi="Arial" w:cs="Arial"/>
          <w:sz w:val="22"/>
          <w:szCs w:val="22"/>
        </w:rPr>
        <w:t>’</w:t>
      </w:r>
      <w:r w:rsidR="00B96677" w:rsidRPr="007065F5">
        <w:rPr>
          <w:rFonts w:ascii="Arial" w:hAnsi="Arial" w:cs="Arial"/>
          <w:sz w:val="22"/>
          <w:szCs w:val="22"/>
        </w:rPr>
        <w:t xml:space="preserve"> rights</w:t>
      </w:r>
      <w:r w:rsidRPr="007065F5">
        <w:rPr>
          <w:rFonts w:ascii="Arial" w:hAnsi="Arial" w:cs="Arial"/>
          <w:sz w:val="22"/>
          <w:szCs w:val="22"/>
        </w:rPr>
        <w:t xml:space="preserve"> to make informed decisions. This underpins PCC by promoting shared decision-making and recognising patients as active partners in their care (NICE, 2021). In acute hospitals, autonomy is demonstrated by involving patients in treatment and discharge planning. However, ethical dilemmas arise when patients refuse clinically recommended treatment. In such situations, multidisciplinary teams must assess decision-making capacity, communicate risks effectively and balance patient preferences with legal and professional responsibilities.</w:t>
      </w:r>
    </w:p>
    <w:p w14:paraId="40152521" w14:textId="0186CE58" w:rsidR="00A11BE2" w:rsidRPr="007065F5" w:rsidRDefault="00A11BE2" w:rsidP="007065F5">
      <w:pPr>
        <w:pStyle w:val="NormalWeb"/>
        <w:spacing w:line="360" w:lineRule="auto"/>
        <w:jc w:val="both"/>
        <w:rPr>
          <w:rFonts w:ascii="Arial" w:hAnsi="Arial" w:cs="Arial"/>
          <w:sz w:val="22"/>
          <w:szCs w:val="22"/>
        </w:rPr>
      </w:pPr>
      <w:r w:rsidRPr="007065F5">
        <w:rPr>
          <w:rStyle w:val="Strong"/>
          <w:rFonts w:ascii="Arial" w:hAnsi="Arial" w:cs="Arial"/>
          <w:sz w:val="22"/>
          <w:szCs w:val="22"/>
        </w:rPr>
        <w:t>Beneficence</w:t>
      </w:r>
      <w:r w:rsidRPr="007065F5">
        <w:rPr>
          <w:rFonts w:ascii="Arial" w:hAnsi="Arial" w:cs="Arial"/>
          <w:sz w:val="22"/>
          <w:szCs w:val="22"/>
        </w:rPr>
        <w:t xml:space="preserve"> and </w:t>
      </w:r>
      <w:r w:rsidRPr="007065F5">
        <w:rPr>
          <w:rStyle w:val="Strong"/>
          <w:rFonts w:ascii="Arial" w:hAnsi="Arial" w:cs="Arial"/>
          <w:sz w:val="22"/>
          <w:szCs w:val="22"/>
        </w:rPr>
        <w:t>non-maleficence</w:t>
      </w:r>
      <w:r w:rsidRPr="007065F5">
        <w:rPr>
          <w:rFonts w:ascii="Arial" w:hAnsi="Arial" w:cs="Arial"/>
          <w:sz w:val="22"/>
          <w:szCs w:val="22"/>
        </w:rPr>
        <w:t xml:space="preserve"> require professionals to act in </w:t>
      </w:r>
      <w:r w:rsidR="00BE0BDF" w:rsidRPr="007065F5">
        <w:rPr>
          <w:rFonts w:ascii="Arial" w:hAnsi="Arial" w:cs="Arial"/>
          <w:sz w:val="22"/>
          <w:szCs w:val="22"/>
        </w:rPr>
        <w:t>patients</w:t>
      </w:r>
      <w:r w:rsidR="00972ADF">
        <w:rPr>
          <w:rFonts w:ascii="Arial" w:hAnsi="Arial" w:cs="Arial"/>
          <w:sz w:val="22"/>
          <w:szCs w:val="22"/>
        </w:rPr>
        <w:t>’</w:t>
      </w:r>
      <w:r w:rsidRPr="007065F5">
        <w:rPr>
          <w:rFonts w:ascii="Arial" w:hAnsi="Arial" w:cs="Arial"/>
          <w:sz w:val="22"/>
          <w:szCs w:val="22"/>
        </w:rPr>
        <w:t xml:space="preserve"> best interests while minimising harm. Decisions regarding surgery, medication and discharge often require collaboration between doctors, nurses, pharmacists, therapists and social workers. Although professionals may have differing clinical opinions, </w:t>
      </w:r>
      <w:r w:rsidR="00BE0BDF">
        <w:rPr>
          <w:rFonts w:ascii="Arial" w:hAnsi="Arial" w:cs="Arial"/>
          <w:sz w:val="22"/>
          <w:szCs w:val="22"/>
        </w:rPr>
        <w:t>PW</w:t>
      </w:r>
      <w:r w:rsidRPr="007065F5">
        <w:rPr>
          <w:rFonts w:ascii="Arial" w:hAnsi="Arial" w:cs="Arial"/>
          <w:sz w:val="22"/>
          <w:szCs w:val="22"/>
        </w:rPr>
        <w:t xml:space="preserve"> enables knowledge-sharing and supports safer, evidence-based decisions that keep patients central to care.</w:t>
      </w:r>
    </w:p>
    <w:p w14:paraId="3D0FF7D4" w14:textId="4C501292" w:rsidR="00A11BE2" w:rsidRPr="00AA41D9" w:rsidRDefault="00A11BE2" w:rsidP="007065F5">
      <w:pPr>
        <w:pStyle w:val="NormalWeb"/>
        <w:spacing w:line="360" w:lineRule="auto"/>
        <w:jc w:val="both"/>
        <w:rPr>
          <w:rFonts w:ascii="Arial" w:hAnsi="Arial" w:cs="Arial"/>
          <w:b/>
          <w:bCs/>
          <w:sz w:val="22"/>
          <w:szCs w:val="22"/>
        </w:rPr>
      </w:pPr>
      <w:r w:rsidRPr="007065F5">
        <w:rPr>
          <w:rStyle w:val="Strong"/>
          <w:rFonts w:ascii="Arial" w:hAnsi="Arial" w:cs="Arial"/>
          <w:sz w:val="22"/>
          <w:szCs w:val="22"/>
        </w:rPr>
        <w:t>Justice</w:t>
      </w:r>
      <w:r w:rsidRPr="007065F5">
        <w:rPr>
          <w:rFonts w:ascii="Arial" w:hAnsi="Arial" w:cs="Arial"/>
          <w:sz w:val="22"/>
          <w:szCs w:val="22"/>
        </w:rPr>
        <w:t xml:space="preserve"> promotes fairness and equitable access to healthcare. However, workforce shortages, increasing demand and limited resources may restrict the delivery of fully personalised care (The King's Fund, 2023). </w:t>
      </w:r>
      <w:r w:rsidR="00AA41D9" w:rsidRPr="00AA41D9">
        <w:rPr>
          <w:rFonts w:ascii="Arial" w:hAnsi="Arial" w:cs="Arial"/>
          <w:sz w:val="22"/>
          <w:szCs w:val="22"/>
        </w:rPr>
        <w:t xml:space="preserve">Balancing equality, individual need and organisational pressures is therefore complex. While ethical frameworks provide guidance, they cannot remove the difficult judgements professionals must make when resources are </w:t>
      </w:r>
      <w:r w:rsidR="00AA41D9" w:rsidRPr="00AA41D9">
        <w:rPr>
          <w:rFonts w:ascii="Arial" w:hAnsi="Arial" w:cs="Arial"/>
          <w:sz w:val="22"/>
          <w:szCs w:val="22"/>
        </w:rPr>
        <w:lastRenderedPageBreak/>
        <w:t>limited. Consequently, ethical decision-making relies not only on professional values but also on effective multidisciplinary collaboration and organisational support.</w:t>
      </w:r>
    </w:p>
    <w:p w14:paraId="30B6FC21" w14:textId="05527323" w:rsidR="00441985" w:rsidRPr="00B34F2E" w:rsidRDefault="00441985" w:rsidP="007065F5">
      <w:pPr>
        <w:pStyle w:val="NormalWeb"/>
        <w:spacing w:line="360" w:lineRule="auto"/>
        <w:jc w:val="both"/>
        <w:rPr>
          <w:rFonts w:ascii="Arial" w:hAnsi="Arial" w:cs="Arial"/>
          <w:b/>
          <w:bCs/>
          <w:sz w:val="28"/>
          <w:szCs w:val="28"/>
        </w:rPr>
      </w:pPr>
      <w:r w:rsidRPr="00B34F2E">
        <w:rPr>
          <w:rFonts w:ascii="Arial" w:hAnsi="Arial" w:cs="Arial"/>
          <w:b/>
          <w:bCs/>
          <w:sz w:val="28"/>
          <w:szCs w:val="28"/>
        </w:rPr>
        <w:t xml:space="preserve">Evaluation of </w:t>
      </w:r>
      <w:r w:rsidR="007078E9">
        <w:rPr>
          <w:rFonts w:ascii="Arial" w:hAnsi="Arial" w:cs="Arial"/>
          <w:b/>
          <w:bCs/>
          <w:sz w:val="28"/>
          <w:szCs w:val="28"/>
        </w:rPr>
        <w:t xml:space="preserve">Partnership Working </w:t>
      </w:r>
    </w:p>
    <w:p w14:paraId="0F5AED39" w14:textId="31156AE7" w:rsidR="00517DFC" w:rsidRPr="007065F5" w:rsidRDefault="00517DFC" w:rsidP="007065F5">
      <w:pPr>
        <w:pStyle w:val="pdq2pgselectionanchorcontainer"/>
        <w:spacing w:line="360" w:lineRule="auto"/>
        <w:jc w:val="both"/>
        <w:rPr>
          <w:rFonts w:ascii="Arial" w:hAnsi="Arial" w:cs="Arial"/>
          <w:sz w:val="22"/>
          <w:szCs w:val="22"/>
        </w:rPr>
      </w:pPr>
      <w:r w:rsidRPr="007065F5">
        <w:rPr>
          <w:rFonts w:ascii="Arial" w:hAnsi="Arial" w:cs="Arial"/>
          <w:sz w:val="22"/>
          <w:szCs w:val="22"/>
        </w:rPr>
        <w:t>P</w:t>
      </w:r>
      <w:r w:rsidR="000038CD">
        <w:rPr>
          <w:rFonts w:ascii="Arial" w:hAnsi="Arial" w:cs="Arial"/>
          <w:sz w:val="22"/>
          <w:szCs w:val="22"/>
        </w:rPr>
        <w:t>W</w:t>
      </w:r>
      <w:r w:rsidRPr="007065F5">
        <w:rPr>
          <w:rFonts w:ascii="Arial" w:hAnsi="Arial" w:cs="Arial"/>
          <w:sz w:val="22"/>
          <w:szCs w:val="22"/>
        </w:rPr>
        <w:t xml:space="preserve"> is a collaborative approach in which healthcare professionals, patients, families and organisations work together to plan, deliver and evaluate care that meets an individual's needs. It is fundamental to </w:t>
      </w:r>
      <w:r w:rsidR="009A0079">
        <w:rPr>
          <w:rFonts w:ascii="Arial" w:hAnsi="Arial" w:cs="Arial"/>
          <w:sz w:val="22"/>
          <w:szCs w:val="22"/>
        </w:rPr>
        <w:t>PCC</w:t>
      </w:r>
      <w:r w:rsidRPr="007065F5">
        <w:rPr>
          <w:rFonts w:ascii="Arial" w:hAnsi="Arial" w:cs="Arial"/>
          <w:sz w:val="22"/>
          <w:szCs w:val="22"/>
        </w:rPr>
        <w:t xml:space="preserve"> because it promotes shared decision-making, coordinated service delivery and holistic care. In England, the introduction of </w:t>
      </w:r>
      <w:r w:rsidRPr="007065F5">
        <w:rPr>
          <w:rStyle w:val="Strong"/>
          <w:rFonts w:ascii="Arial" w:hAnsi="Arial" w:cs="Arial"/>
          <w:sz w:val="22"/>
          <w:szCs w:val="22"/>
        </w:rPr>
        <w:t>Integrated Care Systems (ICSs)</w:t>
      </w:r>
      <w:r w:rsidRPr="007065F5">
        <w:rPr>
          <w:rFonts w:ascii="Arial" w:hAnsi="Arial" w:cs="Arial"/>
          <w:sz w:val="22"/>
          <w:szCs w:val="22"/>
        </w:rPr>
        <w:t xml:space="preserve"> through the </w:t>
      </w:r>
      <w:r w:rsidRPr="007065F5">
        <w:rPr>
          <w:rStyle w:val="Strong"/>
          <w:rFonts w:ascii="Arial" w:hAnsi="Arial" w:cs="Arial"/>
          <w:sz w:val="22"/>
          <w:szCs w:val="22"/>
        </w:rPr>
        <w:t>Health and Care Act 2022</w:t>
      </w:r>
      <w:r w:rsidRPr="007065F5">
        <w:rPr>
          <w:rFonts w:ascii="Arial" w:hAnsi="Arial" w:cs="Arial"/>
          <w:sz w:val="22"/>
          <w:szCs w:val="22"/>
        </w:rPr>
        <w:t xml:space="preserve"> has strengthened </w:t>
      </w:r>
      <w:r w:rsidR="009A0079">
        <w:rPr>
          <w:rFonts w:ascii="Arial" w:hAnsi="Arial" w:cs="Arial"/>
          <w:sz w:val="22"/>
          <w:szCs w:val="22"/>
        </w:rPr>
        <w:t>PW</w:t>
      </w:r>
      <w:r w:rsidRPr="007065F5">
        <w:rPr>
          <w:rFonts w:ascii="Arial" w:hAnsi="Arial" w:cs="Arial"/>
          <w:sz w:val="22"/>
          <w:szCs w:val="22"/>
        </w:rPr>
        <w:t xml:space="preserve"> by encouraging NHS organisations, local authorities and voluntary services to collaborate in improving population health and reducing inequalities (Department of Health and Social Care, 2022</w:t>
      </w:r>
      <w:r w:rsidR="00DC3D28">
        <w:rPr>
          <w:rFonts w:ascii="Arial" w:hAnsi="Arial" w:cs="Arial"/>
          <w:sz w:val="22"/>
          <w:szCs w:val="22"/>
        </w:rPr>
        <w:t>; NHS England, 2019</w:t>
      </w:r>
      <w:r w:rsidRPr="007065F5">
        <w:rPr>
          <w:rFonts w:ascii="Arial" w:hAnsi="Arial" w:cs="Arial"/>
          <w:sz w:val="22"/>
          <w:szCs w:val="22"/>
        </w:rPr>
        <w:t>). Within an adult acute hospital setting, this integrated approach supports continuity of care by improving communication between hospital and community services during admission, treatment and discharge.</w:t>
      </w:r>
    </w:p>
    <w:p w14:paraId="2E4B54C9" w14:textId="37094206" w:rsidR="00517DFC" w:rsidRPr="007065F5" w:rsidRDefault="00517DFC" w:rsidP="007065F5">
      <w:pPr>
        <w:pStyle w:val="NormalWeb"/>
        <w:spacing w:line="360" w:lineRule="auto"/>
        <w:jc w:val="both"/>
        <w:rPr>
          <w:rFonts w:ascii="Arial" w:hAnsi="Arial" w:cs="Arial"/>
          <w:sz w:val="22"/>
          <w:szCs w:val="22"/>
        </w:rPr>
      </w:pPr>
      <w:r w:rsidRPr="007065F5">
        <w:rPr>
          <w:rFonts w:ascii="Arial" w:hAnsi="Arial" w:cs="Arial"/>
          <w:sz w:val="22"/>
          <w:szCs w:val="22"/>
        </w:rPr>
        <w:t xml:space="preserve">A major benefit of </w:t>
      </w:r>
      <w:r w:rsidR="000038CD">
        <w:rPr>
          <w:rFonts w:ascii="Arial" w:hAnsi="Arial" w:cs="Arial"/>
          <w:sz w:val="22"/>
          <w:szCs w:val="22"/>
        </w:rPr>
        <w:t>PW</w:t>
      </w:r>
      <w:r w:rsidRPr="007065F5">
        <w:rPr>
          <w:rFonts w:ascii="Arial" w:hAnsi="Arial" w:cs="Arial"/>
          <w:sz w:val="22"/>
          <w:szCs w:val="22"/>
        </w:rPr>
        <w:t xml:space="preserve"> is that it enhances service delivery by enabling professionals from different disciplines to share knowledge and coordinate interventions. Reeves et al. (2017) suggest that effective interprofessional collaboration improves patient safety, communication and quality of care by combining professional expertise. For example, following a stroke, nurses, doctors, physiotherapists, occupational therapists, speech and language therapists and social workers may collaborate to develop an individualised rehabilitation and discharge plan. This multidisciplinary approach reduces fragmented care, supports timely discharge and improves patient outcomes by ensuring that physical, psychological and social needs are addressed. Consequently, </w:t>
      </w:r>
      <w:r w:rsidR="001D5CA8">
        <w:rPr>
          <w:rFonts w:ascii="Arial" w:hAnsi="Arial" w:cs="Arial"/>
          <w:sz w:val="22"/>
          <w:szCs w:val="22"/>
        </w:rPr>
        <w:t>PW</w:t>
      </w:r>
      <w:r w:rsidRPr="007065F5">
        <w:rPr>
          <w:rFonts w:ascii="Arial" w:hAnsi="Arial" w:cs="Arial"/>
          <w:sz w:val="22"/>
          <w:szCs w:val="22"/>
        </w:rPr>
        <w:t xml:space="preserve"> strengthens </w:t>
      </w:r>
      <w:r w:rsidR="001D5CA8">
        <w:rPr>
          <w:rFonts w:ascii="Arial" w:hAnsi="Arial" w:cs="Arial"/>
          <w:sz w:val="22"/>
          <w:szCs w:val="22"/>
        </w:rPr>
        <w:t>PCC</w:t>
      </w:r>
      <w:r w:rsidRPr="007065F5">
        <w:rPr>
          <w:rFonts w:ascii="Arial" w:hAnsi="Arial" w:cs="Arial"/>
          <w:sz w:val="22"/>
          <w:szCs w:val="22"/>
        </w:rPr>
        <w:t xml:space="preserve"> by placing the patient at the centre of decision-making.</w:t>
      </w:r>
    </w:p>
    <w:p w14:paraId="1B007BE3" w14:textId="0671CDDC" w:rsidR="00517DFC" w:rsidRPr="00261593" w:rsidRDefault="00517DFC" w:rsidP="007065F5">
      <w:pPr>
        <w:pStyle w:val="NormalWeb"/>
        <w:spacing w:line="360" w:lineRule="auto"/>
        <w:jc w:val="both"/>
        <w:rPr>
          <w:rFonts w:ascii="Arial" w:hAnsi="Arial" w:cs="Arial"/>
          <w:sz w:val="22"/>
          <w:szCs w:val="22"/>
        </w:rPr>
      </w:pPr>
      <w:r w:rsidRPr="007065F5">
        <w:rPr>
          <w:rFonts w:ascii="Arial" w:hAnsi="Arial" w:cs="Arial"/>
          <w:sz w:val="22"/>
          <w:szCs w:val="22"/>
        </w:rPr>
        <w:t xml:space="preserve">Despite these advantages, </w:t>
      </w:r>
      <w:r w:rsidR="001D5CA8">
        <w:rPr>
          <w:rFonts w:ascii="Arial" w:hAnsi="Arial" w:cs="Arial"/>
          <w:sz w:val="22"/>
          <w:szCs w:val="22"/>
        </w:rPr>
        <w:t>PW</w:t>
      </w:r>
      <w:r w:rsidR="00A23586">
        <w:rPr>
          <w:rFonts w:ascii="Arial" w:hAnsi="Arial" w:cs="Arial"/>
          <w:sz w:val="22"/>
          <w:szCs w:val="22"/>
        </w:rPr>
        <w:t xml:space="preserve"> </w:t>
      </w:r>
      <w:r w:rsidRPr="007065F5">
        <w:rPr>
          <w:rFonts w:ascii="Arial" w:hAnsi="Arial" w:cs="Arial"/>
          <w:sz w:val="22"/>
          <w:szCs w:val="22"/>
        </w:rPr>
        <w:t xml:space="preserve">also presents significant challenges. Differences in professional roles, organisational priorities and communication systems may hinder effective collaboration, while increasing service pressures and workforce shortages can reduce opportunities for multidisciplinary discussions (The King's Fund, 2023). For example, delays in communication between hospital staff and community social care services may postpone discharge, resulting in prolonged hospital stays and increased pressure on healthcare resources. While some argue that integrated services improve efficiency and patient experiences, others contend that structural integration alone cannot overcome cultural differences or inconsistent communication between organisations. </w:t>
      </w:r>
      <w:r w:rsidR="00261593" w:rsidRPr="00261593">
        <w:rPr>
          <w:rFonts w:ascii="Arial" w:hAnsi="Arial" w:cs="Arial"/>
          <w:sz w:val="22"/>
          <w:szCs w:val="22"/>
        </w:rPr>
        <w:t xml:space="preserve">This suggests that successful PW depends not only on integrated systems but also on strong leadership, mutual </w:t>
      </w:r>
      <w:r w:rsidR="00261593" w:rsidRPr="00261593">
        <w:rPr>
          <w:rFonts w:ascii="Arial" w:hAnsi="Arial" w:cs="Arial"/>
          <w:sz w:val="22"/>
          <w:szCs w:val="22"/>
        </w:rPr>
        <w:lastRenderedPageBreak/>
        <w:t xml:space="preserve">trust and clearly defined professional responsibilities. However, without meaningful patient involvement, collaboration risks becoming professionally led rather than genuinely person-centred. Therefore, effective </w:t>
      </w:r>
      <w:r w:rsidR="009A0079">
        <w:rPr>
          <w:rFonts w:ascii="Arial" w:hAnsi="Arial" w:cs="Arial"/>
          <w:sz w:val="22"/>
          <w:szCs w:val="22"/>
        </w:rPr>
        <w:t>PW</w:t>
      </w:r>
      <w:r w:rsidR="00261593" w:rsidRPr="00261593">
        <w:rPr>
          <w:rFonts w:ascii="Arial" w:hAnsi="Arial" w:cs="Arial"/>
          <w:sz w:val="22"/>
          <w:szCs w:val="22"/>
        </w:rPr>
        <w:t xml:space="preserve"> should be judged not only by organisational integration but also by the extent to which patients actively participate in decisions about their care.</w:t>
      </w:r>
    </w:p>
    <w:p w14:paraId="7C9D7746" w14:textId="495E0EC3" w:rsidR="00517DFC" w:rsidRPr="007065F5" w:rsidRDefault="00517DFC" w:rsidP="007065F5">
      <w:pPr>
        <w:pStyle w:val="NormalWeb"/>
        <w:spacing w:line="360" w:lineRule="auto"/>
        <w:jc w:val="both"/>
        <w:rPr>
          <w:rFonts w:ascii="Arial" w:hAnsi="Arial" w:cs="Arial"/>
          <w:sz w:val="22"/>
          <w:szCs w:val="22"/>
        </w:rPr>
      </w:pPr>
      <w:r w:rsidRPr="007065F5">
        <w:rPr>
          <w:rFonts w:ascii="Arial" w:hAnsi="Arial" w:cs="Arial"/>
          <w:sz w:val="22"/>
          <w:szCs w:val="22"/>
        </w:rPr>
        <w:t xml:space="preserve">Overall, </w:t>
      </w:r>
      <w:r w:rsidR="00DE42C4">
        <w:rPr>
          <w:rFonts w:ascii="Arial" w:hAnsi="Arial" w:cs="Arial"/>
          <w:sz w:val="22"/>
          <w:szCs w:val="22"/>
        </w:rPr>
        <w:t>PW</w:t>
      </w:r>
      <w:r w:rsidRPr="007065F5">
        <w:rPr>
          <w:rFonts w:ascii="Arial" w:hAnsi="Arial" w:cs="Arial"/>
          <w:sz w:val="22"/>
          <w:szCs w:val="22"/>
        </w:rPr>
        <w:t xml:space="preserve"> is essential for delivering safe, coordinated</w:t>
      </w:r>
      <w:r w:rsidR="00AD2874">
        <w:rPr>
          <w:rFonts w:ascii="Arial" w:hAnsi="Arial" w:cs="Arial"/>
          <w:sz w:val="22"/>
          <w:szCs w:val="22"/>
        </w:rPr>
        <w:t xml:space="preserve"> </w:t>
      </w:r>
      <w:r w:rsidR="00DE42C4">
        <w:rPr>
          <w:rFonts w:ascii="Arial" w:hAnsi="Arial" w:cs="Arial"/>
          <w:sz w:val="22"/>
          <w:szCs w:val="22"/>
        </w:rPr>
        <w:t>PCC</w:t>
      </w:r>
      <w:r w:rsidRPr="007065F5">
        <w:rPr>
          <w:rFonts w:ascii="Arial" w:hAnsi="Arial" w:cs="Arial"/>
          <w:sz w:val="22"/>
          <w:szCs w:val="22"/>
        </w:rPr>
        <w:t xml:space="preserve"> within adult acute hospital settings. Although Integrated Care Systems provide a framework for collaboration, achieving positive patient outcomes ultimately depends on effective communication, shared accountability and sustained interprofessional relationships across health and social care services.</w:t>
      </w:r>
    </w:p>
    <w:p w14:paraId="32330A0C" w14:textId="5609A765" w:rsidR="00774105" w:rsidRPr="007078E9" w:rsidRDefault="00774105" w:rsidP="007065F5">
      <w:pPr>
        <w:pStyle w:val="NormalWeb"/>
        <w:spacing w:line="360" w:lineRule="auto"/>
        <w:jc w:val="both"/>
        <w:rPr>
          <w:rFonts w:ascii="Arial" w:hAnsi="Arial" w:cs="Arial"/>
          <w:b/>
          <w:bCs/>
          <w:sz w:val="28"/>
          <w:szCs w:val="28"/>
        </w:rPr>
      </w:pPr>
      <w:r w:rsidRPr="007078E9">
        <w:rPr>
          <w:rFonts w:ascii="Arial" w:hAnsi="Arial" w:cs="Arial"/>
          <w:b/>
          <w:bCs/>
          <w:sz w:val="28"/>
          <w:szCs w:val="28"/>
        </w:rPr>
        <w:t>Policy and Legislation</w:t>
      </w:r>
    </w:p>
    <w:p w14:paraId="5F4D7DAE" w14:textId="2C92105E" w:rsidR="00392A65" w:rsidRPr="007065F5" w:rsidRDefault="00392A65" w:rsidP="007065F5">
      <w:pPr>
        <w:pStyle w:val="pdq2pgselectionanchorcontainer"/>
        <w:spacing w:line="360" w:lineRule="auto"/>
        <w:jc w:val="both"/>
        <w:rPr>
          <w:rFonts w:ascii="Arial" w:hAnsi="Arial" w:cs="Arial"/>
          <w:sz w:val="22"/>
          <w:szCs w:val="22"/>
        </w:rPr>
      </w:pPr>
      <w:r w:rsidRPr="007065F5">
        <w:rPr>
          <w:rFonts w:ascii="Arial" w:hAnsi="Arial" w:cs="Arial"/>
          <w:sz w:val="22"/>
          <w:szCs w:val="22"/>
        </w:rPr>
        <w:t xml:space="preserve">Legislation and national policy provide the legal framework for </w:t>
      </w:r>
      <w:r w:rsidR="003C482C">
        <w:rPr>
          <w:rFonts w:ascii="Arial" w:hAnsi="Arial" w:cs="Arial"/>
          <w:sz w:val="22"/>
          <w:szCs w:val="22"/>
        </w:rPr>
        <w:t>delivering PCC</w:t>
      </w:r>
      <w:r w:rsidRPr="007065F5">
        <w:rPr>
          <w:rFonts w:ascii="Arial" w:hAnsi="Arial" w:cs="Arial"/>
          <w:sz w:val="22"/>
          <w:szCs w:val="22"/>
        </w:rPr>
        <w:t xml:space="preserve"> and effective </w:t>
      </w:r>
      <w:r w:rsidR="003C482C">
        <w:rPr>
          <w:rFonts w:ascii="Arial" w:hAnsi="Arial" w:cs="Arial"/>
          <w:sz w:val="22"/>
          <w:szCs w:val="22"/>
        </w:rPr>
        <w:t>PW</w:t>
      </w:r>
      <w:r w:rsidRPr="007065F5">
        <w:rPr>
          <w:rFonts w:ascii="Arial" w:hAnsi="Arial" w:cs="Arial"/>
          <w:sz w:val="22"/>
          <w:szCs w:val="22"/>
        </w:rPr>
        <w:t xml:space="preserve"> within health and social care. They promote patient rights, equality and collaborative practice while guiding healthcare professionals to deliver safe, coordinated and individualised care. McCormack and McCance (2021) emphasise that legislation supports person-centred practice by promoting respect, shared decision-making and multidisciplinary collaboration.</w:t>
      </w:r>
    </w:p>
    <w:p w14:paraId="3ADB58D3" w14:textId="5ED85E5E" w:rsidR="00392A65" w:rsidRPr="007065F5" w:rsidRDefault="00392A65" w:rsidP="007065F5">
      <w:pPr>
        <w:pStyle w:val="NormalWeb"/>
        <w:spacing w:line="360" w:lineRule="auto"/>
        <w:jc w:val="both"/>
        <w:rPr>
          <w:rFonts w:ascii="Arial" w:hAnsi="Arial" w:cs="Arial"/>
          <w:sz w:val="22"/>
          <w:szCs w:val="22"/>
        </w:rPr>
      </w:pPr>
      <w:r w:rsidRPr="007065F5">
        <w:rPr>
          <w:rFonts w:ascii="Arial" w:hAnsi="Arial" w:cs="Arial"/>
          <w:sz w:val="22"/>
          <w:szCs w:val="22"/>
        </w:rPr>
        <w:t xml:space="preserve">The </w:t>
      </w:r>
      <w:r w:rsidRPr="007065F5">
        <w:rPr>
          <w:rStyle w:val="Strong"/>
          <w:rFonts w:ascii="Arial" w:hAnsi="Arial" w:cs="Arial"/>
          <w:sz w:val="22"/>
          <w:szCs w:val="22"/>
        </w:rPr>
        <w:t>Health and Social Care Act 2012</w:t>
      </w:r>
      <w:r w:rsidRPr="007065F5">
        <w:rPr>
          <w:rFonts w:ascii="Arial" w:hAnsi="Arial" w:cs="Arial"/>
          <w:sz w:val="22"/>
          <w:szCs w:val="22"/>
        </w:rPr>
        <w:t xml:space="preserve"> introduced greater patient choice and encouraged collaboration across health services, while the </w:t>
      </w:r>
      <w:r w:rsidRPr="007065F5">
        <w:rPr>
          <w:rStyle w:val="Strong"/>
          <w:rFonts w:ascii="Arial" w:hAnsi="Arial" w:cs="Arial"/>
          <w:sz w:val="22"/>
          <w:szCs w:val="22"/>
        </w:rPr>
        <w:t>Health and Care Act 2022</w:t>
      </w:r>
      <w:r w:rsidRPr="007065F5">
        <w:rPr>
          <w:rFonts w:ascii="Arial" w:hAnsi="Arial" w:cs="Arial"/>
          <w:sz w:val="22"/>
          <w:szCs w:val="22"/>
        </w:rPr>
        <w:t xml:space="preserve"> strengthened this through the creation of </w:t>
      </w:r>
      <w:r w:rsidRPr="007065F5">
        <w:rPr>
          <w:rStyle w:val="Strong"/>
          <w:rFonts w:ascii="Arial" w:hAnsi="Arial" w:cs="Arial"/>
          <w:sz w:val="22"/>
          <w:szCs w:val="22"/>
        </w:rPr>
        <w:t>Integrated Care Systems (ICSs)</w:t>
      </w:r>
      <w:r w:rsidRPr="007065F5">
        <w:rPr>
          <w:rFonts w:ascii="Arial" w:hAnsi="Arial" w:cs="Arial"/>
          <w:sz w:val="22"/>
          <w:szCs w:val="22"/>
        </w:rPr>
        <w:t>. These reforms encourage NHS organisations, local authorities and voluntary services to work together to improve continuity of care and reduce fragmented services (Department of Health and Social Care, 2022; The King's Fund, 2023</w:t>
      </w:r>
      <w:r w:rsidR="00277AE7">
        <w:rPr>
          <w:rFonts w:ascii="Arial" w:hAnsi="Arial" w:cs="Arial"/>
          <w:sz w:val="22"/>
          <w:szCs w:val="22"/>
        </w:rPr>
        <w:t>; Care Qualit</w:t>
      </w:r>
      <w:r w:rsidR="00B6011D">
        <w:rPr>
          <w:rFonts w:ascii="Arial" w:hAnsi="Arial" w:cs="Arial"/>
          <w:sz w:val="22"/>
          <w:szCs w:val="22"/>
        </w:rPr>
        <w:t>y Commission, 2023</w:t>
      </w:r>
      <w:r w:rsidRPr="007065F5">
        <w:rPr>
          <w:rFonts w:ascii="Arial" w:hAnsi="Arial" w:cs="Arial"/>
          <w:sz w:val="22"/>
          <w:szCs w:val="22"/>
        </w:rPr>
        <w:t xml:space="preserve">). Within an adult acute hospital, this may involve doctors, nurses, therapists and community teams jointly planning the discharge of a patient following hip replacement surgery. However, workforce shortages and communication barriers can hinder effective </w:t>
      </w:r>
      <w:r w:rsidR="0081177A">
        <w:rPr>
          <w:rFonts w:ascii="Arial" w:hAnsi="Arial" w:cs="Arial"/>
          <w:sz w:val="22"/>
          <w:szCs w:val="22"/>
        </w:rPr>
        <w:t>PW</w:t>
      </w:r>
      <w:r w:rsidRPr="007065F5">
        <w:rPr>
          <w:rFonts w:ascii="Arial" w:hAnsi="Arial" w:cs="Arial"/>
          <w:sz w:val="22"/>
          <w:szCs w:val="22"/>
        </w:rPr>
        <w:t xml:space="preserve"> despite these legislative reforms.</w:t>
      </w:r>
    </w:p>
    <w:p w14:paraId="0BEB5D9D" w14:textId="77777777" w:rsidR="00392A65" w:rsidRPr="007065F5" w:rsidRDefault="00392A65" w:rsidP="007065F5">
      <w:pPr>
        <w:pStyle w:val="NormalWeb"/>
        <w:spacing w:line="360" w:lineRule="auto"/>
        <w:jc w:val="both"/>
        <w:rPr>
          <w:rFonts w:ascii="Arial" w:hAnsi="Arial" w:cs="Arial"/>
          <w:sz w:val="22"/>
          <w:szCs w:val="22"/>
        </w:rPr>
      </w:pPr>
      <w:r w:rsidRPr="007065F5">
        <w:rPr>
          <w:rFonts w:ascii="Arial" w:hAnsi="Arial" w:cs="Arial"/>
          <w:sz w:val="22"/>
          <w:szCs w:val="22"/>
        </w:rPr>
        <w:t xml:space="preserve">The </w:t>
      </w:r>
      <w:r w:rsidRPr="007065F5">
        <w:rPr>
          <w:rStyle w:val="Strong"/>
          <w:rFonts w:ascii="Arial" w:hAnsi="Arial" w:cs="Arial"/>
          <w:sz w:val="22"/>
          <w:szCs w:val="22"/>
        </w:rPr>
        <w:t>Care Act 2014</w:t>
      </w:r>
      <w:r w:rsidRPr="007065F5">
        <w:rPr>
          <w:rFonts w:ascii="Arial" w:hAnsi="Arial" w:cs="Arial"/>
          <w:sz w:val="22"/>
          <w:szCs w:val="22"/>
        </w:rPr>
        <w:t xml:space="preserve"> places individual wellbeing at the centre of care planning and promotes cooperation between health and social care services. For example, when discharging a patient following a stroke, multidisciplinary teams collaborate with community rehabilitation and social care services to ensure safe, person-centred discharge. Nevertheless, increasing service demand and limited resources may delay access to community support.</w:t>
      </w:r>
    </w:p>
    <w:p w14:paraId="5F730409" w14:textId="77777777" w:rsidR="00392A65" w:rsidRPr="007065F5" w:rsidRDefault="00392A65" w:rsidP="007065F5">
      <w:pPr>
        <w:pStyle w:val="NormalWeb"/>
        <w:spacing w:line="360" w:lineRule="auto"/>
        <w:jc w:val="both"/>
        <w:rPr>
          <w:rFonts w:ascii="Arial" w:hAnsi="Arial" w:cs="Arial"/>
          <w:sz w:val="22"/>
          <w:szCs w:val="22"/>
        </w:rPr>
      </w:pPr>
      <w:r w:rsidRPr="007065F5">
        <w:rPr>
          <w:rFonts w:ascii="Arial" w:hAnsi="Arial" w:cs="Arial"/>
          <w:sz w:val="22"/>
          <w:szCs w:val="22"/>
        </w:rPr>
        <w:t xml:space="preserve">The </w:t>
      </w:r>
      <w:r w:rsidRPr="007065F5">
        <w:rPr>
          <w:rStyle w:val="Strong"/>
          <w:rFonts w:ascii="Arial" w:hAnsi="Arial" w:cs="Arial"/>
          <w:sz w:val="22"/>
          <w:szCs w:val="22"/>
        </w:rPr>
        <w:t>Human Rights Act 1998</w:t>
      </w:r>
      <w:r w:rsidRPr="007065F5">
        <w:rPr>
          <w:rFonts w:ascii="Arial" w:hAnsi="Arial" w:cs="Arial"/>
          <w:sz w:val="22"/>
          <w:szCs w:val="22"/>
        </w:rPr>
        <w:t xml:space="preserve"> and </w:t>
      </w:r>
      <w:r w:rsidRPr="007065F5">
        <w:rPr>
          <w:rStyle w:val="Strong"/>
          <w:rFonts w:ascii="Arial" w:hAnsi="Arial" w:cs="Arial"/>
          <w:sz w:val="22"/>
          <w:szCs w:val="22"/>
        </w:rPr>
        <w:t>Equality Act 2010</w:t>
      </w:r>
      <w:r w:rsidRPr="007065F5">
        <w:rPr>
          <w:rFonts w:ascii="Arial" w:hAnsi="Arial" w:cs="Arial"/>
          <w:sz w:val="22"/>
          <w:szCs w:val="22"/>
        </w:rPr>
        <w:t xml:space="preserve"> reinforce PCC by protecting dignity, privacy and equality while requiring healthcare providers to eliminate discrimination and make reasonable adjustments for patients with protected characteristics. For example, providing </w:t>
      </w:r>
      <w:r w:rsidRPr="007065F5">
        <w:rPr>
          <w:rFonts w:ascii="Arial" w:hAnsi="Arial" w:cs="Arial"/>
          <w:sz w:val="22"/>
          <w:szCs w:val="22"/>
        </w:rPr>
        <w:lastRenderedPageBreak/>
        <w:t>interpreters or accessible information enables patients to participate in shared decision-making, reflecting NICE (2021) guidance. However, time pressures and staffing constraints may affect the consistent implementation of these legal requirements.</w:t>
      </w:r>
    </w:p>
    <w:p w14:paraId="5A6EA95B" w14:textId="531D59B6" w:rsidR="00392A65" w:rsidRPr="007065F5" w:rsidRDefault="00392A65" w:rsidP="007065F5">
      <w:pPr>
        <w:pStyle w:val="NormalWeb"/>
        <w:spacing w:line="360" w:lineRule="auto"/>
        <w:jc w:val="both"/>
        <w:rPr>
          <w:rFonts w:ascii="Arial" w:hAnsi="Arial" w:cs="Arial"/>
          <w:sz w:val="22"/>
          <w:szCs w:val="22"/>
        </w:rPr>
      </w:pPr>
      <w:r w:rsidRPr="007065F5">
        <w:rPr>
          <w:rFonts w:ascii="Arial" w:hAnsi="Arial" w:cs="Arial"/>
          <w:sz w:val="22"/>
          <w:szCs w:val="22"/>
        </w:rPr>
        <w:t xml:space="preserve">Overall, these policies and legislative frameworks support </w:t>
      </w:r>
      <w:r w:rsidR="00A6340E">
        <w:rPr>
          <w:rFonts w:ascii="Arial" w:hAnsi="Arial" w:cs="Arial"/>
          <w:sz w:val="22"/>
          <w:szCs w:val="22"/>
        </w:rPr>
        <w:t>PCC</w:t>
      </w:r>
      <w:r w:rsidRPr="007065F5">
        <w:rPr>
          <w:rFonts w:ascii="Arial" w:hAnsi="Arial" w:cs="Arial"/>
          <w:sz w:val="22"/>
          <w:szCs w:val="22"/>
        </w:rPr>
        <w:t xml:space="preserve"> and </w:t>
      </w:r>
      <w:r w:rsidR="00A6340E">
        <w:rPr>
          <w:rFonts w:ascii="Arial" w:hAnsi="Arial" w:cs="Arial"/>
          <w:sz w:val="22"/>
          <w:szCs w:val="22"/>
        </w:rPr>
        <w:t>PW</w:t>
      </w:r>
      <w:r w:rsidRPr="007065F5">
        <w:rPr>
          <w:rFonts w:ascii="Arial" w:hAnsi="Arial" w:cs="Arial"/>
          <w:sz w:val="22"/>
          <w:szCs w:val="22"/>
        </w:rPr>
        <w:t xml:space="preserve"> by promoting integrated, equitable and collaborative practice. However, their effectiveness ultimately depends on sufficient resources, effective multidisciplinary communication and organisational commitment to consistently applying these principles within adult acute hospital settings.</w:t>
      </w:r>
    </w:p>
    <w:p w14:paraId="43976E1E" w14:textId="51892AD8" w:rsidR="002622F0" w:rsidRPr="007078E9" w:rsidRDefault="002622F0" w:rsidP="007065F5">
      <w:pPr>
        <w:pStyle w:val="NormalWeb"/>
        <w:spacing w:line="360" w:lineRule="auto"/>
        <w:jc w:val="both"/>
        <w:rPr>
          <w:rFonts w:ascii="Arial" w:hAnsi="Arial" w:cs="Arial"/>
          <w:b/>
          <w:bCs/>
          <w:sz w:val="28"/>
          <w:szCs w:val="28"/>
        </w:rPr>
      </w:pPr>
      <w:r w:rsidRPr="007078E9">
        <w:rPr>
          <w:rFonts w:ascii="Arial" w:hAnsi="Arial" w:cs="Arial"/>
          <w:b/>
          <w:bCs/>
          <w:sz w:val="28"/>
          <w:szCs w:val="28"/>
        </w:rPr>
        <w:t>Recommendations</w:t>
      </w:r>
    </w:p>
    <w:p w14:paraId="0DB4BE46" w14:textId="5322346E" w:rsidR="00F75427" w:rsidRPr="007065F5" w:rsidRDefault="00F75427" w:rsidP="007065F5">
      <w:pPr>
        <w:pStyle w:val="pdq2pgselectionanchorcontainer"/>
        <w:spacing w:line="360" w:lineRule="auto"/>
        <w:jc w:val="both"/>
        <w:rPr>
          <w:rFonts w:ascii="Arial" w:hAnsi="Arial" w:cs="Arial"/>
          <w:sz w:val="22"/>
          <w:szCs w:val="22"/>
        </w:rPr>
      </w:pPr>
      <w:r w:rsidRPr="007065F5">
        <w:rPr>
          <w:rFonts w:ascii="Arial" w:hAnsi="Arial" w:cs="Arial"/>
          <w:sz w:val="22"/>
          <w:szCs w:val="22"/>
        </w:rPr>
        <w:t xml:space="preserve">Although </w:t>
      </w:r>
      <w:r w:rsidR="00E127CD">
        <w:rPr>
          <w:rFonts w:ascii="Arial" w:hAnsi="Arial" w:cs="Arial"/>
          <w:sz w:val="22"/>
          <w:szCs w:val="22"/>
        </w:rPr>
        <w:t>PCC</w:t>
      </w:r>
      <w:r w:rsidRPr="007065F5">
        <w:rPr>
          <w:rFonts w:ascii="Arial" w:hAnsi="Arial" w:cs="Arial"/>
          <w:sz w:val="22"/>
          <w:szCs w:val="22"/>
        </w:rPr>
        <w:t xml:space="preserve"> and </w:t>
      </w:r>
      <w:r w:rsidR="00E127CD">
        <w:rPr>
          <w:rFonts w:ascii="Arial" w:hAnsi="Arial" w:cs="Arial"/>
          <w:sz w:val="22"/>
          <w:szCs w:val="22"/>
        </w:rPr>
        <w:t>PW</w:t>
      </w:r>
      <w:r w:rsidRPr="007065F5">
        <w:rPr>
          <w:rFonts w:ascii="Arial" w:hAnsi="Arial" w:cs="Arial"/>
          <w:sz w:val="22"/>
          <w:szCs w:val="22"/>
        </w:rPr>
        <w:t xml:space="preserve"> are central to UK health policy, their implementation remains inconsistent within adult acute hospital settings due to workforce shortages, increasing service demands and communication challenges across health and social care services (The King's Fund, 2023). Consequently, future service development should prioritise continuous professional development to strengthen healthcare professional</w:t>
      </w:r>
      <w:r w:rsidR="00AD6E0E" w:rsidRPr="007065F5">
        <w:rPr>
          <w:rFonts w:ascii="Arial" w:hAnsi="Arial" w:cs="Arial"/>
          <w:sz w:val="22"/>
          <w:szCs w:val="22"/>
        </w:rPr>
        <w:t xml:space="preserve"> </w:t>
      </w:r>
      <w:r w:rsidRPr="007065F5">
        <w:rPr>
          <w:rFonts w:ascii="Arial" w:hAnsi="Arial" w:cs="Arial"/>
          <w:sz w:val="22"/>
          <w:szCs w:val="22"/>
        </w:rPr>
        <w:t>skills in shared decision-making, effective communication and multidisciplinary collaboration</w:t>
      </w:r>
      <w:r w:rsidR="004163B9">
        <w:rPr>
          <w:rFonts w:ascii="Arial" w:hAnsi="Arial" w:cs="Arial"/>
          <w:sz w:val="22"/>
          <w:szCs w:val="22"/>
        </w:rPr>
        <w:t xml:space="preserve"> </w:t>
      </w:r>
      <w:r w:rsidR="00C96DCE">
        <w:rPr>
          <w:rFonts w:ascii="Arial" w:hAnsi="Arial" w:cs="Arial"/>
          <w:sz w:val="22"/>
          <w:szCs w:val="22"/>
        </w:rPr>
        <w:t>(NHS England, 2023)</w:t>
      </w:r>
      <w:r w:rsidRPr="007065F5">
        <w:rPr>
          <w:rFonts w:ascii="Arial" w:hAnsi="Arial" w:cs="Arial"/>
          <w:sz w:val="22"/>
          <w:szCs w:val="22"/>
        </w:rPr>
        <w:t xml:space="preserve">. McCormack and McCance (2021) argue that competent and confident practitioners are fundamental to delivering effective </w:t>
      </w:r>
      <w:r w:rsidR="00A6340E">
        <w:rPr>
          <w:rFonts w:ascii="Arial" w:hAnsi="Arial" w:cs="Arial"/>
          <w:sz w:val="22"/>
          <w:szCs w:val="22"/>
        </w:rPr>
        <w:t>PCC</w:t>
      </w:r>
      <w:r w:rsidRPr="007065F5">
        <w:rPr>
          <w:rFonts w:ascii="Arial" w:hAnsi="Arial" w:cs="Arial"/>
          <w:sz w:val="22"/>
          <w:szCs w:val="22"/>
        </w:rPr>
        <w:t xml:space="preserve">, while Reeves </w:t>
      </w:r>
      <w:r w:rsidRPr="007065F5">
        <w:rPr>
          <w:rStyle w:val="Emphasis"/>
          <w:rFonts w:ascii="Arial" w:hAnsi="Arial" w:cs="Arial"/>
          <w:sz w:val="22"/>
          <w:szCs w:val="22"/>
        </w:rPr>
        <w:t>et al.</w:t>
      </w:r>
      <w:r w:rsidRPr="007065F5">
        <w:rPr>
          <w:rFonts w:ascii="Arial" w:hAnsi="Arial" w:cs="Arial"/>
          <w:sz w:val="22"/>
          <w:szCs w:val="22"/>
        </w:rPr>
        <w:t xml:space="preserve"> (2017) found that interprofessional education enhances teamwork and improves patient outcomes. However, ongoing staffing pressures, financial constraints and limited protected learning time may restrict the consistent delivery of training, reducing its impact on clinical practice.</w:t>
      </w:r>
    </w:p>
    <w:p w14:paraId="69F44211" w14:textId="778B8B8E" w:rsidR="00F75427" w:rsidRPr="007065F5" w:rsidRDefault="00F75427" w:rsidP="007065F5">
      <w:pPr>
        <w:pStyle w:val="NormalWeb"/>
        <w:spacing w:line="360" w:lineRule="auto"/>
        <w:jc w:val="both"/>
        <w:rPr>
          <w:rFonts w:ascii="Arial" w:hAnsi="Arial" w:cs="Arial"/>
          <w:sz w:val="22"/>
          <w:szCs w:val="22"/>
        </w:rPr>
      </w:pPr>
      <w:r w:rsidRPr="007065F5">
        <w:rPr>
          <w:rFonts w:ascii="Arial" w:hAnsi="Arial" w:cs="Arial"/>
          <w:sz w:val="22"/>
          <w:szCs w:val="22"/>
        </w:rPr>
        <w:t xml:space="preserve">Future improvements should also focus on expanding the use of interoperable electronic patient records and digital information-sharing systems to improve communication between multidisciplinary teams and community services. Within adult acute hospital wards, enhanced digital integration can support safer discharge planning, improve continuity of care and facilitate shared decision-making, in line with national guidance promoting </w:t>
      </w:r>
      <w:r w:rsidR="00E80251">
        <w:rPr>
          <w:rFonts w:ascii="Arial" w:hAnsi="Arial" w:cs="Arial"/>
          <w:sz w:val="22"/>
          <w:szCs w:val="22"/>
        </w:rPr>
        <w:t xml:space="preserve">PCC </w:t>
      </w:r>
      <w:r w:rsidRPr="007065F5">
        <w:rPr>
          <w:rFonts w:ascii="Arial" w:hAnsi="Arial" w:cs="Arial"/>
          <w:sz w:val="22"/>
          <w:szCs w:val="22"/>
        </w:rPr>
        <w:t>(NICE, 2021). Nevertheless, successful implementation requires sustained investment in digital infrastructure, staff training and robust information governance to overcome barriers such as system incompatibility, digital literacy and data security.</w:t>
      </w:r>
    </w:p>
    <w:p w14:paraId="5A9780AF" w14:textId="77777777" w:rsidR="00F75427" w:rsidRPr="007065F5" w:rsidRDefault="00F75427" w:rsidP="007065F5">
      <w:pPr>
        <w:pStyle w:val="NormalWeb"/>
        <w:spacing w:line="360" w:lineRule="auto"/>
        <w:jc w:val="both"/>
        <w:rPr>
          <w:rFonts w:ascii="Arial" w:hAnsi="Arial" w:cs="Arial"/>
          <w:sz w:val="22"/>
          <w:szCs w:val="22"/>
        </w:rPr>
      </w:pPr>
      <w:r w:rsidRPr="007065F5">
        <w:rPr>
          <w:rFonts w:ascii="Arial" w:hAnsi="Arial" w:cs="Arial"/>
          <w:sz w:val="22"/>
          <w:szCs w:val="22"/>
        </w:rPr>
        <w:t xml:space="preserve">Furthermore, healthcare organisations should strengthen collaborative partnerships by routinely evaluating practice through patient feedback, clinical audit and quality improvement initiatives. These approaches can identify gaps in PCC and PW, supporting evidence-informed service development and more effective implementation of national policy (Department of Health and Social Care, 2022). However, financial pressures, competing organisational priorities and increasing demand for services may limit implementation. Therefore, sustained </w:t>
      </w:r>
      <w:r w:rsidRPr="007065F5">
        <w:rPr>
          <w:rFonts w:ascii="Arial" w:hAnsi="Arial" w:cs="Arial"/>
          <w:sz w:val="22"/>
          <w:szCs w:val="22"/>
        </w:rPr>
        <w:lastRenderedPageBreak/>
        <w:t>leadership, adequate resources and organisational commitment are essential to embed high-quality, person-centred and collaborative care within adult acute hospital settings.</w:t>
      </w:r>
    </w:p>
    <w:p w14:paraId="550E3082" w14:textId="1D4C7812" w:rsidR="0047297C" w:rsidRPr="007078E9" w:rsidRDefault="0047297C" w:rsidP="007065F5">
      <w:pPr>
        <w:pStyle w:val="NormalWeb"/>
        <w:spacing w:line="360" w:lineRule="auto"/>
        <w:jc w:val="both"/>
        <w:rPr>
          <w:rFonts w:ascii="Arial" w:hAnsi="Arial" w:cs="Arial"/>
          <w:b/>
          <w:bCs/>
          <w:sz w:val="28"/>
          <w:szCs w:val="28"/>
        </w:rPr>
      </w:pPr>
      <w:r w:rsidRPr="007078E9">
        <w:rPr>
          <w:rFonts w:ascii="Arial" w:hAnsi="Arial" w:cs="Arial"/>
          <w:b/>
          <w:bCs/>
          <w:sz w:val="28"/>
          <w:szCs w:val="28"/>
        </w:rPr>
        <w:t>Conclusion</w:t>
      </w:r>
    </w:p>
    <w:p w14:paraId="1FF1089F" w14:textId="60F72CD8" w:rsidR="00AD6E0E" w:rsidRPr="007065F5" w:rsidRDefault="00092355" w:rsidP="007065F5">
      <w:pPr>
        <w:pStyle w:val="NormalWeb"/>
        <w:spacing w:line="360" w:lineRule="auto"/>
        <w:jc w:val="both"/>
        <w:rPr>
          <w:rFonts w:ascii="Arial" w:hAnsi="Arial" w:cs="Arial"/>
          <w:sz w:val="22"/>
          <w:szCs w:val="22"/>
        </w:rPr>
      </w:pPr>
      <w:r w:rsidRPr="007065F5">
        <w:rPr>
          <w:rFonts w:ascii="Arial" w:hAnsi="Arial" w:cs="Arial"/>
          <w:sz w:val="22"/>
          <w:szCs w:val="22"/>
        </w:rPr>
        <w:t>I</w:t>
      </w:r>
      <w:r w:rsidR="0047297C" w:rsidRPr="007065F5">
        <w:rPr>
          <w:rFonts w:ascii="Arial" w:hAnsi="Arial" w:cs="Arial"/>
          <w:sz w:val="22"/>
          <w:szCs w:val="22"/>
        </w:rPr>
        <w:t xml:space="preserve">n conclusion, this report has critically examined the principles of </w:t>
      </w:r>
      <w:r w:rsidR="00B36ECC">
        <w:rPr>
          <w:rFonts w:ascii="Arial" w:hAnsi="Arial" w:cs="Arial"/>
          <w:sz w:val="22"/>
          <w:szCs w:val="22"/>
        </w:rPr>
        <w:t>PCC</w:t>
      </w:r>
      <w:r w:rsidRPr="007065F5">
        <w:rPr>
          <w:rFonts w:ascii="Arial" w:hAnsi="Arial" w:cs="Arial"/>
          <w:sz w:val="22"/>
          <w:szCs w:val="22"/>
        </w:rPr>
        <w:t xml:space="preserve"> </w:t>
      </w:r>
      <w:r w:rsidR="0047297C" w:rsidRPr="007065F5">
        <w:rPr>
          <w:rFonts w:ascii="Arial" w:hAnsi="Arial" w:cs="Arial"/>
          <w:sz w:val="22"/>
          <w:szCs w:val="22"/>
        </w:rPr>
        <w:t xml:space="preserve">and </w:t>
      </w:r>
      <w:r w:rsidR="00B36ECC">
        <w:rPr>
          <w:rFonts w:ascii="Arial" w:hAnsi="Arial" w:cs="Arial"/>
          <w:sz w:val="22"/>
          <w:szCs w:val="22"/>
        </w:rPr>
        <w:t>PW</w:t>
      </w:r>
      <w:r w:rsidR="008F4BEC" w:rsidRPr="007065F5">
        <w:rPr>
          <w:rFonts w:ascii="Arial" w:hAnsi="Arial" w:cs="Arial"/>
          <w:sz w:val="22"/>
          <w:szCs w:val="22"/>
        </w:rPr>
        <w:t xml:space="preserve"> within</w:t>
      </w:r>
      <w:r w:rsidR="0047297C" w:rsidRPr="007065F5">
        <w:rPr>
          <w:rFonts w:ascii="Arial" w:hAnsi="Arial" w:cs="Arial"/>
          <w:sz w:val="22"/>
          <w:szCs w:val="22"/>
        </w:rPr>
        <w:t xml:space="preserve"> contemporary health and social care practice, with </w:t>
      </w:r>
      <w:r w:rsidR="008F4BEC" w:rsidRPr="007065F5">
        <w:rPr>
          <w:rFonts w:ascii="Arial" w:hAnsi="Arial" w:cs="Arial"/>
          <w:sz w:val="22"/>
          <w:szCs w:val="22"/>
        </w:rPr>
        <w:t>reference</w:t>
      </w:r>
      <w:r w:rsidR="0047297C" w:rsidRPr="007065F5">
        <w:rPr>
          <w:rFonts w:ascii="Arial" w:hAnsi="Arial" w:cs="Arial"/>
          <w:sz w:val="22"/>
          <w:szCs w:val="22"/>
        </w:rPr>
        <w:t xml:space="preserve"> to an adult acute hospital setting. It has demonstrated that PCC and PW are fundamental to delivering</w:t>
      </w:r>
      <w:r w:rsidR="00123FAE">
        <w:rPr>
          <w:rFonts w:ascii="Arial" w:hAnsi="Arial" w:cs="Arial"/>
          <w:sz w:val="22"/>
          <w:szCs w:val="22"/>
        </w:rPr>
        <w:t xml:space="preserve">, </w:t>
      </w:r>
      <w:r w:rsidR="0047297C" w:rsidRPr="007065F5">
        <w:rPr>
          <w:rFonts w:ascii="Arial" w:hAnsi="Arial" w:cs="Arial"/>
          <w:sz w:val="22"/>
          <w:szCs w:val="22"/>
        </w:rPr>
        <w:t xml:space="preserve">effective and high-quality care by promoting shared decision-making, collaborative practice and care that is responsive to individuals' needs. The report critically evaluated the benefits and limitations of </w:t>
      </w:r>
      <w:r w:rsidR="00F81061">
        <w:rPr>
          <w:rFonts w:ascii="Arial" w:hAnsi="Arial" w:cs="Arial"/>
          <w:sz w:val="22"/>
          <w:szCs w:val="22"/>
        </w:rPr>
        <w:t>PPC</w:t>
      </w:r>
      <w:r w:rsidR="0047297C" w:rsidRPr="007065F5">
        <w:rPr>
          <w:rFonts w:ascii="Arial" w:hAnsi="Arial" w:cs="Arial"/>
          <w:sz w:val="22"/>
          <w:szCs w:val="22"/>
        </w:rPr>
        <w:t>, examined the contribution of theoretical frameworks, and explored how ethical principles, legislation and national policy underpin effective multidisciplinary working. The findings highlighted that, despite the recognised benefits of PCC and PW, their implementation is frequently constrained by workforce shortages, communication barriers and increasing service demands. The recommendations emphasised the need for continued investment in workforce development, digital technologies, collaborative partnerships and ongoing service evaluation to strengthen future</w:t>
      </w:r>
      <w:r w:rsidR="00080977">
        <w:rPr>
          <w:rFonts w:ascii="Arial" w:hAnsi="Arial" w:cs="Arial"/>
          <w:sz w:val="22"/>
          <w:szCs w:val="22"/>
        </w:rPr>
        <w:t xml:space="preserve"> practice</w:t>
      </w:r>
      <w:r w:rsidR="0047297C" w:rsidRPr="007065F5">
        <w:rPr>
          <w:rFonts w:ascii="Arial" w:hAnsi="Arial" w:cs="Arial"/>
          <w:sz w:val="22"/>
          <w:szCs w:val="22"/>
        </w:rPr>
        <w:t xml:space="preserve">. Ultimately, achieving consistently high standards of </w:t>
      </w:r>
      <w:r w:rsidR="009A0079">
        <w:rPr>
          <w:rFonts w:ascii="Arial" w:hAnsi="Arial" w:cs="Arial"/>
          <w:sz w:val="22"/>
          <w:szCs w:val="22"/>
        </w:rPr>
        <w:t>PCC</w:t>
      </w:r>
      <w:r w:rsidR="0047297C" w:rsidRPr="007065F5">
        <w:rPr>
          <w:rFonts w:ascii="Arial" w:hAnsi="Arial" w:cs="Arial"/>
          <w:sz w:val="22"/>
          <w:szCs w:val="22"/>
        </w:rPr>
        <w:t xml:space="preserve"> and </w:t>
      </w:r>
      <w:r w:rsidR="00F81061">
        <w:rPr>
          <w:rFonts w:ascii="Arial" w:hAnsi="Arial" w:cs="Arial"/>
          <w:sz w:val="22"/>
          <w:szCs w:val="22"/>
        </w:rPr>
        <w:t>PW</w:t>
      </w:r>
      <w:r w:rsidR="0047297C" w:rsidRPr="007065F5">
        <w:rPr>
          <w:rFonts w:ascii="Arial" w:hAnsi="Arial" w:cs="Arial"/>
          <w:sz w:val="22"/>
          <w:szCs w:val="22"/>
        </w:rPr>
        <w:t xml:space="preserve"> requires sustained organisational commitment, effective leadership and</w:t>
      </w:r>
      <w:r w:rsidR="00784F69">
        <w:rPr>
          <w:rFonts w:ascii="Arial" w:hAnsi="Arial" w:cs="Arial"/>
          <w:sz w:val="22"/>
          <w:szCs w:val="22"/>
        </w:rPr>
        <w:t xml:space="preserve"> </w:t>
      </w:r>
      <w:r w:rsidR="0047297C" w:rsidRPr="007065F5">
        <w:rPr>
          <w:rFonts w:ascii="Arial" w:hAnsi="Arial" w:cs="Arial"/>
          <w:sz w:val="22"/>
          <w:szCs w:val="22"/>
        </w:rPr>
        <w:t>resources to translate policy into improve</w:t>
      </w:r>
      <w:r w:rsidR="000E27EB">
        <w:rPr>
          <w:rFonts w:ascii="Arial" w:hAnsi="Arial" w:cs="Arial"/>
          <w:sz w:val="22"/>
          <w:szCs w:val="22"/>
        </w:rPr>
        <w:t>d</w:t>
      </w:r>
      <w:r w:rsidR="0047297C" w:rsidRPr="007065F5">
        <w:rPr>
          <w:rFonts w:ascii="Arial" w:hAnsi="Arial" w:cs="Arial"/>
          <w:sz w:val="22"/>
          <w:szCs w:val="22"/>
        </w:rPr>
        <w:t xml:space="preserve"> patient outcomes.</w:t>
      </w:r>
    </w:p>
    <w:p w14:paraId="63585FA6" w14:textId="77777777" w:rsidR="00AD6E0E" w:rsidRPr="007065F5" w:rsidRDefault="00AD6E0E" w:rsidP="007065F5">
      <w:pPr>
        <w:pStyle w:val="NormalWeb"/>
        <w:spacing w:line="360" w:lineRule="auto"/>
        <w:jc w:val="both"/>
        <w:rPr>
          <w:rFonts w:ascii="Arial" w:hAnsi="Arial" w:cs="Arial"/>
          <w:sz w:val="22"/>
          <w:szCs w:val="22"/>
        </w:rPr>
      </w:pPr>
    </w:p>
    <w:p w14:paraId="32FF2E0F" w14:textId="77777777" w:rsidR="00AD6E0E" w:rsidRPr="007065F5" w:rsidRDefault="00AD6E0E" w:rsidP="007065F5">
      <w:pPr>
        <w:pStyle w:val="NormalWeb"/>
        <w:spacing w:line="360" w:lineRule="auto"/>
        <w:jc w:val="both"/>
        <w:rPr>
          <w:rFonts w:ascii="Arial" w:hAnsi="Arial" w:cs="Arial"/>
          <w:sz w:val="22"/>
          <w:szCs w:val="22"/>
        </w:rPr>
      </w:pPr>
    </w:p>
    <w:p w14:paraId="6EA69B09" w14:textId="77777777" w:rsidR="00AD6E0E" w:rsidRPr="007065F5" w:rsidRDefault="00AD6E0E" w:rsidP="007065F5">
      <w:pPr>
        <w:pStyle w:val="NormalWeb"/>
        <w:spacing w:line="360" w:lineRule="auto"/>
        <w:jc w:val="both"/>
        <w:rPr>
          <w:rFonts w:ascii="Arial" w:hAnsi="Arial" w:cs="Arial"/>
          <w:sz w:val="22"/>
          <w:szCs w:val="22"/>
        </w:rPr>
      </w:pPr>
    </w:p>
    <w:p w14:paraId="14406FDD" w14:textId="77777777" w:rsidR="00AD6E0E" w:rsidRPr="007065F5" w:rsidRDefault="00AD6E0E" w:rsidP="007065F5">
      <w:pPr>
        <w:pStyle w:val="NormalWeb"/>
        <w:spacing w:line="360" w:lineRule="auto"/>
        <w:jc w:val="both"/>
        <w:rPr>
          <w:rFonts w:ascii="Arial" w:hAnsi="Arial" w:cs="Arial"/>
          <w:sz w:val="22"/>
          <w:szCs w:val="22"/>
        </w:rPr>
      </w:pPr>
    </w:p>
    <w:p w14:paraId="118A3C93" w14:textId="77777777" w:rsidR="00AD6E0E" w:rsidRPr="007065F5" w:rsidRDefault="00AD6E0E" w:rsidP="007065F5">
      <w:pPr>
        <w:pStyle w:val="NormalWeb"/>
        <w:spacing w:line="360" w:lineRule="auto"/>
        <w:jc w:val="both"/>
        <w:rPr>
          <w:rFonts w:ascii="Arial" w:hAnsi="Arial" w:cs="Arial"/>
          <w:sz w:val="22"/>
          <w:szCs w:val="22"/>
        </w:rPr>
      </w:pPr>
    </w:p>
    <w:p w14:paraId="3867FE73" w14:textId="77777777" w:rsidR="00AD6E0E" w:rsidRPr="007065F5" w:rsidRDefault="00AD6E0E" w:rsidP="007065F5">
      <w:pPr>
        <w:pStyle w:val="NormalWeb"/>
        <w:spacing w:line="360" w:lineRule="auto"/>
        <w:jc w:val="both"/>
        <w:rPr>
          <w:rFonts w:ascii="Arial" w:hAnsi="Arial" w:cs="Arial"/>
          <w:sz w:val="22"/>
          <w:szCs w:val="22"/>
        </w:rPr>
      </w:pPr>
    </w:p>
    <w:p w14:paraId="67E366DE" w14:textId="77777777" w:rsidR="00956E9E" w:rsidRDefault="00956E9E" w:rsidP="007065F5">
      <w:pPr>
        <w:pStyle w:val="NormalWeb"/>
        <w:spacing w:line="360" w:lineRule="auto"/>
        <w:jc w:val="both"/>
        <w:rPr>
          <w:rFonts w:ascii="Arial" w:hAnsi="Arial" w:cs="Arial"/>
          <w:b/>
          <w:bCs/>
          <w:sz w:val="22"/>
          <w:szCs w:val="22"/>
        </w:rPr>
      </w:pPr>
    </w:p>
    <w:p w14:paraId="43C23630" w14:textId="77777777" w:rsidR="00631C6D" w:rsidRDefault="00631C6D" w:rsidP="007065F5">
      <w:pPr>
        <w:pStyle w:val="NormalWeb"/>
        <w:spacing w:line="360" w:lineRule="auto"/>
        <w:jc w:val="both"/>
        <w:rPr>
          <w:rFonts w:ascii="Arial" w:hAnsi="Arial" w:cs="Arial"/>
          <w:b/>
          <w:bCs/>
          <w:sz w:val="28"/>
          <w:szCs w:val="28"/>
        </w:rPr>
      </w:pPr>
    </w:p>
    <w:p w14:paraId="202E71DC" w14:textId="77777777" w:rsidR="000E27EB" w:rsidRDefault="000E27EB" w:rsidP="007065F5">
      <w:pPr>
        <w:pStyle w:val="NormalWeb"/>
        <w:spacing w:line="360" w:lineRule="auto"/>
        <w:jc w:val="both"/>
        <w:rPr>
          <w:rFonts w:ascii="Arial" w:hAnsi="Arial" w:cs="Arial"/>
          <w:b/>
          <w:bCs/>
          <w:sz w:val="28"/>
          <w:szCs w:val="28"/>
        </w:rPr>
      </w:pPr>
    </w:p>
    <w:p w14:paraId="2137D8DD" w14:textId="77777777" w:rsidR="000E27EB" w:rsidRDefault="000E27EB" w:rsidP="007065F5">
      <w:pPr>
        <w:pStyle w:val="NormalWeb"/>
        <w:spacing w:line="360" w:lineRule="auto"/>
        <w:jc w:val="both"/>
        <w:rPr>
          <w:rFonts w:ascii="Arial" w:hAnsi="Arial" w:cs="Arial"/>
          <w:b/>
          <w:bCs/>
          <w:sz w:val="28"/>
          <w:szCs w:val="28"/>
        </w:rPr>
      </w:pPr>
    </w:p>
    <w:p w14:paraId="0238D255" w14:textId="30D2C762" w:rsidR="00AD6E0E" w:rsidRPr="007078E9" w:rsidRDefault="00AD6E0E" w:rsidP="007065F5">
      <w:pPr>
        <w:pStyle w:val="NormalWeb"/>
        <w:spacing w:line="360" w:lineRule="auto"/>
        <w:jc w:val="both"/>
        <w:rPr>
          <w:rFonts w:ascii="Arial" w:hAnsi="Arial" w:cs="Arial"/>
          <w:sz w:val="28"/>
          <w:szCs w:val="28"/>
        </w:rPr>
      </w:pPr>
      <w:r w:rsidRPr="007078E9">
        <w:rPr>
          <w:rFonts w:ascii="Arial" w:hAnsi="Arial" w:cs="Arial"/>
          <w:b/>
          <w:bCs/>
          <w:sz w:val="28"/>
          <w:szCs w:val="28"/>
        </w:rPr>
        <w:lastRenderedPageBreak/>
        <w:t xml:space="preserve">References </w:t>
      </w:r>
    </w:p>
    <w:p w14:paraId="5A52F021" w14:textId="6485F5F0" w:rsidR="0062196B" w:rsidRPr="00107C59" w:rsidRDefault="0062196B" w:rsidP="007065F5">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eastAsia="Times New Roman" w:hAnsi="Arial" w:cs="Arial"/>
          <w:kern w:val="0"/>
          <w:lang w:eastAsia="en-GB"/>
          <w14:ligatures w14:val="none"/>
        </w:rPr>
        <w:t xml:space="preserve">Beauchamp, T.L. and Childress, J.F. (2019) </w:t>
      </w:r>
      <w:r w:rsidRPr="00107C59">
        <w:rPr>
          <w:rFonts w:ascii="Arial" w:eastAsia="Times New Roman" w:hAnsi="Arial" w:cs="Arial"/>
          <w:i/>
          <w:iCs/>
          <w:kern w:val="0"/>
          <w:lang w:eastAsia="en-GB"/>
          <w14:ligatures w14:val="none"/>
        </w:rPr>
        <w:t>Principles of Biomedical Ethics</w:t>
      </w:r>
      <w:r w:rsidRPr="00107C59">
        <w:rPr>
          <w:rFonts w:ascii="Arial" w:eastAsia="Times New Roman" w:hAnsi="Arial" w:cs="Arial"/>
          <w:kern w:val="0"/>
          <w:lang w:eastAsia="en-GB"/>
          <w14:ligatures w14:val="none"/>
        </w:rPr>
        <w:t xml:space="preserve">. 8th </w:t>
      </w:r>
      <w:proofErr w:type="spellStart"/>
      <w:r w:rsidRPr="00107C59">
        <w:rPr>
          <w:rFonts w:ascii="Arial" w:eastAsia="Times New Roman" w:hAnsi="Arial" w:cs="Arial"/>
          <w:kern w:val="0"/>
          <w:lang w:eastAsia="en-GB"/>
          <w14:ligatures w14:val="none"/>
        </w:rPr>
        <w:t>edn</w:t>
      </w:r>
      <w:proofErr w:type="spellEnd"/>
      <w:r w:rsidRPr="00107C59">
        <w:rPr>
          <w:rFonts w:ascii="Arial" w:eastAsia="Times New Roman" w:hAnsi="Arial" w:cs="Arial"/>
          <w:kern w:val="0"/>
          <w:lang w:eastAsia="en-GB"/>
          <w14:ligatures w14:val="none"/>
        </w:rPr>
        <w:t>. New York: Oxford University Press.</w:t>
      </w:r>
    </w:p>
    <w:p w14:paraId="3AD2F888" w14:textId="77777777" w:rsidR="0062196B" w:rsidRPr="00107C59" w:rsidRDefault="0062196B" w:rsidP="007065F5">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eastAsia="Times New Roman" w:hAnsi="Arial" w:cs="Arial"/>
          <w:kern w:val="0"/>
          <w:lang w:eastAsia="en-GB"/>
          <w14:ligatures w14:val="none"/>
        </w:rPr>
        <w:t xml:space="preserve">Care Act 2014. (c.23). London: The Stationery Office. Available at: </w:t>
      </w:r>
      <w:hyperlink r:id="rId7" w:tgtFrame="_new" w:history="1">
        <w:r w:rsidRPr="00107C59">
          <w:rPr>
            <w:rFonts w:ascii="Arial" w:eastAsia="Times New Roman" w:hAnsi="Arial" w:cs="Arial"/>
            <w:color w:val="0000FF"/>
            <w:kern w:val="0"/>
            <w:u w:val="single"/>
            <w:lang w:eastAsia="en-GB"/>
            <w14:ligatures w14:val="none"/>
          </w:rPr>
          <w:t>https://www.legislation.gov.uk/ukpga/2014/23/contents</w:t>
        </w:r>
      </w:hyperlink>
      <w:r w:rsidRPr="00107C59">
        <w:rPr>
          <w:rFonts w:ascii="Arial" w:eastAsia="Times New Roman" w:hAnsi="Arial" w:cs="Arial"/>
          <w:kern w:val="0"/>
          <w:lang w:eastAsia="en-GB"/>
          <w14:ligatures w14:val="none"/>
        </w:rPr>
        <w:t xml:space="preserve"> (Accessed: 19 July 2026).</w:t>
      </w:r>
    </w:p>
    <w:p w14:paraId="4A954B61" w14:textId="77777777" w:rsidR="0062196B" w:rsidRPr="00107C59" w:rsidRDefault="0062196B"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eastAsia="Times New Roman" w:hAnsi="Arial" w:cs="Arial"/>
          <w:kern w:val="0"/>
          <w:lang w:eastAsia="en-GB"/>
          <w14:ligatures w14:val="none"/>
        </w:rPr>
        <w:t xml:space="preserve">Coulter, A., Entwistle, V.A., Eccles, A., Ryan, S., Shepperd, S. and Perera, R. (2015) ‘Personalised care planning for adults with chronic or long-term health conditions’, </w:t>
      </w:r>
      <w:r w:rsidRPr="00107C59">
        <w:rPr>
          <w:rFonts w:ascii="Arial" w:eastAsia="Times New Roman" w:hAnsi="Arial" w:cs="Arial"/>
          <w:i/>
          <w:iCs/>
          <w:kern w:val="0"/>
          <w:lang w:eastAsia="en-GB"/>
          <w14:ligatures w14:val="none"/>
        </w:rPr>
        <w:t>Cochrane Database of Systematic Reviews</w:t>
      </w:r>
      <w:r w:rsidRPr="00107C59">
        <w:rPr>
          <w:rFonts w:ascii="Arial" w:eastAsia="Times New Roman" w:hAnsi="Arial" w:cs="Arial"/>
          <w:kern w:val="0"/>
          <w:lang w:eastAsia="en-GB"/>
          <w14:ligatures w14:val="none"/>
        </w:rPr>
        <w:t xml:space="preserve">, 3, CD010523. Available at: </w:t>
      </w:r>
      <w:hyperlink r:id="rId8" w:tgtFrame="_new" w:history="1">
        <w:r w:rsidRPr="00107C59">
          <w:rPr>
            <w:rFonts w:ascii="Arial" w:eastAsia="Times New Roman" w:hAnsi="Arial" w:cs="Arial"/>
            <w:color w:val="0000FF"/>
            <w:kern w:val="0"/>
            <w:u w:val="single"/>
            <w:lang w:eastAsia="en-GB"/>
            <w14:ligatures w14:val="none"/>
          </w:rPr>
          <w:t>https://doi.org/10.1002/14651858.CD010523.pub2</w:t>
        </w:r>
      </w:hyperlink>
      <w:r w:rsidRPr="00107C59">
        <w:rPr>
          <w:rFonts w:ascii="Arial" w:eastAsia="Times New Roman" w:hAnsi="Arial" w:cs="Arial"/>
          <w:kern w:val="0"/>
          <w:lang w:eastAsia="en-GB"/>
          <w14:ligatures w14:val="none"/>
        </w:rPr>
        <w:t xml:space="preserve"> (Accessed: 19 July 2026).</w:t>
      </w:r>
    </w:p>
    <w:p w14:paraId="5C799723" w14:textId="77777777" w:rsidR="0062196B" w:rsidRPr="00107C59" w:rsidRDefault="0062196B"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eastAsia="Times New Roman" w:hAnsi="Arial" w:cs="Arial"/>
          <w:kern w:val="0"/>
          <w:lang w:eastAsia="en-GB"/>
          <w14:ligatures w14:val="none"/>
        </w:rPr>
        <w:t xml:space="preserve">Department of Health and Social Care (2022) </w:t>
      </w:r>
      <w:r w:rsidRPr="00107C59">
        <w:rPr>
          <w:rFonts w:ascii="Arial" w:eastAsia="Times New Roman" w:hAnsi="Arial" w:cs="Arial"/>
          <w:i/>
          <w:iCs/>
          <w:kern w:val="0"/>
          <w:lang w:eastAsia="en-GB"/>
          <w14:ligatures w14:val="none"/>
        </w:rPr>
        <w:t>Health and Care Act 2022</w:t>
      </w:r>
      <w:r w:rsidRPr="00107C59">
        <w:rPr>
          <w:rFonts w:ascii="Arial" w:eastAsia="Times New Roman" w:hAnsi="Arial" w:cs="Arial"/>
          <w:kern w:val="0"/>
          <w:lang w:eastAsia="en-GB"/>
          <w14:ligatures w14:val="none"/>
        </w:rPr>
        <w:t xml:space="preserve">. London: The Stationery Office. Available at: </w:t>
      </w:r>
      <w:hyperlink r:id="rId9" w:tgtFrame="_new" w:history="1">
        <w:r w:rsidRPr="00107C59">
          <w:rPr>
            <w:rFonts w:ascii="Arial" w:eastAsia="Times New Roman" w:hAnsi="Arial" w:cs="Arial"/>
            <w:color w:val="0000FF"/>
            <w:kern w:val="0"/>
            <w:u w:val="single"/>
            <w:lang w:eastAsia="en-GB"/>
            <w14:ligatures w14:val="none"/>
          </w:rPr>
          <w:t>https://www.legislation.gov.uk/ukpga/2022/31/contents</w:t>
        </w:r>
      </w:hyperlink>
      <w:r w:rsidRPr="00107C59">
        <w:rPr>
          <w:rFonts w:ascii="Arial" w:eastAsia="Times New Roman" w:hAnsi="Arial" w:cs="Arial"/>
          <w:kern w:val="0"/>
          <w:lang w:eastAsia="en-GB"/>
          <w14:ligatures w14:val="none"/>
        </w:rPr>
        <w:t xml:space="preserve"> (Accessed: 20 July 2026).</w:t>
      </w:r>
    </w:p>
    <w:p w14:paraId="3FA7FDD2" w14:textId="77777777" w:rsidR="0062196B" w:rsidRPr="00107C59" w:rsidRDefault="0062196B"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eastAsia="Times New Roman" w:hAnsi="Arial" w:cs="Arial"/>
          <w:kern w:val="0"/>
          <w:lang w:eastAsia="en-GB"/>
          <w14:ligatures w14:val="none"/>
        </w:rPr>
        <w:t xml:space="preserve">Equality Act 2010. (c.15). London: The Stationery Office. Available at: </w:t>
      </w:r>
      <w:hyperlink r:id="rId10" w:tgtFrame="_new" w:history="1">
        <w:r w:rsidRPr="00107C59">
          <w:rPr>
            <w:rFonts w:ascii="Arial" w:eastAsia="Times New Roman" w:hAnsi="Arial" w:cs="Arial"/>
            <w:color w:val="0000FF"/>
            <w:kern w:val="0"/>
            <w:u w:val="single"/>
            <w:lang w:eastAsia="en-GB"/>
            <w14:ligatures w14:val="none"/>
          </w:rPr>
          <w:t>https://www.legislation.gov.uk/ukpga/2010/15/contents</w:t>
        </w:r>
      </w:hyperlink>
      <w:r w:rsidRPr="00107C59">
        <w:rPr>
          <w:rFonts w:ascii="Arial" w:eastAsia="Times New Roman" w:hAnsi="Arial" w:cs="Arial"/>
          <w:kern w:val="0"/>
          <w:lang w:eastAsia="en-GB"/>
          <w14:ligatures w14:val="none"/>
        </w:rPr>
        <w:t xml:space="preserve"> (Accessed: 19 July 2026).</w:t>
      </w:r>
    </w:p>
    <w:p w14:paraId="2AC12E8B" w14:textId="77777777" w:rsidR="0062196B" w:rsidRPr="00107C59" w:rsidRDefault="0062196B"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eastAsia="Times New Roman" w:hAnsi="Arial" w:cs="Arial"/>
          <w:kern w:val="0"/>
          <w:lang w:eastAsia="en-GB"/>
          <w14:ligatures w14:val="none"/>
        </w:rPr>
        <w:t xml:space="preserve">Health and Social Care Act 2012. (c.7). London: The Stationery Office. Available at: </w:t>
      </w:r>
      <w:hyperlink r:id="rId11" w:tgtFrame="_new" w:history="1">
        <w:r w:rsidRPr="00107C59">
          <w:rPr>
            <w:rFonts w:ascii="Arial" w:eastAsia="Times New Roman" w:hAnsi="Arial" w:cs="Arial"/>
            <w:color w:val="0000FF"/>
            <w:kern w:val="0"/>
            <w:u w:val="single"/>
            <w:lang w:eastAsia="en-GB"/>
            <w14:ligatures w14:val="none"/>
          </w:rPr>
          <w:t>https://www.legislation.gov.uk/ukpga/2012/7/contents</w:t>
        </w:r>
      </w:hyperlink>
      <w:r w:rsidRPr="00107C59">
        <w:rPr>
          <w:rFonts w:ascii="Arial" w:eastAsia="Times New Roman" w:hAnsi="Arial" w:cs="Arial"/>
          <w:kern w:val="0"/>
          <w:lang w:eastAsia="en-GB"/>
          <w14:ligatures w14:val="none"/>
        </w:rPr>
        <w:t xml:space="preserve"> (Accessed: 19 July 2026).</w:t>
      </w:r>
    </w:p>
    <w:p w14:paraId="6F134E40" w14:textId="230514FC" w:rsidR="00AF3B64" w:rsidRPr="00107C59" w:rsidRDefault="00AF3B64"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hAnsi="Arial" w:cs="Arial"/>
        </w:rPr>
        <w:t xml:space="preserve">The Health Foundation (2016) </w:t>
      </w:r>
      <w:r w:rsidRPr="00107C59">
        <w:rPr>
          <w:rStyle w:val="Emphasis"/>
          <w:rFonts w:ascii="Arial" w:hAnsi="Arial" w:cs="Arial"/>
        </w:rPr>
        <w:t>Person-centred care made simple</w:t>
      </w:r>
      <w:r w:rsidRPr="00107C59">
        <w:rPr>
          <w:rFonts w:ascii="Arial" w:hAnsi="Arial" w:cs="Arial"/>
        </w:rPr>
        <w:t>. London: The Health Foundation. Available at: https://www.health.org.uk/publications/person-centred-care-made-simple (Accessed: 20 July 2026).</w:t>
      </w:r>
    </w:p>
    <w:p w14:paraId="50234863" w14:textId="77777777" w:rsidR="0062196B" w:rsidRPr="00107C59" w:rsidRDefault="0062196B"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eastAsia="Times New Roman" w:hAnsi="Arial" w:cs="Arial"/>
          <w:kern w:val="0"/>
          <w:lang w:eastAsia="en-GB"/>
          <w14:ligatures w14:val="none"/>
        </w:rPr>
        <w:t xml:space="preserve">Human Rights Act 1998. (c.42). London: The Stationery Office. Available at: </w:t>
      </w:r>
      <w:hyperlink r:id="rId12" w:tgtFrame="_new" w:history="1">
        <w:r w:rsidRPr="00107C59">
          <w:rPr>
            <w:rFonts w:ascii="Arial" w:eastAsia="Times New Roman" w:hAnsi="Arial" w:cs="Arial"/>
            <w:color w:val="0000FF"/>
            <w:kern w:val="0"/>
            <w:u w:val="single"/>
            <w:lang w:eastAsia="en-GB"/>
            <w14:ligatures w14:val="none"/>
          </w:rPr>
          <w:t>https://www.legislation.gov.uk/ukpga/1998/42/contents</w:t>
        </w:r>
      </w:hyperlink>
      <w:r w:rsidRPr="00107C59">
        <w:rPr>
          <w:rFonts w:ascii="Arial" w:eastAsia="Times New Roman" w:hAnsi="Arial" w:cs="Arial"/>
          <w:kern w:val="0"/>
          <w:lang w:eastAsia="en-GB"/>
          <w14:ligatures w14:val="none"/>
        </w:rPr>
        <w:t xml:space="preserve"> (Accessed: 19 July 2026).</w:t>
      </w:r>
    </w:p>
    <w:p w14:paraId="749CD926" w14:textId="77777777" w:rsidR="0062196B" w:rsidRPr="00107C59" w:rsidRDefault="0062196B"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eastAsia="Times New Roman" w:hAnsi="Arial" w:cs="Arial"/>
          <w:kern w:val="0"/>
          <w:lang w:eastAsia="en-GB"/>
          <w14:ligatures w14:val="none"/>
        </w:rPr>
        <w:t xml:space="preserve">McCormack, B. and McCance, T. (2021) </w:t>
      </w:r>
      <w:r w:rsidRPr="00107C59">
        <w:rPr>
          <w:rFonts w:ascii="Arial" w:eastAsia="Times New Roman" w:hAnsi="Arial" w:cs="Arial"/>
          <w:i/>
          <w:iCs/>
          <w:kern w:val="0"/>
          <w:lang w:eastAsia="en-GB"/>
          <w14:ligatures w14:val="none"/>
        </w:rPr>
        <w:t>Person-Centred Practice in Nursing and Health Care: Theory and Practice</w:t>
      </w:r>
      <w:r w:rsidRPr="00107C59">
        <w:rPr>
          <w:rFonts w:ascii="Arial" w:eastAsia="Times New Roman" w:hAnsi="Arial" w:cs="Arial"/>
          <w:kern w:val="0"/>
          <w:lang w:eastAsia="en-GB"/>
          <w14:ligatures w14:val="none"/>
        </w:rPr>
        <w:t xml:space="preserve">. 3rd </w:t>
      </w:r>
      <w:proofErr w:type="spellStart"/>
      <w:r w:rsidRPr="00107C59">
        <w:rPr>
          <w:rFonts w:ascii="Arial" w:eastAsia="Times New Roman" w:hAnsi="Arial" w:cs="Arial"/>
          <w:kern w:val="0"/>
          <w:lang w:eastAsia="en-GB"/>
          <w14:ligatures w14:val="none"/>
        </w:rPr>
        <w:t>edn</w:t>
      </w:r>
      <w:proofErr w:type="spellEnd"/>
      <w:r w:rsidRPr="00107C59">
        <w:rPr>
          <w:rFonts w:ascii="Arial" w:eastAsia="Times New Roman" w:hAnsi="Arial" w:cs="Arial"/>
          <w:kern w:val="0"/>
          <w:lang w:eastAsia="en-GB"/>
          <w14:ligatures w14:val="none"/>
        </w:rPr>
        <w:t>. Oxford: Wiley-Blackwell.</w:t>
      </w:r>
    </w:p>
    <w:p w14:paraId="4043892E" w14:textId="77777777" w:rsidR="0062196B" w:rsidRPr="00107C59" w:rsidRDefault="0062196B"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eastAsia="Times New Roman" w:hAnsi="Arial" w:cs="Arial"/>
          <w:kern w:val="0"/>
          <w:lang w:eastAsia="en-GB"/>
          <w14:ligatures w14:val="none"/>
        </w:rPr>
        <w:t xml:space="preserve">National Institute for Health and Care Excellence (NICE) (2021) </w:t>
      </w:r>
      <w:r w:rsidRPr="00107C59">
        <w:rPr>
          <w:rFonts w:ascii="Arial" w:eastAsia="Times New Roman" w:hAnsi="Arial" w:cs="Arial"/>
          <w:i/>
          <w:iCs/>
          <w:kern w:val="0"/>
          <w:lang w:eastAsia="en-GB"/>
          <w14:ligatures w14:val="none"/>
        </w:rPr>
        <w:t>Shared decision making (NG197).</w:t>
      </w:r>
      <w:r w:rsidRPr="00107C59">
        <w:rPr>
          <w:rFonts w:ascii="Arial" w:eastAsia="Times New Roman" w:hAnsi="Arial" w:cs="Arial"/>
          <w:kern w:val="0"/>
          <w:lang w:eastAsia="en-GB"/>
          <w14:ligatures w14:val="none"/>
        </w:rPr>
        <w:t xml:space="preserve"> London: NICE. Available at: </w:t>
      </w:r>
      <w:hyperlink r:id="rId13" w:tgtFrame="_new" w:history="1">
        <w:r w:rsidRPr="00107C59">
          <w:rPr>
            <w:rFonts w:ascii="Arial" w:eastAsia="Times New Roman" w:hAnsi="Arial" w:cs="Arial"/>
            <w:color w:val="0000FF"/>
            <w:kern w:val="0"/>
            <w:u w:val="single"/>
            <w:lang w:eastAsia="en-GB"/>
            <w14:ligatures w14:val="none"/>
          </w:rPr>
          <w:t>https://www.nice.org.uk/guidance/ng197</w:t>
        </w:r>
      </w:hyperlink>
      <w:r w:rsidRPr="00107C59">
        <w:rPr>
          <w:rFonts w:ascii="Arial" w:eastAsia="Times New Roman" w:hAnsi="Arial" w:cs="Arial"/>
          <w:kern w:val="0"/>
          <w:lang w:eastAsia="en-GB"/>
          <w14:ligatures w14:val="none"/>
        </w:rPr>
        <w:t xml:space="preserve"> (Accessed: 20 July 2026).</w:t>
      </w:r>
    </w:p>
    <w:p w14:paraId="6E6C9235" w14:textId="306EA60E" w:rsidR="00CF2DBB" w:rsidRPr="00107C59" w:rsidRDefault="00CF2DBB"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hAnsi="Arial" w:cs="Arial"/>
        </w:rPr>
        <w:t xml:space="preserve">NHS England (2019) </w:t>
      </w:r>
      <w:r w:rsidRPr="00107C59">
        <w:rPr>
          <w:rFonts w:ascii="Arial" w:hAnsi="Arial" w:cs="Arial"/>
          <w:i/>
          <w:iCs/>
        </w:rPr>
        <w:t>The NHS Long Term Plan</w:t>
      </w:r>
      <w:r w:rsidRPr="00107C59">
        <w:rPr>
          <w:rFonts w:ascii="Arial" w:hAnsi="Arial" w:cs="Arial"/>
        </w:rPr>
        <w:t xml:space="preserve">. London: NHS England. Available at: </w:t>
      </w:r>
      <w:hyperlink r:id="rId14" w:tgtFrame="_new" w:history="1">
        <w:r w:rsidRPr="00107C59">
          <w:rPr>
            <w:rFonts w:ascii="Arial" w:hAnsi="Arial" w:cs="Arial"/>
            <w:color w:val="0000FF"/>
            <w:u w:val="single"/>
          </w:rPr>
          <w:t>https://www.longtermplan.nhs.uk/</w:t>
        </w:r>
      </w:hyperlink>
      <w:r w:rsidRPr="00107C59">
        <w:rPr>
          <w:rFonts w:ascii="Arial" w:hAnsi="Arial" w:cs="Arial"/>
        </w:rPr>
        <w:t xml:space="preserve"> (Accessed: 20 July 2026).</w:t>
      </w:r>
    </w:p>
    <w:p w14:paraId="227D8625" w14:textId="3B1291E7" w:rsidR="00E22747" w:rsidRPr="00107C59" w:rsidRDefault="00E22747"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hAnsi="Arial" w:cs="Arial"/>
        </w:rPr>
        <w:lastRenderedPageBreak/>
        <w:t xml:space="preserve">NHS England (2023) </w:t>
      </w:r>
      <w:r w:rsidRPr="00107C59">
        <w:rPr>
          <w:rFonts w:ascii="Arial" w:hAnsi="Arial" w:cs="Arial"/>
          <w:i/>
          <w:iCs/>
        </w:rPr>
        <w:t>NHS Long Term Workforce Plan</w:t>
      </w:r>
      <w:r w:rsidRPr="00107C59">
        <w:rPr>
          <w:rFonts w:ascii="Arial" w:hAnsi="Arial" w:cs="Arial"/>
        </w:rPr>
        <w:t xml:space="preserve">. London: NHS England. Available at: </w:t>
      </w:r>
      <w:hyperlink r:id="rId15" w:tgtFrame="_new" w:history="1">
        <w:r w:rsidRPr="00107C59">
          <w:rPr>
            <w:rFonts w:ascii="Arial" w:hAnsi="Arial" w:cs="Arial"/>
            <w:color w:val="0000FF"/>
            <w:u w:val="single"/>
          </w:rPr>
          <w:t>https://www.england.nhs.uk/long-read/nhs-long-term-workforce-plan/</w:t>
        </w:r>
      </w:hyperlink>
      <w:r w:rsidRPr="00107C59">
        <w:rPr>
          <w:rFonts w:ascii="Arial" w:hAnsi="Arial" w:cs="Arial"/>
        </w:rPr>
        <w:t xml:space="preserve"> (Accessed: 20 July 2026).</w:t>
      </w:r>
    </w:p>
    <w:p w14:paraId="79F285A5" w14:textId="77777777" w:rsidR="0062196B" w:rsidRPr="00107C59" w:rsidRDefault="0062196B"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eastAsia="Times New Roman" w:hAnsi="Arial" w:cs="Arial"/>
          <w:kern w:val="0"/>
          <w:lang w:eastAsia="en-GB"/>
          <w14:ligatures w14:val="none"/>
        </w:rPr>
        <w:t xml:space="preserve">Reeves, S., </w:t>
      </w:r>
      <w:proofErr w:type="spellStart"/>
      <w:r w:rsidRPr="00107C59">
        <w:rPr>
          <w:rFonts w:ascii="Arial" w:eastAsia="Times New Roman" w:hAnsi="Arial" w:cs="Arial"/>
          <w:kern w:val="0"/>
          <w:lang w:eastAsia="en-GB"/>
          <w14:ligatures w14:val="none"/>
        </w:rPr>
        <w:t>Pelone</w:t>
      </w:r>
      <w:proofErr w:type="spellEnd"/>
      <w:r w:rsidRPr="00107C59">
        <w:rPr>
          <w:rFonts w:ascii="Arial" w:eastAsia="Times New Roman" w:hAnsi="Arial" w:cs="Arial"/>
          <w:kern w:val="0"/>
          <w:lang w:eastAsia="en-GB"/>
          <w14:ligatures w14:val="none"/>
        </w:rPr>
        <w:t xml:space="preserve">, F., Harrison, R., Goldman, J. and </w:t>
      </w:r>
      <w:proofErr w:type="spellStart"/>
      <w:r w:rsidRPr="00107C59">
        <w:rPr>
          <w:rFonts w:ascii="Arial" w:eastAsia="Times New Roman" w:hAnsi="Arial" w:cs="Arial"/>
          <w:kern w:val="0"/>
          <w:lang w:eastAsia="en-GB"/>
          <w14:ligatures w14:val="none"/>
        </w:rPr>
        <w:t>Zwarenstein</w:t>
      </w:r>
      <w:proofErr w:type="spellEnd"/>
      <w:r w:rsidRPr="00107C59">
        <w:rPr>
          <w:rFonts w:ascii="Arial" w:eastAsia="Times New Roman" w:hAnsi="Arial" w:cs="Arial"/>
          <w:kern w:val="0"/>
          <w:lang w:eastAsia="en-GB"/>
          <w14:ligatures w14:val="none"/>
        </w:rPr>
        <w:t xml:space="preserve">, M. (2017) ‘Interprofessional collaboration to improve professional practice and healthcare outcomes’, </w:t>
      </w:r>
      <w:r w:rsidRPr="00107C59">
        <w:rPr>
          <w:rFonts w:ascii="Arial" w:eastAsia="Times New Roman" w:hAnsi="Arial" w:cs="Arial"/>
          <w:i/>
          <w:iCs/>
          <w:kern w:val="0"/>
          <w:lang w:eastAsia="en-GB"/>
          <w14:ligatures w14:val="none"/>
        </w:rPr>
        <w:t>Cochrane Database of Systematic Reviews</w:t>
      </w:r>
      <w:r w:rsidRPr="00107C59">
        <w:rPr>
          <w:rFonts w:ascii="Arial" w:eastAsia="Times New Roman" w:hAnsi="Arial" w:cs="Arial"/>
          <w:kern w:val="0"/>
          <w:lang w:eastAsia="en-GB"/>
          <w14:ligatures w14:val="none"/>
        </w:rPr>
        <w:t xml:space="preserve">, 6, CD000072. Available at: </w:t>
      </w:r>
      <w:hyperlink r:id="rId16" w:tgtFrame="_new" w:history="1">
        <w:r w:rsidRPr="00107C59">
          <w:rPr>
            <w:rFonts w:ascii="Arial" w:eastAsia="Times New Roman" w:hAnsi="Arial" w:cs="Arial"/>
            <w:color w:val="0000FF"/>
            <w:kern w:val="0"/>
            <w:u w:val="single"/>
            <w:lang w:eastAsia="en-GB"/>
            <w14:ligatures w14:val="none"/>
          </w:rPr>
          <w:t>https://doi.org/10.1002/14651858.CD000072.pub3</w:t>
        </w:r>
      </w:hyperlink>
      <w:r w:rsidRPr="00107C59">
        <w:rPr>
          <w:rFonts w:ascii="Arial" w:eastAsia="Times New Roman" w:hAnsi="Arial" w:cs="Arial"/>
          <w:kern w:val="0"/>
          <w:lang w:eastAsia="en-GB"/>
          <w14:ligatures w14:val="none"/>
        </w:rPr>
        <w:t xml:space="preserve"> (Accessed: 20 July 2026).</w:t>
      </w:r>
    </w:p>
    <w:p w14:paraId="67FE0645" w14:textId="77777777" w:rsidR="0062196B" w:rsidRPr="00107C59" w:rsidRDefault="0062196B"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eastAsia="Times New Roman" w:hAnsi="Arial" w:cs="Arial"/>
          <w:kern w:val="0"/>
          <w:lang w:eastAsia="en-GB"/>
          <w14:ligatures w14:val="none"/>
        </w:rPr>
        <w:t xml:space="preserve">Rogers, C.R. (1961) </w:t>
      </w:r>
      <w:r w:rsidRPr="00107C59">
        <w:rPr>
          <w:rFonts w:ascii="Arial" w:eastAsia="Times New Roman" w:hAnsi="Arial" w:cs="Arial"/>
          <w:i/>
          <w:iCs/>
          <w:kern w:val="0"/>
          <w:lang w:eastAsia="en-GB"/>
          <w14:ligatures w14:val="none"/>
        </w:rPr>
        <w:t>On Becoming a Person: A Therapist's View of Psychotherapy</w:t>
      </w:r>
      <w:r w:rsidRPr="00107C59">
        <w:rPr>
          <w:rFonts w:ascii="Arial" w:eastAsia="Times New Roman" w:hAnsi="Arial" w:cs="Arial"/>
          <w:kern w:val="0"/>
          <w:lang w:eastAsia="en-GB"/>
          <w14:ligatures w14:val="none"/>
        </w:rPr>
        <w:t>. Boston: Houghton Mifflin.</w:t>
      </w:r>
    </w:p>
    <w:p w14:paraId="174384AC" w14:textId="77777777" w:rsidR="0062196B" w:rsidRPr="00107C59" w:rsidRDefault="0062196B"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eastAsia="Times New Roman" w:hAnsi="Arial" w:cs="Arial"/>
          <w:kern w:val="0"/>
          <w:lang w:eastAsia="en-GB"/>
          <w14:ligatures w14:val="none"/>
        </w:rPr>
        <w:t xml:space="preserve">The King's Fund (2023) </w:t>
      </w:r>
      <w:r w:rsidRPr="00107C59">
        <w:rPr>
          <w:rFonts w:ascii="Arial" w:eastAsia="Times New Roman" w:hAnsi="Arial" w:cs="Arial"/>
          <w:i/>
          <w:iCs/>
          <w:kern w:val="0"/>
          <w:lang w:eastAsia="en-GB"/>
          <w14:ligatures w14:val="none"/>
        </w:rPr>
        <w:t>Integrated care systems explained</w:t>
      </w:r>
      <w:r w:rsidRPr="00107C59">
        <w:rPr>
          <w:rFonts w:ascii="Arial" w:eastAsia="Times New Roman" w:hAnsi="Arial" w:cs="Arial"/>
          <w:kern w:val="0"/>
          <w:lang w:eastAsia="en-GB"/>
          <w14:ligatures w14:val="none"/>
        </w:rPr>
        <w:t xml:space="preserve">. Available at: </w:t>
      </w:r>
      <w:hyperlink r:id="rId17" w:tgtFrame="_new" w:history="1">
        <w:r w:rsidRPr="00107C59">
          <w:rPr>
            <w:rFonts w:ascii="Arial" w:eastAsia="Times New Roman" w:hAnsi="Arial" w:cs="Arial"/>
            <w:color w:val="0000FF"/>
            <w:kern w:val="0"/>
            <w:u w:val="single"/>
            <w:lang w:eastAsia="en-GB"/>
            <w14:ligatures w14:val="none"/>
          </w:rPr>
          <w:t>https://www.kingsfund.org.uk/insight-and-analysis/long-reads/integrated-care-systems-explained</w:t>
        </w:r>
      </w:hyperlink>
      <w:r w:rsidRPr="00107C59">
        <w:rPr>
          <w:rFonts w:ascii="Arial" w:eastAsia="Times New Roman" w:hAnsi="Arial" w:cs="Arial"/>
          <w:kern w:val="0"/>
          <w:lang w:eastAsia="en-GB"/>
          <w14:ligatures w14:val="none"/>
        </w:rPr>
        <w:t xml:space="preserve"> (Accessed: 20 July 2026).</w:t>
      </w:r>
    </w:p>
    <w:p w14:paraId="14457AC7" w14:textId="77777777" w:rsidR="0062196B" w:rsidRPr="00107C59" w:rsidRDefault="0062196B"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eastAsia="Times New Roman" w:hAnsi="Arial" w:cs="Arial"/>
          <w:kern w:val="0"/>
          <w:lang w:eastAsia="en-GB"/>
          <w14:ligatures w14:val="none"/>
        </w:rPr>
        <w:t xml:space="preserve">The King's Fund (2023) </w:t>
      </w:r>
      <w:r w:rsidRPr="00107C59">
        <w:rPr>
          <w:rFonts w:ascii="Arial" w:eastAsia="Times New Roman" w:hAnsi="Arial" w:cs="Arial"/>
          <w:i/>
          <w:iCs/>
          <w:kern w:val="0"/>
          <w:lang w:eastAsia="en-GB"/>
          <w14:ligatures w14:val="none"/>
        </w:rPr>
        <w:t>Person-centred care</w:t>
      </w:r>
      <w:r w:rsidRPr="00107C59">
        <w:rPr>
          <w:rFonts w:ascii="Arial" w:eastAsia="Times New Roman" w:hAnsi="Arial" w:cs="Arial"/>
          <w:kern w:val="0"/>
          <w:lang w:eastAsia="en-GB"/>
          <w14:ligatures w14:val="none"/>
        </w:rPr>
        <w:t xml:space="preserve">. Available at: </w:t>
      </w:r>
      <w:hyperlink r:id="rId18" w:tgtFrame="_new" w:history="1">
        <w:r w:rsidRPr="00107C59">
          <w:rPr>
            <w:rFonts w:ascii="Arial" w:eastAsia="Times New Roman" w:hAnsi="Arial" w:cs="Arial"/>
            <w:color w:val="0000FF"/>
            <w:kern w:val="0"/>
            <w:u w:val="single"/>
            <w:lang w:eastAsia="en-GB"/>
            <w14:ligatures w14:val="none"/>
          </w:rPr>
          <w:t>https://www.kingsfund.org.uk/insight-and-analysis/long-reads/person-centred-care</w:t>
        </w:r>
      </w:hyperlink>
      <w:r w:rsidRPr="00107C59">
        <w:rPr>
          <w:rFonts w:ascii="Arial" w:eastAsia="Times New Roman" w:hAnsi="Arial" w:cs="Arial"/>
          <w:kern w:val="0"/>
          <w:lang w:eastAsia="en-GB"/>
          <w14:ligatures w14:val="none"/>
        </w:rPr>
        <w:t xml:space="preserve"> (Accessed: 19 July 2026).</w:t>
      </w:r>
    </w:p>
    <w:p w14:paraId="7CA7DF3C" w14:textId="106BDAD6" w:rsidR="003E3A5D" w:rsidRPr="00107C59" w:rsidRDefault="003E3A5D" w:rsidP="0062196B">
      <w:pPr>
        <w:spacing w:before="100" w:beforeAutospacing="1" w:after="100" w:afterAutospacing="1" w:line="360" w:lineRule="auto"/>
        <w:jc w:val="both"/>
        <w:rPr>
          <w:rFonts w:ascii="Arial" w:eastAsia="Times New Roman" w:hAnsi="Arial" w:cs="Arial"/>
          <w:kern w:val="0"/>
          <w:lang w:eastAsia="en-GB"/>
          <w14:ligatures w14:val="none"/>
        </w:rPr>
      </w:pPr>
      <w:r w:rsidRPr="00107C59">
        <w:rPr>
          <w:rFonts w:ascii="Arial" w:hAnsi="Arial" w:cs="Arial"/>
        </w:rPr>
        <w:t xml:space="preserve">World Health Organization (2016) </w:t>
      </w:r>
      <w:r w:rsidRPr="00107C59">
        <w:rPr>
          <w:rStyle w:val="Emphasis"/>
          <w:rFonts w:ascii="Arial" w:hAnsi="Arial" w:cs="Arial"/>
        </w:rPr>
        <w:t>Framework on integrated, people-centred health services</w:t>
      </w:r>
      <w:r w:rsidRPr="00107C59">
        <w:rPr>
          <w:rFonts w:ascii="Arial" w:hAnsi="Arial" w:cs="Arial"/>
        </w:rPr>
        <w:t>. Geneva: World Health</w:t>
      </w:r>
      <w:r w:rsidR="00107C59">
        <w:rPr>
          <w:rFonts w:ascii="Arial" w:hAnsi="Arial" w:cs="Arial"/>
        </w:rPr>
        <w:t xml:space="preserve"> </w:t>
      </w:r>
      <w:r w:rsidRPr="00107C59">
        <w:rPr>
          <w:rFonts w:ascii="Arial" w:hAnsi="Arial" w:cs="Arial"/>
        </w:rPr>
        <w:t>Organization. Available at: https://www.who.int/publications/i/item/framework-on-integrated-people-centred-health-services (Accessed: 20 July 2026).</w:t>
      </w:r>
    </w:p>
    <w:p w14:paraId="76AD59CA" w14:textId="7C60229F" w:rsidR="0035614B" w:rsidRPr="00107C59" w:rsidRDefault="0035614B" w:rsidP="0062196B">
      <w:pPr>
        <w:spacing w:line="360" w:lineRule="auto"/>
        <w:jc w:val="both"/>
        <w:rPr>
          <w:rFonts w:ascii="Arial" w:hAnsi="Arial" w:cs="Arial"/>
          <w:b/>
          <w:bCs/>
        </w:rPr>
      </w:pPr>
    </w:p>
    <w:sectPr w:rsidR="0035614B" w:rsidRPr="00107C59">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BEAB3" w14:textId="77777777" w:rsidR="00A11417" w:rsidRDefault="00A11417" w:rsidP="00956E9E">
      <w:pPr>
        <w:spacing w:after="0" w:line="240" w:lineRule="auto"/>
      </w:pPr>
      <w:r>
        <w:separator/>
      </w:r>
    </w:p>
  </w:endnote>
  <w:endnote w:type="continuationSeparator" w:id="0">
    <w:p w14:paraId="22B9E494" w14:textId="77777777" w:rsidR="00A11417" w:rsidRDefault="00A11417" w:rsidP="00956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9162605"/>
      <w:docPartObj>
        <w:docPartGallery w:val="Page Numbers (Bottom of Page)"/>
        <w:docPartUnique/>
      </w:docPartObj>
    </w:sdtPr>
    <w:sdtContent>
      <w:p w14:paraId="6ABF0AFD" w14:textId="578855ED" w:rsidR="00956E9E" w:rsidRDefault="00956E9E">
        <w:pPr>
          <w:pStyle w:val="Footer"/>
          <w:jc w:val="right"/>
        </w:pPr>
        <w:r>
          <w:fldChar w:fldCharType="begin"/>
        </w:r>
        <w:r>
          <w:instrText>PAGE   \* MERGEFORMAT</w:instrText>
        </w:r>
        <w:r>
          <w:fldChar w:fldCharType="separate"/>
        </w:r>
        <w:r>
          <w:t>2</w:t>
        </w:r>
        <w:r>
          <w:fldChar w:fldCharType="end"/>
        </w:r>
      </w:p>
    </w:sdtContent>
  </w:sdt>
  <w:p w14:paraId="28C0CD02" w14:textId="77777777" w:rsidR="00956E9E" w:rsidRDefault="00956E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E5B7C" w14:textId="77777777" w:rsidR="00A11417" w:rsidRDefault="00A11417" w:rsidP="00956E9E">
      <w:pPr>
        <w:spacing w:after="0" w:line="240" w:lineRule="auto"/>
      </w:pPr>
      <w:r>
        <w:separator/>
      </w:r>
    </w:p>
  </w:footnote>
  <w:footnote w:type="continuationSeparator" w:id="0">
    <w:p w14:paraId="30952369" w14:textId="77777777" w:rsidR="00A11417" w:rsidRDefault="00A11417" w:rsidP="00956E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A9C"/>
    <w:rsid w:val="000038CD"/>
    <w:rsid w:val="00014D20"/>
    <w:rsid w:val="00016B6E"/>
    <w:rsid w:val="00067328"/>
    <w:rsid w:val="00080977"/>
    <w:rsid w:val="00092355"/>
    <w:rsid w:val="000C55DA"/>
    <w:rsid w:val="000E27EB"/>
    <w:rsid w:val="00107C59"/>
    <w:rsid w:val="001108CD"/>
    <w:rsid w:val="00123FAE"/>
    <w:rsid w:val="00130D6A"/>
    <w:rsid w:val="00136211"/>
    <w:rsid w:val="001607A1"/>
    <w:rsid w:val="001845A3"/>
    <w:rsid w:val="001C0F8E"/>
    <w:rsid w:val="001C4392"/>
    <w:rsid w:val="001D02CC"/>
    <w:rsid w:val="001D5CA8"/>
    <w:rsid w:val="001E25B4"/>
    <w:rsid w:val="001F54F8"/>
    <w:rsid w:val="002310B5"/>
    <w:rsid w:val="00261593"/>
    <w:rsid w:val="002622F0"/>
    <w:rsid w:val="00277AE7"/>
    <w:rsid w:val="002A6285"/>
    <w:rsid w:val="002C1FF4"/>
    <w:rsid w:val="002C5439"/>
    <w:rsid w:val="002C68C9"/>
    <w:rsid w:val="002D5C8D"/>
    <w:rsid w:val="002E4DB7"/>
    <w:rsid w:val="002F6BBB"/>
    <w:rsid w:val="0030163A"/>
    <w:rsid w:val="00355332"/>
    <w:rsid w:val="0035614B"/>
    <w:rsid w:val="00392A65"/>
    <w:rsid w:val="003C482C"/>
    <w:rsid w:val="003D56A7"/>
    <w:rsid w:val="003E3A5D"/>
    <w:rsid w:val="00411CB7"/>
    <w:rsid w:val="004163B9"/>
    <w:rsid w:val="00430787"/>
    <w:rsid w:val="0043125B"/>
    <w:rsid w:val="00441985"/>
    <w:rsid w:val="0047297C"/>
    <w:rsid w:val="004857D4"/>
    <w:rsid w:val="004939B7"/>
    <w:rsid w:val="004A2C7D"/>
    <w:rsid w:val="004B34DF"/>
    <w:rsid w:val="004C57F2"/>
    <w:rsid w:val="005035B7"/>
    <w:rsid w:val="00517DFC"/>
    <w:rsid w:val="00566BBD"/>
    <w:rsid w:val="005F0669"/>
    <w:rsid w:val="0062196B"/>
    <w:rsid w:val="00626BBF"/>
    <w:rsid w:val="00631C6D"/>
    <w:rsid w:val="00642B5A"/>
    <w:rsid w:val="006538A6"/>
    <w:rsid w:val="0066585C"/>
    <w:rsid w:val="0068748A"/>
    <w:rsid w:val="006D74B9"/>
    <w:rsid w:val="006E2564"/>
    <w:rsid w:val="007065F5"/>
    <w:rsid w:val="007078E9"/>
    <w:rsid w:val="00733B22"/>
    <w:rsid w:val="00755D1A"/>
    <w:rsid w:val="00774105"/>
    <w:rsid w:val="00784F69"/>
    <w:rsid w:val="007C10D9"/>
    <w:rsid w:val="0081177A"/>
    <w:rsid w:val="008843BA"/>
    <w:rsid w:val="008D0495"/>
    <w:rsid w:val="008F4BEC"/>
    <w:rsid w:val="00922644"/>
    <w:rsid w:val="009421DA"/>
    <w:rsid w:val="00950203"/>
    <w:rsid w:val="00954171"/>
    <w:rsid w:val="00956E9E"/>
    <w:rsid w:val="00960FF7"/>
    <w:rsid w:val="00972ADF"/>
    <w:rsid w:val="00996C84"/>
    <w:rsid w:val="009A0079"/>
    <w:rsid w:val="009B469A"/>
    <w:rsid w:val="009C4B4D"/>
    <w:rsid w:val="009E64B0"/>
    <w:rsid w:val="009F2987"/>
    <w:rsid w:val="00A11417"/>
    <w:rsid w:val="00A11BE2"/>
    <w:rsid w:val="00A17192"/>
    <w:rsid w:val="00A23586"/>
    <w:rsid w:val="00A56F56"/>
    <w:rsid w:val="00A6340E"/>
    <w:rsid w:val="00A676A2"/>
    <w:rsid w:val="00A969B6"/>
    <w:rsid w:val="00AA41D9"/>
    <w:rsid w:val="00AB64E5"/>
    <w:rsid w:val="00AD194B"/>
    <w:rsid w:val="00AD2874"/>
    <w:rsid w:val="00AD6E0E"/>
    <w:rsid w:val="00AF3B64"/>
    <w:rsid w:val="00B21AC9"/>
    <w:rsid w:val="00B34F2E"/>
    <w:rsid w:val="00B36ECC"/>
    <w:rsid w:val="00B6011D"/>
    <w:rsid w:val="00B60A9C"/>
    <w:rsid w:val="00B76CCF"/>
    <w:rsid w:val="00B77F5E"/>
    <w:rsid w:val="00B96677"/>
    <w:rsid w:val="00BC1250"/>
    <w:rsid w:val="00BE0BDF"/>
    <w:rsid w:val="00BF2602"/>
    <w:rsid w:val="00C66E23"/>
    <w:rsid w:val="00C96DCE"/>
    <w:rsid w:val="00CD7E65"/>
    <w:rsid w:val="00CF2DBB"/>
    <w:rsid w:val="00D37B81"/>
    <w:rsid w:val="00D546F0"/>
    <w:rsid w:val="00D977FD"/>
    <w:rsid w:val="00DA6EE2"/>
    <w:rsid w:val="00DC3D28"/>
    <w:rsid w:val="00DE42C4"/>
    <w:rsid w:val="00E001B1"/>
    <w:rsid w:val="00E127CD"/>
    <w:rsid w:val="00E1365F"/>
    <w:rsid w:val="00E22747"/>
    <w:rsid w:val="00E23E72"/>
    <w:rsid w:val="00E80251"/>
    <w:rsid w:val="00E81D56"/>
    <w:rsid w:val="00E968C3"/>
    <w:rsid w:val="00EA53B4"/>
    <w:rsid w:val="00ED34C6"/>
    <w:rsid w:val="00EF60B4"/>
    <w:rsid w:val="00F00CA9"/>
    <w:rsid w:val="00F72A5E"/>
    <w:rsid w:val="00F75427"/>
    <w:rsid w:val="00F81061"/>
    <w:rsid w:val="00FE29D3"/>
    <w:rsid w:val="00FE5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6661A"/>
  <w15:chartTrackingRefBased/>
  <w15:docId w15:val="{09EBECB4-C647-45DE-ADFC-6B3595262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0A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0A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0A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0A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0A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0A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0A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0A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0A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A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0A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0A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0A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0A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0A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0A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0A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0A9C"/>
    <w:rPr>
      <w:rFonts w:eastAsiaTheme="majorEastAsia" w:cstheme="majorBidi"/>
      <w:color w:val="272727" w:themeColor="text1" w:themeTint="D8"/>
    </w:rPr>
  </w:style>
  <w:style w:type="paragraph" w:styleId="Title">
    <w:name w:val="Title"/>
    <w:basedOn w:val="Normal"/>
    <w:next w:val="Normal"/>
    <w:link w:val="TitleChar"/>
    <w:uiPriority w:val="10"/>
    <w:qFormat/>
    <w:rsid w:val="00B60A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0A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0A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0A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0A9C"/>
    <w:pPr>
      <w:spacing w:before="160"/>
      <w:jc w:val="center"/>
    </w:pPr>
    <w:rPr>
      <w:i/>
      <w:iCs/>
      <w:color w:val="404040" w:themeColor="text1" w:themeTint="BF"/>
    </w:rPr>
  </w:style>
  <w:style w:type="character" w:customStyle="1" w:styleId="QuoteChar">
    <w:name w:val="Quote Char"/>
    <w:basedOn w:val="DefaultParagraphFont"/>
    <w:link w:val="Quote"/>
    <w:uiPriority w:val="29"/>
    <w:rsid w:val="00B60A9C"/>
    <w:rPr>
      <w:i/>
      <w:iCs/>
      <w:color w:val="404040" w:themeColor="text1" w:themeTint="BF"/>
    </w:rPr>
  </w:style>
  <w:style w:type="paragraph" w:styleId="ListParagraph">
    <w:name w:val="List Paragraph"/>
    <w:basedOn w:val="Normal"/>
    <w:uiPriority w:val="34"/>
    <w:qFormat/>
    <w:rsid w:val="00B60A9C"/>
    <w:pPr>
      <w:ind w:left="720"/>
      <w:contextualSpacing/>
    </w:pPr>
  </w:style>
  <w:style w:type="character" w:styleId="IntenseEmphasis">
    <w:name w:val="Intense Emphasis"/>
    <w:basedOn w:val="DefaultParagraphFont"/>
    <w:uiPriority w:val="21"/>
    <w:qFormat/>
    <w:rsid w:val="00B60A9C"/>
    <w:rPr>
      <w:i/>
      <w:iCs/>
      <w:color w:val="0F4761" w:themeColor="accent1" w:themeShade="BF"/>
    </w:rPr>
  </w:style>
  <w:style w:type="paragraph" w:styleId="IntenseQuote">
    <w:name w:val="Intense Quote"/>
    <w:basedOn w:val="Normal"/>
    <w:next w:val="Normal"/>
    <w:link w:val="IntenseQuoteChar"/>
    <w:uiPriority w:val="30"/>
    <w:qFormat/>
    <w:rsid w:val="00B60A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0A9C"/>
    <w:rPr>
      <w:i/>
      <w:iCs/>
      <w:color w:val="0F4761" w:themeColor="accent1" w:themeShade="BF"/>
    </w:rPr>
  </w:style>
  <w:style w:type="character" w:styleId="IntenseReference">
    <w:name w:val="Intense Reference"/>
    <w:basedOn w:val="DefaultParagraphFont"/>
    <w:uiPriority w:val="32"/>
    <w:qFormat/>
    <w:rsid w:val="00B60A9C"/>
    <w:rPr>
      <w:b/>
      <w:bCs/>
      <w:smallCaps/>
      <w:color w:val="0F4761" w:themeColor="accent1" w:themeShade="BF"/>
      <w:spacing w:val="5"/>
    </w:rPr>
  </w:style>
  <w:style w:type="paragraph" w:customStyle="1" w:styleId="pdq2pgselectionanchorcontainer">
    <w:name w:val="pdq2pg_selectionanchorcontainer"/>
    <w:basedOn w:val="Normal"/>
    <w:rsid w:val="00F72A5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F72A5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755D1A"/>
    <w:rPr>
      <w:i/>
      <w:iCs/>
    </w:rPr>
  </w:style>
  <w:style w:type="character" w:styleId="Hyperlink">
    <w:name w:val="Hyperlink"/>
    <w:basedOn w:val="DefaultParagraphFont"/>
    <w:uiPriority w:val="99"/>
    <w:semiHidden/>
    <w:unhideWhenUsed/>
    <w:rsid w:val="00755D1A"/>
    <w:rPr>
      <w:color w:val="0000FF"/>
      <w:u w:val="single"/>
    </w:rPr>
  </w:style>
  <w:style w:type="character" w:styleId="Strong">
    <w:name w:val="Strong"/>
    <w:basedOn w:val="DefaultParagraphFont"/>
    <w:uiPriority w:val="22"/>
    <w:qFormat/>
    <w:rsid w:val="00D37B81"/>
    <w:rPr>
      <w:b/>
      <w:bCs/>
    </w:rPr>
  </w:style>
  <w:style w:type="paragraph" w:styleId="NoSpacing">
    <w:name w:val="No Spacing"/>
    <w:link w:val="NoSpacingChar"/>
    <w:uiPriority w:val="1"/>
    <w:qFormat/>
    <w:rsid w:val="00BF2602"/>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BF2602"/>
    <w:rPr>
      <w:rFonts w:eastAsiaTheme="minorEastAsia"/>
      <w:kern w:val="0"/>
      <w:lang w:eastAsia="en-GB"/>
      <w14:ligatures w14:val="none"/>
    </w:rPr>
  </w:style>
  <w:style w:type="paragraph" w:styleId="Header">
    <w:name w:val="header"/>
    <w:basedOn w:val="Normal"/>
    <w:link w:val="HeaderChar"/>
    <w:uiPriority w:val="99"/>
    <w:unhideWhenUsed/>
    <w:rsid w:val="00956E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6E9E"/>
  </w:style>
  <w:style w:type="paragraph" w:styleId="Footer">
    <w:name w:val="footer"/>
    <w:basedOn w:val="Normal"/>
    <w:link w:val="FooterChar"/>
    <w:uiPriority w:val="99"/>
    <w:unhideWhenUsed/>
    <w:rsid w:val="00956E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6E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14651858.CD010523.pub2" TargetMode="External"/><Relationship Id="rId13" Type="http://schemas.openxmlformats.org/officeDocument/2006/relationships/hyperlink" Target="https://www.nice.org.uk/guidance/ng197" TargetMode="External"/><Relationship Id="rId18" Type="http://schemas.openxmlformats.org/officeDocument/2006/relationships/hyperlink" Target="https://www.kingsfund.org.uk/insight-and-analysis/long-reads/person-centred-care"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legislation.gov.uk/ukpga/2014/23/contents" TargetMode="External"/><Relationship Id="rId12" Type="http://schemas.openxmlformats.org/officeDocument/2006/relationships/hyperlink" Target="https://www.legislation.gov.uk/ukpga/1998/42/contents" TargetMode="External"/><Relationship Id="rId17" Type="http://schemas.openxmlformats.org/officeDocument/2006/relationships/hyperlink" Target="https://www.kingsfund.org.uk/insight-and-analysis/long-reads/integrated-care-systems-explained" TargetMode="External"/><Relationship Id="rId2" Type="http://schemas.openxmlformats.org/officeDocument/2006/relationships/settings" Target="settings.xml"/><Relationship Id="rId16" Type="http://schemas.openxmlformats.org/officeDocument/2006/relationships/hyperlink" Target="https://doi.org/10.1002/14651858.CD000072.pub3"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legislation.gov.uk/ukpga/2012/7/contents" TargetMode="External"/><Relationship Id="rId5" Type="http://schemas.openxmlformats.org/officeDocument/2006/relationships/endnotes" Target="endnotes.xml"/><Relationship Id="rId15" Type="http://schemas.openxmlformats.org/officeDocument/2006/relationships/hyperlink" Target="https://www.england.nhs.uk/long-read/nhs-long-term-workforce-plan/" TargetMode="External"/><Relationship Id="rId10" Type="http://schemas.openxmlformats.org/officeDocument/2006/relationships/hyperlink" Target="https://www.legislation.gov.uk/ukpga/2010/15/contents"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legislation.gov.uk/ukpga/2022/31/contents" TargetMode="External"/><Relationship Id="rId14" Type="http://schemas.openxmlformats.org/officeDocument/2006/relationships/hyperlink" Target="https://www.longtermplan.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10</Pages>
  <Words>3251</Words>
  <Characters>18536</Characters>
  <Application>Microsoft Office Word</Application>
  <DocSecurity>0</DocSecurity>
  <Lines>154</Lines>
  <Paragraphs>43</Paragraphs>
  <ScaleCrop>false</ScaleCrop>
  <Company/>
  <LinksUpToDate>false</LinksUpToDate>
  <CharactersWithSpaces>21744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asfia akhtar</dc:creator>
  <cp:keywords/>
  <dc:description/>
  <cp:lastModifiedBy>asfia akhtar</cp:lastModifiedBy>
  <cp:revision>94</cp:revision>
  <dcterms:created xsi:type="dcterms:W3CDTF">2026-07-19T21:16:00Z</dcterms:created>
  <dcterms:modified xsi:type="dcterms:W3CDTF">2026-07-23T21:53:00Z</dcterms:modified>
</cp:coreProperties>
</file>