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FC9F968"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4085E49E" w:rsidR="002229F0" w:rsidRDefault="004842B8" w:rsidP="00AE1A4C">
            <w:pPr>
              <w:pStyle w:val="AssignBody"/>
            </w:pPr>
            <w:r>
              <w:t>To read more journal articles and use them to further  support my knowledge and understanding of synthesis and discussion.</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68C17020" w:rsidR="002229F0" w:rsidRDefault="00F15E98" w:rsidP="00AE1A4C">
            <w:pPr>
              <w:pStyle w:val="AssignBody"/>
            </w:pPr>
            <w:r>
              <w:t>Avoid over-reliance on direct quotations.</w:t>
            </w:r>
          </w:p>
        </w:tc>
      </w:tr>
    </w:tbl>
    <w:p w14:paraId="45E34BBD" w14:textId="77777777" w:rsidR="002229F0" w:rsidRDefault="002229F0" w:rsidP="00E611D9">
      <w:pPr>
        <w:pStyle w:val="AssignBody"/>
      </w:pPr>
    </w:p>
    <w:p w14:paraId="05D4F3E4" w14:textId="206EAC31" w:rsidR="00484525" w:rsidRDefault="0028292F" w:rsidP="00217C34">
      <w:pPr>
        <w:pStyle w:val="AssignHeader"/>
      </w:pPr>
      <w:r>
        <w:t xml:space="preserve">How a school develops one aspect of its SDP: a report that critically reflects on the actions, </w:t>
      </w:r>
      <w:r w:rsidR="00FB6790">
        <w:t>impact,</w:t>
      </w:r>
      <w:r>
        <w:t xml:space="preserve"> and evidence base.</w:t>
      </w:r>
    </w:p>
    <w:p w14:paraId="50D08913" w14:textId="77777777" w:rsidR="00217C34" w:rsidRPr="00217C34" w:rsidRDefault="00217C34" w:rsidP="00217C34">
      <w:pPr>
        <w:pStyle w:val="AssignSubHeader"/>
      </w:pPr>
    </w:p>
    <w:p w14:paraId="557EC5AC" w14:textId="77777777" w:rsidR="00B96E15" w:rsidRDefault="00B96E15" w:rsidP="00B96E15">
      <w:pPr>
        <w:pStyle w:val="AssignBody"/>
        <w:rPr>
          <w:lang w:eastAsia="en-GB"/>
        </w:rPr>
      </w:pPr>
      <w:r>
        <w:rPr>
          <w:lang w:eastAsia="en-GB"/>
        </w:rPr>
        <w:t xml:space="preserve">In this discussion, there will be a meta-analysis on how a school develops one aspect of its School Development Plan. The author will also conduct a literature review to show their understanding of the School Development process and the chosen aspect. Additionally, the author will also develop an action point to demonstrate the author’s knowledge and understanding of the process, such as self-evaluation, data analysis, how they involved stakeholders, strategic planning, and measuring impact that the School will have used. Lastly, there will be a reflection and evaluation of the School’s development in the chosen aspect with practical suggestions based on theory and practice on how the School could do things differently. To conclude, there will be a summary of the discussion. An explanation of what has been learnt will be highlighted and how it will influence the author professionally in the future. </w:t>
      </w:r>
    </w:p>
    <w:p w14:paraId="55F41E6C" w14:textId="7B724C72" w:rsidR="00B96E15" w:rsidRDefault="00B96E15" w:rsidP="00B96E15">
      <w:pPr>
        <w:pStyle w:val="AssignBody"/>
        <w:rPr>
          <w:lang w:eastAsia="en-GB"/>
        </w:rPr>
      </w:pPr>
      <w:r>
        <w:rPr>
          <w:lang w:eastAsia="en-GB"/>
        </w:rPr>
        <w:t>The aspect that has been chosen is Estyn’s “Priority 2, Wellbeing and attitudes to learning” (Estyn, 2017a). There will be a focus on Objective 1, “To ensure that all pupils have the opportunity to participate in effective Circle Time sessions in class and where necessary attend Circle of Support Intervention Group (School X, 2020). School X is a Primary school Urban area in South Wales with 580 pupils on the roll, including 74 part-time nursery pupils. Around “30% of pupils are eligible for free school meals”, which is above the average for “Wales of 19%” (Estyn, 2017b). The School identifies “28% of pupils as having additional learning needs”, which is slightly “higher than the national average of 25%”. Also, very few pupils have a “statement of special educational needs or are in the local authority’s care” (Estyn,2017b). Equally, nearly all pupils are of “white British ethnicity and come from homes where English is the primary language” (Estyn, 2017b). Additionally, “very few pupils speak Welsh at home” (Estyn, 2017b).</w:t>
      </w:r>
    </w:p>
    <w:p w14:paraId="5E85A2DD" w14:textId="47C5DA92" w:rsidR="00F22862" w:rsidRDefault="00F22862" w:rsidP="00F22862">
      <w:pPr>
        <w:pStyle w:val="AssignBody"/>
        <w:rPr>
          <w:lang w:eastAsia="en-GB"/>
        </w:rPr>
      </w:pPr>
    </w:p>
    <w:p w14:paraId="0C5F00BD" w14:textId="77777777" w:rsidR="00F22862" w:rsidRPr="00F22862" w:rsidRDefault="00F22862" w:rsidP="00F22862">
      <w:pPr>
        <w:pStyle w:val="AssignBody"/>
        <w:rPr>
          <w:lang w:eastAsia="en-GB"/>
        </w:rPr>
      </w:pPr>
    </w:p>
    <w:p w14:paraId="1A44CAB0" w14:textId="77777777" w:rsidR="008E3CC2" w:rsidRDefault="008E3CC2" w:rsidP="008E3CC2">
      <w:pPr>
        <w:pStyle w:val="AssignBody"/>
      </w:pPr>
      <w:r>
        <w:lastRenderedPageBreak/>
        <w:t>A school development plan (SDP) is the school’s strategic plan where it sets out the actions it will take to improve learner outcomes. The regular self-evaluation will inform an SDP a school undertakes, the school’s performance and contextual data, and contain the “school’s improvement priorities and short- and longer-term targets” (Welsh Government, 2014, p.3). The SDP provides a structure for the school to help achieve its targets concerning its priorities and how it will use its available resources, including funding. It also helps the school set out how it “intends to develop its staff (including those temporarily placed at the school) to meet the school’s priorities and targets” (Welsh Government, 2014, p.3).</w:t>
      </w:r>
    </w:p>
    <w:p w14:paraId="6EE7989C" w14:textId="77777777" w:rsidR="008E3CC2" w:rsidRDefault="008E3CC2" w:rsidP="008E3CC2">
      <w:pPr>
        <w:pStyle w:val="AssignBody"/>
      </w:pPr>
      <w:r>
        <w:t xml:space="preserve">The School Development Plan is a cyclical process that has four stages, “self-evaluation, strategic planning”, making improvements/actions and “reviewing impact” (Welsh Government, 2014, p.6). </w:t>
      </w:r>
    </w:p>
    <w:p w14:paraId="2F154C68" w14:textId="6C2EF249" w:rsidR="008E3CC2" w:rsidRDefault="008E3CC2" w:rsidP="008E3CC2">
      <w:pPr>
        <w:pStyle w:val="AssignBody"/>
      </w:pPr>
      <w:r>
        <w:t>The first stage, self-evaluation, is where schools reflect upon their performance both presently and in the past and use it as the base to inform their “sustainable improvement planning” (Welsh Government, 2014, p.6). These elements, the first stage, are “central” in supporting the advances in the school’s improvement, possible professional learning needed, and the overall outcomes of learners (Welsh Government, 2014, p.8). The first stage is an “annual” process as it assists the school in knowing how well they are currently performing, any areas of strength they may have, what areas need improving, and what actions can they make to help the improvements (Welsh Government, 2014, p.8). Schools have a vast range of data available to them to help support their “development planning process” (Welsh Government, 2014, p.8). Such data relating to specific groups of learning, such as free school meals (FSM) and learners with additional learning needs (ALN) (Welsh Government, 2014, p.8). successful self-evaluations will reflect on both qualitative data, “inspection reports” by Estyn and information regarding “learners’ well-being”, and quantitative data, “comparative information” and “attainment results of learners at the school” but also broader “contextual factors such as: “socio-economic, linguistic, enrolment trends, facilities at school” (Welsh Government, 2014, p.9).</w:t>
      </w:r>
    </w:p>
    <w:p w14:paraId="5BFEF85D" w14:textId="1395E052" w:rsidR="000459B1" w:rsidRDefault="00710F39" w:rsidP="00717604">
      <w:pPr>
        <w:pStyle w:val="AssignBody"/>
      </w:pPr>
      <w:r w:rsidRPr="00710F39">
        <w:t xml:space="preserve">The next stage, strategic planning, should involve all school community members and stakeholders to ensure that everyone understands and is committed to the school’s improvement plan (Welsh Government, 2014, p.10). The SDP captures the school’s “improvement priorities and strategies”, which avoids any “unnecessary duplication” (Welsh Government, 2014, pp.10-11). Collectively, the school’s “governing body, headteacher and staff” work together to “determine how the school should prioritise the areas for development identified through self-evaluation”, the school may also consult challenge advisors to help set “challenging but realistic priorities” (Welsh Government, 2014, pp.11-12). The school will also discuss aspects such as “improvement targets and expected outcomes”, “professional </w:t>
      </w:r>
      <w:r w:rsidRPr="00710F39">
        <w:lastRenderedPageBreak/>
        <w:t>development” strategies, how the school intends to work with the community and an analysis of school staff and resources within this stage (Welsh Government, 2014, pp.12-15).</w:t>
      </w:r>
    </w:p>
    <w:p w14:paraId="745247B5" w14:textId="32CB7ABC" w:rsidR="00710F39" w:rsidRDefault="00710F39" w:rsidP="00717604">
      <w:pPr>
        <w:pStyle w:val="AssignBody"/>
      </w:pPr>
    </w:p>
    <w:p w14:paraId="15E8BD59" w14:textId="48241493" w:rsidR="00302FFE" w:rsidRDefault="00302FFE" w:rsidP="00717604">
      <w:pPr>
        <w:pStyle w:val="AssignBody"/>
      </w:pPr>
      <w:r w:rsidRPr="00302FFE">
        <w:t xml:space="preserve">The third stage, “making improvement/action”, is where the school carries out the “actions and strategies” they outlined within their SDP (Welsh Government, 2014, p.16). before this, all school staff will be “made aware of their responsibilities in implementing the actions necessary to bring about improvement” (Welsh Government, 2014, p.16). To ensure that this stage is effective and seamless, the SDP should include precise details of responsibilities, accountability, </w:t>
      </w:r>
      <w:r w:rsidR="005C5E0A" w:rsidRPr="00302FFE">
        <w:t>actions,</w:t>
      </w:r>
      <w:r w:rsidRPr="00302FFE">
        <w:t xml:space="preserve"> and timescales” to “avoid confusion, duplication and to ensure the most effective use of resources” (Welsh Government, 2014, p.16).</w:t>
      </w:r>
      <w:r>
        <w:t xml:space="preserve">The final stage of this process, reviewing impact, </w:t>
      </w:r>
      <w:r w:rsidR="00892125">
        <w:t>considers the SDP to be a “live document” that is “</w:t>
      </w:r>
      <w:r w:rsidR="005C5E0A">
        <w:t>regularly</w:t>
      </w:r>
      <w:r w:rsidR="00892125">
        <w:t xml:space="preserve"> </w:t>
      </w:r>
      <w:r w:rsidR="005C5E0A">
        <w:t>monitored</w:t>
      </w:r>
      <w:r w:rsidR="00892125">
        <w:t xml:space="preserve">” during the cycle </w:t>
      </w:r>
      <w:r w:rsidR="009C324B">
        <w:t xml:space="preserve">and “formally reviewed and revised” at the very least annually (Welsh Government, </w:t>
      </w:r>
      <w:r w:rsidR="005C5E0A">
        <w:t>2014, p.17).</w:t>
      </w:r>
      <w:r w:rsidR="00B77963">
        <w:t xml:space="preserve"> Also,</w:t>
      </w:r>
      <w:r w:rsidR="00C0705B">
        <w:t xml:space="preserve"> </w:t>
      </w:r>
      <w:r w:rsidR="00BC2DEC">
        <w:t xml:space="preserve">the </w:t>
      </w:r>
      <w:r w:rsidR="00C0705B">
        <w:t xml:space="preserve">school’s governing body must “monitor, review and update” the SDP </w:t>
      </w:r>
      <w:r w:rsidR="00B77963">
        <w:t>“following an Estyn inspection”</w:t>
      </w:r>
      <w:r w:rsidR="008E5D2F">
        <w:t xml:space="preserve"> to ensure that the “planning and strategies” are a true reflection </w:t>
      </w:r>
      <w:r w:rsidR="0056306C">
        <w:t xml:space="preserve">of the “up-to-date context of the school (Welsh Government, 2014, p.17). </w:t>
      </w:r>
    </w:p>
    <w:p w14:paraId="46FA36AA" w14:textId="77777777" w:rsidR="003A3DB6" w:rsidRDefault="003A3DB6" w:rsidP="003A3DB6">
      <w:pPr>
        <w:pStyle w:val="AssignBody"/>
      </w:pPr>
    </w:p>
    <w:p w14:paraId="661C8C3D" w14:textId="32824FB8" w:rsidR="003A3DB6" w:rsidRDefault="003A3DB6" w:rsidP="003A3DB6">
      <w:pPr>
        <w:pStyle w:val="AssignBody"/>
      </w:pPr>
      <w:r>
        <w:t>School X set out to ensure all learners had ample opportunity to attend Circle Time Sessions and the Circle of Support Intervention Group as</w:t>
      </w:r>
      <w:r w:rsidR="00551DC4">
        <w:t xml:space="preserve"> </w:t>
      </w:r>
      <w:r>
        <w:t xml:space="preserve">outlined in Objective 1 of Priority 2, </w:t>
      </w:r>
      <w:r w:rsidR="00FB6790">
        <w:t>Wellbeing,</w:t>
      </w:r>
      <w:r>
        <w:t xml:space="preserve"> and attitudes to learning” (Estyn, 2017a). Circle-time aims to develop the “unique potential” of every learner by looking at their “social and emotional growth” through a nurturing “caring group environment” (Curry, 1997, p.126). Circle-time has also helped learners develop “effective communication” and develop respect for each other as it enables “healthy, positive relationships to be fostered and maintained” (Curry, 1997, p.126).  Miller and Moran (2005) stated that the “desire” schools have to “encourage positive self-esteem” among their learners still among pupils “remains well embedded in primary practice” and is a “statutory element” of curriculums in “England and Wales” (Miller and Moran, 2005, p.25). </w:t>
      </w:r>
    </w:p>
    <w:p w14:paraId="1AE28ECA" w14:textId="53DC8542" w:rsidR="002461FB" w:rsidRDefault="003A3DB6" w:rsidP="003A3DB6">
      <w:pPr>
        <w:pStyle w:val="AssignBody"/>
      </w:pPr>
      <w:r>
        <w:t>Research conducted by Frederickson, Warren</w:t>
      </w:r>
      <w:r w:rsidR="00FB6790">
        <w:t>,</w:t>
      </w:r>
      <w:r>
        <w:t xml:space="preserve"> and Turner (2005) found that a “small-group intervention strategy known as “Circle of Friends” (CoF)” led to “increased social acceptance” amongst the learners who were “experiencing difficulties” by their friends and classmates (Frederickson, </w:t>
      </w:r>
      <w:r w:rsidR="00FB6790">
        <w:t>Warren,</w:t>
      </w:r>
      <w:r>
        <w:t xml:space="preserve"> and Turner, 2005). This “increased global self-esteem of the focus child” (Frederickson, Warren</w:t>
      </w:r>
      <w:r w:rsidR="00FB6790">
        <w:t>,</w:t>
      </w:r>
      <w:r>
        <w:t xml:space="preserve"> and Turner, 2005, p.201). Within this intervention, meetings were weekly and were “carefully managed” to ensure they were “positive and supportive” for the “focus child” (Frederickson, </w:t>
      </w:r>
      <w:r w:rsidR="00FB6790">
        <w:t>Warren,</w:t>
      </w:r>
      <w:r>
        <w:t xml:space="preserve"> and Turner, 2005, p.200). Equally, the group “set targets” for each learner and all successes were celebrated within the group and “new targets” are agreed for the next week (Frederickson, </w:t>
      </w:r>
      <w:r w:rsidR="00FB6790">
        <w:t>Warren,</w:t>
      </w:r>
      <w:r>
        <w:t xml:space="preserve"> and Turner, 2005, pp.200-201).</w:t>
      </w:r>
      <w:r w:rsidR="000F69BA">
        <w:t xml:space="preserve"> </w:t>
      </w:r>
      <w:proofErr w:type="spellStart"/>
      <w:r>
        <w:t>Housego</w:t>
      </w:r>
      <w:proofErr w:type="spellEnd"/>
      <w:r>
        <w:t xml:space="preserve"> and Burns (1994) criticise circle time, stating that it is open to differing </w:t>
      </w:r>
      <w:r>
        <w:lastRenderedPageBreak/>
        <w:t>interpretations that ultimately affects how circle-time is practised, as practitioners will differ in “enthusiasm, sensitivity and expertise” (Housego and Burns, 1994, p.25).  Lang (1998) states that Circle-time is often a place where many serious disclosures take place and that many teachers are not “equipped to handle it properly” (Lang, 1998, p.9).</w:t>
      </w:r>
    </w:p>
    <w:p w14:paraId="1A977D99" w14:textId="7C77FE76" w:rsidR="00C6636C" w:rsidRDefault="00B40E88" w:rsidP="00717604">
      <w:pPr>
        <w:pStyle w:val="AssignBody"/>
      </w:pPr>
      <w:r>
        <w:t xml:space="preserve">However, </w:t>
      </w:r>
      <w:r w:rsidR="00A83A11" w:rsidRPr="00A83A11">
        <w:t>Estyn (2018) reported in an effective practice report that a school in South Wales has implemented Circle-time as a whole school initiative by having the sessions timetabled for the same time each week for every class (Estyn, 2018). Equally, Estyn (2018) believes that it has allowed staff to understand and “appreciate” the value of Circle-time and that staff see the intervention session as “important as core subjects” (Estyn, 2018). The weekly Circle-time sessions enable learners to feel “valued” as it provides an “open and honest forum” where the learners can share their “thoughts and feelings” (Estyn,2018). As a result, the learners have had opportunities to engage with “identify differences, difficulties” which they collectively “find practical and appropriate strategies” that help their peers to “feel that they belong” and “valued by the group” (Estyn, 2018).</w:t>
      </w:r>
    </w:p>
    <w:p w14:paraId="2269FDFD" w14:textId="77777777" w:rsidR="00F22862" w:rsidRDefault="00F22862" w:rsidP="00717604">
      <w:pPr>
        <w:pStyle w:val="AssignBody"/>
      </w:pPr>
    </w:p>
    <w:p w14:paraId="48508694" w14:textId="2F4373AD" w:rsidR="006B5360" w:rsidRDefault="00671076" w:rsidP="00717604">
      <w:pPr>
        <w:pStyle w:val="AssignBody"/>
      </w:pPr>
      <w:r w:rsidRPr="00671076">
        <w:t>Following School X’s last Estyn inspection in 2017, they have made “strong progress” towards “recommendation six”, where they needed to ensure that “processes for self-evaluation and improvement planning” focused “robustly on raising pupils’ standards” (School X, 2020, p.7).  As a result, School X reported that in 2018 following an “appraisal of progress”, that the “senior leadership team (SLT)” had an “effective understanding” of their responsibilities when “improving standards across the school” (School X, 2020, p.9). To ensure that self-evaluation is a continual vital process, School X has highlighted it within their “three-year priorities” for the years 2019 to 2022 within “Inspection Area 5” (School X, 2020, p.11). Therefore, learning walks were identified as a strategy for “ongoing self-evaluation” to help “identify good practice” in ensuring the new curriculum orders are being met (School X, 2020, p.21). School X used “termly learning walks” to produce “feedback action points” for staff members as a way of monitoring progress (School X, 2020, p.21). Equally, the SLT have “clearly defined” the “roles and responsibilities” of the senior management team (SMT) that have links to the “new curriculum” and “professional standards” whilst timetabling time specifically for “self-evaluation” (School X, 2020, p.34).</w:t>
      </w:r>
    </w:p>
    <w:p w14:paraId="2480387E" w14:textId="7BBB3256" w:rsidR="00096241" w:rsidRDefault="00096241" w:rsidP="00717604">
      <w:pPr>
        <w:pStyle w:val="AssignBody"/>
      </w:pPr>
    </w:p>
    <w:p w14:paraId="4C3A530C" w14:textId="73AA6FEB" w:rsidR="00115936" w:rsidRDefault="00115936" w:rsidP="00115936">
      <w:pPr>
        <w:pStyle w:val="AssignBody"/>
      </w:pPr>
      <w:r>
        <w:t xml:space="preserve">Within School X’s SDP, there is a range of data relating to “specific groups of learners” that they have used to support their SDP planning process (Welsh Government, 2014, p.8). School X has a high number of learners who are FSM, “46%”; therefore, they have used this data within their planning process by supporting these learners through allocating funding from the “Pupil Deprivation Grant” (School X, 2020, pp. 2-3). As a result of using this data within their SDP process, learners who are FSM or identified as needing this support will </w:t>
      </w:r>
      <w:r>
        <w:lastRenderedPageBreak/>
        <w:t xml:space="preserve">have access to a “Family Liaison officer, Attendance officer” and “non-contact time” with an Additional Learning Needs Coordinator (ALNCO) (School X, 2020, p.2). </w:t>
      </w:r>
    </w:p>
    <w:p w14:paraId="0C33964F" w14:textId="16D4BAE9" w:rsidR="00F54DF5" w:rsidRDefault="00115936" w:rsidP="00115936">
      <w:pPr>
        <w:pStyle w:val="AssignBody"/>
      </w:pPr>
      <w:r>
        <w:t>Equally, School X has used monitoring processes such as the “PASS audit, My Concern data and pupil questionnaires” to collect data to support the “wellbeing and attitudes to learning” of their learners (School X, 2020, p.19). For example, School X has identified that “specific cohorts”, Years 6, 5 and 3, needed “support and focus on improving skills” (School X, 2020, p.20). As a result, School X has collected data using the “PASS audit” to monitor and track the progress of the identified cohorts, which has led to attendance rates improving amongst these learners (School X, 2020, p.20).</w:t>
      </w:r>
    </w:p>
    <w:p w14:paraId="79C25030" w14:textId="13BF9ABB" w:rsidR="00945D98" w:rsidRDefault="00945D98" w:rsidP="00717604">
      <w:pPr>
        <w:pStyle w:val="AssignBody"/>
      </w:pPr>
    </w:p>
    <w:p w14:paraId="2B7627FF" w14:textId="2933F256" w:rsidR="000F0A29" w:rsidRDefault="00BA19A0" w:rsidP="00717604">
      <w:pPr>
        <w:pStyle w:val="AssignBody"/>
      </w:pPr>
      <w:r w:rsidRPr="00BA19A0">
        <w:t>School X identified that within the Autumn term “impact statements”, that they share their “self-evaluation programme review” with all members of “staff and governors” to ensure that all “stakeholders” were “fully informed” on the focus and “timetable for monitoring” (School X, 2020, p.35). Also, School X has identified that they shared their “Blended Learning Policy and Procedures” to inform “staff, pupils, governors and parents” of the “shared expectations” to ensure “equality in learning” for all their learners in the event of “long-term closure” (School X, 2020, p.25). They intend to measure the impact of this communication with stakeholders through “feedback from parents” but did not identify how they would collect the data (School X, 2020, p.25). Unfortunately, School X does not identify any additional links with stakeholders within their SDP. It could negatively impact the support their learners may need as it has been determined that schools who work “effectively with parents, carers and the wider community” raise “standards” and “learner well-being” (Welsh Government, 2016, p.4).</w:t>
      </w:r>
      <w:r w:rsidR="00AC5CA8">
        <w:t xml:space="preserve"> suggest how to overcome </w:t>
      </w:r>
    </w:p>
    <w:p w14:paraId="6FF77803" w14:textId="41FD8A88" w:rsidR="00945D98" w:rsidRDefault="00945D98" w:rsidP="00717604">
      <w:pPr>
        <w:pStyle w:val="AssignBody"/>
      </w:pPr>
    </w:p>
    <w:p w14:paraId="4BDAA69E" w14:textId="77777777" w:rsidR="00554A35" w:rsidRDefault="00B87910" w:rsidP="00717604">
      <w:pPr>
        <w:pStyle w:val="AssignBody"/>
      </w:pPr>
      <w:r w:rsidRPr="00B87910">
        <w:t xml:space="preserve">School X has identified improvement priorities for three years within all five inspection areas as part of their “strategic planning” (Welsh Government, 2014, p.11). For example, School X has identified “promoting positive behaviour and attitudes to learning through Circle Time” as a priority for “Inspection Area 2” (School X, 2020, p.11). Therefore, School X has recorded that their intended outcomes for this priority for “nearly all pupils” to have an “increased awareness of fairness, equality, diversity, tolerance” and for learners to know and understand “children’s rights” (School X, 2020, p. 19). Equally, to ensure that the school develops this priority, School X has identified the Assistant Headteacher as the individual who will be monitoring the progress of this strategy (School X, 2020, p.19). Therefore, School X has ensured that “professional development needs” have been met as the Assistant Headteacher has the “necessary skills and experience” to ensure the success of this priority (Welsh Government, 2014, p.12). This specific priority does not outline if it will work with the wider school community; however, School X does highlight community links </w:t>
      </w:r>
      <w:r w:rsidRPr="00B87910">
        <w:lastRenderedPageBreak/>
        <w:t>where appropriate within other improvement priorities. Equally, School X has identified the members of staff who will be supporting the strategy and the resources used, including funding from the “Pupil Learning Grant (PLG)” (School X, 2020, p.19).</w:t>
      </w:r>
    </w:p>
    <w:p w14:paraId="38EFD336" w14:textId="77777777" w:rsidR="00554A35" w:rsidRDefault="00554A35" w:rsidP="00717604">
      <w:pPr>
        <w:pStyle w:val="AssignBody"/>
      </w:pPr>
    </w:p>
    <w:p w14:paraId="24428782" w14:textId="1E36D756" w:rsidR="00554A35" w:rsidRDefault="00554A35" w:rsidP="00717604">
      <w:pPr>
        <w:pStyle w:val="AssignBody"/>
      </w:pPr>
      <w:r w:rsidRPr="00554A35">
        <w:t>School X uses “impact statements” to review the impact of its priorities and strategies (School X, 2020, p.17). Within the impact statements, School X clearly outlines any progress made towards priorities and strategies. For example, School X carried out PASS audits with Key Stage 2 learners in “October 2020, and as a result, School X was able to identify areas of support that needed improving, “learner self-worth”, as it was “the factor with the lowest percentile 79.1%” (School X, 2020, pp.22-23).</w:t>
      </w:r>
    </w:p>
    <w:p w14:paraId="50887AAD" w14:textId="77777777" w:rsidR="00395BC7" w:rsidRDefault="00395BC7" w:rsidP="00717604">
      <w:pPr>
        <w:pStyle w:val="AssignBody"/>
      </w:pPr>
    </w:p>
    <w:p w14:paraId="6A6C8B9C" w14:textId="39E17E73" w:rsidR="00DF57F4" w:rsidRDefault="00646492" w:rsidP="00717604">
      <w:pPr>
        <w:pStyle w:val="AssignBody"/>
      </w:pPr>
      <w:r w:rsidRPr="00646492">
        <w:t>Since School X first proposed the strategy, Circle time, some progress has been reported. For example, School X said that following a “successful INSET day” that focused on the impact of the “Circle time” strategy led to a “whole-school action plan” to help “promote positive self-behaviour” and to “raise pupil self-esteem” (School X, 2020, p.22). As a result, an “action plan” was devised and shared with staff during a professional development meeting (School X, 2020, p.22). Therefore, School X has highlighted that the progress of Circle time will be “monitored and evaluated at the end of term”, but they did not specify how they intend to monitor and evaluate the strategies progress within the SDP (School X, 2020, p.22).</w:t>
      </w:r>
      <w:r w:rsidR="00B769A3">
        <w:t xml:space="preserve"> </w:t>
      </w:r>
      <w:r w:rsidR="00395BC7" w:rsidRPr="00395BC7">
        <w:t xml:space="preserve">However, it is clear from the SDP that School X has not undertaken much evaluation of the strategy. Therefore, </w:t>
      </w:r>
      <w:r w:rsidR="00395BC7">
        <w:t>t</w:t>
      </w:r>
      <w:r w:rsidR="00395BC7" w:rsidRPr="00395BC7">
        <w:t xml:space="preserve">he author will now discuss practical suggestions on ways they could evaluate their progress. </w:t>
      </w:r>
      <w:r w:rsidR="00E657E2" w:rsidRPr="00E657E2">
        <w:t>A practical suggestion on how School X could monitor the progress of this strategy is by using a “Devereux Student Strengths Assessment (DESSA)” (</w:t>
      </w:r>
      <w:proofErr w:type="spellStart"/>
      <w:r w:rsidR="00E657E2" w:rsidRPr="00E657E2">
        <w:t>Durlak</w:t>
      </w:r>
      <w:proofErr w:type="spellEnd"/>
      <w:r w:rsidR="00E657E2" w:rsidRPr="00E657E2">
        <w:t xml:space="preserve"> et al., 2017, p.285). DESSA measures the learner’s strengths directly with “Social and Emotional Learning (SEL) skills” across “eight scales” (</w:t>
      </w:r>
      <w:proofErr w:type="spellStart"/>
      <w:r w:rsidR="00E657E2" w:rsidRPr="00E657E2">
        <w:t>Durlak</w:t>
      </w:r>
      <w:proofErr w:type="spellEnd"/>
      <w:r w:rsidR="00E657E2" w:rsidRPr="00E657E2">
        <w:t xml:space="preserve"> et al., 2017, p.285). The scales include “optimistic thinking, self-management, goal-directed behaviour, self-awareness, social awareness, personal responsibility, decision-making, and relationship skills” (</w:t>
      </w:r>
      <w:proofErr w:type="spellStart"/>
      <w:r w:rsidR="00E657E2" w:rsidRPr="00E657E2">
        <w:t>Durlak</w:t>
      </w:r>
      <w:proofErr w:type="spellEnd"/>
      <w:r w:rsidR="00E657E2" w:rsidRPr="00E657E2">
        <w:t xml:space="preserve"> et al., 2017, p. 285). This measurement of progress tool could provide School X with quantit</w:t>
      </w:r>
      <w:r w:rsidR="00E657E2">
        <w:t>ative</w:t>
      </w:r>
      <w:r w:rsidR="00E657E2" w:rsidRPr="00E657E2">
        <w:t xml:space="preserve"> data upon which they will be able to compare the progress of their learners, possibly termly or yearly, which could be presented visually as graphs.</w:t>
      </w:r>
      <w:r w:rsidR="002A4959">
        <w:t xml:space="preserve"> </w:t>
      </w:r>
      <w:r w:rsidR="00A57305" w:rsidRPr="00A57305">
        <w:t xml:space="preserve">Another practical suggestion for School X on how to monitor and measure the impact of Circle time on the learner’s wellbeing and attitudes to learning would be using pupil voice. </w:t>
      </w:r>
      <w:proofErr w:type="spellStart"/>
      <w:r w:rsidR="00A57305" w:rsidRPr="00A57305">
        <w:t>Pulis</w:t>
      </w:r>
      <w:proofErr w:type="spellEnd"/>
      <w:r w:rsidR="00A57305" w:rsidRPr="00A57305">
        <w:t xml:space="preserve"> (2016) reported that numerous studies have “confirmed the benefits” of schools using pupil voice, including the benefits to the school community in working towards becoming a “learning community” (</w:t>
      </w:r>
      <w:proofErr w:type="spellStart"/>
      <w:r w:rsidR="00A57305" w:rsidRPr="00A57305">
        <w:t>Pulis</w:t>
      </w:r>
      <w:proofErr w:type="spellEnd"/>
      <w:r w:rsidR="00A57305" w:rsidRPr="00A57305">
        <w:t>, 2016).</w:t>
      </w:r>
    </w:p>
    <w:p w14:paraId="1ABCC60A" w14:textId="57063351" w:rsidR="00063E64" w:rsidRDefault="00063E64" w:rsidP="00717604">
      <w:pPr>
        <w:pStyle w:val="AssignBody"/>
      </w:pPr>
    </w:p>
    <w:p w14:paraId="063E6691" w14:textId="5EAE9FFB" w:rsidR="00C01EA7" w:rsidRDefault="00C01EA7" w:rsidP="00717604">
      <w:pPr>
        <w:pStyle w:val="AssignBody"/>
      </w:pPr>
      <w:r w:rsidRPr="00C01EA7">
        <w:lastRenderedPageBreak/>
        <w:t xml:space="preserve">To conclude, within this discussion, </w:t>
      </w:r>
      <w:r>
        <w:t>t</w:t>
      </w:r>
      <w:r w:rsidRPr="00C01EA7">
        <w:t>he author discussed how a school develops a  specific aspect outlined in a priority. The author also explored School Development processes and suggested practical evaluation strategies the school could have used.  Equally, the author has learned that the self-evaluation process underpins an SDP. If done effectively, schools can identify specific areas for development and devise practical strategies and solutions to help develop the development areas. Also, the author has learned that understanding the needs of the school community through analysing both quantitative and qualitative data is crucial and supports the development of strategies for specific groups of learners that are identified from the data and then support through particular interventions. Therefore, this will influence the author professionally, as they now understand an SDP’s processes and analyse a specific objective. Consequently, they will support their school by supporting the school through the SDP processes and how effective a well written SDP can ensure pupil progress.</w:t>
      </w:r>
    </w:p>
    <w:p w14:paraId="5E67C8E8" w14:textId="77777777" w:rsidR="00DF57F4" w:rsidRDefault="00DF57F4" w:rsidP="00717604">
      <w:pPr>
        <w:pStyle w:val="AssignBody"/>
      </w:pPr>
    </w:p>
    <w:p w14:paraId="105A3179" w14:textId="77777777" w:rsidR="00A37ABA" w:rsidRDefault="00A37ABA" w:rsidP="00717604">
      <w:pPr>
        <w:pStyle w:val="AssignBody"/>
      </w:pPr>
    </w:p>
    <w:p w14:paraId="1919F431" w14:textId="13B9BEDE" w:rsidR="002B2F5B" w:rsidRDefault="002B2F5B">
      <w:pPr>
        <w:rPr>
          <w:rFonts w:ascii="Arial" w:hAnsi="Arial"/>
        </w:rPr>
      </w:pPr>
      <w:r>
        <w:br w:type="page"/>
      </w:r>
    </w:p>
    <w:p w14:paraId="7CCFF1E2" w14:textId="77777777" w:rsidR="00B96E36" w:rsidRPr="00642379" w:rsidRDefault="00B96E36" w:rsidP="00642379">
      <w:pPr>
        <w:shd w:val="clear" w:color="auto" w:fill="FFFFFF"/>
        <w:spacing w:after="0" w:line="0" w:lineRule="auto"/>
        <w:rPr>
          <w:rFonts w:ascii="ff1" w:eastAsia="Times New Roman" w:hAnsi="ff1" w:cs="Times New Roman"/>
          <w:color w:val="000000"/>
          <w:spacing w:val="-2"/>
          <w:sz w:val="60"/>
          <w:szCs w:val="60"/>
          <w:lang w:eastAsia="en-GB"/>
        </w:rPr>
      </w:pPr>
      <w:r w:rsidRPr="00642379">
        <w:rPr>
          <w:rFonts w:ascii="ff1" w:eastAsia="Times New Roman" w:hAnsi="ff1" w:cs="Times New Roman"/>
          <w:color w:val="000000"/>
          <w:spacing w:val="-2"/>
          <w:sz w:val="60"/>
          <w:szCs w:val="60"/>
          <w:lang w:eastAsia="en-GB"/>
        </w:rPr>
        <w:lastRenderedPageBreak/>
        <w:t xml:space="preserve">126-129. http://dx.doi.org/10.1111/1467-9604.00030 </w:t>
      </w:r>
    </w:p>
    <w:p w14:paraId="507F5353" w14:textId="77777777" w:rsidR="00B96E36" w:rsidRPr="00642379" w:rsidRDefault="00B96E36" w:rsidP="00642379">
      <w:pPr>
        <w:shd w:val="clear" w:color="auto" w:fill="FFFFFF"/>
        <w:spacing w:after="0" w:line="0" w:lineRule="auto"/>
        <w:rPr>
          <w:rFonts w:ascii="ff1" w:eastAsia="Times New Roman" w:hAnsi="ff1" w:cs="Times New Roman"/>
          <w:color w:val="000000"/>
          <w:spacing w:val="-2"/>
          <w:sz w:val="60"/>
          <w:szCs w:val="60"/>
          <w:lang w:eastAsia="en-GB"/>
        </w:rPr>
      </w:pPr>
      <w:r w:rsidRPr="00642379">
        <w:rPr>
          <w:rFonts w:ascii="ff1" w:eastAsia="Times New Roman" w:hAnsi="ff1" w:cs="Times New Roman"/>
          <w:color w:val="000000"/>
          <w:spacing w:val="-2"/>
          <w:sz w:val="60"/>
          <w:szCs w:val="60"/>
          <w:lang w:eastAsia="en-GB"/>
        </w:rPr>
        <w:t xml:space="preserve">126-129. http://dx.doi.org/10.1111/1467-9604.00030 </w:t>
      </w:r>
    </w:p>
    <w:p w14:paraId="3FAC8A78" w14:textId="77777777" w:rsidR="00B96E36" w:rsidRPr="00642379" w:rsidRDefault="00B96E36" w:rsidP="00642379">
      <w:pPr>
        <w:shd w:val="clear" w:color="auto" w:fill="FFFFFF"/>
        <w:spacing w:after="0" w:line="0" w:lineRule="auto"/>
        <w:rPr>
          <w:rFonts w:ascii="ff1" w:eastAsia="Times New Roman" w:hAnsi="ff1" w:cs="Times New Roman"/>
          <w:color w:val="000000"/>
          <w:sz w:val="54"/>
          <w:szCs w:val="54"/>
          <w:lang w:eastAsia="en-GB"/>
        </w:rPr>
      </w:pPr>
      <w:r w:rsidRPr="00642379">
        <w:rPr>
          <w:rFonts w:ascii="ff1" w:eastAsia="Times New Roman" w:hAnsi="ff1" w:cs="Times New Roman"/>
          <w:color w:val="000000"/>
          <w:sz w:val="54"/>
          <w:szCs w:val="54"/>
          <w:lang w:eastAsia="en-GB"/>
        </w:rPr>
        <w:t xml:space="preserve">214 </w:t>
      </w:r>
    </w:p>
    <w:p w14:paraId="5948E5F9" w14:textId="77777777" w:rsidR="00B96E36" w:rsidRPr="00642379" w:rsidRDefault="00B96E36" w:rsidP="00642379">
      <w:pPr>
        <w:shd w:val="clear" w:color="auto" w:fill="FFFFFF"/>
        <w:spacing w:after="0" w:line="0" w:lineRule="auto"/>
        <w:rPr>
          <w:rFonts w:ascii="ff1" w:eastAsia="Times New Roman" w:hAnsi="ff1" w:cs="Times New Roman"/>
          <w:color w:val="000000"/>
          <w:sz w:val="54"/>
          <w:szCs w:val="54"/>
          <w:lang w:eastAsia="en-GB"/>
        </w:rPr>
      </w:pPr>
      <w:r w:rsidRPr="00642379">
        <w:rPr>
          <w:rFonts w:ascii="ff1" w:eastAsia="Times New Roman" w:hAnsi="ff1" w:cs="Times New Roman"/>
          <w:color w:val="000000"/>
          <w:sz w:val="54"/>
          <w:szCs w:val="54"/>
          <w:lang w:eastAsia="en-GB"/>
        </w:rPr>
        <w:t xml:space="preserve">214 </w:t>
      </w:r>
    </w:p>
    <w:p w14:paraId="5CAB6D21" w14:textId="77777777" w:rsidR="00B96E36" w:rsidRPr="00B96E36" w:rsidRDefault="00B96E36" w:rsidP="00B96E36">
      <w:pPr>
        <w:shd w:val="clear" w:color="auto" w:fill="FFFFFF"/>
        <w:spacing w:after="0" w:line="0" w:lineRule="auto"/>
        <w:rPr>
          <w:rFonts w:ascii="ff1" w:eastAsia="Times New Roman" w:hAnsi="ff1" w:cs="Times New Roman"/>
          <w:color w:val="000000"/>
          <w:sz w:val="60"/>
          <w:szCs w:val="60"/>
          <w:lang w:eastAsia="en-GB"/>
        </w:rPr>
      </w:pPr>
      <w:r w:rsidRPr="00642379">
        <w:rPr>
          <w:rFonts w:ascii="ff1" w:eastAsia="Times New Roman" w:hAnsi="ff1" w:cs="Times New Roman"/>
          <w:color w:val="000000"/>
          <w:sz w:val="60"/>
          <w:szCs w:val="60"/>
          <w:lang w:eastAsia="en-GB"/>
        </w:rPr>
        <w:t xml:space="preserve">classrooms. </w:t>
      </w:r>
      <w:r w:rsidRPr="00642379">
        <w:rPr>
          <w:rFonts w:ascii="ff4" w:eastAsia="Times New Roman" w:hAnsi="ff4" w:cs="Times New Roman"/>
          <w:color w:val="000000"/>
          <w:spacing w:val="1"/>
          <w:sz w:val="60"/>
          <w:szCs w:val="60"/>
          <w:lang w:eastAsia="en-GB"/>
        </w:rPr>
        <w:t>English Education</w:t>
      </w:r>
      <w:r w:rsidRPr="00642379">
        <w:rPr>
          <w:rFonts w:ascii="ff1" w:eastAsia="Times New Roman" w:hAnsi="ff1" w:cs="Times New Roman"/>
          <w:color w:val="000000"/>
          <w:spacing w:val="1"/>
          <w:sz w:val="60"/>
          <w:szCs w:val="60"/>
          <w:lang w:eastAsia="en-GB"/>
        </w:rPr>
        <w:t xml:space="preserve">, </w:t>
      </w:r>
      <w:r w:rsidRPr="00642379">
        <w:rPr>
          <w:rFonts w:ascii="ff4" w:eastAsia="Times New Roman" w:hAnsi="ff4" w:cs="Times New Roman"/>
          <w:color w:val="000000"/>
          <w:spacing w:val="-2"/>
          <w:sz w:val="60"/>
          <w:szCs w:val="60"/>
          <w:lang w:eastAsia="en-GB"/>
        </w:rPr>
        <w:t>28</w:t>
      </w:r>
      <w:r w:rsidRPr="00642379">
        <w:rPr>
          <w:rFonts w:ascii="ff1" w:eastAsia="Times New Roman" w:hAnsi="ff1" w:cs="Times New Roman"/>
          <w:color w:val="000000"/>
          <w:spacing w:val="-2"/>
          <w:sz w:val="60"/>
          <w:szCs w:val="60"/>
          <w:lang w:eastAsia="en-GB"/>
        </w:rPr>
        <w:t>(2), 23-29. http://dx.doi.org/10.1111/j.1754-8845.1994.tb01117.x</w:t>
      </w:r>
    </w:p>
    <w:p w14:paraId="37866581" w14:textId="77777777" w:rsidR="00B96E36" w:rsidRPr="00642379" w:rsidRDefault="00B96E36" w:rsidP="00642379">
      <w:pPr>
        <w:shd w:val="clear" w:color="auto" w:fill="FFFFFF"/>
        <w:spacing w:after="0" w:line="0" w:lineRule="auto"/>
        <w:rPr>
          <w:rFonts w:ascii="ff1" w:eastAsia="Times New Roman" w:hAnsi="ff1" w:cs="Times New Roman"/>
          <w:color w:val="000000"/>
          <w:sz w:val="60"/>
          <w:szCs w:val="60"/>
          <w:lang w:eastAsia="en-GB"/>
        </w:rPr>
      </w:pPr>
      <w:r w:rsidRPr="00642379">
        <w:rPr>
          <w:rFonts w:ascii="ff1" w:eastAsia="Times New Roman" w:hAnsi="ff1" w:cs="Times New Roman"/>
          <w:color w:val="000000"/>
          <w:sz w:val="60"/>
          <w:szCs w:val="60"/>
          <w:lang w:eastAsia="en-GB"/>
        </w:rPr>
        <w:t xml:space="preserve">classrooms. </w:t>
      </w:r>
      <w:r w:rsidRPr="00642379">
        <w:rPr>
          <w:rFonts w:ascii="ff4" w:eastAsia="Times New Roman" w:hAnsi="ff4" w:cs="Times New Roman"/>
          <w:color w:val="000000"/>
          <w:spacing w:val="1"/>
          <w:sz w:val="60"/>
          <w:szCs w:val="60"/>
          <w:lang w:eastAsia="en-GB"/>
        </w:rPr>
        <w:t>English Education</w:t>
      </w:r>
      <w:r w:rsidRPr="00642379">
        <w:rPr>
          <w:rFonts w:ascii="ff1" w:eastAsia="Times New Roman" w:hAnsi="ff1" w:cs="Times New Roman"/>
          <w:color w:val="000000"/>
          <w:spacing w:val="1"/>
          <w:sz w:val="60"/>
          <w:szCs w:val="60"/>
          <w:lang w:eastAsia="en-GB"/>
        </w:rPr>
        <w:t xml:space="preserve">, </w:t>
      </w:r>
      <w:r w:rsidRPr="00642379">
        <w:rPr>
          <w:rFonts w:ascii="ff4" w:eastAsia="Times New Roman" w:hAnsi="ff4" w:cs="Times New Roman"/>
          <w:color w:val="000000"/>
          <w:spacing w:val="-2"/>
          <w:sz w:val="60"/>
          <w:szCs w:val="60"/>
          <w:lang w:eastAsia="en-GB"/>
        </w:rPr>
        <w:t>28</w:t>
      </w:r>
      <w:r w:rsidRPr="00642379">
        <w:rPr>
          <w:rFonts w:ascii="ff1" w:eastAsia="Times New Roman" w:hAnsi="ff1" w:cs="Times New Roman"/>
          <w:color w:val="000000"/>
          <w:spacing w:val="-2"/>
          <w:sz w:val="60"/>
          <w:szCs w:val="60"/>
          <w:lang w:eastAsia="en-GB"/>
        </w:rPr>
        <w:t>(2), 23-29. http://dx.doi.org/10.1111/j.1754-8845.1994.tb01117.x</w:t>
      </w:r>
    </w:p>
    <w:p w14:paraId="39F0C986" w14:textId="77777777" w:rsidR="00B96E36" w:rsidRPr="00752D81" w:rsidRDefault="00B96E36" w:rsidP="00752D81">
      <w:pPr>
        <w:shd w:val="clear" w:color="auto" w:fill="FFFFFF"/>
        <w:spacing w:after="0" w:line="0" w:lineRule="auto"/>
        <w:rPr>
          <w:rFonts w:ascii="ff1" w:eastAsia="Times New Roman" w:hAnsi="ff1" w:cs="Times New Roman"/>
          <w:color w:val="000000"/>
          <w:sz w:val="60"/>
          <w:szCs w:val="60"/>
          <w:lang w:eastAsia="en-GB"/>
        </w:rPr>
      </w:pPr>
      <w:r w:rsidRPr="00752D81">
        <w:rPr>
          <w:rFonts w:ascii="ff1" w:eastAsia="Times New Roman" w:hAnsi="ff1" w:cs="Times New Roman"/>
          <w:color w:val="000000"/>
          <w:sz w:val="60"/>
          <w:szCs w:val="60"/>
          <w:lang w:eastAsia="en-GB"/>
        </w:rPr>
        <w:t xml:space="preserve">classrooms. </w:t>
      </w:r>
      <w:r w:rsidRPr="00752D81">
        <w:rPr>
          <w:rFonts w:ascii="ff4" w:eastAsia="Times New Roman" w:hAnsi="ff4" w:cs="Times New Roman"/>
          <w:color w:val="000000"/>
          <w:spacing w:val="1"/>
          <w:sz w:val="60"/>
          <w:szCs w:val="60"/>
          <w:lang w:eastAsia="en-GB"/>
        </w:rPr>
        <w:t>English Education</w:t>
      </w:r>
      <w:r w:rsidRPr="00752D81">
        <w:rPr>
          <w:rFonts w:ascii="ff1" w:eastAsia="Times New Roman" w:hAnsi="ff1" w:cs="Times New Roman"/>
          <w:color w:val="000000"/>
          <w:spacing w:val="1"/>
          <w:sz w:val="60"/>
          <w:szCs w:val="60"/>
          <w:lang w:eastAsia="en-GB"/>
        </w:rPr>
        <w:t xml:space="preserve">, </w:t>
      </w:r>
      <w:r w:rsidRPr="00752D81">
        <w:rPr>
          <w:rFonts w:ascii="ff4" w:eastAsia="Times New Roman" w:hAnsi="ff4" w:cs="Times New Roman"/>
          <w:color w:val="000000"/>
          <w:spacing w:val="-2"/>
          <w:sz w:val="60"/>
          <w:szCs w:val="60"/>
          <w:lang w:eastAsia="en-GB"/>
        </w:rPr>
        <w:t>28</w:t>
      </w:r>
      <w:r w:rsidRPr="00752D81">
        <w:rPr>
          <w:rFonts w:ascii="ff1" w:eastAsia="Times New Roman" w:hAnsi="ff1" w:cs="Times New Roman"/>
          <w:color w:val="000000"/>
          <w:spacing w:val="-2"/>
          <w:sz w:val="60"/>
          <w:szCs w:val="60"/>
          <w:lang w:eastAsia="en-GB"/>
        </w:rPr>
        <w:t>(2), 23-29. http://dx.doi.org/10.1111/j.1754-8845.1994.tb01117.x</w:t>
      </w:r>
    </w:p>
    <w:p w14:paraId="656FF457" w14:textId="77777777" w:rsidR="00B96E36" w:rsidRPr="00642379" w:rsidRDefault="00B96E36" w:rsidP="00642379">
      <w:pPr>
        <w:shd w:val="clear" w:color="auto" w:fill="FFFFFF"/>
        <w:spacing w:after="0" w:line="0" w:lineRule="auto"/>
        <w:rPr>
          <w:rFonts w:ascii="ff1" w:eastAsia="Times New Roman" w:hAnsi="ff1" w:cs="Times New Roman"/>
          <w:color w:val="000000"/>
          <w:spacing w:val="-2"/>
          <w:sz w:val="60"/>
          <w:szCs w:val="60"/>
          <w:lang w:eastAsia="en-GB"/>
        </w:rPr>
      </w:pPr>
      <w:r w:rsidRPr="00642379">
        <w:rPr>
          <w:rFonts w:ascii="ff1" w:eastAsia="Times New Roman" w:hAnsi="ff1" w:cs="Times New Roman"/>
          <w:color w:val="000000"/>
          <w:spacing w:val="-2"/>
          <w:sz w:val="60"/>
          <w:szCs w:val="60"/>
          <w:lang w:eastAsia="en-GB"/>
        </w:rPr>
        <w:t>Cooley, C. H. (1964). Human Nature and th</w:t>
      </w:r>
      <w:r w:rsidRPr="00642379">
        <w:rPr>
          <w:rFonts w:ascii="ff1" w:eastAsia="Times New Roman" w:hAnsi="ff1" w:cs="Times New Roman"/>
          <w:color w:val="000000"/>
          <w:spacing w:val="-1"/>
          <w:sz w:val="60"/>
          <w:szCs w:val="60"/>
          <w:lang w:eastAsia="en-GB"/>
        </w:rPr>
        <w:t xml:space="preserve">e Social Order. In J. Mosley (Ed.), </w:t>
      </w:r>
      <w:r w:rsidRPr="00642379">
        <w:rPr>
          <w:rFonts w:ascii="ff4" w:eastAsia="Times New Roman" w:hAnsi="ff4" w:cs="Times New Roman"/>
          <w:color w:val="000000"/>
          <w:spacing w:val="-1"/>
          <w:sz w:val="60"/>
          <w:szCs w:val="60"/>
          <w:lang w:eastAsia="en-GB"/>
        </w:rPr>
        <w:t xml:space="preserve">Quality Circle time in the </w:t>
      </w:r>
    </w:p>
    <w:p w14:paraId="12FDA592" w14:textId="77777777" w:rsidR="00B96E36" w:rsidRPr="00642379" w:rsidRDefault="00B96E36" w:rsidP="00642379">
      <w:pPr>
        <w:shd w:val="clear" w:color="auto" w:fill="FFFFFF"/>
        <w:spacing w:after="0" w:line="0" w:lineRule="auto"/>
        <w:rPr>
          <w:rFonts w:ascii="ff1" w:eastAsia="Times New Roman" w:hAnsi="ff1" w:cs="Times New Roman"/>
          <w:color w:val="000000"/>
          <w:spacing w:val="-2"/>
          <w:sz w:val="60"/>
          <w:szCs w:val="60"/>
          <w:lang w:eastAsia="en-GB"/>
        </w:rPr>
      </w:pPr>
      <w:r w:rsidRPr="00642379">
        <w:rPr>
          <w:rFonts w:ascii="ff1" w:eastAsia="Times New Roman" w:hAnsi="ff1" w:cs="Times New Roman"/>
          <w:color w:val="000000"/>
          <w:spacing w:val="-2"/>
          <w:sz w:val="60"/>
          <w:szCs w:val="60"/>
          <w:lang w:eastAsia="en-GB"/>
        </w:rPr>
        <w:t>Cooley, C. H. (1964). Human Nature and th</w:t>
      </w:r>
      <w:r w:rsidRPr="00642379">
        <w:rPr>
          <w:rFonts w:ascii="ff1" w:eastAsia="Times New Roman" w:hAnsi="ff1" w:cs="Times New Roman"/>
          <w:color w:val="000000"/>
          <w:spacing w:val="-1"/>
          <w:sz w:val="60"/>
          <w:szCs w:val="60"/>
          <w:lang w:eastAsia="en-GB"/>
        </w:rPr>
        <w:t xml:space="preserve">e Social Order. In J. Mosley (Ed.), </w:t>
      </w:r>
      <w:r w:rsidRPr="00642379">
        <w:rPr>
          <w:rFonts w:ascii="ff4" w:eastAsia="Times New Roman" w:hAnsi="ff4" w:cs="Times New Roman"/>
          <w:color w:val="000000"/>
          <w:spacing w:val="-1"/>
          <w:sz w:val="60"/>
          <w:szCs w:val="60"/>
          <w:lang w:eastAsia="en-GB"/>
        </w:rPr>
        <w:t xml:space="preserve">Quality Circle time in the </w:t>
      </w:r>
    </w:p>
    <w:p w14:paraId="27C57E19" w14:textId="77777777" w:rsidR="00B96E36" w:rsidRPr="00642379" w:rsidRDefault="00B96E36"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Curry, M. (1997). Providing emotional support through circle time: A case study. </w:t>
      </w:r>
      <w:r w:rsidRPr="00642379">
        <w:rPr>
          <w:rFonts w:ascii="ff4" w:eastAsia="Times New Roman" w:hAnsi="ff4" w:cs="Times New Roman"/>
          <w:color w:val="000000"/>
          <w:spacing w:val="1"/>
          <w:sz w:val="60"/>
          <w:szCs w:val="60"/>
          <w:lang w:eastAsia="en-GB"/>
        </w:rPr>
        <w:t>Support for Learning</w:t>
      </w:r>
      <w:r w:rsidRPr="00642379">
        <w:rPr>
          <w:rFonts w:ascii="ff1" w:eastAsia="Times New Roman" w:hAnsi="ff1" w:cs="Times New Roman"/>
          <w:color w:val="000000"/>
          <w:spacing w:val="1"/>
          <w:sz w:val="60"/>
          <w:szCs w:val="60"/>
          <w:lang w:eastAsia="en-GB"/>
        </w:rPr>
        <w:t xml:space="preserve">, </w:t>
      </w:r>
      <w:r w:rsidRPr="00642379">
        <w:rPr>
          <w:rFonts w:ascii="ff4" w:eastAsia="Times New Roman" w:hAnsi="ff4" w:cs="Times New Roman"/>
          <w:color w:val="000000"/>
          <w:spacing w:val="-2"/>
          <w:sz w:val="60"/>
          <w:szCs w:val="60"/>
          <w:lang w:eastAsia="en-GB"/>
        </w:rPr>
        <w:t>12</w:t>
      </w:r>
      <w:r w:rsidRPr="00642379">
        <w:rPr>
          <w:rFonts w:ascii="ff1" w:eastAsia="Times New Roman" w:hAnsi="ff1" w:cs="Times New Roman"/>
          <w:color w:val="000000"/>
          <w:spacing w:val="1"/>
          <w:sz w:val="60"/>
          <w:szCs w:val="60"/>
          <w:lang w:eastAsia="en-GB"/>
        </w:rPr>
        <w:t xml:space="preserve">(3), </w:t>
      </w:r>
    </w:p>
    <w:p w14:paraId="5E83576D" w14:textId="77777777" w:rsidR="00B96E36" w:rsidRPr="00642379" w:rsidRDefault="00B96E36"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Curry, M. (1997). Providing emotional support through circle time: A case study. </w:t>
      </w:r>
      <w:r w:rsidRPr="00642379">
        <w:rPr>
          <w:rFonts w:ascii="ff4" w:eastAsia="Times New Roman" w:hAnsi="ff4" w:cs="Times New Roman"/>
          <w:color w:val="000000"/>
          <w:spacing w:val="1"/>
          <w:sz w:val="60"/>
          <w:szCs w:val="60"/>
          <w:lang w:eastAsia="en-GB"/>
        </w:rPr>
        <w:t>Support for Learning</w:t>
      </w:r>
      <w:r w:rsidRPr="00642379">
        <w:rPr>
          <w:rFonts w:ascii="ff1" w:eastAsia="Times New Roman" w:hAnsi="ff1" w:cs="Times New Roman"/>
          <w:color w:val="000000"/>
          <w:spacing w:val="1"/>
          <w:sz w:val="60"/>
          <w:szCs w:val="60"/>
          <w:lang w:eastAsia="en-GB"/>
        </w:rPr>
        <w:t xml:space="preserve">, </w:t>
      </w:r>
      <w:r w:rsidRPr="00642379">
        <w:rPr>
          <w:rFonts w:ascii="ff4" w:eastAsia="Times New Roman" w:hAnsi="ff4" w:cs="Times New Roman"/>
          <w:color w:val="000000"/>
          <w:spacing w:val="-2"/>
          <w:sz w:val="60"/>
          <w:szCs w:val="60"/>
          <w:lang w:eastAsia="en-GB"/>
        </w:rPr>
        <w:t>12</w:t>
      </w:r>
      <w:r w:rsidRPr="00642379">
        <w:rPr>
          <w:rFonts w:ascii="ff1" w:eastAsia="Times New Roman" w:hAnsi="ff1" w:cs="Times New Roman"/>
          <w:color w:val="000000"/>
          <w:spacing w:val="1"/>
          <w:sz w:val="60"/>
          <w:szCs w:val="60"/>
          <w:lang w:eastAsia="en-GB"/>
        </w:rPr>
        <w:t xml:space="preserve">(3), </w:t>
      </w:r>
    </w:p>
    <w:p w14:paraId="351C639A" w14:textId="77777777" w:rsidR="00E23830" w:rsidRPr="0045730E" w:rsidRDefault="00E23830" w:rsidP="0045730E">
      <w:pPr>
        <w:pStyle w:val="AssignBody"/>
        <w:rPr>
          <w:lang w:eastAsia="en-GB"/>
        </w:rPr>
      </w:pPr>
      <w:r w:rsidRPr="0045730E">
        <w:rPr>
          <w:lang w:eastAsia="en-GB"/>
        </w:rPr>
        <w:t>Curry, M. (1997). Providing Emotional Support Through Circle</w:t>
      </w:r>
      <w:r w:rsidRPr="0045730E">
        <w:rPr>
          <w:rFonts w:ascii="Cambria Math" w:hAnsi="Cambria Math" w:cs="Cambria Math"/>
          <w:lang w:eastAsia="en-GB"/>
        </w:rPr>
        <w:t>‐</w:t>
      </w:r>
      <w:r w:rsidRPr="0045730E">
        <w:rPr>
          <w:lang w:eastAsia="en-GB"/>
        </w:rPr>
        <w:t xml:space="preserve">time: A Case Study. </w:t>
      </w:r>
      <w:r w:rsidRPr="0045730E">
        <w:rPr>
          <w:i/>
          <w:iCs/>
          <w:lang w:eastAsia="en-GB"/>
        </w:rPr>
        <w:t>Support for Learning</w:t>
      </w:r>
      <w:r w:rsidRPr="0045730E">
        <w:rPr>
          <w:lang w:eastAsia="en-GB"/>
        </w:rPr>
        <w:t xml:space="preserve">, [online] 12(3), pp.126–129. Available at: </w:t>
      </w:r>
      <w:hyperlink r:id="rId10" w:history="1">
        <w:r w:rsidRPr="0045730E">
          <w:rPr>
            <w:rStyle w:val="Hyperlink"/>
            <w:rFonts w:ascii="Times New Roman" w:eastAsia="Times New Roman" w:hAnsi="Times New Roman" w:cs="Times New Roman"/>
            <w:sz w:val="24"/>
            <w:szCs w:val="24"/>
            <w:lang w:eastAsia="en-GB"/>
          </w:rPr>
          <w:t>https://nasenjournals.onlinelibrary.wiley.com/doi/epdf/10.1111/1467-9604.00030?saml_referrer</w:t>
        </w:r>
      </w:hyperlink>
      <w:r>
        <w:rPr>
          <w:lang w:eastAsia="en-GB"/>
        </w:rPr>
        <w:t xml:space="preserve"> (</w:t>
      </w:r>
      <w:r w:rsidRPr="0045730E">
        <w:rPr>
          <w:lang w:eastAsia="en-GB"/>
        </w:rPr>
        <w:t>Accessed 2 May 2021</w:t>
      </w:r>
      <w:r>
        <w:rPr>
          <w:lang w:eastAsia="en-GB"/>
        </w:rPr>
        <w:t>)</w:t>
      </w:r>
      <w:r w:rsidRPr="0045730E">
        <w:rPr>
          <w:lang w:eastAsia="en-GB"/>
        </w:rPr>
        <w:t>.</w:t>
      </w:r>
    </w:p>
    <w:p w14:paraId="1D25D3DA"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Curry, M., &amp; Bromfield, C. (1998). </w:t>
      </w:r>
      <w:r w:rsidRPr="00642379">
        <w:rPr>
          <w:rFonts w:ascii="ff4" w:eastAsia="Times New Roman" w:hAnsi="ff4" w:cs="Times New Roman"/>
          <w:color w:val="000000"/>
          <w:spacing w:val="-1"/>
          <w:sz w:val="60"/>
          <w:szCs w:val="60"/>
          <w:lang w:eastAsia="en-GB"/>
        </w:rPr>
        <w:t>Circle Time</w:t>
      </w:r>
      <w:r w:rsidRPr="00642379">
        <w:rPr>
          <w:rFonts w:ascii="ff1" w:eastAsia="Times New Roman" w:hAnsi="ff1" w:cs="Times New Roman"/>
          <w:color w:val="000000"/>
          <w:spacing w:val="1"/>
          <w:sz w:val="60"/>
          <w:szCs w:val="60"/>
          <w:lang w:eastAsia="en-GB"/>
        </w:rPr>
        <w:t xml:space="preserve">. Tamworth: Nasen Department for Education and Employment. </w:t>
      </w:r>
    </w:p>
    <w:p w14:paraId="4F3D21EB"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Curry, M., &amp; Bromfield, C. (1998). </w:t>
      </w:r>
      <w:r w:rsidRPr="00642379">
        <w:rPr>
          <w:rFonts w:ascii="ff4" w:eastAsia="Times New Roman" w:hAnsi="ff4" w:cs="Times New Roman"/>
          <w:color w:val="000000"/>
          <w:spacing w:val="-1"/>
          <w:sz w:val="60"/>
          <w:szCs w:val="60"/>
          <w:lang w:eastAsia="en-GB"/>
        </w:rPr>
        <w:t>Circle Time</w:t>
      </w:r>
      <w:r w:rsidRPr="00642379">
        <w:rPr>
          <w:rFonts w:ascii="ff1" w:eastAsia="Times New Roman" w:hAnsi="ff1" w:cs="Times New Roman"/>
          <w:color w:val="000000"/>
          <w:spacing w:val="1"/>
          <w:sz w:val="60"/>
          <w:szCs w:val="60"/>
          <w:lang w:eastAsia="en-GB"/>
        </w:rPr>
        <w:t xml:space="preserve">. Tamworth: Nasen Department for Education and Employment. </w:t>
      </w:r>
    </w:p>
    <w:p w14:paraId="774B1866"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Department for Education and Employment. (2000). </w:t>
      </w:r>
      <w:r w:rsidRPr="00642379">
        <w:rPr>
          <w:rFonts w:ascii="ff4" w:eastAsia="Times New Roman" w:hAnsi="ff4" w:cs="Times New Roman"/>
          <w:color w:val="000000"/>
          <w:spacing w:val="-1"/>
          <w:sz w:val="60"/>
          <w:szCs w:val="60"/>
          <w:lang w:eastAsia="en-GB"/>
        </w:rPr>
        <w:t xml:space="preserve">Educational Psychology Services (England): Current role, </w:t>
      </w:r>
    </w:p>
    <w:p w14:paraId="16F3EDB4"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Department for Education and Employment. (2000). </w:t>
      </w:r>
      <w:r w:rsidRPr="00642379">
        <w:rPr>
          <w:rFonts w:ascii="ff4" w:eastAsia="Times New Roman" w:hAnsi="ff4" w:cs="Times New Roman"/>
          <w:color w:val="000000"/>
          <w:spacing w:val="-1"/>
          <w:sz w:val="60"/>
          <w:szCs w:val="60"/>
          <w:lang w:eastAsia="en-GB"/>
        </w:rPr>
        <w:t xml:space="preserve">Educational Psychology Services (England): Current role, </w:t>
      </w:r>
    </w:p>
    <w:p w14:paraId="26F2D48E" w14:textId="77777777" w:rsidR="00E23830" w:rsidRPr="00543528" w:rsidRDefault="00E23830" w:rsidP="00543528">
      <w:pPr>
        <w:pStyle w:val="AssignBody"/>
        <w:rPr>
          <w:lang w:eastAsia="en-GB"/>
        </w:rPr>
      </w:pPr>
      <w:proofErr w:type="spellStart"/>
      <w:r w:rsidRPr="00543528">
        <w:rPr>
          <w:lang w:eastAsia="en-GB"/>
        </w:rPr>
        <w:t>Durlak</w:t>
      </w:r>
      <w:proofErr w:type="spellEnd"/>
      <w:r w:rsidRPr="00543528">
        <w:rPr>
          <w:lang w:eastAsia="en-GB"/>
        </w:rPr>
        <w:t xml:space="preserve">, J.A., </w:t>
      </w:r>
      <w:proofErr w:type="spellStart"/>
      <w:r w:rsidRPr="00543528">
        <w:rPr>
          <w:lang w:eastAsia="en-GB"/>
        </w:rPr>
        <w:t>Domitrovich</w:t>
      </w:r>
      <w:proofErr w:type="spellEnd"/>
      <w:r w:rsidRPr="00543528">
        <w:rPr>
          <w:lang w:eastAsia="en-GB"/>
        </w:rPr>
        <w:t xml:space="preserve">, C.E., Weissberg, R.P., </w:t>
      </w:r>
      <w:proofErr w:type="spellStart"/>
      <w:r w:rsidRPr="00543528">
        <w:rPr>
          <w:lang w:eastAsia="en-GB"/>
        </w:rPr>
        <w:t>Gullotta</w:t>
      </w:r>
      <w:proofErr w:type="spellEnd"/>
      <w:r w:rsidRPr="00543528">
        <w:rPr>
          <w:lang w:eastAsia="en-GB"/>
        </w:rPr>
        <w:t xml:space="preserve">, T.P. and Comer, J.P. (2017). </w:t>
      </w:r>
      <w:r w:rsidRPr="00543528">
        <w:rPr>
          <w:i/>
          <w:iCs/>
          <w:lang w:eastAsia="en-GB"/>
        </w:rPr>
        <w:t>Handbook of social and emotional learning : research and practice</w:t>
      </w:r>
      <w:r w:rsidRPr="00543528">
        <w:rPr>
          <w:lang w:eastAsia="en-GB"/>
        </w:rPr>
        <w:t>. New York: Guilford Press</w:t>
      </w:r>
      <w:r>
        <w:rPr>
          <w:lang w:eastAsia="en-GB"/>
        </w:rPr>
        <w:t xml:space="preserve">, p.258. </w:t>
      </w:r>
    </w:p>
    <w:p w14:paraId="4CD10DF9" w14:textId="77777777" w:rsidR="00E23830" w:rsidRPr="00642379" w:rsidRDefault="00E23830" w:rsidP="00642379">
      <w:pPr>
        <w:shd w:val="clear" w:color="auto" w:fill="FFFFFF"/>
        <w:spacing w:after="0" w:line="0" w:lineRule="auto"/>
        <w:rPr>
          <w:rFonts w:ascii="ff4" w:eastAsia="Times New Roman" w:hAnsi="ff4" w:cs="Times New Roman"/>
          <w:color w:val="000000"/>
          <w:spacing w:val="1"/>
          <w:sz w:val="60"/>
          <w:szCs w:val="60"/>
          <w:lang w:eastAsia="en-GB"/>
        </w:rPr>
      </w:pPr>
      <w:r w:rsidRPr="00642379">
        <w:rPr>
          <w:rFonts w:ascii="ff4" w:eastAsia="Times New Roman" w:hAnsi="ff4" w:cs="Times New Roman"/>
          <w:color w:val="000000"/>
          <w:spacing w:val="1"/>
          <w:sz w:val="60"/>
          <w:szCs w:val="60"/>
          <w:lang w:eastAsia="en-GB"/>
        </w:rPr>
        <w:t>Educational Psychology in Practice</w:t>
      </w:r>
      <w:r w:rsidRPr="00642379">
        <w:rPr>
          <w:rFonts w:ascii="ff1" w:eastAsia="Times New Roman" w:hAnsi="ff1" w:cs="Times New Roman"/>
          <w:color w:val="000000"/>
          <w:spacing w:val="1"/>
          <w:sz w:val="60"/>
          <w:szCs w:val="60"/>
          <w:lang w:eastAsia="en-GB"/>
        </w:rPr>
        <w:t xml:space="preserve">, </w:t>
      </w:r>
      <w:r w:rsidRPr="00642379">
        <w:rPr>
          <w:rFonts w:ascii="ff4" w:eastAsia="Times New Roman" w:hAnsi="ff4" w:cs="Times New Roman"/>
          <w:color w:val="000000"/>
          <w:spacing w:val="-2"/>
          <w:sz w:val="60"/>
          <w:szCs w:val="60"/>
          <w:lang w:eastAsia="en-GB"/>
        </w:rPr>
        <w:t>21</w:t>
      </w:r>
      <w:r w:rsidRPr="00642379">
        <w:rPr>
          <w:rFonts w:ascii="ff1" w:eastAsia="Times New Roman" w:hAnsi="ff1" w:cs="Times New Roman"/>
          <w:color w:val="000000"/>
          <w:spacing w:val="-2"/>
          <w:sz w:val="60"/>
          <w:szCs w:val="60"/>
          <w:lang w:eastAsia="en-GB"/>
        </w:rPr>
        <w:t xml:space="preserve">(3), 197-217. http://dx.doi.org/10.1080/02667360500205883 </w:t>
      </w:r>
    </w:p>
    <w:p w14:paraId="0B11E0C1" w14:textId="77777777" w:rsidR="00E23830" w:rsidRPr="00642379" w:rsidRDefault="00E23830" w:rsidP="00642379">
      <w:pPr>
        <w:shd w:val="clear" w:color="auto" w:fill="FFFFFF"/>
        <w:spacing w:after="0" w:line="0" w:lineRule="auto"/>
        <w:rPr>
          <w:rFonts w:ascii="ff4" w:eastAsia="Times New Roman" w:hAnsi="ff4" w:cs="Times New Roman"/>
          <w:color w:val="000000"/>
          <w:spacing w:val="1"/>
          <w:sz w:val="60"/>
          <w:szCs w:val="60"/>
          <w:lang w:eastAsia="en-GB"/>
        </w:rPr>
      </w:pPr>
      <w:r w:rsidRPr="00642379">
        <w:rPr>
          <w:rFonts w:ascii="ff4" w:eastAsia="Times New Roman" w:hAnsi="ff4" w:cs="Times New Roman"/>
          <w:color w:val="000000"/>
          <w:spacing w:val="1"/>
          <w:sz w:val="60"/>
          <w:szCs w:val="60"/>
          <w:lang w:eastAsia="en-GB"/>
        </w:rPr>
        <w:t>Educational Psychology in Practice</w:t>
      </w:r>
      <w:r w:rsidRPr="00642379">
        <w:rPr>
          <w:rFonts w:ascii="ff1" w:eastAsia="Times New Roman" w:hAnsi="ff1" w:cs="Times New Roman"/>
          <w:color w:val="000000"/>
          <w:spacing w:val="1"/>
          <w:sz w:val="60"/>
          <w:szCs w:val="60"/>
          <w:lang w:eastAsia="en-GB"/>
        </w:rPr>
        <w:t xml:space="preserve">, </w:t>
      </w:r>
      <w:r w:rsidRPr="00642379">
        <w:rPr>
          <w:rFonts w:ascii="ff4" w:eastAsia="Times New Roman" w:hAnsi="ff4" w:cs="Times New Roman"/>
          <w:color w:val="000000"/>
          <w:spacing w:val="-2"/>
          <w:sz w:val="60"/>
          <w:szCs w:val="60"/>
          <w:lang w:eastAsia="en-GB"/>
        </w:rPr>
        <w:t>21</w:t>
      </w:r>
      <w:r w:rsidRPr="00642379">
        <w:rPr>
          <w:rFonts w:ascii="ff1" w:eastAsia="Times New Roman" w:hAnsi="ff1" w:cs="Times New Roman"/>
          <w:color w:val="000000"/>
          <w:spacing w:val="-2"/>
          <w:sz w:val="60"/>
          <w:szCs w:val="60"/>
          <w:lang w:eastAsia="en-GB"/>
        </w:rPr>
        <w:t xml:space="preserve">(3), 197-217. http://dx.doi.org/10.1080/02667360500205883 </w:t>
      </w:r>
    </w:p>
    <w:p w14:paraId="47E7F0AE" w14:textId="77777777" w:rsidR="00E23830" w:rsidRDefault="00E23830" w:rsidP="008D5EED">
      <w:pPr>
        <w:pStyle w:val="AssignBody"/>
        <w:rPr>
          <w:lang w:eastAsia="en-GB"/>
        </w:rPr>
      </w:pPr>
      <w:r w:rsidRPr="008D5EED">
        <w:rPr>
          <w:lang w:eastAsia="en-GB"/>
        </w:rPr>
        <w:t>Estyn (2017</w:t>
      </w:r>
      <w:r>
        <w:rPr>
          <w:lang w:eastAsia="en-GB"/>
        </w:rPr>
        <w:t>a</w:t>
      </w:r>
      <w:r w:rsidRPr="008D5EED">
        <w:rPr>
          <w:lang w:eastAsia="en-GB"/>
        </w:rPr>
        <w:t xml:space="preserve">). </w:t>
      </w:r>
      <w:r w:rsidRPr="008D5EED">
        <w:rPr>
          <w:i/>
          <w:iCs/>
          <w:lang w:eastAsia="en-GB"/>
        </w:rPr>
        <w:t>Common Inspection Framework from September 2017</w:t>
      </w:r>
      <w:r w:rsidRPr="008D5EED">
        <w:rPr>
          <w:lang w:eastAsia="en-GB"/>
        </w:rPr>
        <w:t xml:space="preserve">. [online] </w:t>
      </w:r>
      <w:r w:rsidRPr="008D5EED">
        <w:rPr>
          <w:i/>
          <w:iCs/>
          <w:lang w:eastAsia="en-GB"/>
        </w:rPr>
        <w:t>estyn.gov.wales</w:t>
      </w:r>
      <w:r w:rsidRPr="008D5EED">
        <w:rPr>
          <w:lang w:eastAsia="en-GB"/>
        </w:rPr>
        <w:t xml:space="preserve">. Cardiff: Estyn. Available at: </w:t>
      </w:r>
      <w:hyperlink r:id="rId11" w:history="1">
        <w:r w:rsidRPr="00642975">
          <w:rPr>
            <w:rStyle w:val="Hyperlink"/>
            <w:lang w:eastAsia="en-GB"/>
          </w:rPr>
          <w:t>https://www.estyn.gov.wales/system/files/2020-07/2017%2520-final%2520CIF.pdf</w:t>
        </w:r>
      </w:hyperlink>
      <w:r>
        <w:rPr>
          <w:lang w:eastAsia="en-GB"/>
        </w:rPr>
        <w:t xml:space="preserve"> (</w:t>
      </w:r>
      <w:r w:rsidRPr="008D5EED">
        <w:rPr>
          <w:lang w:eastAsia="en-GB"/>
        </w:rPr>
        <w:t>Accessed 16 Apr</w:t>
      </w:r>
      <w:r>
        <w:rPr>
          <w:lang w:eastAsia="en-GB"/>
        </w:rPr>
        <w:t>il</w:t>
      </w:r>
      <w:r w:rsidRPr="008D5EED">
        <w:rPr>
          <w:lang w:eastAsia="en-GB"/>
        </w:rPr>
        <w:t xml:space="preserve"> 2021</w:t>
      </w:r>
      <w:r>
        <w:rPr>
          <w:lang w:eastAsia="en-GB"/>
        </w:rPr>
        <w:t>)</w:t>
      </w:r>
      <w:r w:rsidRPr="008D5EED">
        <w:rPr>
          <w:lang w:eastAsia="en-GB"/>
        </w:rPr>
        <w:t>.</w:t>
      </w:r>
    </w:p>
    <w:p w14:paraId="28090F44" w14:textId="77777777" w:rsidR="00E23830" w:rsidRDefault="00E23830" w:rsidP="0076776B">
      <w:pPr>
        <w:pStyle w:val="AssignBody"/>
      </w:pPr>
      <w:r>
        <w:t xml:space="preserve">Estyn (2017b). </w:t>
      </w:r>
      <w:r>
        <w:rPr>
          <w:i/>
          <w:iCs/>
        </w:rPr>
        <w:t xml:space="preserve">A report on </w:t>
      </w:r>
      <w:r w:rsidRPr="0076776B">
        <w:rPr>
          <w:i/>
          <w:iCs/>
          <w:highlight w:val="black"/>
        </w:rPr>
        <w:t>Burlais</w:t>
      </w:r>
      <w:r>
        <w:rPr>
          <w:i/>
          <w:iCs/>
        </w:rPr>
        <w:t xml:space="preserve"> Primary School </w:t>
      </w:r>
      <w:r w:rsidRPr="0076776B">
        <w:rPr>
          <w:i/>
          <w:iCs/>
          <w:highlight w:val="black"/>
        </w:rPr>
        <w:t>Gerddi Alexander Cwmbwrla Swansea SA5 8BN</w:t>
      </w:r>
      <w:r>
        <w:t xml:space="preserve">. [online] </w:t>
      </w:r>
      <w:r>
        <w:rPr>
          <w:i/>
          <w:iCs/>
        </w:rPr>
        <w:t>estyn.gov.wales</w:t>
      </w:r>
      <w:r>
        <w:t xml:space="preserve">, Cardiff: Estyn, pp.1–11. Available at: </w:t>
      </w:r>
      <w:hyperlink r:id="rId12" w:history="1">
        <w:r w:rsidRPr="0076776B">
          <w:rPr>
            <w:rStyle w:val="Hyperlink"/>
            <w:color w:val="auto"/>
          </w:rPr>
          <w:t>https://www.estyn.gov.wales/system/files/2020-08/</w:t>
        </w:r>
        <w:r w:rsidRPr="0076776B">
          <w:rPr>
            <w:rStyle w:val="Hyperlink"/>
            <w:color w:val="auto"/>
            <w:highlight w:val="black"/>
          </w:rPr>
          <w:t>Burlais</w:t>
        </w:r>
        <w:r w:rsidRPr="0076776B">
          <w:rPr>
            <w:rStyle w:val="Hyperlink"/>
            <w:color w:val="auto"/>
          </w:rPr>
          <w:t>%2520</w:t>
        </w:r>
        <w:r w:rsidRPr="0076776B">
          <w:rPr>
            <w:rStyle w:val="Hyperlink"/>
            <w:color w:val="auto"/>
            <w:highlight w:val="black"/>
          </w:rPr>
          <w:t>Primary</w:t>
        </w:r>
        <w:r w:rsidRPr="0076776B">
          <w:rPr>
            <w:rStyle w:val="Hyperlink"/>
            <w:color w:val="auto"/>
          </w:rPr>
          <w:t>%2520School.pdf</w:t>
        </w:r>
      </w:hyperlink>
      <w:r>
        <w:t xml:space="preserve"> (Accessed 16 April 2021).</w:t>
      </w:r>
    </w:p>
    <w:p w14:paraId="7E9B6530" w14:textId="77777777" w:rsidR="00E23830" w:rsidRPr="00D77EC4" w:rsidRDefault="00E23830" w:rsidP="00D77EC4">
      <w:pPr>
        <w:pStyle w:val="AssignBody"/>
        <w:rPr>
          <w:lang w:eastAsia="en-GB"/>
        </w:rPr>
      </w:pPr>
      <w:r w:rsidRPr="00D77EC4">
        <w:rPr>
          <w:lang w:eastAsia="en-GB"/>
        </w:rPr>
        <w:t xml:space="preserve">Estyn (2018). </w:t>
      </w:r>
      <w:r w:rsidRPr="00D77EC4">
        <w:rPr>
          <w:i/>
          <w:iCs/>
          <w:lang w:eastAsia="en-GB"/>
        </w:rPr>
        <w:t>Effective strategies support the social and emotional wellbeing of pupils</w:t>
      </w:r>
      <w:r w:rsidRPr="00D77EC4">
        <w:rPr>
          <w:lang w:eastAsia="en-GB"/>
        </w:rPr>
        <w:t xml:space="preserve">. [online] </w:t>
      </w:r>
      <w:proofErr w:type="spellStart"/>
      <w:r w:rsidRPr="00D77EC4">
        <w:rPr>
          <w:i/>
          <w:iCs/>
          <w:lang w:eastAsia="en-GB"/>
        </w:rPr>
        <w:t>estyn.gov.wales</w:t>
      </w:r>
      <w:proofErr w:type="spellEnd"/>
      <w:r w:rsidRPr="00D77EC4">
        <w:rPr>
          <w:lang w:eastAsia="en-GB"/>
        </w:rPr>
        <w:t xml:space="preserve">. Cardiff: Estyn. Available at: </w:t>
      </w:r>
      <w:hyperlink r:id="rId13" w:history="1">
        <w:r w:rsidRPr="00A214FB">
          <w:rPr>
            <w:rStyle w:val="Hyperlink"/>
            <w:lang w:eastAsia="en-GB"/>
          </w:rPr>
          <w:t>https://www.estyn.gov.wales/effective-practice/effective-strategies-support-social-and-emotional-wellbeing-pupils</w:t>
        </w:r>
      </w:hyperlink>
      <w:r>
        <w:rPr>
          <w:lang w:eastAsia="en-GB"/>
        </w:rPr>
        <w:t xml:space="preserve"> (</w:t>
      </w:r>
      <w:r w:rsidRPr="00D77EC4">
        <w:rPr>
          <w:lang w:eastAsia="en-GB"/>
        </w:rPr>
        <w:t>Accessed 2 May 2021</w:t>
      </w:r>
      <w:r>
        <w:rPr>
          <w:lang w:eastAsia="en-GB"/>
        </w:rPr>
        <w:t>)</w:t>
      </w:r>
      <w:r w:rsidRPr="00D77EC4">
        <w:rPr>
          <w:lang w:eastAsia="en-GB"/>
        </w:rPr>
        <w:t>.</w:t>
      </w:r>
    </w:p>
    <w:p w14:paraId="2A85D933"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Fisher, R. (2001). </w:t>
      </w:r>
      <w:r w:rsidRPr="00642379">
        <w:rPr>
          <w:rFonts w:ascii="ff4" w:eastAsia="Times New Roman" w:hAnsi="ff4" w:cs="Times New Roman"/>
          <w:color w:val="000000"/>
          <w:spacing w:val="-1"/>
          <w:sz w:val="60"/>
          <w:szCs w:val="60"/>
          <w:lang w:eastAsia="en-GB"/>
        </w:rPr>
        <w:t>Values for Thinking</w:t>
      </w:r>
      <w:r w:rsidRPr="00642379">
        <w:rPr>
          <w:rFonts w:ascii="ff1" w:eastAsia="Times New Roman" w:hAnsi="ff1" w:cs="Times New Roman"/>
          <w:color w:val="000000"/>
          <w:spacing w:val="1"/>
          <w:sz w:val="60"/>
          <w:szCs w:val="60"/>
          <w:lang w:eastAsia="en-GB"/>
        </w:rPr>
        <w:t>.</w:t>
      </w:r>
      <w:r w:rsidRPr="00642379">
        <w:rPr>
          <w:rFonts w:ascii="ff4" w:eastAsia="Times New Roman" w:hAnsi="ff4" w:cs="Times New Roman"/>
          <w:color w:val="000000"/>
          <w:sz w:val="60"/>
          <w:szCs w:val="60"/>
          <w:lang w:eastAsia="en-GB"/>
        </w:rPr>
        <w:t xml:space="preserve"> </w:t>
      </w:r>
      <w:r w:rsidRPr="00642379">
        <w:rPr>
          <w:rFonts w:ascii="ff1" w:eastAsia="Times New Roman" w:hAnsi="ff1" w:cs="Times New Roman"/>
          <w:color w:val="000000"/>
          <w:spacing w:val="-1"/>
          <w:sz w:val="60"/>
          <w:szCs w:val="60"/>
          <w:lang w:eastAsia="en-GB"/>
        </w:rPr>
        <w:t xml:space="preserve">Oxford: Nash Pollock.   </w:t>
      </w:r>
    </w:p>
    <w:p w14:paraId="6BEA4F9E"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Fisher, R. (2001). </w:t>
      </w:r>
      <w:r w:rsidRPr="00642379">
        <w:rPr>
          <w:rFonts w:ascii="ff4" w:eastAsia="Times New Roman" w:hAnsi="ff4" w:cs="Times New Roman"/>
          <w:color w:val="000000"/>
          <w:spacing w:val="-1"/>
          <w:sz w:val="60"/>
          <w:szCs w:val="60"/>
          <w:lang w:eastAsia="en-GB"/>
        </w:rPr>
        <w:t>Values for Thinking</w:t>
      </w:r>
      <w:r w:rsidRPr="00642379">
        <w:rPr>
          <w:rFonts w:ascii="ff1" w:eastAsia="Times New Roman" w:hAnsi="ff1" w:cs="Times New Roman"/>
          <w:color w:val="000000"/>
          <w:spacing w:val="1"/>
          <w:sz w:val="60"/>
          <w:szCs w:val="60"/>
          <w:lang w:eastAsia="en-GB"/>
        </w:rPr>
        <w:t>.</w:t>
      </w:r>
      <w:r w:rsidRPr="00642379">
        <w:rPr>
          <w:rFonts w:ascii="ff4" w:eastAsia="Times New Roman" w:hAnsi="ff4" w:cs="Times New Roman"/>
          <w:color w:val="000000"/>
          <w:sz w:val="60"/>
          <w:szCs w:val="60"/>
          <w:lang w:eastAsia="en-GB"/>
        </w:rPr>
        <w:t xml:space="preserve"> </w:t>
      </w:r>
      <w:r w:rsidRPr="00642379">
        <w:rPr>
          <w:rFonts w:ascii="ff1" w:eastAsia="Times New Roman" w:hAnsi="ff1" w:cs="Times New Roman"/>
          <w:color w:val="000000"/>
          <w:spacing w:val="-1"/>
          <w:sz w:val="60"/>
          <w:szCs w:val="60"/>
          <w:lang w:eastAsia="en-GB"/>
        </w:rPr>
        <w:t xml:space="preserve">Oxford: Nash Pollock.   </w:t>
      </w:r>
    </w:p>
    <w:p w14:paraId="16FD554A" w14:textId="77777777" w:rsidR="00E23830" w:rsidRPr="00E64ABE" w:rsidRDefault="00E23830" w:rsidP="00E64ABE">
      <w:pPr>
        <w:pStyle w:val="AssignBody"/>
        <w:rPr>
          <w:lang w:eastAsia="en-GB"/>
        </w:rPr>
      </w:pPr>
      <w:r w:rsidRPr="00E64ABE">
        <w:rPr>
          <w:lang w:eastAsia="en-GB"/>
        </w:rPr>
        <w:t xml:space="preserve">Frederickson, N., Warren, L. and Turner, J. (2005). “Circle of Friends”—An Exploration of Impact Over Time. </w:t>
      </w:r>
      <w:r w:rsidRPr="00E64ABE">
        <w:rPr>
          <w:i/>
          <w:iCs/>
          <w:lang w:eastAsia="en-GB"/>
        </w:rPr>
        <w:t>Educational Psychology in Practice</w:t>
      </w:r>
      <w:r w:rsidRPr="00E64ABE">
        <w:rPr>
          <w:lang w:eastAsia="en-GB"/>
        </w:rPr>
        <w:t xml:space="preserve">, [online] 21(3), pp.197–217. Available at: </w:t>
      </w:r>
      <w:hyperlink r:id="rId14" w:history="1">
        <w:r w:rsidRPr="00A214FB">
          <w:rPr>
            <w:rStyle w:val="Hyperlink"/>
            <w:lang w:eastAsia="en-GB"/>
          </w:rPr>
          <w:t>https://www.tandfonline.com/doi/pdf/10.1080/02667360500205883</w:t>
        </w:r>
      </w:hyperlink>
      <w:r>
        <w:rPr>
          <w:lang w:eastAsia="en-GB"/>
        </w:rPr>
        <w:t xml:space="preserve"> (</w:t>
      </w:r>
      <w:r w:rsidRPr="00E64ABE">
        <w:rPr>
          <w:lang w:eastAsia="en-GB"/>
        </w:rPr>
        <w:t>Accessed 2 May 2021</w:t>
      </w:r>
      <w:r>
        <w:rPr>
          <w:lang w:eastAsia="en-GB"/>
        </w:rPr>
        <w:t>)</w:t>
      </w:r>
      <w:r w:rsidRPr="00E64ABE">
        <w:rPr>
          <w:lang w:eastAsia="en-GB"/>
        </w:rPr>
        <w:t>.</w:t>
      </w:r>
    </w:p>
    <w:p w14:paraId="0FBDB926"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Frederickson, N., Warren, l., &amp; Turner, J. (2005). Circle of Friends: An exploration of impact over time. </w:t>
      </w:r>
    </w:p>
    <w:p w14:paraId="7C74A24B"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Frederickson, N., Warren, l., &amp; Turner, J. (2005). Circle of Friends: An exploration of impact over time. </w:t>
      </w:r>
    </w:p>
    <w:p w14:paraId="21831FFE" w14:textId="77777777" w:rsidR="00E23830" w:rsidRPr="00642379" w:rsidRDefault="00E23830" w:rsidP="00642379">
      <w:pPr>
        <w:shd w:val="clear" w:color="auto" w:fill="FFFFFF"/>
        <w:spacing w:after="0" w:line="0" w:lineRule="auto"/>
        <w:rPr>
          <w:rFonts w:ascii="ff4" w:eastAsia="Times New Roman" w:hAnsi="ff4" w:cs="Times New Roman"/>
          <w:color w:val="000000"/>
          <w:spacing w:val="1"/>
          <w:sz w:val="60"/>
          <w:szCs w:val="60"/>
          <w:lang w:eastAsia="en-GB"/>
        </w:rPr>
      </w:pPr>
      <w:r w:rsidRPr="00642379">
        <w:rPr>
          <w:rFonts w:ascii="ff4" w:eastAsia="Times New Roman" w:hAnsi="ff4" w:cs="Times New Roman"/>
          <w:color w:val="000000"/>
          <w:spacing w:val="1"/>
          <w:sz w:val="60"/>
          <w:szCs w:val="60"/>
          <w:lang w:eastAsia="en-GB"/>
        </w:rPr>
        <w:t>Good practice and Future directions</w:t>
      </w:r>
      <w:r w:rsidRPr="00642379">
        <w:rPr>
          <w:rFonts w:ascii="ff1" w:eastAsia="Times New Roman" w:hAnsi="ff1" w:cs="Times New Roman"/>
          <w:color w:val="000000"/>
          <w:spacing w:val="-1"/>
          <w:sz w:val="60"/>
          <w:szCs w:val="60"/>
          <w:lang w:eastAsia="en-GB"/>
        </w:rPr>
        <w:t xml:space="preserve">. Annesley, Nottingham: Department for Education and Employment </w:t>
      </w:r>
    </w:p>
    <w:p w14:paraId="3E6F19C8" w14:textId="77777777" w:rsidR="00E23830" w:rsidRPr="00642379" w:rsidRDefault="00E23830" w:rsidP="00642379">
      <w:pPr>
        <w:shd w:val="clear" w:color="auto" w:fill="FFFFFF"/>
        <w:spacing w:after="0" w:line="0" w:lineRule="auto"/>
        <w:rPr>
          <w:rFonts w:ascii="ff4" w:eastAsia="Times New Roman" w:hAnsi="ff4" w:cs="Times New Roman"/>
          <w:color w:val="000000"/>
          <w:spacing w:val="1"/>
          <w:sz w:val="60"/>
          <w:szCs w:val="60"/>
          <w:lang w:eastAsia="en-GB"/>
        </w:rPr>
      </w:pPr>
      <w:r w:rsidRPr="00642379">
        <w:rPr>
          <w:rFonts w:ascii="ff4" w:eastAsia="Times New Roman" w:hAnsi="ff4" w:cs="Times New Roman"/>
          <w:color w:val="000000"/>
          <w:spacing w:val="1"/>
          <w:sz w:val="60"/>
          <w:szCs w:val="60"/>
          <w:lang w:eastAsia="en-GB"/>
        </w:rPr>
        <w:t>Good practice and Future directions</w:t>
      </w:r>
      <w:r w:rsidRPr="00642379">
        <w:rPr>
          <w:rFonts w:ascii="ff1" w:eastAsia="Times New Roman" w:hAnsi="ff1" w:cs="Times New Roman"/>
          <w:color w:val="000000"/>
          <w:spacing w:val="-1"/>
          <w:sz w:val="60"/>
          <w:szCs w:val="60"/>
          <w:lang w:eastAsia="en-GB"/>
        </w:rPr>
        <w:t xml:space="preserve">. Annesley, Nottingham: Department for Education and Employment </w:t>
      </w:r>
    </w:p>
    <w:p w14:paraId="473CE493" w14:textId="77777777" w:rsidR="00E23830" w:rsidRPr="00B96E36" w:rsidRDefault="00E23830" w:rsidP="00B96E36">
      <w:pPr>
        <w:pStyle w:val="AssignBody"/>
        <w:rPr>
          <w:lang w:eastAsia="en-GB"/>
        </w:rPr>
      </w:pPr>
      <w:proofErr w:type="spellStart"/>
      <w:r w:rsidRPr="00B96E36">
        <w:rPr>
          <w:lang w:eastAsia="en-GB"/>
        </w:rPr>
        <w:t>Housego</w:t>
      </w:r>
      <w:proofErr w:type="spellEnd"/>
      <w:r w:rsidRPr="00B96E36">
        <w:rPr>
          <w:lang w:eastAsia="en-GB"/>
        </w:rPr>
        <w:t xml:space="preserve">, E. and Burns, C. (1994). Are You Sitting </w:t>
      </w:r>
      <w:proofErr w:type="gramStart"/>
      <w:r w:rsidRPr="00B96E36">
        <w:rPr>
          <w:lang w:eastAsia="en-GB"/>
        </w:rPr>
        <w:t>too</w:t>
      </w:r>
      <w:proofErr w:type="gramEnd"/>
      <w:r w:rsidRPr="00B96E36">
        <w:rPr>
          <w:lang w:eastAsia="en-GB"/>
        </w:rPr>
        <w:t xml:space="preserve"> Comfortably? A Critical Look at “Circle Time” in Primary Classrooms. </w:t>
      </w:r>
      <w:r w:rsidRPr="00B96E36">
        <w:rPr>
          <w:i/>
          <w:iCs/>
          <w:lang w:eastAsia="en-GB"/>
        </w:rPr>
        <w:t>English in Education</w:t>
      </w:r>
      <w:r w:rsidRPr="00B96E36">
        <w:rPr>
          <w:lang w:eastAsia="en-GB"/>
        </w:rPr>
        <w:t xml:space="preserve">, [online] 28(2), pp.23–30. Available at: </w:t>
      </w:r>
      <w:hyperlink r:id="rId15" w:history="1">
        <w:r w:rsidRPr="00A214FB">
          <w:rPr>
            <w:rStyle w:val="Hyperlink"/>
            <w:lang w:eastAsia="en-GB"/>
          </w:rPr>
          <w:t>https://onlinelibrary.wiley.com/doi/epdf/10.1111/j.1754-8845.1994.tb01117.x?saml_referrer</w:t>
        </w:r>
      </w:hyperlink>
      <w:r>
        <w:rPr>
          <w:lang w:eastAsia="en-GB"/>
        </w:rPr>
        <w:t xml:space="preserve"> (</w:t>
      </w:r>
      <w:r w:rsidRPr="00B96E36">
        <w:rPr>
          <w:lang w:eastAsia="en-GB"/>
        </w:rPr>
        <w:t>Accessed 2 May 2021</w:t>
      </w:r>
      <w:r>
        <w:rPr>
          <w:lang w:eastAsia="en-GB"/>
        </w:rPr>
        <w:t>).</w:t>
      </w:r>
    </w:p>
    <w:p w14:paraId="0619A9DB"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proofErr w:type="spellStart"/>
      <w:r w:rsidRPr="00642379">
        <w:rPr>
          <w:rFonts w:ascii="ff1" w:eastAsia="Times New Roman" w:hAnsi="ff1" w:cs="Times New Roman"/>
          <w:color w:val="000000"/>
          <w:spacing w:val="-1"/>
          <w:sz w:val="60"/>
          <w:szCs w:val="60"/>
          <w:lang w:eastAsia="en-GB"/>
        </w:rPr>
        <w:t>Housego</w:t>
      </w:r>
      <w:proofErr w:type="spellEnd"/>
      <w:r w:rsidRPr="00642379">
        <w:rPr>
          <w:rFonts w:ascii="ff1" w:eastAsia="Times New Roman" w:hAnsi="ff1" w:cs="Times New Roman"/>
          <w:color w:val="000000"/>
          <w:spacing w:val="-1"/>
          <w:sz w:val="60"/>
          <w:szCs w:val="60"/>
          <w:lang w:eastAsia="en-GB"/>
        </w:rPr>
        <w:t xml:space="preserve">, E., &amp; Burns, C. (1994). Are you sitting too comfortably? A critical look at “Circle time” in primary </w:t>
      </w:r>
    </w:p>
    <w:p w14:paraId="2195F0DB"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proofErr w:type="spellStart"/>
      <w:r w:rsidRPr="00642379">
        <w:rPr>
          <w:rFonts w:ascii="ff1" w:eastAsia="Times New Roman" w:hAnsi="ff1" w:cs="Times New Roman"/>
          <w:color w:val="000000"/>
          <w:spacing w:val="-1"/>
          <w:sz w:val="60"/>
          <w:szCs w:val="60"/>
          <w:lang w:eastAsia="en-GB"/>
        </w:rPr>
        <w:t>Housego</w:t>
      </w:r>
      <w:proofErr w:type="spellEnd"/>
      <w:r w:rsidRPr="00642379">
        <w:rPr>
          <w:rFonts w:ascii="ff1" w:eastAsia="Times New Roman" w:hAnsi="ff1" w:cs="Times New Roman"/>
          <w:color w:val="000000"/>
          <w:spacing w:val="-1"/>
          <w:sz w:val="60"/>
          <w:szCs w:val="60"/>
          <w:lang w:eastAsia="en-GB"/>
        </w:rPr>
        <w:t xml:space="preserve">, E., &amp; Burns, C. (1994). Are you sitting too comfortably? A critical look at “Circle time” in primary </w:t>
      </w:r>
    </w:p>
    <w:p w14:paraId="1045C12D" w14:textId="77777777" w:rsidR="00E23830" w:rsidRPr="00752D81" w:rsidRDefault="00E23830" w:rsidP="00752D81">
      <w:pPr>
        <w:shd w:val="clear" w:color="auto" w:fill="FFFFFF"/>
        <w:spacing w:after="0" w:line="0" w:lineRule="auto"/>
        <w:rPr>
          <w:rFonts w:ascii="ff1" w:eastAsia="Times New Roman" w:hAnsi="ff1" w:cs="Times New Roman"/>
          <w:color w:val="000000"/>
          <w:spacing w:val="-1"/>
          <w:sz w:val="60"/>
          <w:szCs w:val="60"/>
          <w:lang w:eastAsia="en-GB"/>
        </w:rPr>
      </w:pPr>
      <w:proofErr w:type="spellStart"/>
      <w:r w:rsidRPr="00752D81">
        <w:rPr>
          <w:rFonts w:ascii="ff1" w:eastAsia="Times New Roman" w:hAnsi="ff1" w:cs="Times New Roman"/>
          <w:color w:val="000000"/>
          <w:spacing w:val="-1"/>
          <w:sz w:val="60"/>
          <w:szCs w:val="60"/>
          <w:lang w:eastAsia="en-GB"/>
        </w:rPr>
        <w:t>Housego</w:t>
      </w:r>
      <w:proofErr w:type="spellEnd"/>
      <w:r w:rsidRPr="00752D81">
        <w:rPr>
          <w:rFonts w:ascii="ff1" w:eastAsia="Times New Roman" w:hAnsi="ff1" w:cs="Times New Roman"/>
          <w:color w:val="000000"/>
          <w:spacing w:val="-1"/>
          <w:sz w:val="60"/>
          <w:szCs w:val="60"/>
          <w:lang w:eastAsia="en-GB"/>
        </w:rPr>
        <w:t xml:space="preserve">, E., &amp; Burns, C. (1994). Are you sitting too comfortably? A critical look at “Circle time” in primary </w:t>
      </w:r>
    </w:p>
    <w:p w14:paraId="5F1096FD" w14:textId="77777777" w:rsidR="00E23830" w:rsidRPr="00642379" w:rsidRDefault="00E23830" w:rsidP="00642379">
      <w:pPr>
        <w:shd w:val="clear" w:color="auto" w:fill="FFFFFF"/>
        <w:spacing w:after="0" w:line="0" w:lineRule="auto"/>
        <w:rPr>
          <w:rFonts w:ascii="ff1" w:eastAsia="Times New Roman" w:hAnsi="ff1" w:cs="Times New Roman"/>
          <w:color w:val="000000"/>
          <w:sz w:val="54"/>
          <w:szCs w:val="54"/>
          <w:lang w:eastAsia="en-GB"/>
        </w:rPr>
      </w:pPr>
      <w:r w:rsidRPr="00642379">
        <w:rPr>
          <w:rFonts w:ascii="ff1" w:eastAsia="Times New Roman" w:hAnsi="ff1" w:cs="Times New Roman"/>
          <w:color w:val="000000"/>
          <w:sz w:val="54"/>
          <w:szCs w:val="54"/>
          <w:lang w:eastAsia="en-GB"/>
        </w:rPr>
        <w:t xml:space="preserve">jedp.ccsenet.org  Journal of Educational and Developmental Psychology  Vol. 6, No. 2; 2016 </w:t>
      </w:r>
    </w:p>
    <w:p w14:paraId="1A7D583B" w14:textId="77777777" w:rsidR="00E23830" w:rsidRPr="00642379" w:rsidRDefault="00E23830" w:rsidP="00642379">
      <w:pPr>
        <w:shd w:val="clear" w:color="auto" w:fill="FFFFFF"/>
        <w:spacing w:after="0" w:line="0" w:lineRule="auto"/>
        <w:rPr>
          <w:rFonts w:ascii="ff1" w:eastAsia="Times New Roman" w:hAnsi="ff1" w:cs="Times New Roman"/>
          <w:color w:val="000000"/>
          <w:sz w:val="54"/>
          <w:szCs w:val="54"/>
          <w:lang w:eastAsia="en-GB"/>
        </w:rPr>
      </w:pPr>
      <w:r w:rsidRPr="00642379">
        <w:rPr>
          <w:rFonts w:ascii="ff1" w:eastAsia="Times New Roman" w:hAnsi="ff1" w:cs="Times New Roman"/>
          <w:color w:val="000000"/>
          <w:sz w:val="54"/>
          <w:szCs w:val="54"/>
          <w:lang w:eastAsia="en-GB"/>
        </w:rPr>
        <w:t xml:space="preserve">jedp.ccsenet.org  Journal of Educational and Developmental Psychology  Vol. 6, No. 2; 2016 </w:t>
      </w:r>
    </w:p>
    <w:p w14:paraId="55AE8DA0" w14:textId="77777777" w:rsidR="00E23830" w:rsidRPr="00A51941" w:rsidRDefault="00E23830" w:rsidP="00A51941">
      <w:pPr>
        <w:pStyle w:val="AssignBody"/>
        <w:rPr>
          <w:lang w:eastAsia="en-GB"/>
        </w:rPr>
      </w:pPr>
      <w:r w:rsidRPr="00A51941">
        <w:rPr>
          <w:lang w:eastAsia="en-GB"/>
        </w:rPr>
        <w:t xml:space="preserve">Lang, P. (1998). Getting Round to Clarity: What Do We Mean by Circle Time? </w:t>
      </w:r>
      <w:r w:rsidRPr="00A51941">
        <w:rPr>
          <w:i/>
          <w:iCs/>
          <w:lang w:eastAsia="en-GB"/>
        </w:rPr>
        <w:t>Pastoral Care in Education</w:t>
      </w:r>
      <w:r w:rsidRPr="00A51941">
        <w:rPr>
          <w:lang w:eastAsia="en-GB"/>
        </w:rPr>
        <w:t xml:space="preserve">, [online] 16(3), pp.3–10. Available at: </w:t>
      </w:r>
      <w:hyperlink r:id="rId16" w:history="1">
        <w:r w:rsidRPr="00A51941">
          <w:rPr>
            <w:rStyle w:val="Hyperlink"/>
            <w:rFonts w:ascii="Times New Roman" w:eastAsia="Times New Roman" w:hAnsi="Times New Roman" w:cs="Times New Roman"/>
            <w:sz w:val="24"/>
            <w:szCs w:val="24"/>
            <w:lang w:eastAsia="en-GB"/>
          </w:rPr>
          <w:t>https://www.tandfonline.com/doi/pdf/10.1111/1468-0122.00096?needAccess=true</w:t>
        </w:r>
      </w:hyperlink>
      <w:r>
        <w:rPr>
          <w:lang w:eastAsia="en-GB"/>
        </w:rPr>
        <w:t xml:space="preserve"> </w:t>
      </w:r>
      <w:r w:rsidRPr="00A51941">
        <w:rPr>
          <w:lang w:eastAsia="en-GB"/>
        </w:rPr>
        <w:t>Accessed 2 May 202</w:t>
      </w:r>
      <w:r>
        <w:rPr>
          <w:lang w:eastAsia="en-GB"/>
        </w:rPr>
        <w:t>1)</w:t>
      </w:r>
      <w:r w:rsidRPr="00A51941">
        <w:rPr>
          <w:lang w:eastAsia="en-GB"/>
        </w:rPr>
        <w:t>.</w:t>
      </w:r>
    </w:p>
    <w:p w14:paraId="247C03D3" w14:textId="77777777" w:rsidR="00E23830" w:rsidRPr="00132544" w:rsidRDefault="00E23830" w:rsidP="00132544">
      <w:pPr>
        <w:pStyle w:val="AssignBody"/>
        <w:rPr>
          <w:lang w:eastAsia="en-GB"/>
        </w:rPr>
      </w:pPr>
      <w:r w:rsidRPr="00132544">
        <w:rPr>
          <w:lang w:eastAsia="en-GB"/>
        </w:rPr>
        <w:t xml:space="preserve">Miller, D. and Moran, T. (2005). One in Three? Teachers’ Attempts to Identify Low Self-Esteem Children. </w:t>
      </w:r>
      <w:r w:rsidRPr="00132544">
        <w:rPr>
          <w:i/>
          <w:iCs/>
          <w:lang w:eastAsia="en-GB"/>
        </w:rPr>
        <w:t>Pastoral Care in Education</w:t>
      </w:r>
      <w:r w:rsidRPr="00132544">
        <w:rPr>
          <w:lang w:eastAsia="en-GB"/>
        </w:rPr>
        <w:t xml:space="preserve">, [online] 23(4), pp.25–30. Available at: </w:t>
      </w:r>
      <w:hyperlink r:id="rId17" w:history="1">
        <w:r w:rsidRPr="00A214FB">
          <w:rPr>
            <w:rStyle w:val="Hyperlink"/>
            <w:lang w:eastAsia="en-GB"/>
          </w:rPr>
          <w:t>https://www.tandfonline.com/doi/pdf/10.1111/j.1468-0122.2005.00348.x?needAccess=true</w:t>
        </w:r>
      </w:hyperlink>
      <w:r>
        <w:rPr>
          <w:lang w:eastAsia="en-GB"/>
        </w:rPr>
        <w:t xml:space="preserve"> (</w:t>
      </w:r>
      <w:r w:rsidRPr="00132544">
        <w:rPr>
          <w:lang w:eastAsia="en-GB"/>
        </w:rPr>
        <w:t>Accessed 2 May 2021</w:t>
      </w:r>
      <w:r>
        <w:rPr>
          <w:lang w:eastAsia="en-GB"/>
        </w:rPr>
        <w:t>)</w:t>
      </w:r>
      <w:r w:rsidRPr="00132544">
        <w:rPr>
          <w:lang w:eastAsia="en-GB"/>
        </w:rPr>
        <w:t>.</w:t>
      </w:r>
    </w:p>
    <w:p w14:paraId="44AB812E" w14:textId="77777777" w:rsidR="00E23830" w:rsidRPr="00642379" w:rsidRDefault="00E23830" w:rsidP="00642379">
      <w:pPr>
        <w:shd w:val="clear" w:color="auto" w:fill="FFFFFF"/>
        <w:spacing w:after="0" w:line="0" w:lineRule="auto"/>
        <w:rPr>
          <w:rFonts w:ascii="ff4" w:eastAsia="Times New Roman" w:hAnsi="ff4" w:cs="Times New Roman"/>
          <w:color w:val="000000"/>
          <w:spacing w:val="1"/>
          <w:sz w:val="60"/>
          <w:szCs w:val="60"/>
          <w:lang w:eastAsia="en-GB"/>
        </w:rPr>
      </w:pPr>
      <w:r w:rsidRPr="00642379">
        <w:rPr>
          <w:rFonts w:ascii="ff4" w:eastAsia="Times New Roman" w:hAnsi="ff4" w:cs="Times New Roman"/>
          <w:color w:val="000000"/>
          <w:spacing w:val="1"/>
          <w:sz w:val="60"/>
          <w:szCs w:val="60"/>
          <w:lang w:eastAsia="en-GB"/>
        </w:rPr>
        <w:t>Primary Classroom</w:t>
      </w:r>
      <w:r w:rsidRPr="00642379">
        <w:rPr>
          <w:rFonts w:ascii="ff1" w:eastAsia="Times New Roman" w:hAnsi="ff1" w:cs="Times New Roman"/>
          <w:color w:val="000000"/>
          <w:spacing w:val="-2"/>
          <w:sz w:val="60"/>
          <w:szCs w:val="60"/>
          <w:lang w:eastAsia="en-GB"/>
        </w:rPr>
        <w:t xml:space="preserve">. Wisbech: LDA. </w:t>
      </w:r>
    </w:p>
    <w:p w14:paraId="02879F27" w14:textId="77777777" w:rsidR="00E23830" w:rsidRPr="00642379" w:rsidRDefault="00E23830" w:rsidP="00642379">
      <w:pPr>
        <w:shd w:val="clear" w:color="auto" w:fill="FFFFFF"/>
        <w:spacing w:after="0" w:line="0" w:lineRule="auto"/>
        <w:rPr>
          <w:rFonts w:ascii="ff4" w:eastAsia="Times New Roman" w:hAnsi="ff4" w:cs="Times New Roman"/>
          <w:color w:val="000000"/>
          <w:spacing w:val="1"/>
          <w:sz w:val="60"/>
          <w:szCs w:val="60"/>
          <w:lang w:eastAsia="en-GB"/>
        </w:rPr>
      </w:pPr>
      <w:r w:rsidRPr="00642379">
        <w:rPr>
          <w:rFonts w:ascii="ff4" w:eastAsia="Times New Roman" w:hAnsi="ff4" w:cs="Times New Roman"/>
          <w:color w:val="000000"/>
          <w:spacing w:val="1"/>
          <w:sz w:val="60"/>
          <w:szCs w:val="60"/>
          <w:lang w:eastAsia="en-GB"/>
        </w:rPr>
        <w:t>Primary Classroom</w:t>
      </w:r>
      <w:r w:rsidRPr="00642379">
        <w:rPr>
          <w:rFonts w:ascii="ff1" w:eastAsia="Times New Roman" w:hAnsi="ff1" w:cs="Times New Roman"/>
          <w:color w:val="000000"/>
          <w:spacing w:val="-2"/>
          <w:sz w:val="60"/>
          <w:szCs w:val="60"/>
          <w:lang w:eastAsia="en-GB"/>
        </w:rPr>
        <w:t xml:space="preserve">. Wisbech: LDA. </w:t>
      </w:r>
    </w:p>
    <w:p w14:paraId="27F13BB0"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Publications.  </w:t>
      </w:r>
      <w:r w:rsidRPr="00642379">
        <w:rPr>
          <w:rFonts w:ascii="ff4" w:eastAsia="Times New Roman" w:hAnsi="ff4" w:cs="Times New Roman"/>
          <w:color w:val="000000"/>
          <w:sz w:val="60"/>
          <w:szCs w:val="60"/>
          <w:lang w:eastAsia="en-GB"/>
        </w:rPr>
        <w:t xml:space="preserve"> </w:t>
      </w:r>
    </w:p>
    <w:p w14:paraId="6C8BA255" w14:textId="77777777" w:rsidR="00E23830" w:rsidRPr="00642379" w:rsidRDefault="00E23830" w:rsidP="00642379">
      <w:pPr>
        <w:shd w:val="clear" w:color="auto" w:fill="FFFFFF"/>
        <w:spacing w:after="0" w:line="0" w:lineRule="auto"/>
        <w:rPr>
          <w:rFonts w:ascii="ff1" w:eastAsia="Times New Roman" w:hAnsi="ff1" w:cs="Times New Roman"/>
          <w:color w:val="000000"/>
          <w:spacing w:val="-1"/>
          <w:sz w:val="60"/>
          <w:szCs w:val="60"/>
          <w:lang w:eastAsia="en-GB"/>
        </w:rPr>
      </w:pPr>
      <w:r w:rsidRPr="00642379">
        <w:rPr>
          <w:rFonts w:ascii="ff1" w:eastAsia="Times New Roman" w:hAnsi="ff1" w:cs="Times New Roman"/>
          <w:color w:val="000000"/>
          <w:spacing w:val="-1"/>
          <w:sz w:val="60"/>
          <w:szCs w:val="60"/>
          <w:lang w:eastAsia="en-GB"/>
        </w:rPr>
        <w:t xml:space="preserve">Publications.  </w:t>
      </w:r>
      <w:r w:rsidRPr="00642379">
        <w:rPr>
          <w:rFonts w:ascii="ff4" w:eastAsia="Times New Roman" w:hAnsi="ff4" w:cs="Times New Roman"/>
          <w:color w:val="000000"/>
          <w:sz w:val="60"/>
          <w:szCs w:val="60"/>
          <w:lang w:eastAsia="en-GB"/>
        </w:rPr>
        <w:t xml:space="preserve"> </w:t>
      </w:r>
    </w:p>
    <w:p w14:paraId="43DF8E17" w14:textId="77777777" w:rsidR="00E23830" w:rsidRDefault="00E23830" w:rsidP="00A01988">
      <w:pPr>
        <w:pStyle w:val="AssignBody"/>
      </w:pPr>
      <w:proofErr w:type="spellStart"/>
      <w:r>
        <w:t>Pulis</w:t>
      </w:r>
      <w:proofErr w:type="spellEnd"/>
      <w:r>
        <w:t xml:space="preserve">, A. (2016). Pupil Voice in Quality Assurance of Schools. </w:t>
      </w:r>
      <w:r>
        <w:rPr>
          <w:i/>
          <w:iCs/>
        </w:rPr>
        <w:t>British Educational Research Association (BERA)</w:t>
      </w:r>
      <w:r>
        <w:t xml:space="preserve">. Available at: </w:t>
      </w:r>
      <w:hyperlink r:id="rId18" w:anchor=":~:text=Various%20studies%20have%20confirmed%20the,Rudduck%20et%20al%2C%202003" w:history="1">
        <w:r w:rsidRPr="00602B02">
          <w:rPr>
            <w:rStyle w:val="Hyperlink"/>
          </w:rPr>
          <w:t>https://www.bera.ac.uk/blog/pupil-voice-in-quality-</w:t>
        </w:r>
        <w:r w:rsidRPr="00602B02">
          <w:rPr>
            <w:rStyle w:val="Hyperlink"/>
          </w:rPr>
          <w:lastRenderedPageBreak/>
          <w:t>assurance-of-schools#:~:text=Various%20studies%20have%20confirmed%20the,Rudduck%20et%20al%2C%202003</w:t>
        </w:r>
      </w:hyperlink>
      <w:r>
        <w:t>). (Accessed 7 May 2021).</w:t>
      </w:r>
    </w:p>
    <w:p w14:paraId="725AE1E4" w14:textId="77777777" w:rsidR="00E23830" w:rsidRDefault="00E23830" w:rsidP="002B2F5B">
      <w:pPr>
        <w:pStyle w:val="AssignBody"/>
      </w:pPr>
      <w:r>
        <w:t xml:space="preserve">School X (2020). </w:t>
      </w:r>
      <w:r w:rsidRPr="002B2F5B">
        <w:rPr>
          <w:i/>
          <w:iCs/>
          <w:highlight w:val="black"/>
        </w:rPr>
        <w:t>Burlais</w:t>
      </w:r>
      <w:r>
        <w:rPr>
          <w:i/>
          <w:iCs/>
        </w:rPr>
        <w:t xml:space="preserve"> Primary School Development Plan 2020 -2021</w:t>
      </w:r>
      <w:r>
        <w:t xml:space="preserve">. [online] </w:t>
      </w:r>
      <w:r w:rsidRPr="002B2F5B">
        <w:rPr>
          <w:i/>
          <w:iCs/>
          <w:highlight w:val="black"/>
        </w:rPr>
        <w:t>burlais</w:t>
      </w:r>
      <w:r>
        <w:rPr>
          <w:i/>
          <w:iCs/>
        </w:rPr>
        <w:t>primaryschool.co.uk</w:t>
      </w:r>
      <w:r>
        <w:t xml:space="preserve">. </w:t>
      </w:r>
      <w:r w:rsidRPr="002B2F5B">
        <w:rPr>
          <w:highlight w:val="black"/>
        </w:rPr>
        <w:t>Swansea</w:t>
      </w:r>
      <w:r>
        <w:t xml:space="preserve">: </w:t>
      </w:r>
      <w:r w:rsidRPr="002B2F5B">
        <w:rPr>
          <w:highlight w:val="black"/>
        </w:rPr>
        <w:t>Burlais</w:t>
      </w:r>
      <w:r>
        <w:t xml:space="preserve"> Primary School. Available at: </w:t>
      </w:r>
      <w:hyperlink r:id="rId19" w:history="1">
        <w:r w:rsidRPr="00A62CBE">
          <w:rPr>
            <w:rStyle w:val="Hyperlink"/>
            <w:color w:val="auto"/>
          </w:rPr>
          <w:t>https://www.</w:t>
        </w:r>
        <w:r w:rsidRPr="00A62CBE">
          <w:rPr>
            <w:rStyle w:val="Hyperlink"/>
            <w:color w:val="auto"/>
            <w:highlight w:val="black"/>
          </w:rPr>
          <w:t>burlais</w:t>
        </w:r>
        <w:r w:rsidRPr="00A62CBE">
          <w:rPr>
            <w:rStyle w:val="Hyperlink"/>
            <w:color w:val="auto"/>
          </w:rPr>
          <w:t>primaryschool.co.uk/school-improvement/</w:t>
        </w:r>
      </w:hyperlink>
      <w:r>
        <w:t xml:space="preserve"> (Accessed 16 April 2021).</w:t>
      </w:r>
    </w:p>
    <w:p w14:paraId="2398EA5B" w14:textId="77777777" w:rsidR="00E23830" w:rsidRDefault="00E23830" w:rsidP="00EA5AC9">
      <w:pPr>
        <w:pStyle w:val="AssignBody"/>
        <w:rPr>
          <w:lang w:eastAsia="en-GB"/>
        </w:rPr>
      </w:pPr>
      <w:r w:rsidRPr="00EA5AC9">
        <w:rPr>
          <w:lang w:eastAsia="en-GB"/>
        </w:rPr>
        <w:t xml:space="preserve">Welsh Government (2014). </w:t>
      </w:r>
      <w:r w:rsidRPr="00EA5AC9">
        <w:rPr>
          <w:i/>
          <w:iCs/>
          <w:lang w:eastAsia="en-GB"/>
        </w:rPr>
        <w:t>School development plans</w:t>
      </w:r>
      <w:r w:rsidRPr="00EA5AC9">
        <w:rPr>
          <w:lang w:eastAsia="en-GB"/>
        </w:rPr>
        <w:t xml:space="preserve">. [online] </w:t>
      </w:r>
      <w:r w:rsidRPr="00EA5AC9">
        <w:rPr>
          <w:i/>
          <w:iCs/>
          <w:lang w:eastAsia="en-GB"/>
        </w:rPr>
        <w:t>gov.wales</w:t>
      </w:r>
      <w:r w:rsidRPr="00EA5AC9">
        <w:rPr>
          <w:lang w:eastAsia="en-GB"/>
        </w:rPr>
        <w:t xml:space="preserve">. Cardiff: Welsh Government. Available at: </w:t>
      </w:r>
      <w:hyperlink r:id="rId20" w:history="1">
        <w:r w:rsidRPr="00642975">
          <w:rPr>
            <w:rStyle w:val="Hyperlink"/>
            <w:lang w:eastAsia="en-GB"/>
          </w:rPr>
          <w:t>https://gov.wales/sites/default/files/publications/2018-03/school-development-plans.pdf</w:t>
        </w:r>
      </w:hyperlink>
      <w:r>
        <w:rPr>
          <w:lang w:eastAsia="en-GB"/>
        </w:rPr>
        <w:t xml:space="preserve"> (</w:t>
      </w:r>
      <w:r w:rsidRPr="00EA5AC9">
        <w:rPr>
          <w:lang w:eastAsia="en-GB"/>
        </w:rPr>
        <w:t>Accessed 17 Apr</w:t>
      </w:r>
      <w:r>
        <w:rPr>
          <w:lang w:eastAsia="en-GB"/>
        </w:rPr>
        <w:t>il</w:t>
      </w:r>
      <w:r w:rsidRPr="00EA5AC9">
        <w:rPr>
          <w:lang w:eastAsia="en-GB"/>
        </w:rPr>
        <w:t xml:space="preserve"> 2021</w:t>
      </w:r>
      <w:r>
        <w:rPr>
          <w:lang w:eastAsia="en-GB"/>
        </w:rPr>
        <w:t>)</w:t>
      </w:r>
      <w:r w:rsidRPr="00EA5AC9">
        <w:rPr>
          <w:lang w:eastAsia="en-GB"/>
        </w:rPr>
        <w:t>.</w:t>
      </w:r>
    </w:p>
    <w:p w14:paraId="3C6368B8" w14:textId="77777777" w:rsidR="00E23830" w:rsidRDefault="00E23830" w:rsidP="00AF4DC7">
      <w:pPr>
        <w:pStyle w:val="AssignBody"/>
        <w:rPr>
          <w:lang w:eastAsia="en-GB"/>
        </w:rPr>
      </w:pPr>
      <w:r w:rsidRPr="00AF4DC7">
        <w:rPr>
          <w:lang w:eastAsia="en-GB"/>
        </w:rPr>
        <w:t xml:space="preserve">Welsh Government (2016). </w:t>
      </w:r>
      <w:proofErr w:type="spellStart"/>
      <w:r w:rsidRPr="00AF4DC7">
        <w:rPr>
          <w:i/>
          <w:iCs/>
          <w:lang w:eastAsia="en-GB"/>
        </w:rPr>
        <w:t>FaCE</w:t>
      </w:r>
      <w:proofErr w:type="spellEnd"/>
      <w:r w:rsidRPr="00AF4DC7">
        <w:rPr>
          <w:i/>
          <w:iCs/>
          <w:lang w:eastAsia="en-GB"/>
        </w:rPr>
        <w:t xml:space="preserve"> the challenge together: Family and community engagement toolkit for schools in Wales Main guidance</w:t>
      </w:r>
      <w:r w:rsidRPr="00AF4DC7">
        <w:rPr>
          <w:lang w:eastAsia="en-GB"/>
        </w:rPr>
        <w:t xml:space="preserve">. [online] </w:t>
      </w:r>
      <w:proofErr w:type="spellStart"/>
      <w:r w:rsidRPr="00AF4DC7">
        <w:rPr>
          <w:i/>
          <w:iCs/>
          <w:lang w:eastAsia="en-GB"/>
        </w:rPr>
        <w:t>gov.wales</w:t>
      </w:r>
      <w:proofErr w:type="spellEnd"/>
      <w:r w:rsidRPr="00AF4DC7">
        <w:rPr>
          <w:lang w:eastAsia="en-GB"/>
        </w:rPr>
        <w:t xml:space="preserve">, Cardiff: Welsh Government, p.4. Available at: </w:t>
      </w:r>
      <w:hyperlink r:id="rId21" w:history="1">
        <w:r w:rsidRPr="008C6853">
          <w:rPr>
            <w:rStyle w:val="Hyperlink"/>
            <w:lang w:eastAsia="en-GB"/>
          </w:rPr>
          <w:t>https://gov.wales/sites/default/files/publications/2018-12/face-the-challenge-together-family-and-community-engagement-toolkit-for-schools-in-wales-main-guidance.pdf</w:t>
        </w:r>
      </w:hyperlink>
      <w:r>
        <w:rPr>
          <w:lang w:eastAsia="en-GB"/>
        </w:rPr>
        <w:t xml:space="preserve"> (</w:t>
      </w:r>
      <w:r w:rsidRPr="00AF4DC7">
        <w:rPr>
          <w:lang w:eastAsia="en-GB"/>
        </w:rPr>
        <w:t>Accessed 4 May 2021</w:t>
      </w:r>
      <w:r>
        <w:rPr>
          <w:lang w:eastAsia="en-GB"/>
        </w:rPr>
        <w:t>)</w:t>
      </w:r>
      <w:r w:rsidRPr="00AF4DC7">
        <w:rPr>
          <w:lang w:eastAsia="en-GB"/>
        </w:rPr>
        <w:t>.</w:t>
      </w:r>
    </w:p>
    <w:p w14:paraId="5C05F4BC" w14:textId="77777777" w:rsidR="00543528" w:rsidRPr="00AF4DC7" w:rsidRDefault="00543528" w:rsidP="00AF4DC7">
      <w:pPr>
        <w:pStyle w:val="AssignBody"/>
        <w:rPr>
          <w:lang w:eastAsia="en-GB"/>
        </w:rPr>
      </w:pPr>
    </w:p>
    <w:p w14:paraId="6A9658A8" w14:textId="410DE6AD" w:rsidR="00D77EC4" w:rsidRDefault="00D77EC4" w:rsidP="00EA5AC9">
      <w:pPr>
        <w:pStyle w:val="AssignBody"/>
        <w:rPr>
          <w:lang w:eastAsia="en-GB"/>
        </w:rPr>
      </w:pPr>
    </w:p>
    <w:p w14:paraId="7A7C16AC" w14:textId="77777777" w:rsidR="00132544" w:rsidRDefault="00132544" w:rsidP="00EA5AC9">
      <w:pPr>
        <w:pStyle w:val="AssignBody"/>
        <w:rPr>
          <w:lang w:eastAsia="en-GB"/>
        </w:rPr>
      </w:pPr>
    </w:p>
    <w:p w14:paraId="1545B843" w14:textId="77777777" w:rsidR="00B96E36" w:rsidRPr="00642379" w:rsidRDefault="00B96E36" w:rsidP="00642379">
      <w:pPr>
        <w:shd w:val="clear" w:color="auto" w:fill="FFFFFF"/>
        <w:spacing w:after="0" w:line="0" w:lineRule="auto"/>
        <w:rPr>
          <w:rFonts w:ascii="ff2" w:eastAsia="Times New Roman" w:hAnsi="ff2" w:cs="Times New Roman"/>
          <w:color w:val="000000"/>
          <w:sz w:val="54"/>
          <w:szCs w:val="54"/>
          <w:lang w:eastAsia="en-GB"/>
        </w:rPr>
      </w:pPr>
      <w:r w:rsidRPr="00642379">
        <w:rPr>
          <w:rFonts w:ascii="ff2" w:eastAsia="Times New Roman" w:hAnsi="ff2" w:cs="Times New Roman"/>
          <w:color w:val="000000"/>
          <w:sz w:val="54"/>
          <w:szCs w:val="54"/>
          <w:lang w:eastAsia="en-GB"/>
        </w:rPr>
        <w:t></w:t>
      </w:r>
    </w:p>
    <w:p w14:paraId="2EBAA0E8" w14:textId="77777777" w:rsidR="00B96E36" w:rsidRPr="00642379" w:rsidRDefault="00B96E36" w:rsidP="00642379">
      <w:pPr>
        <w:shd w:val="clear" w:color="auto" w:fill="FFFFFF"/>
        <w:spacing w:after="0" w:line="0" w:lineRule="auto"/>
        <w:rPr>
          <w:rFonts w:ascii="ff2" w:eastAsia="Times New Roman" w:hAnsi="ff2" w:cs="Times New Roman"/>
          <w:color w:val="000000"/>
          <w:sz w:val="54"/>
          <w:szCs w:val="54"/>
          <w:lang w:eastAsia="en-GB"/>
        </w:rPr>
      </w:pPr>
      <w:r w:rsidRPr="00642379">
        <w:rPr>
          <w:rFonts w:ascii="ff2" w:eastAsia="Times New Roman" w:hAnsi="ff2" w:cs="Times New Roman"/>
          <w:color w:val="000000"/>
          <w:sz w:val="54"/>
          <w:szCs w:val="54"/>
          <w:lang w:eastAsia="en-GB"/>
        </w:rPr>
        <w:t></w:t>
      </w:r>
    </w:p>
    <w:p w14:paraId="7A335490" w14:textId="77777777" w:rsidR="00A51941" w:rsidRDefault="00A51941" w:rsidP="00EA5AC9">
      <w:pPr>
        <w:pStyle w:val="AssignBody"/>
        <w:rPr>
          <w:lang w:eastAsia="en-GB"/>
        </w:rPr>
      </w:pPr>
    </w:p>
    <w:p w14:paraId="73C2CAC9" w14:textId="77777777" w:rsidR="0045730E" w:rsidRDefault="0045730E" w:rsidP="00EA5AC9">
      <w:pPr>
        <w:pStyle w:val="AssignBody"/>
        <w:rPr>
          <w:lang w:eastAsia="en-GB"/>
        </w:rPr>
      </w:pPr>
    </w:p>
    <w:p w14:paraId="55907479" w14:textId="77777777" w:rsidR="00395AEC" w:rsidRDefault="00395AEC" w:rsidP="00EA5AC9">
      <w:pPr>
        <w:pStyle w:val="AssignBody"/>
        <w:rPr>
          <w:lang w:eastAsia="en-GB"/>
        </w:rPr>
      </w:pPr>
    </w:p>
    <w:p w14:paraId="7E4AC53D" w14:textId="77777777" w:rsidR="00530B0E" w:rsidRDefault="00530B0E" w:rsidP="00EA5AC9">
      <w:pPr>
        <w:pStyle w:val="AssignBody"/>
        <w:rPr>
          <w:lang w:eastAsia="en-GB"/>
        </w:rPr>
      </w:pPr>
    </w:p>
    <w:p w14:paraId="7305101A" w14:textId="77777777" w:rsidR="00A265AD" w:rsidRDefault="00A265AD" w:rsidP="00EA5AC9">
      <w:pPr>
        <w:pStyle w:val="AssignBody"/>
        <w:rPr>
          <w:lang w:eastAsia="en-GB"/>
        </w:rPr>
      </w:pPr>
    </w:p>
    <w:p w14:paraId="071A80EE" w14:textId="77777777" w:rsidR="00D663B9" w:rsidRPr="00EA5AC9" w:rsidRDefault="00D663B9" w:rsidP="00EA5AC9">
      <w:pPr>
        <w:pStyle w:val="AssignBody"/>
        <w:rPr>
          <w:lang w:eastAsia="en-GB"/>
        </w:rPr>
      </w:pPr>
    </w:p>
    <w:p w14:paraId="323A66D4" w14:textId="77777777" w:rsidR="00EA5AC9" w:rsidRDefault="00EA5AC9" w:rsidP="002B2F5B">
      <w:pPr>
        <w:pStyle w:val="AssignBody"/>
      </w:pPr>
    </w:p>
    <w:p w14:paraId="46AB4844" w14:textId="77777777" w:rsidR="008D5EED" w:rsidRDefault="008D5EED" w:rsidP="002B2F5B">
      <w:pPr>
        <w:pStyle w:val="AssignBody"/>
      </w:pPr>
    </w:p>
    <w:p w14:paraId="5A7BA32F" w14:textId="77777777" w:rsidR="0076776B" w:rsidRDefault="0076776B" w:rsidP="002B2F5B">
      <w:pPr>
        <w:pStyle w:val="AssignBody"/>
      </w:pPr>
    </w:p>
    <w:p w14:paraId="3CB65E06" w14:textId="77777777" w:rsidR="006D1A75" w:rsidRDefault="006D1A75" w:rsidP="002B2F5B">
      <w:pPr>
        <w:pStyle w:val="AssignBody"/>
      </w:pPr>
    </w:p>
    <w:p w14:paraId="57DBF911" w14:textId="77777777" w:rsidR="002B2F5B" w:rsidRPr="00E611D9" w:rsidRDefault="002B2F5B" w:rsidP="00717604">
      <w:pPr>
        <w:pStyle w:val="AssignBody"/>
      </w:pPr>
    </w:p>
    <w:sectPr w:rsidR="002B2F5B" w:rsidRPr="00E611D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38E946" w14:textId="77777777" w:rsidR="00DF673A" w:rsidRDefault="00DF673A" w:rsidP="00E611D9">
      <w:pPr>
        <w:spacing w:after="0" w:line="240" w:lineRule="auto"/>
      </w:pPr>
      <w:r>
        <w:separator/>
      </w:r>
    </w:p>
  </w:endnote>
  <w:endnote w:type="continuationSeparator" w:id="0">
    <w:p w14:paraId="7BF32BF1" w14:textId="77777777" w:rsidR="00DF673A" w:rsidRDefault="00DF673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1">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ff2">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633CC1" w14:textId="77777777" w:rsidR="00DF673A" w:rsidRDefault="00DF673A" w:rsidP="00E611D9">
      <w:pPr>
        <w:spacing w:after="0" w:line="240" w:lineRule="auto"/>
      </w:pPr>
      <w:r>
        <w:separator/>
      </w:r>
    </w:p>
  </w:footnote>
  <w:footnote w:type="continuationSeparator" w:id="0">
    <w:p w14:paraId="63B1EE34" w14:textId="77777777" w:rsidR="00DF673A" w:rsidRDefault="00DF673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5887015"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C5FE3">
            <w:rPr>
              <w:rFonts w:ascii="Arial" w:hAnsi="Arial" w:cs="Arial"/>
            </w:rPr>
            <w:t>6009</w:t>
          </w:r>
        </w:p>
      </w:tc>
      <w:tc>
        <w:tcPr>
          <w:tcW w:w="4508" w:type="dxa"/>
        </w:tcPr>
        <w:p w14:paraId="51D506A0" w14:textId="13532C0B" w:rsidR="00E611D9" w:rsidRPr="00E611D9" w:rsidRDefault="00E611D9" w:rsidP="00E611D9">
          <w:pPr>
            <w:pStyle w:val="Header"/>
            <w:jc w:val="right"/>
            <w:rPr>
              <w:rFonts w:ascii="Arial" w:hAnsi="Arial" w:cs="Arial"/>
            </w:rPr>
          </w:pPr>
          <w:r>
            <w:rPr>
              <w:rFonts w:ascii="Arial" w:hAnsi="Arial" w:cs="Arial"/>
            </w:rPr>
            <w:t xml:space="preserve"> Rhif Myfyriwr / Student Number: </w:t>
          </w:r>
          <w:r w:rsidR="007C5FE3">
            <w:rPr>
              <w:rFonts w:ascii="Arial" w:hAnsi="Arial" w:cs="Arial"/>
            </w:rPr>
            <w:t>1803537</w:t>
          </w:r>
        </w:p>
      </w:tc>
    </w:tr>
  </w:tbl>
  <w:p w14:paraId="31028CA5" w14:textId="0F1B7BA9"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B83271"/>
    <w:multiLevelType w:val="multilevel"/>
    <w:tmpl w:val="A628C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320B2"/>
    <w:rsid w:val="000459B1"/>
    <w:rsid w:val="0005344E"/>
    <w:rsid w:val="00056E6E"/>
    <w:rsid w:val="00061AEB"/>
    <w:rsid w:val="00063E64"/>
    <w:rsid w:val="00086589"/>
    <w:rsid w:val="00096241"/>
    <w:rsid w:val="000E0C0D"/>
    <w:rsid w:val="000F0A29"/>
    <w:rsid w:val="000F69BA"/>
    <w:rsid w:val="00115936"/>
    <w:rsid w:val="00120161"/>
    <w:rsid w:val="00120711"/>
    <w:rsid w:val="00121479"/>
    <w:rsid w:val="00132544"/>
    <w:rsid w:val="00136EE6"/>
    <w:rsid w:val="00167980"/>
    <w:rsid w:val="001927EC"/>
    <w:rsid w:val="0019417E"/>
    <w:rsid w:val="001C5825"/>
    <w:rsid w:val="00203E54"/>
    <w:rsid w:val="00206927"/>
    <w:rsid w:val="00217C34"/>
    <w:rsid w:val="002229F0"/>
    <w:rsid w:val="002461FB"/>
    <w:rsid w:val="00250384"/>
    <w:rsid w:val="00280586"/>
    <w:rsid w:val="002814E1"/>
    <w:rsid w:val="0028292F"/>
    <w:rsid w:val="002A4959"/>
    <w:rsid w:val="002B2F5B"/>
    <w:rsid w:val="002B5D89"/>
    <w:rsid w:val="002D5DE3"/>
    <w:rsid w:val="00302FFE"/>
    <w:rsid w:val="0031404C"/>
    <w:rsid w:val="003252F1"/>
    <w:rsid w:val="003637E1"/>
    <w:rsid w:val="00395AEC"/>
    <w:rsid w:val="00395BC7"/>
    <w:rsid w:val="003A3DB6"/>
    <w:rsid w:val="00416297"/>
    <w:rsid w:val="00425663"/>
    <w:rsid w:val="00455C72"/>
    <w:rsid w:val="0045730E"/>
    <w:rsid w:val="004614B9"/>
    <w:rsid w:val="00463FC5"/>
    <w:rsid w:val="00470587"/>
    <w:rsid w:val="004842B8"/>
    <w:rsid w:val="00484525"/>
    <w:rsid w:val="004870A6"/>
    <w:rsid w:val="004A39F0"/>
    <w:rsid w:val="00530B0E"/>
    <w:rsid w:val="00543528"/>
    <w:rsid w:val="00544FD4"/>
    <w:rsid w:val="00551DC4"/>
    <w:rsid w:val="0055233B"/>
    <w:rsid w:val="00554A35"/>
    <w:rsid w:val="0056306C"/>
    <w:rsid w:val="00580DFC"/>
    <w:rsid w:val="00581D54"/>
    <w:rsid w:val="0059796E"/>
    <w:rsid w:val="005C5E0A"/>
    <w:rsid w:val="005E36CB"/>
    <w:rsid w:val="005F5EB8"/>
    <w:rsid w:val="006015C6"/>
    <w:rsid w:val="00601C1F"/>
    <w:rsid w:val="00613ADD"/>
    <w:rsid w:val="00640137"/>
    <w:rsid w:val="006419C3"/>
    <w:rsid w:val="00642379"/>
    <w:rsid w:val="00646492"/>
    <w:rsid w:val="00646C0E"/>
    <w:rsid w:val="00662C0F"/>
    <w:rsid w:val="00671076"/>
    <w:rsid w:val="00691A46"/>
    <w:rsid w:val="006B5360"/>
    <w:rsid w:val="006B552B"/>
    <w:rsid w:val="006B5861"/>
    <w:rsid w:val="006C0E1E"/>
    <w:rsid w:val="006C4A92"/>
    <w:rsid w:val="006D1A75"/>
    <w:rsid w:val="006E14B4"/>
    <w:rsid w:val="00707025"/>
    <w:rsid w:val="00710F39"/>
    <w:rsid w:val="0071212A"/>
    <w:rsid w:val="00717604"/>
    <w:rsid w:val="00741E15"/>
    <w:rsid w:val="00752D81"/>
    <w:rsid w:val="0076776B"/>
    <w:rsid w:val="00781763"/>
    <w:rsid w:val="0078298F"/>
    <w:rsid w:val="007A3135"/>
    <w:rsid w:val="007C50F4"/>
    <w:rsid w:val="007C5FE3"/>
    <w:rsid w:val="007E7735"/>
    <w:rsid w:val="00817F7A"/>
    <w:rsid w:val="008460C8"/>
    <w:rsid w:val="008602E9"/>
    <w:rsid w:val="00886293"/>
    <w:rsid w:val="00890E79"/>
    <w:rsid w:val="00892125"/>
    <w:rsid w:val="008A637D"/>
    <w:rsid w:val="008B01EC"/>
    <w:rsid w:val="008C14FB"/>
    <w:rsid w:val="008D431D"/>
    <w:rsid w:val="008D5EED"/>
    <w:rsid w:val="008E3CC2"/>
    <w:rsid w:val="008E468D"/>
    <w:rsid w:val="008E5D2F"/>
    <w:rsid w:val="00945D98"/>
    <w:rsid w:val="009512D2"/>
    <w:rsid w:val="00962B38"/>
    <w:rsid w:val="009648F6"/>
    <w:rsid w:val="009A3B26"/>
    <w:rsid w:val="009C324B"/>
    <w:rsid w:val="009F491B"/>
    <w:rsid w:val="00A01988"/>
    <w:rsid w:val="00A236C0"/>
    <w:rsid w:val="00A265AD"/>
    <w:rsid w:val="00A37ABA"/>
    <w:rsid w:val="00A51941"/>
    <w:rsid w:val="00A553EB"/>
    <w:rsid w:val="00A5722F"/>
    <w:rsid w:val="00A57305"/>
    <w:rsid w:val="00A62CBE"/>
    <w:rsid w:val="00A83A11"/>
    <w:rsid w:val="00A8429B"/>
    <w:rsid w:val="00AA2AC2"/>
    <w:rsid w:val="00AB09E2"/>
    <w:rsid w:val="00AB1857"/>
    <w:rsid w:val="00AB6DFF"/>
    <w:rsid w:val="00AC5CA8"/>
    <w:rsid w:val="00AE25D6"/>
    <w:rsid w:val="00AE2E20"/>
    <w:rsid w:val="00AF4DC7"/>
    <w:rsid w:val="00B101D4"/>
    <w:rsid w:val="00B3519A"/>
    <w:rsid w:val="00B40E88"/>
    <w:rsid w:val="00B444D6"/>
    <w:rsid w:val="00B46601"/>
    <w:rsid w:val="00B769A3"/>
    <w:rsid w:val="00B77963"/>
    <w:rsid w:val="00B87910"/>
    <w:rsid w:val="00B927D0"/>
    <w:rsid w:val="00B93373"/>
    <w:rsid w:val="00B96E15"/>
    <w:rsid w:val="00B96E36"/>
    <w:rsid w:val="00BA19A0"/>
    <w:rsid w:val="00BB2DA7"/>
    <w:rsid w:val="00BC2DEC"/>
    <w:rsid w:val="00BC651E"/>
    <w:rsid w:val="00C01EA7"/>
    <w:rsid w:val="00C0705B"/>
    <w:rsid w:val="00C17E20"/>
    <w:rsid w:val="00C23131"/>
    <w:rsid w:val="00C447A5"/>
    <w:rsid w:val="00C47247"/>
    <w:rsid w:val="00C6636C"/>
    <w:rsid w:val="00C66F7C"/>
    <w:rsid w:val="00C73C84"/>
    <w:rsid w:val="00C755BD"/>
    <w:rsid w:val="00CA4CF4"/>
    <w:rsid w:val="00CB4773"/>
    <w:rsid w:val="00CC1922"/>
    <w:rsid w:val="00CD1240"/>
    <w:rsid w:val="00CE2498"/>
    <w:rsid w:val="00CF464E"/>
    <w:rsid w:val="00D13971"/>
    <w:rsid w:val="00D663B9"/>
    <w:rsid w:val="00D75241"/>
    <w:rsid w:val="00D77EC4"/>
    <w:rsid w:val="00DB0819"/>
    <w:rsid w:val="00DF57F4"/>
    <w:rsid w:val="00DF673A"/>
    <w:rsid w:val="00E23830"/>
    <w:rsid w:val="00E2798E"/>
    <w:rsid w:val="00E611D9"/>
    <w:rsid w:val="00E64ABE"/>
    <w:rsid w:val="00E657E2"/>
    <w:rsid w:val="00EA24A3"/>
    <w:rsid w:val="00EA5AC9"/>
    <w:rsid w:val="00EA76DE"/>
    <w:rsid w:val="00ED0520"/>
    <w:rsid w:val="00EE48E8"/>
    <w:rsid w:val="00F079CC"/>
    <w:rsid w:val="00F15E98"/>
    <w:rsid w:val="00F22862"/>
    <w:rsid w:val="00F25240"/>
    <w:rsid w:val="00F54DF5"/>
    <w:rsid w:val="00F62B4D"/>
    <w:rsid w:val="00F903B1"/>
    <w:rsid w:val="00FA4D73"/>
    <w:rsid w:val="00FB6790"/>
    <w:rsid w:val="00FF2368"/>
    <w:rsid w:val="00FF4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B2F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2F5B"/>
    <w:rPr>
      <w:color w:val="0563C1" w:themeColor="hyperlink"/>
      <w:u w:val="single"/>
    </w:rPr>
  </w:style>
  <w:style w:type="character" w:styleId="UnresolvedMention">
    <w:name w:val="Unresolved Mention"/>
    <w:basedOn w:val="DefaultParagraphFont"/>
    <w:uiPriority w:val="99"/>
    <w:semiHidden/>
    <w:unhideWhenUsed/>
    <w:rsid w:val="002B2F5B"/>
    <w:rPr>
      <w:color w:val="605E5C"/>
      <w:shd w:val="clear" w:color="auto" w:fill="E1DFDD"/>
    </w:rPr>
  </w:style>
  <w:style w:type="character" w:customStyle="1" w:styleId="a">
    <w:name w:val="_"/>
    <w:basedOn w:val="DefaultParagraphFont"/>
    <w:rsid w:val="00642379"/>
  </w:style>
  <w:style w:type="character" w:customStyle="1" w:styleId="ls30">
    <w:name w:val="ls30"/>
    <w:basedOn w:val="DefaultParagraphFont"/>
    <w:rsid w:val="00642379"/>
  </w:style>
  <w:style w:type="character" w:customStyle="1" w:styleId="ls17">
    <w:name w:val="ls17"/>
    <w:basedOn w:val="DefaultParagraphFont"/>
    <w:rsid w:val="00642379"/>
  </w:style>
  <w:style w:type="character" w:customStyle="1" w:styleId="ff4">
    <w:name w:val="ff4"/>
    <w:basedOn w:val="DefaultParagraphFont"/>
    <w:rsid w:val="00642379"/>
  </w:style>
  <w:style w:type="character" w:customStyle="1" w:styleId="ff1">
    <w:name w:val="ff1"/>
    <w:basedOn w:val="DefaultParagraphFont"/>
    <w:rsid w:val="00642379"/>
  </w:style>
  <w:style w:type="character" w:customStyle="1" w:styleId="ls37">
    <w:name w:val="ls37"/>
    <w:basedOn w:val="DefaultParagraphFont"/>
    <w:rsid w:val="00642379"/>
  </w:style>
  <w:style w:type="character" w:customStyle="1" w:styleId="ls4a">
    <w:name w:val="ls4a"/>
    <w:basedOn w:val="DefaultParagraphFont"/>
    <w:rsid w:val="00642379"/>
  </w:style>
  <w:style w:type="character" w:customStyle="1" w:styleId="ls5">
    <w:name w:val="ls5"/>
    <w:basedOn w:val="DefaultParagraphFont"/>
    <w:rsid w:val="00642379"/>
  </w:style>
  <w:style w:type="character" w:customStyle="1" w:styleId="ls1b">
    <w:name w:val="ls1b"/>
    <w:basedOn w:val="DefaultParagraphFont"/>
    <w:rsid w:val="00642379"/>
  </w:style>
  <w:style w:type="character" w:customStyle="1" w:styleId="ls19">
    <w:name w:val="ls19"/>
    <w:basedOn w:val="DefaultParagraphFont"/>
    <w:rsid w:val="00642379"/>
  </w:style>
  <w:style w:type="character" w:customStyle="1" w:styleId="lse">
    <w:name w:val="lse"/>
    <w:basedOn w:val="DefaultParagraphFont"/>
    <w:rsid w:val="00642379"/>
  </w:style>
  <w:style w:type="character" w:customStyle="1" w:styleId="ls16">
    <w:name w:val="ls16"/>
    <w:basedOn w:val="DefaultParagraphFont"/>
    <w:rsid w:val="00642379"/>
  </w:style>
  <w:style w:type="character" w:styleId="FollowedHyperlink">
    <w:name w:val="FollowedHyperlink"/>
    <w:basedOn w:val="DefaultParagraphFont"/>
    <w:uiPriority w:val="99"/>
    <w:semiHidden/>
    <w:unhideWhenUsed/>
    <w:rsid w:val="008460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449112">
      <w:bodyDiv w:val="1"/>
      <w:marLeft w:val="0"/>
      <w:marRight w:val="0"/>
      <w:marTop w:val="0"/>
      <w:marBottom w:val="0"/>
      <w:divBdr>
        <w:top w:val="none" w:sz="0" w:space="0" w:color="auto"/>
        <w:left w:val="none" w:sz="0" w:space="0" w:color="auto"/>
        <w:bottom w:val="none" w:sz="0" w:space="0" w:color="auto"/>
        <w:right w:val="none" w:sz="0" w:space="0" w:color="auto"/>
      </w:divBdr>
      <w:divsChild>
        <w:div w:id="1767849348">
          <w:marLeft w:val="0"/>
          <w:marRight w:val="0"/>
          <w:marTop w:val="0"/>
          <w:marBottom w:val="0"/>
          <w:divBdr>
            <w:top w:val="none" w:sz="0" w:space="0" w:color="auto"/>
            <w:left w:val="none" w:sz="0" w:space="0" w:color="auto"/>
            <w:bottom w:val="none" w:sz="0" w:space="0" w:color="auto"/>
            <w:right w:val="none" w:sz="0" w:space="0" w:color="auto"/>
          </w:divBdr>
        </w:div>
      </w:divsChild>
    </w:div>
    <w:div w:id="38631568">
      <w:bodyDiv w:val="1"/>
      <w:marLeft w:val="0"/>
      <w:marRight w:val="0"/>
      <w:marTop w:val="0"/>
      <w:marBottom w:val="0"/>
      <w:divBdr>
        <w:top w:val="none" w:sz="0" w:space="0" w:color="auto"/>
        <w:left w:val="none" w:sz="0" w:space="0" w:color="auto"/>
        <w:bottom w:val="none" w:sz="0" w:space="0" w:color="auto"/>
        <w:right w:val="none" w:sz="0" w:space="0" w:color="auto"/>
      </w:divBdr>
    </w:div>
    <w:div w:id="84036670">
      <w:bodyDiv w:val="1"/>
      <w:marLeft w:val="0"/>
      <w:marRight w:val="0"/>
      <w:marTop w:val="0"/>
      <w:marBottom w:val="0"/>
      <w:divBdr>
        <w:top w:val="none" w:sz="0" w:space="0" w:color="auto"/>
        <w:left w:val="none" w:sz="0" w:space="0" w:color="auto"/>
        <w:bottom w:val="none" w:sz="0" w:space="0" w:color="auto"/>
        <w:right w:val="none" w:sz="0" w:space="0" w:color="auto"/>
      </w:divBdr>
    </w:div>
    <w:div w:id="306857976">
      <w:bodyDiv w:val="1"/>
      <w:marLeft w:val="0"/>
      <w:marRight w:val="0"/>
      <w:marTop w:val="0"/>
      <w:marBottom w:val="0"/>
      <w:divBdr>
        <w:top w:val="none" w:sz="0" w:space="0" w:color="auto"/>
        <w:left w:val="none" w:sz="0" w:space="0" w:color="auto"/>
        <w:bottom w:val="none" w:sz="0" w:space="0" w:color="auto"/>
        <w:right w:val="none" w:sz="0" w:space="0" w:color="auto"/>
      </w:divBdr>
    </w:div>
    <w:div w:id="356781732">
      <w:bodyDiv w:val="1"/>
      <w:marLeft w:val="0"/>
      <w:marRight w:val="0"/>
      <w:marTop w:val="0"/>
      <w:marBottom w:val="0"/>
      <w:divBdr>
        <w:top w:val="none" w:sz="0" w:space="0" w:color="auto"/>
        <w:left w:val="none" w:sz="0" w:space="0" w:color="auto"/>
        <w:bottom w:val="none" w:sz="0" w:space="0" w:color="auto"/>
        <w:right w:val="none" w:sz="0" w:space="0" w:color="auto"/>
      </w:divBdr>
    </w:div>
    <w:div w:id="600262354">
      <w:bodyDiv w:val="1"/>
      <w:marLeft w:val="0"/>
      <w:marRight w:val="0"/>
      <w:marTop w:val="0"/>
      <w:marBottom w:val="0"/>
      <w:divBdr>
        <w:top w:val="none" w:sz="0" w:space="0" w:color="auto"/>
        <w:left w:val="none" w:sz="0" w:space="0" w:color="auto"/>
        <w:bottom w:val="none" w:sz="0" w:space="0" w:color="auto"/>
        <w:right w:val="none" w:sz="0" w:space="0" w:color="auto"/>
      </w:divBdr>
      <w:divsChild>
        <w:div w:id="668287348">
          <w:marLeft w:val="0"/>
          <w:marRight w:val="0"/>
          <w:marTop w:val="0"/>
          <w:marBottom w:val="0"/>
          <w:divBdr>
            <w:top w:val="none" w:sz="0" w:space="0" w:color="auto"/>
            <w:left w:val="none" w:sz="0" w:space="0" w:color="auto"/>
            <w:bottom w:val="none" w:sz="0" w:space="0" w:color="auto"/>
            <w:right w:val="none" w:sz="0" w:space="0" w:color="auto"/>
          </w:divBdr>
        </w:div>
      </w:divsChild>
    </w:div>
    <w:div w:id="645814236">
      <w:bodyDiv w:val="1"/>
      <w:marLeft w:val="0"/>
      <w:marRight w:val="0"/>
      <w:marTop w:val="0"/>
      <w:marBottom w:val="0"/>
      <w:divBdr>
        <w:top w:val="none" w:sz="0" w:space="0" w:color="auto"/>
        <w:left w:val="none" w:sz="0" w:space="0" w:color="auto"/>
        <w:bottom w:val="none" w:sz="0" w:space="0" w:color="auto"/>
        <w:right w:val="none" w:sz="0" w:space="0" w:color="auto"/>
      </w:divBdr>
      <w:divsChild>
        <w:div w:id="266078970">
          <w:marLeft w:val="0"/>
          <w:marRight w:val="0"/>
          <w:marTop w:val="0"/>
          <w:marBottom w:val="0"/>
          <w:divBdr>
            <w:top w:val="none" w:sz="0" w:space="0" w:color="auto"/>
            <w:left w:val="none" w:sz="0" w:space="0" w:color="auto"/>
            <w:bottom w:val="none" w:sz="0" w:space="0" w:color="auto"/>
            <w:right w:val="none" w:sz="0" w:space="0" w:color="auto"/>
          </w:divBdr>
        </w:div>
      </w:divsChild>
    </w:div>
    <w:div w:id="713773238">
      <w:bodyDiv w:val="1"/>
      <w:marLeft w:val="0"/>
      <w:marRight w:val="0"/>
      <w:marTop w:val="0"/>
      <w:marBottom w:val="0"/>
      <w:divBdr>
        <w:top w:val="none" w:sz="0" w:space="0" w:color="auto"/>
        <w:left w:val="none" w:sz="0" w:space="0" w:color="auto"/>
        <w:bottom w:val="none" w:sz="0" w:space="0" w:color="auto"/>
        <w:right w:val="none" w:sz="0" w:space="0" w:color="auto"/>
      </w:divBdr>
      <w:divsChild>
        <w:div w:id="1307708701">
          <w:marLeft w:val="0"/>
          <w:marRight w:val="0"/>
          <w:marTop w:val="0"/>
          <w:marBottom w:val="0"/>
          <w:divBdr>
            <w:top w:val="none" w:sz="0" w:space="0" w:color="auto"/>
            <w:left w:val="none" w:sz="0" w:space="0" w:color="auto"/>
            <w:bottom w:val="none" w:sz="0" w:space="0" w:color="auto"/>
            <w:right w:val="none" w:sz="0" w:space="0" w:color="auto"/>
          </w:divBdr>
        </w:div>
      </w:divsChild>
    </w:div>
    <w:div w:id="745565483">
      <w:bodyDiv w:val="1"/>
      <w:marLeft w:val="0"/>
      <w:marRight w:val="0"/>
      <w:marTop w:val="0"/>
      <w:marBottom w:val="0"/>
      <w:divBdr>
        <w:top w:val="none" w:sz="0" w:space="0" w:color="auto"/>
        <w:left w:val="none" w:sz="0" w:space="0" w:color="auto"/>
        <w:bottom w:val="none" w:sz="0" w:space="0" w:color="auto"/>
        <w:right w:val="none" w:sz="0" w:space="0" w:color="auto"/>
      </w:divBdr>
      <w:divsChild>
        <w:div w:id="1069768248">
          <w:marLeft w:val="0"/>
          <w:marRight w:val="0"/>
          <w:marTop w:val="0"/>
          <w:marBottom w:val="0"/>
          <w:divBdr>
            <w:top w:val="none" w:sz="0" w:space="0" w:color="auto"/>
            <w:left w:val="none" w:sz="0" w:space="0" w:color="auto"/>
            <w:bottom w:val="none" w:sz="0" w:space="0" w:color="auto"/>
            <w:right w:val="none" w:sz="0" w:space="0" w:color="auto"/>
          </w:divBdr>
        </w:div>
      </w:divsChild>
    </w:div>
    <w:div w:id="863245992">
      <w:bodyDiv w:val="1"/>
      <w:marLeft w:val="0"/>
      <w:marRight w:val="0"/>
      <w:marTop w:val="0"/>
      <w:marBottom w:val="0"/>
      <w:divBdr>
        <w:top w:val="none" w:sz="0" w:space="0" w:color="auto"/>
        <w:left w:val="none" w:sz="0" w:space="0" w:color="auto"/>
        <w:bottom w:val="none" w:sz="0" w:space="0" w:color="auto"/>
        <w:right w:val="none" w:sz="0" w:space="0" w:color="auto"/>
      </w:divBdr>
      <w:divsChild>
        <w:div w:id="1558934821">
          <w:marLeft w:val="0"/>
          <w:marRight w:val="0"/>
          <w:marTop w:val="0"/>
          <w:marBottom w:val="0"/>
          <w:divBdr>
            <w:top w:val="none" w:sz="0" w:space="0" w:color="auto"/>
            <w:left w:val="none" w:sz="0" w:space="0" w:color="auto"/>
            <w:bottom w:val="none" w:sz="0" w:space="0" w:color="auto"/>
            <w:right w:val="none" w:sz="0" w:space="0" w:color="auto"/>
          </w:divBdr>
        </w:div>
      </w:divsChild>
    </w:div>
    <w:div w:id="906889008">
      <w:bodyDiv w:val="1"/>
      <w:marLeft w:val="0"/>
      <w:marRight w:val="0"/>
      <w:marTop w:val="0"/>
      <w:marBottom w:val="0"/>
      <w:divBdr>
        <w:top w:val="none" w:sz="0" w:space="0" w:color="auto"/>
        <w:left w:val="none" w:sz="0" w:space="0" w:color="auto"/>
        <w:bottom w:val="none" w:sz="0" w:space="0" w:color="auto"/>
        <w:right w:val="none" w:sz="0" w:space="0" w:color="auto"/>
      </w:divBdr>
      <w:divsChild>
        <w:div w:id="1174686446">
          <w:marLeft w:val="0"/>
          <w:marRight w:val="0"/>
          <w:marTop w:val="0"/>
          <w:marBottom w:val="0"/>
          <w:divBdr>
            <w:top w:val="none" w:sz="0" w:space="0" w:color="auto"/>
            <w:left w:val="none" w:sz="0" w:space="0" w:color="auto"/>
            <w:bottom w:val="none" w:sz="0" w:space="0" w:color="auto"/>
            <w:right w:val="none" w:sz="0" w:space="0" w:color="auto"/>
          </w:divBdr>
        </w:div>
      </w:divsChild>
    </w:div>
    <w:div w:id="1004211715">
      <w:bodyDiv w:val="1"/>
      <w:marLeft w:val="0"/>
      <w:marRight w:val="0"/>
      <w:marTop w:val="0"/>
      <w:marBottom w:val="0"/>
      <w:divBdr>
        <w:top w:val="none" w:sz="0" w:space="0" w:color="auto"/>
        <w:left w:val="none" w:sz="0" w:space="0" w:color="auto"/>
        <w:bottom w:val="none" w:sz="0" w:space="0" w:color="auto"/>
        <w:right w:val="none" w:sz="0" w:space="0" w:color="auto"/>
      </w:divBdr>
      <w:divsChild>
        <w:div w:id="1570000489">
          <w:marLeft w:val="0"/>
          <w:marRight w:val="0"/>
          <w:marTop w:val="0"/>
          <w:marBottom w:val="0"/>
          <w:divBdr>
            <w:top w:val="none" w:sz="0" w:space="0" w:color="auto"/>
            <w:left w:val="none" w:sz="0" w:space="0" w:color="auto"/>
            <w:bottom w:val="none" w:sz="0" w:space="0" w:color="auto"/>
            <w:right w:val="none" w:sz="0" w:space="0" w:color="auto"/>
          </w:divBdr>
        </w:div>
      </w:divsChild>
    </w:div>
    <w:div w:id="1033648953">
      <w:bodyDiv w:val="1"/>
      <w:marLeft w:val="0"/>
      <w:marRight w:val="0"/>
      <w:marTop w:val="0"/>
      <w:marBottom w:val="0"/>
      <w:divBdr>
        <w:top w:val="none" w:sz="0" w:space="0" w:color="auto"/>
        <w:left w:val="none" w:sz="0" w:space="0" w:color="auto"/>
        <w:bottom w:val="none" w:sz="0" w:space="0" w:color="auto"/>
        <w:right w:val="none" w:sz="0" w:space="0" w:color="auto"/>
      </w:divBdr>
      <w:divsChild>
        <w:div w:id="1877156898">
          <w:marLeft w:val="0"/>
          <w:marRight w:val="0"/>
          <w:marTop w:val="0"/>
          <w:marBottom w:val="0"/>
          <w:divBdr>
            <w:top w:val="none" w:sz="0" w:space="0" w:color="auto"/>
            <w:left w:val="none" w:sz="0" w:space="0" w:color="auto"/>
            <w:bottom w:val="none" w:sz="0" w:space="0" w:color="auto"/>
            <w:right w:val="none" w:sz="0" w:space="0" w:color="auto"/>
          </w:divBdr>
        </w:div>
      </w:divsChild>
    </w:div>
    <w:div w:id="1124732846">
      <w:bodyDiv w:val="1"/>
      <w:marLeft w:val="0"/>
      <w:marRight w:val="0"/>
      <w:marTop w:val="0"/>
      <w:marBottom w:val="0"/>
      <w:divBdr>
        <w:top w:val="none" w:sz="0" w:space="0" w:color="auto"/>
        <w:left w:val="none" w:sz="0" w:space="0" w:color="auto"/>
        <w:bottom w:val="none" w:sz="0" w:space="0" w:color="auto"/>
        <w:right w:val="none" w:sz="0" w:space="0" w:color="auto"/>
      </w:divBdr>
      <w:divsChild>
        <w:div w:id="1247763224">
          <w:marLeft w:val="0"/>
          <w:marRight w:val="0"/>
          <w:marTop w:val="0"/>
          <w:marBottom w:val="0"/>
          <w:divBdr>
            <w:top w:val="none" w:sz="0" w:space="0" w:color="auto"/>
            <w:left w:val="none" w:sz="0" w:space="0" w:color="auto"/>
            <w:bottom w:val="none" w:sz="0" w:space="0" w:color="auto"/>
            <w:right w:val="none" w:sz="0" w:space="0" w:color="auto"/>
          </w:divBdr>
        </w:div>
      </w:divsChild>
    </w:div>
    <w:div w:id="1124888753">
      <w:bodyDiv w:val="1"/>
      <w:marLeft w:val="0"/>
      <w:marRight w:val="0"/>
      <w:marTop w:val="0"/>
      <w:marBottom w:val="0"/>
      <w:divBdr>
        <w:top w:val="none" w:sz="0" w:space="0" w:color="auto"/>
        <w:left w:val="none" w:sz="0" w:space="0" w:color="auto"/>
        <w:bottom w:val="none" w:sz="0" w:space="0" w:color="auto"/>
        <w:right w:val="none" w:sz="0" w:space="0" w:color="auto"/>
      </w:divBdr>
      <w:divsChild>
        <w:div w:id="945501536">
          <w:marLeft w:val="0"/>
          <w:marRight w:val="0"/>
          <w:marTop w:val="0"/>
          <w:marBottom w:val="0"/>
          <w:divBdr>
            <w:top w:val="none" w:sz="0" w:space="0" w:color="auto"/>
            <w:left w:val="none" w:sz="0" w:space="0" w:color="auto"/>
            <w:bottom w:val="none" w:sz="0" w:space="0" w:color="auto"/>
            <w:right w:val="none" w:sz="0" w:space="0" w:color="auto"/>
          </w:divBdr>
        </w:div>
      </w:divsChild>
    </w:div>
    <w:div w:id="1151140482">
      <w:bodyDiv w:val="1"/>
      <w:marLeft w:val="0"/>
      <w:marRight w:val="0"/>
      <w:marTop w:val="0"/>
      <w:marBottom w:val="0"/>
      <w:divBdr>
        <w:top w:val="none" w:sz="0" w:space="0" w:color="auto"/>
        <w:left w:val="none" w:sz="0" w:space="0" w:color="auto"/>
        <w:bottom w:val="none" w:sz="0" w:space="0" w:color="auto"/>
        <w:right w:val="none" w:sz="0" w:space="0" w:color="auto"/>
      </w:divBdr>
      <w:divsChild>
        <w:div w:id="722367641">
          <w:marLeft w:val="0"/>
          <w:marRight w:val="0"/>
          <w:marTop w:val="0"/>
          <w:marBottom w:val="0"/>
          <w:divBdr>
            <w:top w:val="none" w:sz="0" w:space="0" w:color="auto"/>
            <w:left w:val="none" w:sz="0" w:space="0" w:color="auto"/>
            <w:bottom w:val="none" w:sz="0" w:space="0" w:color="auto"/>
            <w:right w:val="none" w:sz="0" w:space="0" w:color="auto"/>
          </w:divBdr>
        </w:div>
      </w:divsChild>
    </w:div>
    <w:div w:id="1192498369">
      <w:bodyDiv w:val="1"/>
      <w:marLeft w:val="0"/>
      <w:marRight w:val="0"/>
      <w:marTop w:val="0"/>
      <w:marBottom w:val="0"/>
      <w:divBdr>
        <w:top w:val="none" w:sz="0" w:space="0" w:color="auto"/>
        <w:left w:val="none" w:sz="0" w:space="0" w:color="auto"/>
        <w:bottom w:val="none" w:sz="0" w:space="0" w:color="auto"/>
        <w:right w:val="none" w:sz="0" w:space="0" w:color="auto"/>
      </w:divBdr>
      <w:divsChild>
        <w:div w:id="1103309288">
          <w:marLeft w:val="0"/>
          <w:marRight w:val="0"/>
          <w:marTop w:val="0"/>
          <w:marBottom w:val="0"/>
          <w:divBdr>
            <w:top w:val="none" w:sz="0" w:space="0" w:color="auto"/>
            <w:left w:val="none" w:sz="0" w:space="0" w:color="auto"/>
            <w:bottom w:val="none" w:sz="0" w:space="0" w:color="auto"/>
            <w:right w:val="none" w:sz="0" w:space="0" w:color="auto"/>
          </w:divBdr>
        </w:div>
      </w:divsChild>
    </w:div>
    <w:div w:id="1261254991">
      <w:bodyDiv w:val="1"/>
      <w:marLeft w:val="0"/>
      <w:marRight w:val="0"/>
      <w:marTop w:val="0"/>
      <w:marBottom w:val="0"/>
      <w:divBdr>
        <w:top w:val="none" w:sz="0" w:space="0" w:color="auto"/>
        <w:left w:val="none" w:sz="0" w:space="0" w:color="auto"/>
        <w:bottom w:val="none" w:sz="0" w:space="0" w:color="auto"/>
        <w:right w:val="none" w:sz="0" w:space="0" w:color="auto"/>
      </w:divBdr>
      <w:divsChild>
        <w:div w:id="1357535020">
          <w:marLeft w:val="0"/>
          <w:marRight w:val="0"/>
          <w:marTop w:val="0"/>
          <w:marBottom w:val="0"/>
          <w:divBdr>
            <w:top w:val="none" w:sz="0" w:space="0" w:color="auto"/>
            <w:left w:val="none" w:sz="0" w:space="0" w:color="auto"/>
            <w:bottom w:val="none" w:sz="0" w:space="0" w:color="auto"/>
            <w:right w:val="none" w:sz="0" w:space="0" w:color="auto"/>
          </w:divBdr>
        </w:div>
      </w:divsChild>
    </w:div>
    <w:div w:id="1638100976">
      <w:bodyDiv w:val="1"/>
      <w:marLeft w:val="0"/>
      <w:marRight w:val="0"/>
      <w:marTop w:val="0"/>
      <w:marBottom w:val="0"/>
      <w:divBdr>
        <w:top w:val="none" w:sz="0" w:space="0" w:color="auto"/>
        <w:left w:val="none" w:sz="0" w:space="0" w:color="auto"/>
        <w:bottom w:val="none" w:sz="0" w:space="0" w:color="auto"/>
        <w:right w:val="none" w:sz="0" w:space="0" w:color="auto"/>
      </w:divBdr>
      <w:divsChild>
        <w:div w:id="1171797078">
          <w:marLeft w:val="0"/>
          <w:marRight w:val="0"/>
          <w:marTop w:val="0"/>
          <w:marBottom w:val="0"/>
          <w:divBdr>
            <w:top w:val="none" w:sz="0" w:space="0" w:color="auto"/>
            <w:left w:val="none" w:sz="0" w:space="0" w:color="auto"/>
            <w:bottom w:val="none" w:sz="0" w:space="0" w:color="auto"/>
            <w:right w:val="none" w:sz="0" w:space="0" w:color="auto"/>
          </w:divBdr>
        </w:div>
      </w:divsChild>
    </w:div>
    <w:div w:id="1984650667">
      <w:bodyDiv w:val="1"/>
      <w:marLeft w:val="0"/>
      <w:marRight w:val="0"/>
      <w:marTop w:val="0"/>
      <w:marBottom w:val="0"/>
      <w:divBdr>
        <w:top w:val="none" w:sz="0" w:space="0" w:color="auto"/>
        <w:left w:val="none" w:sz="0" w:space="0" w:color="auto"/>
        <w:bottom w:val="none" w:sz="0" w:space="0" w:color="auto"/>
        <w:right w:val="none" w:sz="0" w:space="0" w:color="auto"/>
      </w:divBdr>
      <w:divsChild>
        <w:div w:id="425812558">
          <w:marLeft w:val="0"/>
          <w:marRight w:val="0"/>
          <w:marTop w:val="0"/>
          <w:marBottom w:val="0"/>
          <w:divBdr>
            <w:top w:val="none" w:sz="0" w:space="0" w:color="auto"/>
            <w:left w:val="none" w:sz="0" w:space="0" w:color="auto"/>
            <w:bottom w:val="none" w:sz="0" w:space="0" w:color="auto"/>
            <w:right w:val="none" w:sz="0" w:space="0" w:color="auto"/>
          </w:divBdr>
        </w:div>
      </w:divsChild>
    </w:div>
    <w:div w:id="2003775251">
      <w:bodyDiv w:val="1"/>
      <w:marLeft w:val="0"/>
      <w:marRight w:val="0"/>
      <w:marTop w:val="0"/>
      <w:marBottom w:val="0"/>
      <w:divBdr>
        <w:top w:val="none" w:sz="0" w:space="0" w:color="auto"/>
        <w:left w:val="none" w:sz="0" w:space="0" w:color="auto"/>
        <w:bottom w:val="none" w:sz="0" w:space="0" w:color="auto"/>
        <w:right w:val="none" w:sz="0" w:space="0" w:color="auto"/>
      </w:divBdr>
      <w:divsChild>
        <w:div w:id="1499035940">
          <w:marLeft w:val="0"/>
          <w:marRight w:val="0"/>
          <w:marTop w:val="0"/>
          <w:marBottom w:val="0"/>
          <w:divBdr>
            <w:top w:val="none" w:sz="0" w:space="0" w:color="auto"/>
            <w:left w:val="none" w:sz="0" w:space="0" w:color="auto"/>
            <w:bottom w:val="none" w:sz="0" w:space="0" w:color="auto"/>
            <w:right w:val="none" w:sz="0" w:space="0" w:color="auto"/>
          </w:divBdr>
        </w:div>
      </w:divsChild>
    </w:div>
    <w:div w:id="2035692673">
      <w:bodyDiv w:val="1"/>
      <w:marLeft w:val="0"/>
      <w:marRight w:val="0"/>
      <w:marTop w:val="0"/>
      <w:marBottom w:val="0"/>
      <w:divBdr>
        <w:top w:val="none" w:sz="0" w:space="0" w:color="auto"/>
        <w:left w:val="none" w:sz="0" w:space="0" w:color="auto"/>
        <w:bottom w:val="none" w:sz="0" w:space="0" w:color="auto"/>
        <w:right w:val="none" w:sz="0" w:space="0" w:color="auto"/>
      </w:divBdr>
      <w:divsChild>
        <w:div w:id="9346290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effective-practice/effective-strategies-support-social-and-emotional-wellbeing-pupils" TargetMode="External"/><Relationship Id="rId18" Type="http://schemas.openxmlformats.org/officeDocument/2006/relationships/hyperlink" Target="https://www.bera.ac.uk/blog/pupil-voice-in-quality-assurance-of-schools" TargetMode="External"/><Relationship Id="rId3" Type="http://schemas.openxmlformats.org/officeDocument/2006/relationships/customXml" Target="../customXml/item3.xml"/><Relationship Id="rId21" Type="http://schemas.openxmlformats.org/officeDocument/2006/relationships/hyperlink" Target="https://gov.wales/sites/default/files/publications/2018-12/face-the-challenge-together-family-and-community-engagement-toolkit-for-schools-in-wales-main-guidance.pdf" TargetMode="External"/><Relationship Id="rId7" Type="http://schemas.openxmlformats.org/officeDocument/2006/relationships/webSettings" Target="webSettings.xml"/><Relationship Id="rId12" Type="http://schemas.openxmlformats.org/officeDocument/2006/relationships/hyperlink" Target="https://www.estyn.gov.wales/system/files/2020-08/Burlais%2520Primary%2520School.pdf" TargetMode="External"/><Relationship Id="rId17" Type="http://schemas.openxmlformats.org/officeDocument/2006/relationships/hyperlink" Target="https://www.tandfonline.com/doi/pdf/10.1111/j.1468-0122.2005.00348.x?needAccess=tru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andfonline.com/doi/pdf/10.1111/1468-0122.00096?needAccess=true" TargetMode="External"/><Relationship Id="rId20" Type="http://schemas.openxmlformats.org/officeDocument/2006/relationships/hyperlink" Target="https://gov.wales/sites/default/files/publications/2018-03/school-development-plan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gov.wales/system/files/2020-07/2017%2520-final%2520CIF.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onlinelibrary.wiley.com/doi/epdf/10.1111/j.1754-8845.1994.tb01117.x?saml_referrer" TargetMode="External"/><Relationship Id="rId23" Type="http://schemas.openxmlformats.org/officeDocument/2006/relationships/footer" Target="footer1.xml"/><Relationship Id="rId10" Type="http://schemas.openxmlformats.org/officeDocument/2006/relationships/hyperlink" Target="https://nasenjournals.onlinelibrary.wiley.com/doi/epdf/10.1111/1467-9604.00030?saml_referrer" TargetMode="External"/><Relationship Id="rId19" Type="http://schemas.openxmlformats.org/officeDocument/2006/relationships/hyperlink" Target="https://www.burlaisprimaryschool.co.uk/school-improvemen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doi/pdf/10.1080/02667360500205883"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3886</Words>
  <Characters>22156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Ceri Anne Martin (1803537)</cp:lastModifiedBy>
  <cp:revision>3</cp:revision>
  <dcterms:created xsi:type="dcterms:W3CDTF">2021-05-09T16:25:00Z</dcterms:created>
  <dcterms:modified xsi:type="dcterms:W3CDTF">2021-05-09T16:26:00Z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