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center"/>
        <w:rPr>
          <w:sz w:val="42"/>
          <w:szCs w:val="42"/>
        </w:rPr>
      </w:pPr>
      <w:bookmarkStart w:colFirst="0" w:colLast="0" w:name="_heading=h.35b75k3zm3qq" w:id="0"/>
      <w:bookmarkEnd w:id="0"/>
      <w:r w:rsidDel="00000000" w:rsidR="00000000" w:rsidRPr="00000000">
        <w:rPr>
          <w:sz w:val="42"/>
          <w:szCs w:val="42"/>
          <w:rtl w:val="0"/>
        </w:rPr>
        <w:t xml:space="preserve">Civil Litigation</w:t>
      </w:r>
    </w:p>
    <w:p w:rsidR="00000000" w:rsidDel="00000000" w:rsidP="00000000" w:rsidRDefault="00000000" w:rsidRPr="00000000" w14:paraId="00000002">
      <w:pPr>
        <w:spacing w:line="360" w:lineRule="auto"/>
        <w:jc w:val="center"/>
        <w:rPr/>
      </w:pPr>
      <w:r w:rsidDel="00000000" w:rsidR="00000000" w:rsidRPr="00000000">
        <w:rPr>
          <w:rtl w:val="0"/>
        </w:rPr>
      </w:r>
    </w:p>
    <w:p w:rsidR="00000000" w:rsidDel="00000000" w:rsidP="00000000" w:rsidRDefault="00000000" w:rsidRPr="00000000" w14:paraId="00000003">
      <w:pPr>
        <w:spacing w:line="360" w:lineRule="auto"/>
        <w:jc w:val="center"/>
        <w:rPr/>
      </w:pPr>
      <w:r w:rsidDel="00000000" w:rsidR="00000000" w:rsidRPr="00000000">
        <w:rPr>
          <w:rtl w:val="0"/>
        </w:rPr>
        <w:t xml:space="preserve">by</w:t>
      </w:r>
    </w:p>
    <w:p w:rsidR="00000000" w:rsidDel="00000000" w:rsidP="00000000" w:rsidRDefault="00000000" w:rsidRPr="00000000" w14:paraId="00000004">
      <w:pPr>
        <w:spacing w:line="360" w:lineRule="auto"/>
        <w:jc w:val="center"/>
        <w:rPr>
          <w:b w:val="1"/>
        </w:rPr>
      </w:pPr>
      <w:r w:rsidDel="00000000" w:rsidR="00000000" w:rsidRPr="00000000">
        <w:rPr>
          <w:b w:val="1"/>
          <w:rtl w:val="0"/>
        </w:rPr>
        <w:t xml:space="preserve">Mihaela Gavrila</w:t>
      </w:r>
    </w:p>
    <w:p w:rsidR="00000000" w:rsidDel="00000000" w:rsidP="00000000" w:rsidRDefault="00000000" w:rsidRPr="00000000" w14:paraId="00000005">
      <w:pPr>
        <w:spacing w:line="360" w:lineRule="auto"/>
        <w:jc w:val="center"/>
        <w:rPr/>
      </w:pPr>
      <w:r w:rsidDel="00000000" w:rsidR="00000000" w:rsidRPr="00000000">
        <w:rPr>
          <w:rtl w:val="0"/>
        </w:rPr>
      </w:r>
    </w:p>
    <w:p w:rsidR="00000000" w:rsidDel="00000000" w:rsidP="00000000" w:rsidRDefault="00000000" w:rsidRPr="00000000" w14:paraId="00000006">
      <w:pPr>
        <w:spacing w:line="360" w:lineRule="auto"/>
        <w:jc w:val="center"/>
        <w:rPr/>
      </w:pPr>
      <w:r w:rsidDel="00000000" w:rsidR="00000000" w:rsidRPr="00000000">
        <w:rPr>
          <w:rtl w:val="0"/>
        </w:rPr>
        <w:t xml:space="preserve">Lecturer</w:t>
      </w:r>
    </w:p>
    <w:p w:rsidR="00000000" w:rsidDel="00000000" w:rsidP="00000000" w:rsidRDefault="00000000" w:rsidRPr="00000000" w14:paraId="00000007">
      <w:pPr>
        <w:spacing w:line="360" w:lineRule="auto"/>
        <w:jc w:val="center"/>
        <w:rPr>
          <w:b w:val="1"/>
        </w:rPr>
      </w:pPr>
      <w:r w:rsidDel="00000000" w:rsidR="00000000" w:rsidRPr="00000000">
        <w:rPr>
          <w:b w:val="1"/>
          <w:rtl w:val="0"/>
        </w:rPr>
        <w:t xml:space="preserve">James Drew</w:t>
      </w:r>
    </w:p>
    <w:p w:rsidR="00000000" w:rsidDel="00000000" w:rsidP="00000000" w:rsidRDefault="00000000" w:rsidRPr="00000000" w14:paraId="00000008">
      <w:pPr>
        <w:spacing w:line="360" w:lineRule="auto"/>
        <w:jc w:val="center"/>
        <w:rPr/>
      </w:pPr>
      <w:r w:rsidDel="00000000" w:rsidR="00000000" w:rsidRPr="00000000">
        <w:rPr>
          <w:rtl w:val="0"/>
        </w:rPr>
      </w:r>
    </w:p>
    <w:p w:rsidR="00000000" w:rsidDel="00000000" w:rsidP="00000000" w:rsidRDefault="00000000" w:rsidRPr="00000000" w14:paraId="00000009">
      <w:pPr>
        <w:spacing w:line="360" w:lineRule="auto"/>
        <w:jc w:val="center"/>
        <w:rPr/>
      </w:pPr>
      <w:r w:rsidDel="00000000" w:rsidR="00000000" w:rsidRPr="00000000">
        <w:rPr>
          <w:rtl w:val="0"/>
        </w:rPr>
        <w:t xml:space="preserve">Institute</w:t>
      </w:r>
    </w:p>
    <w:p w:rsidR="00000000" w:rsidDel="00000000" w:rsidP="00000000" w:rsidRDefault="00000000" w:rsidRPr="00000000" w14:paraId="0000000A">
      <w:pPr>
        <w:spacing w:line="360" w:lineRule="auto"/>
        <w:jc w:val="center"/>
        <w:rPr>
          <w:vertAlign w:val="baseline"/>
        </w:rPr>
      </w:pPr>
      <w:r w:rsidDel="00000000" w:rsidR="00000000" w:rsidRPr="00000000">
        <w:rPr>
          <w:b w:val="1"/>
          <w:rtl w:val="0"/>
        </w:rPr>
        <w:t xml:space="preserve">University of Wales Trinity Saint David</w:t>
      </w:r>
      <w:r w:rsidDel="00000000" w:rsidR="00000000" w:rsidRPr="00000000">
        <w:rPr>
          <w:rtl w:val="0"/>
        </w:rPr>
      </w:r>
    </w:p>
    <w:p w:rsidR="00000000" w:rsidDel="00000000" w:rsidP="00000000" w:rsidRDefault="00000000" w:rsidRPr="00000000" w14:paraId="0000000B">
      <w:pPr>
        <w:spacing w:after="0" w:line="480" w:lineRule="auto"/>
        <w:jc w:val="center"/>
        <w:rPr>
          <w:vertAlign w:val="baseline"/>
        </w:rPr>
      </w:pPr>
      <w:r w:rsidDel="00000000" w:rsidR="00000000" w:rsidRPr="00000000">
        <w:rPr>
          <w:rtl w:val="0"/>
        </w:rPr>
      </w:r>
    </w:p>
    <w:p w:rsidR="00000000" w:rsidDel="00000000" w:rsidP="00000000" w:rsidRDefault="00000000" w:rsidRPr="00000000" w14:paraId="0000000C">
      <w:pPr>
        <w:spacing w:after="0" w:line="480" w:lineRule="auto"/>
        <w:jc w:val="center"/>
        <w:rPr>
          <w:vertAlign w:val="baseline"/>
        </w:rPr>
      </w:pPr>
      <w:r w:rsidDel="00000000" w:rsidR="00000000" w:rsidRPr="00000000">
        <w:rPr>
          <w:rtl w:val="0"/>
        </w:rPr>
      </w:r>
    </w:p>
    <w:p w:rsidR="00000000" w:rsidDel="00000000" w:rsidP="00000000" w:rsidRDefault="00000000" w:rsidRPr="00000000" w14:paraId="0000000D">
      <w:pPr>
        <w:spacing w:after="0" w:line="480" w:lineRule="auto"/>
        <w:jc w:val="center"/>
        <w:rPr>
          <w:vertAlign w:val="baseline"/>
        </w:rPr>
      </w:pPr>
      <w:r w:rsidDel="00000000" w:rsidR="00000000" w:rsidRPr="00000000">
        <w:rPr>
          <w:rtl w:val="0"/>
        </w:rPr>
      </w:r>
    </w:p>
    <w:p w:rsidR="00000000" w:rsidDel="00000000" w:rsidP="00000000" w:rsidRDefault="00000000" w:rsidRPr="00000000" w14:paraId="0000000E">
      <w:pPr>
        <w:spacing w:after="0" w:line="480" w:lineRule="auto"/>
        <w:jc w:val="center"/>
        <w:rPr>
          <w:b w:val="0"/>
          <w:vertAlign w:val="baseline"/>
        </w:rPr>
      </w:pPr>
      <w:r w:rsidDel="00000000" w:rsidR="00000000" w:rsidRPr="00000000">
        <w:rPr>
          <w:rtl w:val="0"/>
        </w:rPr>
      </w:r>
    </w:p>
    <w:p w:rsidR="00000000" w:rsidDel="00000000" w:rsidP="00000000" w:rsidRDefault="00000000" w:rsidRPr="00000000" w14:paraId="0000000F">
      <w:pPr>
        <w:spacing w:after="0" w:line="480" w:lineRule="auto"/>
        <w:jc w:val="both"/>
        <w:rPr>
          <w:b w:val="0"/>
          <w:i w:val="0"/>
          <w:vertAlign w:val="baseline"/>
        </w:rPr>
      </w:pPr>
      <w:r w:rsidDel="00000000" w:rsidR="00000000" w:rsidRPr="00000000">
        <w:rPr>
          <w:rtl w:val="0"/>
        </w:rPr>
      </w:r>
    </w:p>
    <w:p w:rsidR="00000000" w:rsidDel="00000000" w:rsidP="00000000" w:rsidRDefault="00000000" w:rsidRPr="00000000" w14:paraId="00000010">
      <w:pPr>
        <w:spacing w:after="0" w:line="480" w:lineRule="auto"/>
        <w:ind w:firstLine="720"/>
        <w:jc w:val="both"/>
        <w:rPr/>
      </w:pPr>
      <w:r w:rsidDel="00000000" w:rsidR="00000000" w:rsidRPr="00000000">
        <w:br w:type="page"/>
      </w:r>
      <w:r w:rsidDel="00000000" w:rsidR="00000000" w:rsidRPr="00000000">
        <w:rPr>
          <w:rtl w:val="0"/>
        </w:rPr>
      </w:r>
    </w:p>
    <w:p w:rsidR="00000000" w:rsidDel="00000000" w:rsidP="00000000" w:rsidRDefault="00000000" w:rsidRPr="00000000" w14:paraId="00000011">
      <w:pPr>
        <w:spacing w:after="0" w:line="480" w:lineRule="auto"/>
        <w:ind w:firstLine="720"/>
        <w:jc w:val="both"/>
        <w:rPr>
          <w:b w:val="0"/>
          <w:i w:val="0"/>
          <w:vertAlign w:val="baseline"/>
        </w:rPr>
      </w:pPr>
      <w:r w:rsidDel="00000000" w:rsidR="00000000" w:rsidRPr="00000000">
        <w:rPr>
          <w:vertAlign w:val="baseline"/>
          <w:rtl w:val="0"/>
        </w:rPr>
        <w:t xml:space="preserve">The small claims limit determines the minimum amount of the claim that must be to cover the legal costs of a personal injury claim. If the claim falls below this threshold, the claim will fall below the small claims threshold, and the person claiming will not be able to recover the legal fees from the ‘at-fault’ party. On 31 May 2021, the light compensation limit for whiplash in car accidents has been increased from £1,000 to £5,000. On 6 April 2022, the light claims limit for all other personal injury claims will increase from £1,000 to £1,500. This applies to all events that occur after that date but not to events that occur before that date. This includes all accidents at work, mishaps or slips, injuries caused by defective products, etc. It covers all personal injury claims except for whiplash lawsuits. In this paper, the statement that the changes made on 31 May 2021 to the procedure of the Personal Injury Small Claims would result in an increased number of cases brought to the courts by the litigants without a legal representative will be discussed. </w:t>
      </w:r>
      <w:r w:rsidDel="00000000" w:rsidR="00000000" w:rsidRPr="00000000">
        <w:rPr>
          <w:rtl w:val="0"/>
        </w:rPr>
      </w:r>
    </w:p>
    <w:p w:rsidR="00000000" w:rsidDel="00000000" w:rsidP="00000000" w:rsidRDefault="00000000" w:rsidRPr="00000000" w14:paraId="00000012">
      <w:pPr>
        <w:spacing w:after="0" w:line="480" w:lineRule="auto"/>
        <w:ind w:firstLine="720"/>
        <w:jc w:val="both"/>
        <w:rPr>
          <w:vertAlign w:val="baseline"/>
        </w:rPr>
      </w:pPr>
      <w:r w:rsidDel="00000000" w:rsidR="00000000" w:rsidRPr="00000000">
        <w:rPr>
          <w:vertAlign w:val="baseline"/>
          <w:rtl w:val="0"/>
        </w:rPr>
        <w:t xml:space="preserve">The Pre-Action Protocol could be described as taking action without seeking legal help/advice from a lawyer or a solicitor. In addition, the court is enabled under the </w:t>
      </w:r>
      <w:r w:rsidDel="00000000" w:rsidR="00000000" w:rsidRPr="00000000">
        <w:rPr>
          <w:i w:val="1"/>
          <w:vertAlign w:val="baseline"/>
          <w:rtl w:val="0"/>
        </w:rPr>
        <w:t xml:space="preserve">Civil Procedure Rules 1998</w:t>
      </w:r>
      <w:r w:rsidDel="00000000" w:rsidR="00000000" w:rsidRPr="00000000">
        <w:rPr>
          <w:vertAlign w:val="baseline"/>
          <w:rtl w:val="0"/>
        </w:rPr>
        <w:t xml:space="preserve"> for considering the costs of sanctions when the Pre-Action Protocol has not been followed. The small claims limit has not been based on a value known as ‘total damages’ or ‘pain, suffering and loss of amenity (PSLA). It is compensation for the victim's pain and suffering. The practical effect of this change is that the general damages claimed must exceed £1,500 to cover the legal costs when making a personal injury claim. Since the increase is small, it may have little impact on most requirements. The government was initially consulted to raise the high impact limit but eventually decided to increase it to £500. Each type of injury has a different value depending on how the symptoms affect the person.</w:t>
      </w:r>
    </w:p>
    <w:p w:rsidR="00000000" w:rsidDel="00000000" w:rsidP="00000000" w:rsidRDefault="00000000" w:rsidRPr="00000000" w14:paraId="00000013">
      <w:pPr>
        <w:spacing w:after="0" w:line="480" w:lineRule="auto"/>
        <w:ind w:firstLine="720"/>
        <w:jc w:val="both"/>
        <w:rPr>
          <w:vertAlign w:val="baseline"/>
        </w:rPr>
      </w:pPr>
      <w:r w:rsidDel="00000000" w:rsidR="00000000" w:rsidRPr="00000000">
        <w:rPr>
          <w:vertAlign w:val="baseline"/>
          <w:rtl w:val="0"/>
        </w:rPr>
        <w:t xml:space="preserve">This is a rough estimate, but the bottom line is that if a person is involved in an accident or is injured, the current claim may be reduced to a minor loss limit if the symptoms disappear within 3-4 weeks. If the symptoms last longer, the total damages may exceed the smaller claims limit, so a person might continue to bear the majority of the legal costs from the ‘wrongdoer’. The changes come as the </w:t>
      </w:r>
      <w:r w:rsidDel="00000000" w:rsidR="00000000" w:rsidRPr="00000000">
        <w:rPr>
          <w:i w:val="1"/>
          <w:vertAlign w:val="baseline"/>
          <w:rtl w:val="0"/>
        </w:rPr>
        <w:t xml:space="preserve">Civil Liability Act 2018</w:t>
      </w:r>
      <w:r w:rsidDel="00000000" w:rsidR="00000000" w:rsidRPr="00000000">
        <w:rPr>
          <w:vertAlign w:val="baseline"/>
          <w:rtl w:val="0"/>
        </w:rPr>
        <w:t xml:space="preserve"> includes several provisions to deal with false and inflated claims, which are currently costing the insurance industry billions of pounds. These requirements do not only apply to insurance companies. In addition, they affect claimants as insurance costs rise and become affordable for everyone.</w:t>
      </w:r>
    </w:p>
    <w:p w:rsidR="00000000" w:rsidDel="00000000" w:rsidP="00000000" w:rsidRDefault="00000000" w:rsidRPr="00000000" w14:paraId="00000014">
      <w:pPr>
        <w:spacing w:after="0" w:line="480" w:lineRule="auto"/>
        <w:ind w:firstLine="720"/>
        <w:jc w:val="both"/>
        <w:rPr>
          <w:vertAlign w:val="baseline"/>
        </w:rPr>
      </w:pPr>
      <w:r w:rsidDel="00000000" w:rsidR="00000000" w:rsidRPr="00000000">
        <w:rPr>
          <w:vertAlign w:val="baseline"/>
          <w:rtl w:val="0"/>
        </w:rPr>
        <w:t xml:space="preserve">Civil claims are allocated with three main ‘tracks’ including the fast-track, multi-channel and small claims track. Small claims should be an informal and simple way of resolving disputes. Further, in odd and multiple legal proceedings, the court costs and compensation both are paid by the guilty party for smaller claims caused by damage - the principle is called ‘polluter pays’, which is not the case. For smaller claims, the indemnified defendant recompenses merely the compensation and not the costs of filing the claim, which means that plaintiffs often file their claim without a lawyer’s assistance for avoiding to pay the legal costs for the damages.</w:t>
      </w:r>
    </w:p>
    <w:p w:rsidR="00000000" w:rsidDel="00000000" w:rsidP="00000000" w:rsidRDefault="00000000" w:rsidRPr="00000000" w14:paraId="00000015">
      <w:pPr>
        <w:spacing w:after="0" w:line="480" w:lineRule="auto"/>
        <w:ind w:firstLine="720"/>
        <w:jc w:val="both"/>
        <w:rPr>
          <w:vertAlign w:val="baseline"/>
        </w:rPr>
      </w:pPr>
      <w:r w:rsidDel="00000000" w:rsidR="00000000" w:rsidRPr="00000000">
        <w:rPr>
          <w:vertAlign w:val="baseline"/>
          <w:rtl w:val="0"/>
        </w:rPr>
        <w:t xml:space="preserve">In the current time, for personal injury claims, the smaller claims limit has been £1,000. Thus, it demonstrates that the cases where a judge assesses less than £1,000 in general damages - the amount awarded for pain and suffering - will go ahead with smaller claims. The 'special damages' sought in the claim - such as lost income and travel expenses - are disregarded if the Claim goes down the small claims route. As this is usually a third of the value of the case, the £1,000 small claims limit is closer to £1,300</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16">
      <w:pPr>
        <w:spacing w:after="0" w:line="480" w:lineRule="auto"/>
        <w:ind w:firstLine="720"/>
        <w:jc w:val="both"/>
        <w:rPr>
          <w:vertAlign w:val="baseline"/>
        </w:rPr>
      </w:pPr>
      <w:r w:rsidDel="00000000" w:rsidR="00000000" w:rsidRPr="00000000">
        <w:rPr>
          <w:vertAlign w:val="baseline"/>
          <w:rtl w:val="0"/>
        </w:rPr>
        <w:t xml:space="preserve">In 2015, plans were announced by Chancellor George Osborne for raising the limit of small claims for all the claims of personal injury from £1,000 to £5,000. Thus, the key aim was for tackling what is called by the government a ‘culture of car insurance fraud and claims. The changes are estimated for saving the insurers £1.3 billion. In addition, it has been expected by the government but has not been legally forcing insurers for offering it to motorists in the lower premiums form. With nearly 90% of personal injury claims totalling less than £5,000, raising the threshold for smaller claims is an attack on ordinary people's access to law and will affect everyone but the economically wealthy. To receive an award. It might make sense to argue that if a person is fighting over a washing machine, he/she can get by without a lawyer, but unions have long argued that those who are injured through no fault of their own need a lawyer.</w:t>
      </w:r>
    </w:p>
    <w:p w:rsidR="00000000" w:rsidDel="00000000" w:rsidP="00000000" w:rsidRDefault="00000000" w:rsidRPr="00000000" w14:paraId="00000017">
      <w:pPr>
        <w:spacing w:after="0" w:line="480" w:lineRule="auto"/>
        <w:ind w:firstLine="720"/>
        <w:jc w:val="both"/>
        <w:rPr>
          <w:vertAlign w:val="baseline"/>
        </w:rPr>
      </w:pPr>
      <w:r w:rsidDel="00000000" w:rsidR="00000000" w:rsidRPr="00000000">
        <w:rPr>
          <w:vertAlign w:val="baseline"/>
          <w:rtl w:val="0"/>
        </w:rPr>
        <w:t xml:space="preserve">This is even stronger if an accident occurs at work and the victim also takes responsibility for the employer. Certainly, raising the limit of the small compensation for personal injury claims was the insurance industry’s long-term goal. It makes economic sense for them to eliminate lawyers and let the injured party fight alone because if insurance companies were using all the tricks within the book for defending the claims, people would delay filing claims or have to move forward first. For raising the limit of small demand, the reduction in the loss of whiplash complaints was announced by the government by introducing a flat rate on the basis of the symptoms’ duration. In addition, in some of the injuries, the claims have been reduced through more than 80 per cent and compensation for the road accident victims who reported a minor mental illness was as little as £20. The changes include a new Official Injury Claim (OIC) portal, which would allow people for submitting directly the claims for the RTAs worth £5,000 or less. As per the website, ‘Official Injury Claim service aims for making the personal injury claims fair, safe and easy so that anyone can claim it without seeking any legal help from anyone.’ The purpose and reality behind the very marketing spin have been quite different.</w:t>
      </w:r>
    </w:p>
    <w:p w:rsidR="00000000" w:rsidDel="00000000" w:rsidP="00000000" w:rsidRDefault="00000000" w:rsidRPr="00000000" w14:paraId="00000018">
      <w:pPr>
        <w:spacing w:after="0" w:line="480" w:lineRule="auto"/>
        <w:ind w:firstLine="720"/>
        <w:jc w:val="both"/>
        <w:rPr>
          <w:vertAlign w:val="baseline"/>
        </w:rPr>
      </w:pPr>
      <w:r w:rsidDel="00000000" w:rsidR="00000000" w:rsidRPr="00000000">
        <w:rPr>
          <w:vertAlign w:val="baseline"/>
          <w:rtl w:val="0"/>
        </w:rPr>
        <w:t xml:space="preserve">Soon after May 31, any person who wants to claim less than £5,000 for road injuries (except cyclists and pedestrians) would have to initiate reading complicated legal documents. For busy workers along with their families, this is not simply possible. While some have pushed it off completely, the people who continue facing a well-equipped insurance industry that misses no opportunity to undermine its claims and trust. If insurers decide to waive liability, unrepresented claimants must find the time and courage for taking them to the court. It could be slow and paper-based, relying on heavily indebted and highly indebted companies' resource issues.</w:t>
      </w:r>
    </w:p>
    <w:p w:rsidR="00000000" w:rsidDel="00000000" w:rsidP="00000000" w:rsidRDefault="00000000" w:rsidRPr="00000000" w14:paraId="00000019">
      <w:pPr>
        <w:spacing w:after="0" w:line="480" w:lineRule="auto"/>
        <w:ind w:firstLine="720"/>
        <w:jc w:val="both"/>
        <w:rPr>
          <w:vertAlign w:val="baseline"/>
        </w:rPr>
      </w:pPr>
      <w:r w:rsidDel="00000000" w:rsidR="00000000" w:rsidRPr="00000000">
        <w:rPr>
          <w:vertAlign w:val="baseline"/>
          <w:rtl w:val="0"/>
        </w:rPr>
        <w:t xml:space="preserve">Residents of the areas that are less affluent have higher car insurance premiums as they have to park on busy roads rather than where they live or on the roads. Without the luxury of working at or near home, such people have been more likely working long hours at the front and have accidents. If they are victims of the RTA, they have no time or hope to file a claim. Furthermore, such reforms’ result, along with the new complexity portal, has been an entirely one-sided system that blocks access to known justice. While exemption from RTA and a reduction in the cap on smaller claims for AL and PL cases would be welcome, the reality is that any increase will only benefit the insurance companies and adversely affect the hard-working people by epidemics.</w:t>
      </w:r>
    </w:p>
    <w:p w:rsidR="00000000" w:rsidDel="00000000" w:rsidP="00000000" w:rsidRDefault="00000000" w:rsidRPr="00000000" w14:paraId="0000001A">
      <w:pPr>
        <w:spacing w:after="0" w:line="480" w:lineRule="auto"/>
        <w:ind w:firstLine="720"/>
        <w:jc w:val="both"/>
        <w:rPr>
          <w:i w:val="0"/>
          <w:vertAlign w:val="baseline"/>
        </w:rPr>
      </w:pPr>
      <w:r w:rsidDel="00000000" w:rsidR="00000000" w:rsidRPr="00000000">
        <w:rPr>
          <w:vertAlign w:val="baseline"/>
          <w:rtl w:val="0"/>
        </w:rPr>
        <w:t xml:space="preserve">The increase from £1,000 to £1,500 in the small limit for accident and general accident compensation will affect thousands of workers each year. Not only are these changes yet another obstacle to people's access to justice, however they have nothing to do with the obsession of the government with a ‘stupid culture that does not affect bonuses and does not affect England and Wales. Apart from Scotland - places, where the claims of personal injury have been brought out of the small claims route entirely, there has been no need for reforming the RTA claims such as phone calls or fraud or numbering. In addition, from April 2022, EU or PL claimants of £1,500 or less will have to accept an insurer whose offer is inadequate or frivolous and where it is suspected that it is denying liability. Judges have influenced the disreputable circuit court system. Many of them do not pursue them simply because they do not have the stamina, resources or time for seeking the justice which they mainly deserve.</w:t>
      </w:r>
      <w:r w:rsidDel="00000000" w:rsidR="00000000" w:rsidRPr="00000000">
        <w:rPr>
          <w:rtl w:val="0"/>
        </w:rPr>
      </w:r>
    </w:p>
    <w:p w:rsidR="00000000" w:rsidDel="00000000" w:rsidP="00000000" w:rsidRDefault="00000000" w:rsidRPr="00000000" w14:paraId="0000001B">
      <w:pPr>
        <w:spacing w:after="0" w:line="480" w:lineRule="auto"/>
        <w:ind w:firstLine="720"/>
        <w:jc w:val="both"/>
        <w:rPr>
          <w:vertAlign w:val="baseline"/>
        </w:rPr>
      </w:pPr>
      <w:r w:rsidDel="00000000" w:rsidR="00000000" w:rsidRPr="00000000">
        <w:rPr>
          <w:i w:val="1"/>
          <w:vertAlign w:val="baseline"/>
          <w:rtl w:val="0"/>
        </w:rPr>
        <w:t xml:space="preserve">The CLA 2018 (Commencement No. 1 and Transitional Provision) Regulations 2021 </w:t>
      </w:r>
      <w:r w:rsidDel="00000000" w:rsidR="00000000" w:rsidRPr="00000000">
        <w:rPr>
          <w:vertAlign w:val="baseline"/>
          <w:rtl w:val="0"/>
        </w:rPr>
        <w:t xml:space="preserve">give permission to the Chancellor to make the regulations to determine the whiplash injuries’ extent and prohibit the pre-treatment compensation, discussed as follows. Besides, the load that is to be applied to the whiplash claims has been provided under the </w:t>
      </w:r>
      <w:r w:rsidDel="00000000" w:rsidR="00000000" w:rsidRPr="00000000">
        <w:rPr>
          <w:i w:val="1"/>
          <w:vertAlign w:val="baseline"/>
          <w:rtl w:val="0"/>
        </w:rPr>
        <w:t xml:space="preserve">Whiplash Injury Regulations 2021</w:t>
      </w:r>
      <w:r w:rsidDel="00000000" w:rsidR="00000000" w:rsidRPr="00000000">
        <w:rPr>
          <w:vertAlign w:val="baseline"/>
          <w:rtl w:val="0"/>
        </w:rPr>
        <w:t xml:space="preserve"> up to the age of 24 months. The regulation also provides that if the claimant suffers minor mental damage, the amount of compensation is increased by flogging. The extent of mental damage also depends on the duration of the damage. The rules ensure that the charges can only be applied to claims arising from an act (traffic accident) on or after 31 May 2021.</w:t>
      </w:r>
    </w:p>
    <w:p w:rsidR="00000000" w:rsidDel="00000000" w:rsidP="00000000" w:rsidRDefault="00000000" w:rsidRPr="00000000" w14:paraId="0000001C">
      <w:pPr>
        <w:spacing w:after="0" w:line="480" w:lineRule="auto"/>
        <w:ind w:firstLine="720"/>
        <w:jc w:val="both"/>
        <w:rPr>
          <w:vertAlign w:val="baseline"/>
        </w:rPr>
      </w:pPr>
      <w:r w:rsidDel="00000000" w:rsidR="00000000" w:rsidRPr="00000000">
        <w:rPr>
          <w:vertAlign w:val="baseline"/>
          <w:rtl w:val="0"/>
        </w:rPr>
        <w:t xml:space="preserve">In exceptional cases, the regulations recognize if the PSLA level requires a higher dose and if the whiplash injury is particularly severe or if the circumstances of an individual have been unusual and such circumstances cause the PSLA to rise. It applies only to the whipping component in claims where the plaintiff suffered whipping, whipping, and minor psychological and other injuries. The ‘rules’ state that the additional amount does not exceed 20% of the payment amount.</w:t>
      </w:r>
    </w:p>
    <w:p w:rsidR="00000000" w:rsidDel="00000000" w:rsidP="00000000" w:rsidRDefault="00000000" w:rsidRPr="00000000" w14:paraId="0000001D">
      <w:pPr>
        <w:spacing w:after="0" w:line="480" w:lineRule="auto"/>
        <w:ind w:firstLine="720"/>
        <w:jc w:val="both"/>
        <w:rPr>
          <w:vertAlign w:val="baseline"/>
        </w:rPr>
      </w:pPr>
      <w:r w:rsidDel="00000000" w:rsidR="00000000" w:rsidRPr="00000000">
        <w:rPr>
          <w:vertAlign w:val="baseline"/>
          <w:rtl w:val="0"/>
        </w:rPr>
        <w:t xml:space="preserve">Under section 9 of the </w:t>
      </w:r>
      <w:r w:rsidDel="00000000" w:rsidR="00000000" w:rsidRPr="00000000">
        <w:rPr>
          <w:i w:val="1"/>
          <w:vertAlign w:val="baseline"/>
          <w:rtl w:val="0"/>
        </w:rPr>
        <w:t xml:space="preserve">CLA 2018, </w:t>
      </w:r>
      <w:r w:rsidDel="00000000" w:rsidR="00000000" w:rsidRPr="00000000">
        <w:rPr>
          <w:vertAlign w:val="baseline"/>
          <w:rtl w:val="0"/>
        </w:rPr>
        <w:t xml:space="preserve">the order also enables a controlled individual for paying or receiving the payment for settling a whipping application that is related to the RTA. For the claimants in the UK, the medical evidence could be deemed as a lump sum medical report from a GMC-listed or MedCo doctor. Further details of the changes required for updating the </w:t>
      </w:r>
      <w:r w:rsidDel="00000000" w:rsidR="00000000" w:rsidRPr="00000000">
        <w:rPr>
          <w:i w:val="1"/>
          <w:vertAlign w:val="baseline"/>
          <w:rtl w:val="0"/>
        </w:rPr>
        <w:t xml:space="preserve">Civil Procedure Rules (CPR)</w:t>
      </w:r>
      <w:r w:rsidDel="00000000" w:rsidR="00000000" w:rsidRPr="00000000">
        <w:rPr>
          <w:vertAlign w:val="baseline"/>
          <w:rtl w:val="0"/>
        </w:rPr>
        <w:t xml:space="preserve"> have been provided under the </w:t>
      </w:r>
      <w:r w:rsidDel="00000000" w:rsidR="00000000" w:rsidRPr="00000000">
        <w:rPr>
          <w:i w:val="1"/>
          <w:vertAlign w:val="baseline"/>
          <w:rtl w:val="0"/>
        </w:rPr>
        <w:t xml:space="preserve">Civil Procedure (Amendment No. 2) Rules 2021</w:t>
      </w:r>
      <w:r w:rsidDel="00000000" w:rsidR="00000000" w:rsidRPr="00000000">
        <w:rPr>
          <w:vertAlign w:val="baseline"/>
          <w:rtl w:val="0"/>
        </w:rPr>
        <w:t xml:space="preserve">. According to the provisions stated in rule 26.6A, these rules also clarify that the current £1,000 minor claims limit for the RTA personal injury claims would remain in place if the event occurs before 31 May 2021.</w:t>
      </w:r>
    </w:p>
    <w:p w:rsidR="00000000" w:rsidDel="00000000" w:rsidP="00000000" w:rsidRDefault="00000000" w:rsidRPr="00000000" w14:paraId="0000001E">
      <w:pPr>
        <w:spacing w:after="0" w:line="480" w:lineRule="auto"/>
        <w:ind w:firstLine="720"/>
        <w:jc w:val="both"/>
        <w:rPr/>
      </w:pPr>
      <w:r w:rsidDel="00000000" w:rsidR="00000000" w:rsidRPr="00000000">
        <w:rPr>
          <w:vertAlign w:val="baseline"/>
          <w:rtl w:val="0"/>
        </w:rPr>
        <w:t xml:space="preserve">One way to deal with the growing number of whiplash lawsuits is to suggest that judges be more sceptical and prosecutors more alert to the possibility of ‘fake’ or ‘exaggerated’ symptoms. However, the deal may affect the incidence of whiplash lawsuits for two reasons. The first is that many of these cases do not go to court because of their low value, and when the case does go to court, the defendant chooses to pay and does not risk paying the plaintiff's costs. In the defendant's view, the £1,000.00 argument was not financially viable. The problem with whips is that they are not very expensive, but there are a lot of them, so the solution is sometimes the cheapest option.</w:t>
      </w:r>
      <w:r w:rsidDel="00000000" w:rsidR="00000000" w:rsidRPr="00000000">
        <w:rPr>
          <w:rtl w:val="0"/>
        </w:rPr>
      </w:r>
    </w:p>
    <w:p w:rsidR="00000000" w:rsidDel="00000000" w:rsidP="00000000" w:rsidRDefault="00000000" w:rsidRPr="00000000" w14:paraId="0000001F">
      <w:pPr>
        <w:spacing w:after="0" w:line="480" w:lineRule="auto"/>
        <w:ind w:firstLine="720"/>
        <w:jc w:val="both"/>
        <w:rPr>
          <w:vertAlign w:val="baseline"/>
        </w:rPr>
      </w:pPr>
      <w:r w:rsidDel="00000000" w:rsidR="00000000" w:rsidRPr="00000000">
        <w:rPr>
          <w:vertAlign w:val="baseline"/>
          <w:rtl w:val="0"/>
        </w:rPr>
        <w:t xml:space="preserve">These reforms’ first key element has been the CPR 26.6, that would raise the excise duty threshold for the accidents on or after 31 May 2021 for the RTA claims to £5,000. The limit applies only to pain, anxiety and loss of comfort; the total SCT limit for all parts of the claim is £10,000. For RTA and EL/PL events before 31 May 2021 and other injuries after and before that date, the limit of the SCT claim has been £1,000. There have been various other exceptions to the £5,000 limit, all of which have been the case types that the new OIC portal excludes, which are discussed below. Whiplash claims against children and other incapacitated persons (known as ‘protected parties’) would be granted regardless of value. In addition, the other exceptions to CPR 26.6A remain the old SCT loss limit of £1,000. Also, other RTA claims against children or protected persons.</w:t>
      </w:r>
    </w:p>
    <w:p w:rsidR="00000000" w:rsidDel="00000000" w:rsidP="00000000" w:rsidRDefault="00000000" w:rsidRPr="00000000" w14:paraId="00000020">
      <w:pPr>
        <w:spacing w:after="0" w:line="480" w:lineRule="auto"/>
        <w:ind w:firstLine="720"/>
        <w:jc w:val="both"/>
        <w:rPr/>
      </w:pPr>
      <w:r w:rsidDel="00000000" w:rsidR="00000000" w:rsidRPr="00000000">
        <w:rPr>
          <w:vertAlign w:val="baseline"/>
          <w:rtl w:val="0"/>
        </w:rPr>
        <w:t xml:space="preserve">Also, ‘protected road users’ means motorcyclists and back seat/basket occupants, cyclists, pedestrians, riders and scooters (but not subject to flogging and driving test duty or the deceased’s personal representative). The claims of the deceased or the alien’s personal representative against the driver of the vehicle are also registered. A whiplash injury’s duration of more than 1 injury has been the longest. In ‘exceptional cases, claimants might request an increase in liability of up to 20%. They are loosely defined when whiplash injuries are more severe or are considered abnormal when whiplash injuries eliminate pain, anxiety, and comfort. This increase applies to a low or high tax rate, even if the situation involves only whiplash.</w:t>
      </w:r>
      <w:r w:rsidDel="00000000" w:rsidR="00000000" w:rsidRPr="00000000">
        <w:rPr>
          <w:rtl w:val="0"/>
        </w:rPr>
      </w:r>
    </w:p>
    <w:p w:rsidR="00000000" w:rsidDel="00000000" w:rsidP="00000000" w:rsidRDefault="00000000" w:rsidRPr="00000000" w14:paraId="00000021">
      <w:pPr>
        <w:spacing w:after="0" w:line="480" w:lineRule="auto"/>
        <w:ind w:firstLine="720"/>
        <w:jc w:val="both"/>
        <w:rPr>
          <w:i w:val="0"/>
          <w:vertAlign w:val="baseline"/>
        </w:rPr>
      </w:pPr>
      <w:r w:rsidDel="00000000" w:rsidR="00000000" w:rsidRPr="00000000">
        <w:rPr>
          <w:vertAlign w:val="baseline"/>
          <w:rtl w:val="0"/>
        </w:rPr>
        <w:t xml:space="preserve">In addition to the minor mental injury covered by the tariff, additional injuries to the plaintiff must be considered at common law and according to the guidelines of the Judicial Academy. The overlap between statutory data (judgments) and ordinary compensation has not been previously explored in English law, so it could not predict the ways in which the courts would deal with such cases, and therefore, a clear decision needs to be made beforehand, perhaps from the Court of Appeal.</w:t>
      </w:r>
      <w:r w:rsidDel="00000000" w:rsidR="00000000" w:rsidRPr="00000000">
        <w:rPr>
          <w:rtl w:val="0"/>
        </w:rPr>
      </w:r>
    </w:p>
    <w:p w:rsidR="00000000" w:rsidDel="00000000" w:rsidP="00000000" w:rsidRDefault="00000000" w:rsidRPr="00000000" w14:paraId="00000022">
      <w:pPr>
        <w:spacing w:after="0" w:line="480" w:lineRule="auto"/>
        <w:ind w:firstLine="720"/>
        <w:jc w:val="both"/>
        <w:rPr>
          <w:vertAlign w:val="baseline"/>
        </w:rPr>
      </w:pPr>
      <w:r w:rsidDel="00000000" w:rsidR="00000000" w:rsidRPr="00000000">
        <w:rPr>
          <w:vertAlign w:val="baseline"/>
          <w:rtl w:val="0"/>
        </w:rPr>
        <w:t xml:space="preserve">No compensation, no medical report of whiplash injuries, no pending whiplash complaint, and no citations/money paid. A medical report is not required for injuries other than whiplash, so some aspects of this claim can be answered without medical assistance. If the rates include minor mental impairment and whiplash, medical evidence need not cover the psychological harm – however, in practice, it is not expected that the courts impose higher rates without medical evidence. A second promotion does not need to be supported by a medical report; however, it has not been expected for a referee for making a promotion decision without a medical certificate in special circumstances.</w:t>
      </w:r>
    </w:p>
    <w:p w:rsidR="00000000" w:rsidDel="00000000" w:rsidP="00000000" w:rsidRDefault="00000000" w:rsidRPr="00000000" w14:paraId="00000023">
      <w:pPr>
        <w:spacing w:after="0" w:line="480" w:lineRule="auto"/>
        <w:jc w:val="both"/>
        <w:rPr>
          <w:b w:val="0"/>
          <w:i w:val="0"/>
          <w:vertAlign w:val="baseline"/>
        </w:rPr>
      </w:pPr>
      <w:r w:rsidDel="00000000" w:rsidR="00000000" w:rsidRPr="00000000">
        <w:rPr>
          <w:rtl w:val="0"/>
        </w:rPr>
      </w:r>
    </w:p>
    <w:p w:rsidR="00000000" w:rsidDel="00000000" w:rsidP="00000000" w:rsidRDefault="00000000" w:rsidRPr="00000000" w14:paraId="00000024">
      <w:pPr>
        <w:spacing w:after="0" w:line="480" w:lineRule="auto"/>
        <w:ind w:firstLine="720"/>
        <w:jc w:val="both"/>
        <w:rPr>
          <w:vertAlign w:val="baseline"/>
        </w:rPr>
      </w:pPr>
      <w:r w:rsidDel="00000000" w:rsidR="00000000" w:rsidRPr="00000000">
        <w:rPr>
          <w:vertAlign w:val="baseline"/>
          <w:rtl w:val="0"/>
        </w:rPr>
        <w:t xml:space="preserve">In conclusion, it could be ascertained that due to the legal expenses insurance rise, the free win-win deals have played a role in the increase in demand. If the attorney fees are not coming out of the plaintiff's pocket, there is no lawsuit filed by the lawyer. Before legal costs, insurance and contingent indemnity contracts, plaintiffs' interest rates were so high that this funding clause was not a bad idea given how many plaintiffs were wronged and how many actual claims there were, but it also allowed for those who were not. It could be stated that if insurance companies make legitimate insurance to sell their products, people have only themselves to blame. In simple terms, it could be asserted that insurance companies have created their monsters. Therefore, they can keep the problem under control by following strict rules in their policies that prevent problematic litigation.</w:t>
      </w:r>
    </w:p>
    <w:p w:rsidR="00000000" w:rsidDel="00000000" w:rsidP="00000000" w:rsidRDefault="00000000" w:rsidRPr="00000000" w14:paraId="00000025">
      <w:pPr>
        <w:spacing w:after="0" w:line="480" w:lineRule="auto"/>
        <w:jc w:val="center"/>
        <w:rPr>
          <w:vertAlign w:val="baseline"/>
        </w:rPr>
      </w:pPr>
      <w:r w:rsidDel="00000000" w:rsidR="00000000" w:rsidRPr="00000000">
        <w:br w:type="page"/>
      </w:r>
      <w:r w:rsidDel="00000000" w:rsidR="00000000" w:rsidRPr="00000000">
        <w:rPr>
          <w:b w:val="1"/>
          <w:rtl w:val="0"/>
        </w:rPr>
        <w:t xml:space="preserve">Reference List</w:t>
      </w:r>
      <w:r w:rsidDel="00000000" w:rsidR="00000000" w:rsidRPr="00000000">
        <w:rPr>
          <w:rtl w:val="0"/>
        </w:rPr>
      </w:r>
    </w:p>
    <w:p w:rsidR="00000000" w:rsidDel="00000000" w:rsidP="00000000" w:rsidRDefault="00000000" w:rsidRPr="00000000" w14:paraId="00000026">
      <w:pPr>
        <w:spacing w:after="0" w:line="480" w:lineRule="auto"/>
        <w:rPr>
          <w:b w:val="0"/>
          <w:vertAlign w:val="baseline"/>
        </w:rPr>
      </w:pPr>
      <w:r w:rsidDel="00000000" w:rsidR="00000000" w:rsidRPr="00000000">
        <w:rPr>
          <w:b w:val="1"/>
          <w:vertAlign w:val="baseline"/>
          <w:rtl w:val="0"/>
        </w:rPr>
        <w:t xml:space="preserve">Legislation </w:t>
      </w:r>
      <w:r w:rsidDel="00000000" w:rsidR="00000000" w:rsidRPr="00000000">
        <w:rPr>
          <w:rtl w:val="0"/>
        </w:rPr>
      </w:r>
    </w:p>
    <w:p w:rsidR="00000000" w:rsidDel="00000000" w:rsidP="00000000" w:rsidRDefault="00000000" w:rsidRPr="00000000" w14:paraId="00000027">
      <w:pPr>
        <w:spacing w:after="0" w:line="480" w:lineRule="auto"/>
        <w:rPr>
          <w:vertAlign w:val="baseline"/>
        </w:rPr>
      </w:pPr>
      <w:r w:rsidDel="00000000" w:rsidR="00000000" w:rsidRPr="00000000">
        <w:rPr>
          <w:vertAlign w:val="baseline"/>
          <w:rtl w:val="0"/>
        </w:rPr>
        <w:t xml:space="preserve">Civil Procedure (Amendment No. 2) Rules 2021</w:t>
      </w:r>
    </w:p>
    <w:p w:rsidR="00000000" w:rsidDel="00000000" w:rsidP="00000000" w:rsidRDefault="00000000" w:rsidRPr="00000000" w14:paraId="00000028">
      <w:pPr>
        <w:spacing w:after="0" w:line="480" w:lineRule="auto"/>
        <w:rPr>
          <w:vertAlign w:val="baseline"/>
        </w:rPr>
      </w:pPr>
      <w:r w:rsidDel="00000000" w:rsidR="00000000" w:rsidRPr="00000000">
        <w:rPr>
          <w:vertAlign w:val="baseline"/>
          <w:rtl w:val="0"/>
        </w:rPr>
        <w:t xml:space="preserve">Civil Procedure Rules 1998</w:t>
      </w:r>
    </w:p>
    <w:p w:rsidR="00000000" w:rsidDel="00000000" w:rsidP="00000000" w:rsidRDefault="00000000" w:rsidRPr="00000000" w14:paraId="00000029">
      <w:pPr>
        <w:spacing w:after="0" w:line="480" w:lineRule="auto"/>
        <w:rPr>
          <w:vertAlign w:val="baseline"/>
        </w:rPr>
      </w:pPr>
      <w:r w:rsidDel="00000000" w:rsidR="00000000" w:rsidRPr="00000000">
        <w:rPr>
          <w:vertAlign w:val="baseline"/>
          <w:rtl w:val="0"/>
        </w:rPr>
        <w:t xml:space="preserve">Part 26 of the CPR</w:t>
      </w:r>
    </w:p>
    <w:p w:rsidR="00000000" w:rsidDel="00000000" w:rsidP="00000000" w:rsidRDefault="00000000" w:rsidRPr="00000000" w14:paraId="0000002A">
      <w:pPr>
        <w:spacing w:after="0" w:line="480" w:lineRule="auto"/>
        <w:rPr>
          <w:vertAlign w:val="baseline"/>
        </w:rPr>
      </w:pPr>
      <w:r w:rsidDel="00000000" w:rsidR="00000000" w:rsidRPr="00000000">
        <w:rPr>
          <w:vertAlign w:val="baseline"/>
          <w:rtl w:val="0"/>
        </w:rPr>
        <w:t xml:space="preserve">Pre-Action Protocol for Personal Injury Claims</w:t>
      </w:r>
    </w:p>
    <w:p w:rsidR="00000000" w:rsidDel="00000000" w:rsidP="00000000" w:rsidRDefault="00000000" w:rsidRPr="00000000" w14:paraId="0000002B">
      <w:pPr>
        <w:spacing w:after="0" w:line="480" w:lineRule="auto"/>
        <w:rPr>
          <w:vertAlign w:val="baseline"/>
        </w:rPr>
      </w:pPr>
      <w:r w:rsidDel="00000000" w:rsidR="00000000" w:rsidRPr="00000000">
        <w:rPr>
          <w:vertAlign w:val="baseline"/>
          <w:rtl w:val="0"/>
        </w:rPr>
        <w:t xml:space="preserve">The Civil Liability Act 2018 (Commencement No. 1 and Transitional Provision) Regulations 2021</w:t>
      </w:r>
    </w:p>
    <w:p w:rsidR="00000000" w:rsidDel="00000000" w:rsidP="00000000" w:rsidRDefault="00000000" w:rsidRPr="00000000" w14:paraId="0000002C">
      <w:pPr>
        <w:spacing w:after="0" w:line="480" w:lineRule="auto"/>
        <w:rPr>
          <w:vertAlign w:val="baseline"/>
        </w:rPr>
      </w:pPr>
      <w:r w:rsidDel="00000000" w:rsidR="00000000" w:rsidRPr="00000000">
        <w:rPr>
          <w:vertAlign w:val="baseline"/>
          <w:rtl w:val="0"/>
        </w:rPr>
        <w:t xml:space="preserve">Whiplash Regulations 2021</w:t>
      </w:r>
    </w:p>
    <w:p w:rsidR="00000000" w:rsidDel="00000000" w:rsidP="00000000" w:rsidRDefault="00000000" w:rsidRPr="00000000" w14:paraId="0000002D">
      <w:pPr>
        <w:spacing w:after="0" w:line="480" w:lineRule="auto"/>
        <w:rPr>
          <w:b w:val="0"/>
          <w:vertAlign w:val="baseline"/>
        </w:rPr>
      </w:pPr>
      <w:r w:rsidDel="00000000" w:rsidR="00000000" w:rsidRPr="00000000">
        <w:rPr>
          <w:b w:val="1"/>
          <w:vertAlign w:val="baseline"/>
          <w:rtl w:val="0"/>
        </w:rPr>
        <w:t xml:space="preserve">Books</w:t>
      </w:r>
      <w:r w:rsidDel="00000000" w:rsidR="00000000" w:rsidRPr="00000000">
        <w:rPr>
          <w:rtl w:val="0"/>
        </w:rPr>
      </w:r>
    </w:p>
    <w:p w:rsidR="00000000" w:rsidDel="00000000" w:rsidP="00000000" w:rsidRDefault="00000000" w:rsidRPr="00000000" w14:paraId="0000002E">
      <w:pPr>
        <w:spacing w:after="0" w:line="480" w:lineRule="auto"/>
        <w:ind w:left="720" w:hanging="720"/>
        <w:jc w:val="both"/>
        <w:rPr>
          <w:vertAlign w:val="baseline"/>
        </w:rPr>
      </w:pPr>
      <w:r w:rsidDel="00000000" w:rsidR="00000000" w:rsidRPr="00000000">
        <w:rPr>
          <w:vertAlign w:val="baseline"/>
          <w:rtl w:val="0"/>
        </w:rPr>
        <w:t xml:space="preserve">Galanter, Marc. "The Assault on Civil Justice: The Anti-Lawyer Dimension 1." In </w:t>
      </w:r>
      <w:r w:rsidDel="00000000" w:rsidR="00000000" w:rsidRPr="00000000">
        <w:rPr>
          <w:i w:val="1"/>
          <w:vertAlign w:val="baseline"/>
          <w:rtl w:val="0"/>
        </w:rPr>
        <w:t xml:space="preserve">Legal Culture and the Legal Profession</w:t>
      </w:r>
      <w:r w:rsidDel="00000000" w:rsidR="00000000" w:rsidRPr="00000000">
        <w:rPr>
          <w:vertAlign w:val="baseline"/>
          <w:rtl w:val="0"/>
        </w:rPr>
        <w:t xml:space="preserve">, pp. 79-118. (Routledge, 2021). </w:t>
      </w:r>
      <w:hyperlink r:id="rId7">
        <w:r w:rsidDel="00000000" w:rsidR="00000000" w:rsidRPr="00000000">
          <w:rPr>
            <w:color w:val="0563c1"/>
            <w:u w:val="single"/>
            <w:vertAlign w:val="baseline"/>
            <w:rtl w:val="0"/>
          </w:rPr>
          <w:t xml:space="preserve">https://doi.org/10.4324/9780429047428</w:t>
        </w:r>
      </w:hyperlink>
      <w:r w:rsidDel="00000000" w:rsidR="00000000" w:rsidRPr="00000000">
        <w:rPr>
          <w:rtl w:val="0"/>
        </w:rPr>
      </w:r>
    </w:p>
    <w:p w:rsidR="00000000" w:rsidDel="00000000" w:rsidP="00000000" w:rsidRDefault="00000000" w:rsidRPr="00000000" w14:paraId="0000002F">
      <w:pPr>
        <w:spacing w:after="0" w:line="480" w:lineRule="auto"/>
        <w:ind w:left="720" w:hanging="720"/>
        <w:jc w:val="both"/>
        <w:rPr>
          <w:vertAlign w:val="baseline"/>
        </w:rPr>
      </w:pPr>
      <w:r w:rsidDel="00000000" w:rsidR="00000000" w:rsidRPr="00000000">
        <w:rPr>
          <w:vertAlign w:val="baseline"/>
          <w:rtl w:val="0"/>
        </w:rPr>
        <w:t xml:space="preserve">Morris, Annette. "Personal injury compensation and civil justice paradigms." In </w:t>
      </w:r>
      <w:r w:rsidDel="00000000" w:rsidR="00000000" w:rsidRPr="00000000">
        <w:rPr>
          <w:i w:val="1"/>
          <w:vertAlign w:val="baseline"/>
          <w:rtl w:val="0"/>
        </w:rPr>
        <w:t xml:space="preserve">Research Handbook on Remedies in Private Law</w:t>
      </w:r>
      <w:r w:rsidDel="00000000" w:rsidR="00000000" w:rsidRPr="00000000">
        <w:rPr>
          <w:vertAlign w:val="baseline"/>
          <w:rtl w:val="0"/>
        </w:rPr>
        <w:t xml:space="preserve">, pp. 11-43. (Edward Elgar Publishing, 2019). </w:t>
      </w:r>
      <w:hyperlink r:id="rId8">
        <w:r w:rsidDel="00000000" w:rsidR="00000000" w:rsidRPr="00000000">
          <w:rPr>
            <w:color w:val="0563c1"/>
            <w:u w:val="single"/>
            <w:vertAlign w:val="baseline"/>
            <w:rtl w:val="0"/>
          </w:rPr>
          <w:t xml:space="preserve">https://orca.cardiff.ac.uk/id/eprint/136452</w:t>
        </w:r>
      </w:hyperlink>
      <w:r w:rsidDel="00000000" w:rsidR="00000000" w:rsidRPr="00000000">
        <w:rPr>
          <w:rtl w:val="0"/>
        </w:rPr>
      </w:r>
    </w:p>
    <w:p w:rsidR="00000000" w:rsidDel="00000000" w:rsidP="00000000" w:rsidRDefault="00000000" w:rsidRPr="00000000" w14:paraId="00000030">
      <w:pPr>
        <w:spacing w:after="0" w:line="480" w:lineRule="auto"/>
        <w:ind w:left="720" w:hanging="720"/>
        <w:jc w:val="both"/>
        <w:rPr>
          <w:vertAlign w:val="baseline"/>
        </w:rPr>
      </w:pPr>
      <w:r w:rsidDel="00000000" w:rsidR="00000000" w:rsidRPr="00000000">
        <w:rPr>
          <w:vertAlign w:val="baseline"/>
          <w:rtl w:val="0"/>
        </w:rPr>
        <w:t xml:space="preserve">Stockdale, Michael. "Reliability by procedural rule reform? Expert evidence and the Civil–Criminal–Family Procedure Rules trichotomy." In </w:t>
      </w:r>
      <w:r w:rsidDel="00000000" w:rsidR="00000000" w:rsidRPr="00000000">
        <w:rPr>
          <w:i w:val="1"/>
          <w:vertAlign w:val="baseline"/>
          <w:rtl w:val="0"/>
        </w:rPr>
        <w:t xml:space="preserve">Forensic Science Evidence and Expert Witness Testimony</w:t>
      </w:r>
      <w:r w:rsidDel="00000000" w:rsidR="00000000" w:rsidRPr="00000000">
        <w:rPr>
          <w:vertAlign w:val="baseline"/>
          <w:rtl w:val="0"/>
        </w:rPr>
        <w:t xml:space="preserve">. (Edward Elgar Publishing, 2018). </w:t>
      </w:r>
      <w:hyperlink r:id="rId9">
        <w:r w:rsidDel="00000000" w:rsidR="00000000" w:rsidRPr="00000000">
          <w:rPr>
            <w:color w:val="0563c1"/>
            <w:u w:val="single"/>
            <w:vertAlign w:val="baseline"/>
            <w:rtl w:val="0"/>
          </w:rPr>
          <w:t xml:space="preserve">https://doi.org/10.4337/9781788111034</w:t>
        </w:r>
      </w:hyperlink>
      <w:r w:rsidDel="00000000" w:rsidR="00000000" w:rsidRPr="00000000">
        <w:rPr>
          <w:rtl w:val="0"/>
        </w:rPr>
      </w:r>
    </w:p>
    <w:p w:rsidR="00000000" w:rsidDel="00000000" w:rsidP="00000000" w:rsidRDefault="00000000" w:rsidRPr="00000000" w14:paraId="00000031">
      <w:pPr>
        <w:spacing w:after="0" w:line="480" w:lineRule="auto"/>
        <w:rPr>
          <w:b w:val="0"/>
          <w:vertAlign w:val="baseline"/>
        </w:rPr>
      </w:pPr>
      <w:r w:rsidDel="00000000" w:rsidR="00000000" w:rsidRPr="00000000">
        <w:rPr>
          <w:b w:val="1"/>
          <w:vertAlign w:val="baseline"/>
          <w:rtl w:val="0"/>
        </w:rPr>
        <w:t xml:space="preserve">Journal Articles</w:t>
      </w:r>
      <w:r w:rsidDel="00000000" w:rsidR="00000000" w:rsidRPr="00000000">
        <w:rPr>
          <w:rtl w:val="0"/>
        </w:rPr>
      </w:r>
    </w:p>
    <w:p w:rsidR="00000000" w:rsidDel="00000000" w:rsidP="00000000" w:rsidRDefault="00000000" w:rsidRPr="00000000" w14:paraId="00000032">
      <w:pPr>
        <w:spacing w:after="0" w:line="480" w:lineRule="auto"/>
        <w:ind w:left="720" w:hanging="720"/>
        <w:jc w:val="both"/>
        <w:rPr>
          <w:vertAlign w:val="baseline"/>
        </w:rPr>
      </w:pPr>
      <w:r w:rsidDel="00000000" w:rsidR="00000000" w:rsidRPr="00000000">
        <w:rPr>
          <w:vertAlign w:val="baseline"/>
          <w:rtl w:val="0"/>
        </w:rPr>
        <w:t xml:space="preserve">Cartwright, Ashley, Jason Roach, and Rachel Armitage, ‘Mission impossible? Assessing the veracity of a mental health problem as result of a road traffic accident: A preliminary review of UK experts’ practices’ (2019) 30 (1) The Journal of Forensic Psychiatry &amp; Psychology 89-111. </w:t>
      </w:r>
      <w:hyperlink r:id="rId10">
        <w:r w:rsidDel="00000000" w:rsidR="00000000" w:rsidRPr="00000000">
          <w:rPr>
            <w:color w:val="0563c1"/>
            <w:u w:val="single"/>
            <w:vertAlign w:val="baseline"/>
            <w:rtl w:val="0"/>
          </w:rPr>
          <w:t xml:space="preserve">https://doi.org/10.1080/14789949.2018.1502338</w:t>
        </w:r>
      </w:hyperlink>
      <w:r w:rsidDel="00000000" w:rsidR="00000000" w:rsidRPr="00000000">
        <w:rPr>
          <w:rtl w:val="0"/>
        </w:rPr>
      </w:r>
    </w:p>
    <w:p w:rsidR="00000000" w:rsidDel="00000000" w:rsidP="00000000" w:rsidRDefault="00000000" w:rsidRPr="00000000" w14:paraId="00000033">
      <w:pPr>
        <w:spacing w:after="0" w:line="480" w:lineRule="auto"/>
        <w:ind w:left="720" w:hanging="720"/>
        <w:jc w:val="both"/>
        <w:rPr>
          <w:vertAlign w:val="baseline"/>
        </w:rPr>
      </w:pPr>
      <w:r w:rsidDel="00000000" w:rsidR="00000000" w:rsidRPr="00000000">
        <w:rPr>
          <w:vertAlign w:val="baseline"/>
          <w:rtl w:val="0"/>
        </w:rPr>
        <w:t xml:space="preserve">Clark, Bryan, ‘Mandatory Mediation in England and Wales: Much Ado About Nothing?’ (2022) The Journal of the Society for Advanced Legal Studies 92. </w:t>
      </w:r>
      <w:hyperlink r:id="rId11">
        <w:r w:rsidDel="00000000" w:rsidR="00000000" w:rsidRPr="00000000">
          <w:rPr>
            <w:color w:val="0563c1"/>
            <w:u w:val="single"/>
            <w:vertAlign w:val="baseline"/>
            <w:rtl w:val="0"/>
          </w:rPr>
          <w:t xml:space="preserve">https://doi.org/10.14296/ac.v4i1.5490</w:t>
        </w:r>
      </w:hyperlink>
      <w:r w:rsidDel="00000000" w:rsidR="00000000" w:rsidRPr="00000000">
        <w:rPr>
          <w:rtl w:val="0"/>
        </w:rPr>
      </w:r>
    </w:p>
    <w:p w:rsidR="00000000" w:rsidDel="00000000" w:rsidP="00000000" w:rsidRDefault="00000000" w:rsidRPr="00000000" w14:paraId="00000034">
      <w:pPr>
        <w:spacing w:after="0" w:line="480" w:lineRule="auto"/>
        <w:ind w:left="720" w:hanging="720"/>
        <w:jc w:val="both"/>
        <w:rPr>
          <w:vertAlign w:val="baseline"/>
        </w:rPr>
      </w:pPr>
      <w:r w:rsidDel="00000000" w:rsidR="00000000" w:rsidRPr="00000000">
        <w:rPr>
          <w:vertAlign w:val="baseline"/>
          <w:rtl w:val="0"/>
        </w:rPr>
        <w:t xml:space="preserve">Dickson, Rebecca, ‘Does the Notice of Objection Mechanism Available to Civil Resolution Tribunal Small Claims Parties Enhance Access to Justice?’ (2021) 54 UBCL Rev. 119. </w:t>
      </w:r>
      <w:hyperlink r:id="rId12">
        <w:r w:rsidDel="00000000" w:rsidR="00000000" w:rsidRPr="00000000">
          <w:rPr>
            <w:color w:val="0563c1"/>
            <w:u w:val="single"/>
            <w:vertAlign w:val="baseline"/>
            <w:rtl w:val="0"/>
          </w:rPr>
          <w:t xml:space="preserve">http://dx.doi.org/10.2139/ssrn.3697397</w:t>
        </w:r>
      </w:hyperlink>
      <w:r w:rsidDel="00000000" w:rsidR="00000000" w:rsidRPr="00000000">
        <w:rPr>
          <w:rtl w:val="0"/>
        </w:rPr>
      </w:r>
    </w:p>
    <w:p w:rsidR="00000000" w:rsidDel="00000000" w:rsidP="00000000" w:rsidRDefault="00000000" w:rsidRPr="00000000" w14:paraId="00000035">
      <w:pPr>
        <w:spacing w:after="0" w:line="480" w:lineRule="auto"/>
        <w:ind w:left="720" w:hanging="720"/>
        <w:jc w:val="both"/>
        <w:rPr>
          <w:vertAlign w:val="baseline"/>
        </w:rPr>
      </w:pPr>
      <w:r w:rsidDel="00000000" w:rsidR="00000000" w:rsidRPr="00000000">
        <w:rPr>
          <w:vertAlign w:val="baseline"/>
          <w:rtl w:val="0"/>
        </w:rPr>
        <w:t xml:space="preserve">Groggel, Anne, ‘The role of place and sociodemographic characteristics on the issuance of temporary civil protection orders’ (2021) 55 (1) Law &amp; Society Review 38-69. </w:t>
      </w:r>
      <w:hyperlink r:id="rId13">
        <w:r w:rsidDel="00000000" w:rsidR="00000000" w:rsidRPr="00000000">
          <w:rPr>
            <w:color w:val="0563c1"/>
            <w:u w:val="single"/>
            <w:vertAlign w:val="baseline"/>
            <w:rtl w:val="0"/>
          </w:rPr>
          <w:t xml:space="preserve">https://doi.org/10.1111/lasr.12528</w:t>
        </w:r>
      </w:hyperlink>
      <w:r w:rsidDel="00000000" w:rsidR="00000000" w:rsidRPr="00000000">
        <w:rPr>
          <w:rtl w:val="0"/>
        </w:rPr>
      </w:r>
    </w:p>
    <w:p w:rsidR="00000000" w:rsidDel="00000000" w:rsidP="00000000" w:rsidRDefault="00000000" w:rsidRPr="00000000" w14:paraId="00000036">
      <w:pPr>
        <w:spacing w:after="0" w:line="480" w:lineRule="auto"/>
        <w:ind w:left="720" w:hanging="720"/>
        <w:jc w:val="both"/>
        <w:rPr>
          <w:vertAlign w:val="baseline"/>
        </w:rPr>
      </w:pPr>
      <w:r w:rsidDel="00000000" w:rsidR="00000000" w:rsidRPr="00000000">
        <w:rPr>
          <w:vertAlign w:val="baseline"/>
          <w:rtl w:val="0"/>
        </w:rPr>
        <w:t xml:space="preserve">Gunderson, Anna, ‘Ideology, Disadvantage, and Federal District Court Inmate Civil Rights Filings: The Troubling Effects of Pro Se Status’ (2021) 18 (3) Journal of Empirical Legal Studies 603-628. </w:t>
      </w:r>
      <w:hyperlink r:id="rId14">
        <w:r w:rsidDel="00000000" w:rsidR="00000000" w:rsidRPr="00000000">
          <w:rPr>
            <w:color w:val="0563c1"/>
            <w:u w:val="single"/>
            <w:vertAlign w:val="baseline"/>
            <w:rtl w:val="0"/>
          </w:rPr>
          <w:t xml:space="preserve">https://doi.org/10.1111/jels.12290</w:t>
        </w:r>
      </w:hyperlink>
      <w:r w:rsidDel="00000000" w:rsidR="00000000" w:rsidRPr="00000000">
        <w:rPr>
          <w:rtl w:val="0"/>
        </w:rPr>
      </w:r>
    </w:p>
    <w:p w:rsidR="00000000" w:rsidDel="00000000" w:rsidP="00000000" w:rsidRDefault="00000000" w:rsidRPr="00000000" w14:paraId="00000037">
      <w:pPr>
        <w:spacing w:after="0" w:line="480" w:lineRule="auto"/>
        <w:ind w:left="720" w:hanging="720"/>
        <w:jc w:val="both"/>
        <w:rPr>
          <w:vertAlign w:val="baseline"/>
        </w:rPr>
      </w:pPr>
      <w:r w:rsidDel="00000000" w:rsidR="00000000" w:rsidRPr="00000000">
        <w:rPr>
          <w:vertAlign w:val="baseline"/>
          <w:rtl w:val="0"/>
        </w:rPr>
        <w:t xml:space="preserve">Kubo, Emily R., ‘Abandoning the contingent fee: why personal injury cases should move to retainer fee agreements’ (2021) 16 JL Econ. &amp; Pol'y 91. </w:t>
      </w:r>
      <w:hyperlink r:id="rId15">
        <w:r w:rsidDel="00000000" w:rsidR="00000000" w:rsidRPr="00000000">
          <w:rPr>
            <w:color w:val="0563c1"/>
            <w:u w:val="single"/>
            <w:vertAlign w:val="baseline"/>
            <w:rtl w:val="0"/>
          </w:rPr>
          <w:t xml:space="preserve">https://heinonline.org/HOL/LandingPage?handle=hein.journals/jecoplcy16&amp;div=9&amp;id=&amp;page</w:t>
        </w:r>
      </w:hyperlink>
      <w:r w:rsidDel="00000000" w:rsidR="00000000" w:rsidRPr="00000000">
        <w:rPr>
          <w:vertAlign w:val="baseline"/>
          <w:rtl w:val="0"/>
        </w:rPr>
        <w:t xml:space="preserve">=</w:t>
      </w:r>
    </w:p>
    <w:p w:rsidR="00000000" w:rsidDel="00000000" w:rsidP="00000000" w:rsidRDefault="00000000" w:rsidRPr="00000000" w14:paraId="00000038">
      <w:pPr>
        <w:spacing w:after="0" w:line="480" w:lineRule="auto"/>
        <w:ind w:left="720" w:hanging="720"/>
        <w:jc w:val="both"/>
        <w:rPr>
          <w:vertAlign w:val="baseline"/>
        </w:rPr>
      </w:pPr>
      <w:r w:rsidDel="00000000" w:rsidR="00000000" w:rsidRPr="00000000">
        <w:rPr>
          <w:vertAlign w:val="baseline"/>
          <w:rtl w:val="0"/>
        </w:rPr>
        <w:t xml:space="preserve">Morris, Annette, and Ken Oliphant. "VII. England and Wales." European Tort Law Yearbook (2019) 8 (1) 131-175. </w:t>
      </w:r>
      <w:hyperlink r:id="rId16">
        <w:r w:rsidDel="00000000" w:rsidR="00000000" w:rsidRPr="00000000">
          <w:rPr>
            <w:color w:val="0563c1"/>
            <w:u w:val="single"/>
            <w:vertAlign w:val="baseline"/>
            <w:rtl w:val="0"/>
          </w:rPr>
          <w:t xml:space="preserve">https://doi.org/10.1515/tortlaw-2019-0007</w:t>
        </w:r>
      </w:hyperlink>
      <w:r w:rsidDel="00000000" w:rsidR="00000000" w:rsidRPr="00000000">
        <w:rPr>
          <w:rtl w:val="0"/>
        </w:rPr>
      </w:r>
    </w:p>
    <w:p w:rsidR="00000000" w:rsidDel="00000000" w:rsidP="00000000" w:rsidRDefault="00000000" w:rsidRPr="00000000" w14:paraId="00000039">
      <w:pPr>
        <w:spacing w:after="0" w:line="480" w:lineRule="auto"/>
        <w:ind w:left="720" w:hanging="720"/>
        <w:jc w:val="both"/>
        <w:rPr>
          <w:vertAlign w:val="baseline"/>
        </w:rPr>
      </w:pPr>
      <w:r w:rsidDel="00000000" w:rsidR="00000000" w:rsidRPr="00000000">
        <w:rPr>
          <w:vertAlign w:val="baseline"/>
          <w:rtl w:val="0"/>
        </w:rPr>
        <w:t xml:space="preserve">Prytyka, Yurii D., Mykhailo M. Khomenko, and Ievgeniia A. Bulat, ‘The Reform of Civil Legislation on Legal Liability’ (2021) 10 (1-2) Global Journal of Comparative Law 105-122. </w:t>
      </w:r>
      <w:hyperlink r:id="rId17">
        <w:r w:rsidDel="00000000" w:rsidR="00000000" w:rsidRPr="00000000">
          <w:rPr>
            <w:color w:val="0563c1"/>
            <w:u w:val="single"/>
            <w:vertAlign w:val="baseline"/>
            <w:rtl w:val="0"/>
          </w:rPr>
          <w:t xml:space="preserve">https://brill.com/view/journals/gjcl/10/1-2/article-p105_105.xml</w:t>
        </w:r>
      </w:hyperlink>
      <w:r w:rsidDel="00000000" w:rsidR="00000000" w:rsidRPr="00000000">
        <w:rPr>
          <w:rtl w:val="0"/>
        </w:rPr>
      </w:r>
    </w:p>
    <w:p w:rsidR="00000000" w:rsidDel="00000000" w:rsidP="00000000" w:rsidRDefault="00000000" w:rsidRPr="00000000" w14:paraId="0000003A">
      <w:pPr>
        <w:spacing w:after="0" w:line="480" w:lineRule="auto"/>
        <w:ind w:left="720" w:hanging="720"/>
        <w:jc w:val="both"/>
        <w:rPr>
          <w:vertAlign w:val="baseline"/>
        </w:rPr>
      </w:pPr>
      <w:r w:rsidDel="00000000" w:rsidR="00000000" w:rsidRPr="00000000">
        <w:rPr>
          <w:vertAlign w:val="baseline"/>
          <w:rtl w:val="0"/>
        </w:rPr>
        <w:t xml:space="preserve">Shao, Jing-Huey, ‘Resolving Small Claims on a Large Scale: A Procedural Preferences Study’ (2021) 21 JL &amp; Soc. Deviance 144. </w:t>
      </w:r>
      <w:hyperlink r:id="rId18">
        <w:r w:rsidDel="00000000" w:rsidR="00000000" w:rsidRPr="00000000">
          <w:rPr>
            <w:color w:val="0563c1"/>
            <w:u w:val="single"/>
            <w:vertAlign w:val="baseline"/>
            <w:rtl w:val="0"/>
          </w:rPr>
          <w:t xml:space="preserve">https://heinonline.org/HOL/LandingPage?handle=hein.journals/lawsodi21&amp;div=7&amp;id=&amp;page</w:t>
        </w:r>
      </w:hyperlink>
      <w:r w:rsidDel="00000000" w:rsidR="00000000" w:rsidRPr="00000000">
        <w:rPr>
          <w:vertAlign w:val="baseline"/>
          <w:rtl w:val="0"/>
        </w:rPr>
        <w:t xml:space="preserve">=</w:t>
      </w:r>
    </w:p>
    <w:p w:rsidR="00000000" w:rsidDel="00000000" w:rsidP="00000000" w:rsidRDefault="00000000" w:rsidRPr="00000000" w14:paraId="0000003B">
      <w:pPr>
        <w:spacing w:after="0" w:line="480" w:lineRule="auto"/>
        <w:ind w:left="720" w:hanging="720"/>
        <w:jc w:val="both"/>
        <w:rPr>
          <w:vertAlign w:val="baseline"/>
        </w:rPr>
      </w:pPr>
      <w:r w:rsidDel="00000000" w:rsidR="00000000" w:rsidRPr="00000000">
        <w:rPr>
          <w:vertAlign w:val="baseline"/>
          <w:rtl w:val="0"/>
        </w:rPr>
        <w:t xml:space="preserve">Taylor, John Lucas M., ‘International Commercial Surrogacy as a New Head of Tortious Damage: XX v Whittington Hospital NHS Trust [2018] EWCA Civ 2832’ (2020) 28 (1) Medical Law Review 197-207. </w:t>
      </w:r>
      <w:hyperlink r:id="rId19">
        <w:r w:rsidDel="00000000" w:rsidR="00000000" w:rsidRPr="00000000">
          <w:rPr>
            <w:color w:val="0563c1"/>
            <w:u w:val="single"/>
            <w:vertAlign w:val="baseline"/>
            <w:rtl w:val="0"/>
          </w:rPr>
          <w:t xml:space="preserve">https://doi.org/10.1093/medlaw/fwz043</w:t>
        </w:r>
      </w:hyperlink>
      <w:r w:rsidDel="00000000" w:rsidR="00000000" w:rsidRPr="00000000">
        <w:rPr>
          <w:rtl w:val="0"/>
        </w:rPr>
      </w:r>
    </w:p>
    <w:p w:rsidR="00000000" w:rsidDel="00000000" w:rsidP="00000000" w:rsidRDefault="00000000" w:rsidRPr="00000000" w14:paraId="0000003C">
      <w:pPr>
        <w:spacing w:after="0" w:line="480" w:lineRule="auto"/>
        <w:ind w:left="720" w:hanging="720"/>
        <w:jc w:val="both"/>
        <w:rPr>
          <w:vertAlign w:val="baseline"/>
        </w:rPr>
      </w:pPr>
      <w:r w:rsidDel="00000000" w:rsidR="00000000" w:rsidRPr="00000000">
        <w:rPr>
          <w:vertAlign w:val="baseline"/>
          <w:rtl w:val="0"/>
        </w:rPr>
        <w:t xml:space="preserve">Yeowell, Gillian, Rachel Leech, Susan Greenhalgh, Emma Willis, and James Selfe, ‘Medico-legal litigation of UK physiotherapists in relation to cauda equina syndrome: a multimethods study’ (2022) 12 (7) BMJ open e060023. </w:t>
      </w:r>
      <w:hyperlink r:id="rId20">
        <w:r w:rsidDel="00000000" w:rsidR="00000000" w:rsidRPr="00000000">
          <w:rPr>
            <w:color w:val="0563c1"/>
            <w:u w:val="single"/>
            <w:vertAlign w:val="baseline"/>
            <w:rtl w:val="0"/>
          </w:rPr>
          <w:t xml:space="preserve">https://bmjopen.bmj.com/content/bmjopen/12/7/e060023.full.pdf</w:t>
        </w:r>
      </w:hyperlink>
      <w:r w:rsidDel="00000000" w:rsidR="00000000" w:rsidRPr="00000000">
        <w:rPr>
          <w:rtl w:val="0"/>
        </w:rPr>
      </w:r>
    </w:p>
    <w:p w:rsidR="00000000" w:rsidDel="00000000" w:rsidP="00000000" w:rsidRDefault="00000000" w:rsidRPr="00000000" w14:paraId="0000003D">
      <w:pPr>
        <w:spacing w:after="0" w:line="480" w:lineRule="auto"/>
        <w:jc w:val="both"/>
        <w:rPr>
          <w:b w:val="0"/>
          <w:vertAlign w:val="baseline"/>
        </w:rPr>
      </w:pPr>
      <w:r w:rsidDel="00000000" w:rsidR="00000000" w:rsidRPr="00000000">
        <w:rPr>
          <w:b w:val="1"/>
          <w:vertAlign w:val="baseline"/>
          <w:rtl w:val="0"/>
        </w:rPr>
        <w:t xml:space="preserve">Websites</w:t>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Judiciary of England and Wales.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Review of Civil Litigation Costs: Supplemental Report Fixed Recoverable Costs By the Right Honourable Lord Justice Jackson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(July 2017). </w:t>
      </w:r>
      <w:hyperlink r:id="rId21">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https://www.judiciary.uk/wp-content/uploads/2017/07/fixed-recoverable-costs-supplemental-report-online-2-1.pdf</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r:id="rId22">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www.judiciary.uk</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48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1">
      <w:pPr>
        <w:spacing w:after="0" w:line="480" w:lineRule="auto"/>
        <w:jc w:val="both"/>
        <w:rPr>
          <w:vertAlign w:val="baseline"/>
        </w:rPr>
      </w:pPr>
      <w:r w:rsidDel="00000000" w:rsidR="00000000" w:rsidRPr="00000000">
        <w:rPr>
          <w:rtl w:val="0"/>
        </w:rPr>
      </w:r>
    </w:p>
    <w:sectPr>
      <w:headerReference r:id="rId23"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160" w:before="0" w:line="48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480" w:lineRule="auto"/>
      <w:jc w:val="both"/>
    </w:pPr>
    <w:rPr>
      <w:rFonts w:ascii="Times New Roman" w:cs="Times New Roman" w:eastAsia="Times New Roman" w:hAnsi="Times New Roman"/>
      <w:b w:val="1"/>
      <w:i w:val="1"/>
      <w:color w:val="000000"/>
      <w:sz w:val="24"/>
      <w:szCs w:val="24"/>
      <w:vertAlign w:val="baseline"/>
    </w:rPr>
  </w:style>
  <w:style w:type="paragraph" w:styleId="Heading2">
    <w:name w:val="heading 2"/>
    <w:basedOn w:val="Normal"/>
    <w:next w:val="Normal"/>
    <w:pPr>
      <w:keepNext w:val="1"/>
      <w:spacing w:after="60" w:before="240" w:line="480" w:lineRule="auto"/>
      <w:jc w:val="both"/>
    </w:pPr>
    <w:rPr>
      <w:rFonts w:ascii="Times New Roman" w:cs="Times New Roman" w:eastAsia="Times New Roman" w:hAnsi="Times New Roman"/>
      <w:i w:val="1"/>
      <w:color w:val="000000"/>
      <w:sz w:val="24"/>
      <w:szCs w:val="24"/>
      <w:vertAlign w:val="baseline"/>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name w:val="Normal"/>
    <w:next w:val="Normal"/>
    <w:autoRedefine w:val="0"/>
    <w:hidden w:val="0"/>
    <w:qFormat w:val="0"/>
    <w:pPr>
      <w:suppressAutoHyphens w:val="1"/>
      <w:spacing w:after="160" w:line="259" w:lineRule="auto"/>
      <w:ind w:leftChars="-1" w:rightChars="0" w:firstLineChars="-1"/>
      <w:textDirection w:val="btLr"/>
      <w:textAlignment w:val="top"/>
      <w:outlineLvl w:val="0"/>
    </w:pPr>
    <w:rPr>
      <w:rFonts w:ascii="Times New Roman" w:hAnsi="Times New Roman"/>
      <w:color w:val="000000"/>
      <w:w w:val="100"/>
      <w:position w:val="-1"/>
      <w:sz w:val="24"/>
      <w:szCs w:val="22"/>
      <w:effect w:val="none"/>
      <w:vertAlign w:val="baseline"/>
      <w:cs w:val="0"/>
      <w:em w:val="none"/>
      <w:lang w:bidi="ar-SA" w:eastAsia="en-US" w:val="en-GB"/>
    </w:rPr>
  </w:style>
  <w:style w:type="paragraph" w:styleId="Heading1">
    <w:name w:val="Heading 1"/>
    <w:basedOn w:val="Normal"/>
    <w:next w:val="Normal"/>
    <w:autoRedefine w:val="0"/>
    <w:hidden w:val="0"/>
    <w:qFormat w:val="0"/>
    <w:pPr>
      <w:keepNext w:val="1"/>
      <w:suppressAutoHyphens w:val="1"/>
      <w:spacing w:after="60" w:before="240" w:line="480" w:lineRule="auto"/>
      <w:ind w:leftChars="-1" w:rightChars="0" w:firstLineChars="-1"/>
      <w:jc w:val="both"/>
      <w:textDirection w:val="btLr"/>
      <w:textAlignment w:val="top"/>
      <w:outlineLvl w:val="0"/>
    </w:pPr>
    <w:rPr>
      <w:rFonts w:ascii="Times New Roman" w:cs="Times New Roman" w:eastAsia="Times New Roman" w:hAnsi="Times New Roman"/>
      <w:b w:val="1"/>
      <w:bCs w:val="1"/>
      <w:i w:val="1"/>
      <w:color w:val="000000"/>
      <w:w w:val="100"/>
      <w:kern w:val="32"/>
      <w:position w:val="-1"/>
      <w:sz w:val="24"/>
      <w:szCs w:val="32"/>
      <w:effect w:val="none"/>
      <w:vertAlign w:val="baseline"/>
      <w:cs w:val="0"/>
      <w:em w:val="none"/>
      <w:lang w:bidi="ar-SA" w:eastAsia="en-US" w:val="en-US"/>
    </w:rPr>
  </w:style>
  <w:style w:type="paragraph" w:styleId="Heading2">
    <w:name w:val="Heading 2"/>
    <w:basedOn w:val="Normal"/>
    <w:next w:val="Normal"/>
    <w:autoRedefine w:val="0"/>
    <w:hidden w:val="0"/>
    <w:qFormat w:val="1"/>
    <w:pPr>
      <w:keepNext w:val="1"/>
      <w:suppressAutoHyphens w:val="1"/>
      <w:spacing w:after="60" w:before="240" w:line="480" w:lineRule="auto"/>
      <w:ind w:leftChars="-1" w:rightChars="0" w:firstLineChars="-1"/>
      <w:jc w:val="both"/>
      <w:textDirection w:val="btLr"/>
      <w:textAlignment w:val="top"/>
      <w:outlineLvl w:val="1"/>
    </w:pPr>
    <w:rPr>
      <w:rFonts w:ascii="Times New Roman" w:cs="Times New Roman" w:eastAsia="Times New Roman" w:hAnsi="Times New Roman"/>
      <w:bCs w:val="1"/>
      <w:i w:val="1"/>
      <w:iCs w:val="1"/>
      <w:color w:val="000000"/>
      <w:w w:val="100"/>
      <w:position w:val="-1"/>
      <w:sz w:val="24"/>
      <w:szCs w:val="28"/>
      <w:effect w:val="none"/>
      <w:vertAlign w:val="baseline"/>
      <w:cs w:val="0"/>
      <w:em w:val="none"/>
      <w:lang w:bidi="ar-SA" w:eastAsia="en-US" w:val="en-US"/>
    </w:rPr>
  </w:style>
  <w:style w:type="character" w:styleId="DefaultParagraphFont">
    <w:name w:val="Default Paragraph Font"/>
    <w:next w:val="DefaultParagraphFont"/>
    <w:autoRedefine w:val="0"/>
    <w:hidden w:val="0"/>
    <w:qFormat w:val="1"/>
    <w:rPr>
      <w:w w:val="100"/>
      <w:position w:val="-1"/>
      <w:effect w:val="none"/>
      <w:vertAlign w:val="baseline"/>
      <w:cs w:val="0"/>
      <w:em w:val="none"/>
      <w:lang/>
    </w:rPr>
  </w:style>
  <w:style w:type="table" w:styleId="TableNormal">
    <w:name w:val="Table Normal"/>
    <w:next w:val="TableNormal"/>
    <w:autoRedefine w:val="0"/>
    <w:hidden w:val="0"/>
    <w:qFormat w:val="1"/>
    <w:pPr>
      <w:suppressAutoHyphens w:val="1"/>
      <w:spacing w:line="1" w:lineRule="atLeast"/>
      <w:ind w:leftChars="-1" w:rightChars="0" w:firstLineChars="-1"/>
      <w:textDirection w:val="btLr"/>
      <w:textAlignment w:val="top"/>
      <w:outlineLvl w:val="0"/>
    </w:pPr>
    <w:rPr>
      <w:w w:val="100"/>
      <w:position w:val="-1"/>
      <w:effect w:val="none"/>
      <w:vertAlign w:val="baseline"/>
      <w:cs w:val="0"/>
      <w:em w:val="none"/>
      <w:lang/>
    </w:rPr>
    <w:tblPr>
      <w:jc w:val="left"/>
      <w:tblInd w:w="0.0" w:type="dxa"/>
      <w:tblCellMar>
        <w:top w:w="0.0" w:type="dxa"/>
        <w:left w:w="108.0" w:type="dxa"/>
        <w:bottom w:w="0.0" w:type="dxa"/>
        <w:right w:w="108.0" w:type="dxa"/>
      </w:tblCellMar>
    </w:tblPr>
  </w:style>
  <w:style w:type="numbering" w:styleId="NoList">
    <w:name w:val="No List"/>
    <w:next w:val="NoList"/>
    <w:autoRedefine w:val="0"/>
    <w:hidden w:val="0"/>
    <w:qFormat w:val="1"/>
    <w:pPr>
      <w:suppressAutoHyphens w:val="1"/>
      <w:spacing w:line="1" w:lineRule="atLeast"/>
      <w:ind w:leftChars="-1" w:rightChars="0" w:firstLineChars="-1"/>
      <w:textDirection w:val="btLr"/>
      <w:textAlignment w:val="top"/>
      <w:outlineLvl w:val="0"/>
    </w:pPr>
  </w:style>
  <w:style w:type="character" w:styleId="Heading1Char">
    <w:name w:val="Heading 1 Char"/>
    <w:next w:val="Heading1Char"/>
    <w:autoRedefine w:val="0"/>
    <w:hidden w:val="0"/>
    <w:qFormat w:val="0"/>
    <w:rPr>
      <w:rFonts w:ascii="Times New Roman" w:cs="Times New Roman" w:eastAsia="Times New Roman" w:hAnsi="Times New Roman"/>
      <w:b w:val="1"/>
      <w:bCs w:val="1"/>
      <w:i w:val="1"/>
      <w:color w:val="000000"/>
      <w:w w:val="100"/>
      <w:kern w:val="32"/>
      <w:position w:val="-1"/>
      <w:sz w:val="24"/>
      <w:szCs w:val="32"/>
      <w:effect w:val="none"/>
      <w:vertAlign w:val="baseline"/>
      <w:cs w:val="0"/>
      <w:em w:val="none"/>
      <w:lang/>
    </w:rPr>
  </w:style>
  <w:style w:type="character" w:styleId="Heading2Char">
    <w:name w:val="Heading 2 Char"/>
    <w:next w:val="Heading2Char"/>
    <w:autoRedefine w:val="0"/>
    <w:hidden w:val="0"/>
    <w:qFormat w:val="0"/>
    <w:rPr>
      <w:rFonts w:ascii="Times New Roman" w:cs="Times New Roman" w:eastAsia="Times New Roman" w:hAnsi="Times New Roman"/>
      <w:bCs w:val="1"/>
      <w:i w:val="1"/>
      <w:iCs w:val="1"/>
      <w:color w:val="000000"/>
      <w:w w:val="100"/>
      <w:position w:val="-1"/>
      <w:sz w:val="24"/>
      <w:szCs w:val="28"/>
      <w:effect w:val="none"/>
      <w:vertAlign w:val="baseline"/>
      <w:cs w:val="0"/>
      <w:em w:val="none"/>
      <w:lang/>
    </w:rPr>
  </w:style>
  <w:style w:type="paragraph" w:styleId="Header">
    <w:name w:val="Header"/>
    <w:basedOn w:val="Normal"/>
    <w:next w:val="Header"/>
    <w:autoRedefine w:val="0"/>
    <w:hidden w:val="0"/>
    <w:qFormat w:val="1"/>
    <w:pPr>
      <w:tabs>
        <w:tab w:val="center" w:leader="none" w:pos="4680"/>
        <w:tab w:val="right" w:leader="none" w:pos="9360"/>
      </w:tabs>
      <w:suppressAutoHyphens w:val="1"/>
      <w:spacing w:after="160" w:line="259" w:lineRule="auto"/>
      <w:ind w:leftChars="-1" w:rightChars="0" w:firstLineChars="-1"/>
      <w:textDirection w:val="btLr"/>
      <w:textAlignment w:val="top"/>
      <w:outlineLvl w:val="0"/>
    </w:pPr>
    <w:rPr>
      <w:rFonts w:ascii="Times New Roman" w:hAnsi="Times New Roman"/>
      <w:color w:val="000000"/>
      <w:w w:val="100"/>
      <w:position w:val="-1"/>
      <w:sz w:val="24"/>
      <w:szCs w:val="22"/>
      <w:effect w:val="none"/>
      <w:vertAlign w:val="baseline"/>
      <w:cs w:val="0"/>
      <w:em w:val="none"/>
      <w:lang w:bidi="ar-SA" w:eastAsia="en-US" w:val="en-GB"/>
    </w:rPr>
  </w:style>
  <w:style w:type="character" w:styleId="HeaderChar">
    <w:name w:val="Header Char"/>
    <w:next w:val="HeaderChar"/>
    <w:autoRedefine w:val="0"/>
    <w:hidden w:val="0"/>
    <w:qFormat w:val="0"/>
    <w:rPr>
      <w:rFonts w:ascii="Times New Roman" w:hAnsi="Times New Roman"/>
      <w:color w:val="000000"/>
      <w:w w:val="100"/>
      <w:position w:val="-1"/>
      <w:sz w:val="24"/>
      <w:szCs w:val="22"/>
      <w:effect w:val="none"/>
      <w:vertAlign w:val="baseline"/>
      <w:cs w:val="0"/>
      <w:em w:val="none"/>
      <w:lang w:val="en-GB"/>
    </w:rPr>
  </w:style>
  <w:style w:type="paragraph" w:styleId="Footer">
    <w:name w:val="Footer"/>
    <w:basedOn w:val="Normal"/>
    <w:next w:val="Footer"/>
    <w:autoRedefine w:val="0"/>
    <w:hidden w:val="0"/>
    <w:qFormat w:val="1"/>
    <w:pPr>
      <w:tabs>
        <w:tab w:val="center" w:leader="none" w:pos="4680"/>
        <w:tab w:val="right" w:leader="none" w:pos="9360"/>
      </w:tabs>
      <w:suppressAutoHyphens w:val="1"/>
      <w:spacing w:after="160" w:line="259" w:lineRule="auto"/>
      <w:ind w:leftChars="-1" w:rightChars="0" w:firstLineChars="-1"/>
      <w:textDirection w:val="btLr"/>
      <w:textAlignment w:val="top"/>
      <w:outlineLvl w:val="0"/>
    </w:pPr>
    <w:rPr>
      <w:rFonts w:ascii="Times New Roman" w:hAnsi="Times New Roman"/>
      <w:color w:val="000000"/>
      <w:w w:val="100"/>
      <w:position w:val="-1"/>
      <w:sz w:val="24"/>
      <w:szCs w:val="22"/>
      <w:effect w:val="none"/>
      <w:vertAlign w:val="baseline"/>
      <w:cs w:val="0"/>
      <w:em w:val="none"/>
      <w:lang w:bidi="ar-SA" w:eastAsia="en-US" w:val="en-GB"/>
    </w:rPr>
  </w:style>
  <w:style w:type="character" w:styleId="FooterChar">
    <w:name w:val="Footer Char"/>
    <w:next w:val="FooterChar"/>
    <w:autoRedefine w:val="0"/>
    <w:hidden w:val="0"/>
    <w:qFormat w:val="0"/>
    <w:rPr>
      <w:rFonts w:ascii="Times New Roman" w:hAnsi="Times New Roman"/>
      <w:color w:val="000000"/>
      <w:w w:val="100"/>
      <w:position w:val="-1"/>
      <w:sz w:val="24"/>
      <w:szCs w:val="22"/>
      <w:effect w:val="none"/>
      <w:vertAlign w:val="baseline"/>
      <w:cs w:val="0"/>
      <w:em w:val="none"/>
      <w:lang w:val="en-GB"/>
    </w:rPr>
  </w:style>
  <w:style w:type="paragraph" w:styleId="FootnoteText">
    <w:name w:val="Footnote Text"/>
    <w:basedOn w:val="Normal"/>
    <w:next w:val="FootnoteText"/>
    <w:autoRedefine w:val="0"/>
    <w:hidden w:val="0"/>
    <w:qFormat w:val="1"/>
    <w:pPr>
      <w:suppressAutoHyphens w:val="1"/>
      <w:spacing w:after="160" w:line="259" w:lineRule="auto"/>
      <w:ind w:leftChars="-1" w:rightChars="0" w:firstLineChars="-1"/>
      <w:textDirection w:val="btLr"/>
      <w:textAlignment w:val="top"/>
      <w:outlineLvl w:val="0"/>
    </w:pPr>
    <w:rPr>
      <w:rFonts w:ascii="Times New Roman" w:hAnsi="Times New Roman"/>
      <w:color w:val="000000"/>
      <w:w w:val="100"/>
      <w:position w:val="-1"/>
      <w:sz w:val="20"/>
      <w:szCs w:val="20"/>
      <w:effect w:val="none"/>
      <w:vertAlign w:val="baseline"/>
      <w:cs w:val="0"/>
      <w:em w:val="none"/>
      <w:lang w:bidi="ar-SA" w:eastAsia="en-US" w:val="en-GB"/>
    </w:rPr>
  </w:style>
  <w:style w:type="character" w:styleId="FootnoteTextChar">
    <w:name w:val="Footnote Text Char"/>
    <w:next w:val="FootnoteTextChar"/>
    <w:autoRedefine w:val="0"/>
    <w:hidden w:val="0"/>
    <w:qFormat w:val="0"/>
    <w:rPr>
      <w:rFonts w:ascii="Times New Roman" w:hAnsi="Times New Roman"/>
      <w:color w:val="000000"/>
      <w:w w:val="100"/>
      <w:position w:val="-1"/>
      <w:effect w:val="none"/>
      <w:vertAlign w:val="baseline"/>
      <w:cs w:val="0"/>
      <w:em w:val="none"/>
      <w:lang w:val="en-GB"/>
    </w:rPr>
  </w:style>
  <w:style w:type="character" w:styleId="FootnoteReference">
    <w:name w:val="Footnote Reference"/>
    <w:next w:val="FootnoteReference"/>
    <w:autoRedefine w:val="0"/>
    <w:hidden w:val="0"/>
    <w:qFormat w:val="1"/>
    <w:rPr>
      <w:w w:val="100"/>
      <w:position w:val="-1"/>
      <w:effect w:val="none"/>
      <w:vertAlign w:val="superscript"/>
      <w:cs w:val="0"/>
      <w:em w:val="none"/>
      <w:lang/>
    </w:rPr>
  </w:style>
  <w:style w:type="character" w:styleId="Hyperlink">
    <w:name w:val="Hyperlink"/>
    <w:next w:val="Hyperlink"/>
    <w:autoRedefine w:val="0"/>
    <w:hidden w:val="0"/>
    <w:qFormat w:val="1"/>
    <w:rPr>
      <w:color w:val="0563c1"/>
      <w:w w:val="100"/>
      <w:position w:val="-1"/>
      <w:u w:val="single"/>
      <w:effect w:val="none"/>
      <w:vertAlign w:val="baseline"/>
      <w:cs w:val="0"/>
      <w:em w:val="none"/>
      <w:lang/>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bmjopen.bmj.com/content/bmjopen/12/7/e060023.full.pdf" TargetMode="External"/><Relationship Id="rId11" Type="http://schemas.openxmlformats.org/officeDocument/2006/relationships/hyperlink" Target="https://doi.org/10.14296/ac.v4i1.5490" TargetMode="External"/><Relationship Id="rId22" Type="http://schemas.openxmlformats.org/officeDocument/2006/relationships/hyperlink" Target="http://www.judiciary.uk" TargetMode="External"/><Relationship Id="rId10" Type="http://schemas.openxmlformats.org/officeDocument/2006/relationships/hyperlink" Target="https://doi.org/10.1080/14789949.2018.1502338" TargetMode="External"/><Relationship Id="rId21" Type="http://schemas.openxmlformats.org/officeDocument/2006/relationships/hyperlink" Target="https://www.judiciary.uk/wp-content/uploads/2017/07/fixed-recoverable-costs-supplemental-report-online-2-1.pdf" TargetMode="External"/><Relationship Id="rId13" Type="http://schemas.openxmlformats.org/officeDocument/2006/relationships/hyperlink" Target="https://doi.org/10.1111/lasr.12528" TargetMode="External"/><Relationship Id="rId12" Type="http://schemas.openxmlformats.org/officeDocument/2006/relationships/hyperlink" Target="http://dx.doi.org/10.2139/ssrn.3697397" TargetMode="External"/><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4337/9781788111034" TargetMode="External"/><Relationship Id="rId15" Type="http://schemas.openxmlformats.org/officeDocument/2006/relationships/hyperlink" Target="https://heinonline.org/HOL/LandingPage?handle=hein.journals/jecoplcy16&amp;div=9&amp;id=&amp;page" TargetMode="External"/><Relationship Id="rId14" Type="http://schemas.openxmlformats.org/officeDocument/2006/relationships/hyperlink" Target="https://doi.org/10.1111/jels.12290" TargetMode="External"/><Relationship Id="rId17" Type="http://schemas.openxmlformats.org/officeDocument/2006/relationships/hyperlink" Target="https://brill.com/view/journals/gjcl/10/1-2/article-p105_105.xml" TargetMode="External"/><Relationship Id="rId16" Type="http://schemas.openxmlformats.org/officeDocument/2006/relationships/hyperlink" Target="https://doi.org/10.1515/tortlaw-2019-0007" TargetMode="External"/><Relationship Id="rId5" Type="http://schemas.openxmlformats.org/officeDocument/2006/relationships/styles" Target="styles.xml"/><Relationship Id="rId19" Type="http://schemas.openxmlformats.org/officeDocument/2006/relationships/hyperlink" Target="https://doi.org/10.1093/medlaw/fwz043" TargetMode="External"/><Relationship Id="rId6" Type="http://schemas.openxmlformats.org/officeDocument/2006/relationships/customXml" Target="../customXML/item1.xml"/><Relationship Id="rId18" Type="http://schemas.openxmlformats.org/officeDocument/2006/relationships/hyperlink" Target="https://heinonline.org/HOL/LandingPage?handle=hein.journals/lawsodi21&amp;div=7&amp;id=&amp;page" TargetMode="External"/><Relationship Id="rId7" Type="http://schemas.openxmlformats.org/officeDocument/2006/relationships/hyperlink" Target="https://doi.org/10.4324/9780429047428" TargetMode="External"/><Relationship Id="rId8" Type="http://schemas.openxmlformats.org/officeDocument/2006/relationships/hyperlink" Target="https://orca.cardiff.ac.uk/id/eprint/1364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HArP0W9v8+gpXO3tYe7KSKsGmuA==">AMUW2mWMPO/1OpAiuqycEYKcQvktfX2vhHCwZ2oh0Up+h8UgN8bAwJFmGlbQIL4y8MQqHvyRYBAmQcFfi2zYOGqR560EUkFOxFFKoFHlBKDxqLubWy3YebYptSuVVnt0ZMa4BaHPLH59</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2022-11-02T08:42:00Z</dcterms:created>
</cp:coreProperties>
</file>

<file path=docProps/custom.xml><?xml version="1.0" encoding="utf-8"?>
<Properties xmlns="http://schemas.openxmlformats.org/officeDocument/2006/custom-properties" xmlns:vt="http://schemas.openxmlformats.org/officeDocument/2006/docPropsVTypes"/>
</file>