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pacing w:before="0" w:after="0"/>
        <w:ind w:right="-334" w:hanging="0"/>
        <w:jc w:val="center"/>
        <w:rPr/>
      </w:pPr>
      <w:r>
        <w:rPr>
          <w:rFonts w:ascii="Arial" w:hAnsi="Arial"/>
          <w:b/>
          <w:sz w:val="28"/>
          <w:szCs w:val="28"/>
          <w:lang w:val="en-GB"/>
        </w:rPr>
        <w:t xml:space="preserve">Postgraduate/Distance Learning </w:t>
      </w:r>
    </w:p>
    <w:p>
      <w:pPr>
        <w:pStyle w:val="NormalWeb"/>
        <w:spacing w:before="0" w:after="0"/>
        <w:ind w:left="-180" w:right="-334" w:hanging="0"/>
        <w:jc w:val="center"/>
        <w:rPr>
          <w:lang w:val="en-GB"/>
        </w:rPr>
      </w:pPr>
      <w:r>
        <w:rPr>
          <w:rFonts w:ascii="Arial" w:hAnsi="Arial"/>
          <w:b/>
          <w:sz w:val="28"/>
          <w:szCs w:val="28"/>
          <w:lang w:val="en-GB"/>
        </w:rPr>
        <w:t>Assignment coversheet &amp; feedback form</w:t>
      </w:r>
    </w:p>
    <w:p>
      <w:pPr>
        <w:pStyle w:val="Normal"/>
        <w:rPr>
          <w:rFonts w:ascii="Arial" w:hAnsi="Arial"/>
          <w:sz w:val="28"/>
          <w:szCs w:val="28"/>
          <w:lang w:val="en-GB"/>
        </w:rPr>
      </w:pPr>
      <w:r>
        <w:rPr>
          <w:rFonts w:ascii="Arial" w:hAnsi="Arial"/>
          <w:sz w:val="28"/>
          <w:szCs w:val="28"/>
          <w:lang w:val="en-GB"/>
        </w:rPr>
      </w:r>
    </w:p>
    <w:p>
      <w:pPr>
        <w:pStyle w:val="Heading3"/>
        <w:jc w:val="center"/>
        <w:rPr>
          <w:lang w:val="en-GB"/>
        </w:rPr>
      </w:pPr>
      <w:r>
        <w:rPr>
          <w:lang w:val="en-GB"/>
        </w:rPr>
        <w:t>THIS SHEET MUST BE THE FIRST PAGE OF THE ASSIGNMENT YOU ARE SUBMITTING  (DO NOT SEND AS A SEPARATE FILE)</w:t>
      </w:r>
    </w:p>
    <w:p>
      <w:pPr>
        <w:pStyle w:val="Heading3"/>
        <w:jc w:val="center"/>
        <w:rPr>
          <w:rFonts w:ascii="Trebuchet MS" w:hAnsi="Trebuchet MS"/>
          <w:lang w:val="en-GB"/>
        </w:rPr>
      </w:pPr>
      <w:r>
        <w:rPr>
          <w:rFonts w:ascii="Trebuchet MS" w:hAnsi="Trebuchet MS"/>
          <w:lang w:val="en-GB"/>
        </w:rPr>
      </w:r>
    </w:p>
    <w:tbl>
      <w:tblPr>
        <w:tblW w:w="8856" w:type="dxa"/>
        <w:jc w:val="left"/>
        <w:tblInd w:w="-1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3" w:type="dxa"/>
          <w:bottom w:w="0" w:type="dxa"/>
          <w:right w:w="108" w:type="dxa"/>
        </w:tblCellMar>
      </w:tblPr>
      <w:tblGrid>
        <w:gridCol w:w="4787"/>
        <w:gridCol w:w="422"/>
        <w:gridCol w:w="1556"/>
        <w:gridCol w:w="287"/>
        <w:gridCol w:w="1804"/>
      </w:tblGrid>
      <w:tr>
        <w:trPr>
          <w:trHeight w:val="614" w:hRule="atLeast"/>
        </w:trPr>
        <w:tc>
          <w:tcPr>
            <w:tcW w:w="8856"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tcPr>
          <w:p>
            <w:pPr>
              <w:pStyle w:val="NormalWeb"/>
              <w:spacing w:before="0" w:after="0"/>
              <w:ind w:left="0" w:right="34" w:hanging="0"/>
              <w:rPr>
                <w:lang w:val="en-GB"/>
              </w:rPr>
            </w:pPr>
            <w:r>
              <w:rPr>
                <w:rFonts w:ascii="Arial" w:hAnsi="Arial"/>
                <w:b/>
                <w:sz w:val="22"/>
                <w:szCs w:val="22"/>
                <w:lang w:val="en-GB"/>
              </w:rPr>
              <w:t>For completion by the student</w:t>
            </w:r>
            <w:r>
              <w:rPr>
                <w:rFonts w:ascii="Arial" w:hAnsi="Arial"/>
                <w:sz w:val="22"/>
                <w:szCs w:val="22"/>
                <w:lang w:val="en-GB"/>
              </w:rPr>
              <w:t>:</w:t>
            </w:r>
          </w:p>
        </w:tc>
      </w:tr>
      <w:tr>
        <w:trPr>
          <w:trHeight w:val="718" w:hRule="atLeast"/>
        </w:trPr>
        <w:tc>
          <w:tcPr>
            <w:tcW w:w="8856"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tcPr>
          <w:p>
            <w:pPr>
              <w:pStyle w:val="NormalWeb"/>
              <w:spacing w:before="0" w:after="0"/>
              <w:ind w:left="0" w:right="34" w:hanging="0"/>
              <w:rPr>
                <w:lang w:val="en-GB"/>
              </w:rPr>
            </w:pPr>
            <w:r>
              <w:rPr>
                <w:rFonts w:ascii="Arial" w:hAnsi="Arial"/>
                <w:sz w:val="22"/>
                <w:szCs w:val="22"/>
                <w:lang w:val="en-GB"/>
              </w:rPr>
              <w:t>Student Name: Ruth-heather Collins</w:t>
            </w:r>
          </w:p>
          <w:p>
            <w:pPr>
              <w:pStyle w:val="NormalWeb"/>
              <w:spacing w:before="0" w:after="0"/>
              <w:ind w:left="0" w:right="34" w:hanging="0"/>
              <w:rPr>
                <w:rFonts w:ascii="Arial" w:hAnsi="Arial"/>
                <w:b w:val="false"/>
                <w:b w:val="false"/>
                <w:bCs w:val="false"/>
                <w:sz w:val="22"/>
                <w:szCs w:val="22"/>
                <w:lang w:val="en-GB"/>
              </w:rPr>
            </w:pPr>
            <w:r>
              <w:rPr>
                <w:rFonts w:ascii="Arial" w:hAnsi="Arial"/>
                <w:b w:val="false"/>
                <w:bCs w:val="false"/>
                <w:sz w:val="22"/>
                <w:szCs w:val="22"/>
                <w:lang w:val="en-GB"/>
              </w:rPr>
            </w:r>
          </w:p>
          <w:p>
            <w:pPr>
              <w:pStyle w:val="NormalWeb"/>
              <w:spacing w:before="0" w:after="0"/>
              <w:ind w:left="0" w:right="34" w:hanging="0"/>
              <w:rPr>
                <w:lang w:val="en-GB"/>
              </w:rPr>
            </w:pPr>
            <w:r>
              <w:rPr>
                <w:rFonts w:ascii="Arial" w:hAnsi="Arial"/>
                <w:b w:val="false"/>
                <w:bCs w:val="false"/>
                <w:sz w:val="22"/>
                <w:szCs w:val="22"/>
                <w:lang w:val="en-GB"/>
              </w:rPr>
              <w:t xml:space="preserve">Student </w:t>
            </w:r>
            <w:r>
              <w:rPr>
                <w:rFonts w:ascii="Arial" w:hAnsi="Arial"/>
                <w:b w:val="false"/>
                <w:bCs w:val="false"/>
                <w:sz w:val="22"/>
                <w:szCs w:val="22"/>
                <w:u w:val="single"/>
                <w:lang w:val="en-GB"/>
              </w:rPr>
              <w:t>University</w:t>
            </w:r>
            <w:r>
              <w:rPr>
                <w:rFonts w:ascii="Arial" w:hAnsi="Arial"/>
                <w:sz w:val="22"/>
                <w:szCs w:val="22"/>
                <w:u w:val="single"/>
                <w:lang w:val="en-GB"/>
              </w:rPr>
              <w:t xml:space="preserve"> </w:t>
            </w:r>
            <w:r>
              <w:rPr>
                <w:rFonts w:ascii="Arial" w:hAnsi="Arial"/>
                <w:sz w:val="22"/>
                <w:szCs w:val="22"/>
                <w:lang w:val="en-GB"/>
              </w:rPr>
              <w:t>Email: 2237968@student.uwtsd.ac.uk</w:t>
            </w:r>
          </w:p>
        </w:tc>
      </w:tr>
      <w:tr>
        <w:trPr>
          <w:trHeight w:val="849" w:hRule="atLeast"/>
        </w:trPr>
        <w:tc>
          <w:tcPr>
            <w:tcW w:w="478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tcPr>
          <w:p>
            <w:pPr>
              <w:pStyle w:val="NormalWeb"/>
              <w:spacing w:before="0" w:after="0"/>
              <w:ind w:left="0" w:right="34" w:hanging="0"/>
              <w:rPr>
                <w:lang w:val="en-GB"/>
              </w:rPr>
            </w:pPr>
            <w:r>
              <w:rPr>
                <w:rFonts w:ascii="Arial" w:hAnsi="Arial"/>
                <w:sz w:val="22"/>
                <w:szCs w:val="22"/>
                <w:lang w:val="en-GB"/>
              </w:rPr>
              <w:t>Module code: HPCA7028</w:t>
            </w:r>
          </w:p>
          <w:p>
            <w:pPr>
              <w:pStyle w:val="NormalWeb"/>
              <w:spacing w:before="0" w:after="0"/>
              <w:ind w:left="0" w:right="34" w:hanging="0"/>
              <w:rPr>
                <w:rFonts w:ascii="Arial" w:hAnsi="Arial"/>
                <w:sz w:val="22"/>
                <w:szCs w:val="22"/>
                <w:lang w:val="en-GB"/>
              </w:rPr>
            </w:pPr>
            <w:r>
              <w:rPr>
                <w:rFonts w:ascii="Arial" w:hAnsi="Arial"/>
                <w:sz w:val="22"/>
                <w:szCs w:val="22"/>
                <w:lang w:val="en-GB"/>
              </w:rPr>
            </w:r>
          </w:p>
          <w:p>
            <w:pPr>
              <w:pStyle w:val="NormalWeb"/>
              <w:spacing w:before="0" w:after="0"/>
              <w:ind w:left="0" w:right="34" w:hanging="0"/>
              <w:rPr>
                <w:lang w:val="en-GB"/>
              </w:rPr>
            </w:pPr>
            <w:r>
              <w:rPr>
                <w:rFonts w:ascii="Arial" w:hAnsi="Arial"/>
                <w:sz w:val="22"/>
                <w:szCs w:val="22"/>
                <w:lang w:val="en-GB"/>
              </w:rPr>
              <w:t>Module title: Sacred Skies</w:t>
            </w:r>
          </w:p>
          <w:p>
            <w:pPr>
              <w:pStyle w:val="NormalWeb"/>
              <w:spacing w:before="0" w:after="0"/>
              <w:ind w:left="0" w:right="34" w:hanging="0"/>
              <w:rPr>
                <w:rFonts w:ascii="Arial" w:hAnsi="Arial"/>
                <w:sz w:val="22"/>
                <w:szCs w:val="22"/>
                <w:lang w:val="en-GB"/>
              </w:rPr>
            </w:pPr>
            <w:r>
              <w:rPr>
                <w:rFonts w:ascii="Arial" w:hAnsi="Arial"/>
                <w:sz w:val="22"/>
                <w:szCs w:val="22"/>
                <w:lang w:val="en-GB"/>
              </w:rPr>
            </w:r>
          </w:p>
          <w:p>
            <w:pPr>
              <w:pStyle w:val="NormalWeb"/>
              <w:spacing w:before="0" w:after="0"/>
              <w:ind w:left="0" w:right="34" w:hanging="0"/>
              <w:rPr>
                <w:lang w:val="en-GB"/>
              </w:rPr>
            </w:pPr>
            <w:r>
              <w:rPr>
                <w:lang w:val="en-GB"/>
              </w:rPr>
            </w:r>
          </w:p>
        </w:tc>
        <w:tc>
          <w:tcPr>
            <w:tcW w:w="2265"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tcPr>
          <w:p>
            <w:pPr>
              <w:pStyle w:val="NormalWeb"/>
              <w:spacing w:before="0" w:after="0"/>
              <w:ind w:left="0" w:right="34" w:hanging="0"/>
              <w:rPr>
                <w:lang w:val="en-GB"/>
              </w:rPr>
            </w:pPr>
            <w:r>
              <w:rPr>
                <w:rFonts w:ascii="Arial" w:hAnsi="Arial"/>
                <w:sz w:val="22"/>
                <w:szCs w:val="22"/>
                <w:lang w:val="en-GB"/>
              </w:rPr>
              <w:t>Student ID number:</w:t>
            </w:r>
          </w:p>
          <w:p>
            <w:pPr>
              <w:pStyle w:val="NormalWeb"/>
              <w:spacing w:before="0" w:after="0"/>
              <w:ind w:left="0" w:right="34" w:hanging="0"/>
              <w:rPr>
                <w:lang w:val="en-GB"/>
              </w:rPr>
            </w:pPr>
            <w:r>
              <w:rPr>
                <w:rFonts w:ascii="Arial" w:hAnsi="Arial"/>
                <w:sz w:val="22"/>
                <w:szCs w:val="22"/>
                <w:lang w:val="en-GB"/>
              </w:rPr>
              <w:t>2237968</w:t>
            </w:r>
          </w:p>
        </w:tc>
        <w:tc>
          <w:tcPr>
            <w:tcW w:w="18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tcPr>
          <w:p>
            <w:pPr>
              <w:pStyle w:val="NormalWeb"/>
              <w:spacing w:before="0" w:after="0"/>
              <w:ind w:left="0" w:right="34" w:hanging="0"/>
              <w:rPr>
                <w:lang w:val="en-GB"/>
              </w:rPr>
            </w:pPr>
            <w:r>
              <w:rPr>
                <w:rFonts w:ascii="Arial" w:hAnsi="Arial"/>
                <w:sz w:val="22"/>
                <w:szCs w:val="22"/>
                <w:lang w:val="en-GB"/>
              </w:rPr>
              <w:t>Educational support needs:</w:t>
            </w:r>
          </w:p>
          <w:p>
            <w:pPr>
              <w:pStyle w:val="NormalWeb"/>
              <w:spacing w:before="0" w:after="0"/>
              <w:ind w:left="0" w:right="34" w:hanging="0"/>
              <w:rPr>
                <w:lang w:val="en-GB"/>
              </w:rPr>
            </w:pPr>
            <w:r>
              <w:rPr>
                <w:rFonts w:ascii="Arial" w:hAnsi="Arial"/>
                <w:sz w:val="22"/>
                <w:szCs w:val="22"/>
                <w:lang w:val="en-GB"/>
              </w:rPr>
              <w:t>No</w:t>
            </w:r>
          </w:p>
        </w:tc>
      </w:tr>
      <w:tr>
        <w:trPr>
          <w:trHeight w:val="1139" w:hRule="atLeast"/>
        </w:trPr>
        <w:tc>
          <w:tcPr>
            <w:tcW w:w="8856"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tcPr>
          <w:p>
            <w:pPr>
              <w:pStyle w:val="NormalWeb"/>
              <w:spacing w:before="0" w:after="0"/>
              <w:ind w:left="0" w:right="34" w:hanging="0"/>
              <w:rPr>
                <w:lang w:val="en-GB"/>
              </w:rPr>
            </w:pPr>
            <w:r>
              <w:rPr>
                <w:rFonts w:ascii="Arial" w:hAnsi="Arial"/>
                <w:sz w:val="22"/>
                <w:szCs w:val="22"/>
                <w:lang w:val="en-GB"/>
              </w:rPr>
              <w:t>Assignment title: Explore the Cultural Significance of a Lunar Myth</w:t>
            </w:r>
          </w:p>
          <w:p>
            <w:pPr>
              <w:pStyle w:val="NormalWeb"/>
              <w:spacing w:before="0" w:after="0"/>
              <w:ind w:left="0" w:right="34" w:hanging="0"/>
              <w:rPr>
                <w:rFonts w:ascii="Arial" w:hAnsi="Arial"/>
                <w:sz w:val="22"/>
                <w:szCs w:val="22"/>
                <w:lang w:val="en-GB"/>
              </w:rPr>
            </w:pPr>
            <w:r>
              <w:rPr>
                <w:rFonts w:ascii="Arial" w:hAnsi="Arial"/>
                <w:sz w:val="22"/>
                <w:szCs w:val="22"/>
                <w:lang w:val="en-GB"/>
              </w:rPr>
            </w:r>
          </w:p>
          <w:p>
            <w:pPr>
              <w:pStyle w:val="NormalWeb"/>
              <w:spacing w:before="0" w:after="0"/>
              <w:ind w:left="0" w:right="34" w:hanging="0"/>
              <w:rPr>
                <w:rFonts w:ascii="Arial" w:hAnsi="Arial"/>
                <w:sz w:val="22"/>
                <w:szCs w:val="22"/>
                <w:lang w:val="en-GB"/>
              </w:rPr>
            </w:pPr>
            <w:r>
              <w:rPr>
                <w:rFonts w:ascii="Arial" w:hAnsi="Arial"/>
                <w:sz w:val="22"/>
                <w:szCs w:val="22"/>
                <w:lang w:val="en-GB"/>
              </w:rPr>
            </w:r>
          </w:p>
          <w:p>
            <w:pPr>
              <w:pStyle w:val="NormalWeb"/>
              <w:spacing w:before="0" w:after="0"/>
              <w:ind w:left="0" w:right="34" w:hanging="0"/>
              <w:rPr>
                <w:lang w:val="en-GB"/>
              </w:rPr>
            </w:pPr>
            <w:r>
              <w:rPr>
                <w:rFonts w:ascii="Arial" w:hAnsi="Arial"/>
                <w:sz w:val="22"/>
                <w:szCs w:val="22"/>
                <w:lang w:val="en-GB"/>
              </w:rPr>
              <w:t>Assignment due date: 30th March 2023</w:t>
            </w:r>
          </w:p>
        </w:tc>
      </w:tr>
      <w:tr>
        <w:trPr>
          <w:trHeight w:val="978" w:hRule="atLeast"/>
        </w:trPr>
        <w:tc>
          <w:tcPr>
            <w:tcW w:w="8856"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tcPr>
          <w:p>
            <w:pPr>
              <w:pStyle w:val="Normal"/>
              <w:rPr>
                <w:lang w:val="en-GB"/>
              </w:rPr>
            </w:pPr>
            <w:r>
              <w:rPr>
                <w:rFonts w:ascii="Arial" w:hAnsi="Arial"/>
                <w:sz w:val="22"/>
                <w:szCs w:val="22"/>
                <w:lang w:val="en-GB"/>
              </w:rPr>
              <w:t>This assignment is for the       1</w:t>
            </w:r>
            <w:r>
              <w:rPr>
                <w:rFonts w:ascii="Arial" w:hAnsi="Arial"/>
                <w:sz w:val="22"/>
                <w:szCs w:val="22"/>
                <w:vertAlign w:val="superscript"/>
                <w:lang w:val="en-GB"/>
              </w:rPr>
              <w:t xml:space="preserve">st </w:t>
            </w:r>
            <w:r>
              <w:rPr>
                <w:rFonts w:ascii="Arial" w:hAnsi="Arial"/>
                <w:sz w:val="22"/>
                <w:szCs w:val="22"/>
                <w:lang w:val="en-GB"/>
              </w:rPr>
              <w:t>module of the degree</w:t>
            </w:r>
          </w:p>
        </w:tc>
      </w:tr>
      <w:tr>
        <w:trPr>
          <w:trHeight w:val="978" w:hRule="atLeast"/>
        </w:trPr>
        <w:tc>
          <w:tcPr>
            <w:tcW w:w="8856"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D9D9D9" w:val="clear"/>
            <w:tcMar>
              <w:left w:w="93" w:type="dxa"/>
            </w:tcMar>
          </w:tcPr>
          <w:p>
            <w:pPr>
              <w:pStyle w:val="NormalWeb"/>
              <w:spacing w:before="0" w:after="0"/>
              <w:ind w:left="0" w:right="34" w:hanging="0"/>
              <w:rPr>
                <w:lang w:val="en-GB"/>
              </w:rPr>
            </w:pPr>
            <w:r>
              <w:rPr>
                <w:rFonts w:ascii="Arial" w:hAnsi="Arial"/>
                <w:sz w:val="22"/>
                <w:szCs w:val="22"/>
                <w:lang w:val="en-GB"/>
              </w:rPr>
              <w:t>I confirm that this is my original work and that I have adhered to the University policy on plagiarism.</w:t>
            </w:r>
          </w:p>
          <w:p>
            <w:pPr>
              <w:pStyle w:val="NormalWeb"/>
              <w:spacing w:before="0" w:after="0"/>
              <w:ind w:left="0" w:right="34" w:hanging="0"/>
              <w:rPr>
                <w:lang w:val="en-GB"/>
              </w:rPr>
            </w:pPr>
            <w:r>
              <w:rPr>
                <w:rFonts w:ascii="Arial" w:hAnsi="Arial"/>
                <w:sz w:val="22"/>
                <w:szCs w:val="22"/>
                <w:lang w:val="en-GB"/>
              </w:rPr>
              <w:t>Signed ………R. Collins……………………………………………………</w:t>
            </w:r>
          </w:p>
          <w:p>
            <w:pPr>
              <w:pStyle w:val="NormalWeb"/>
              <w:spacing w:before="0" w:after="0"/>
              <w:ind w:left="0" w:right="34" w:hanging="0"/>
              <w:rPr/>
            </w:pPr>
            <w:r>
              <w:rPr>
                <w:rFonts w:ascii="Calibri" w:hAnsi="Calibri"/>
                <w:b/>
                <w:sz w:val="24"/>
                <w:szCs w:val="24"/>
                <w:lang w:val="en-GB"/>
              </w:rPr>
              <w:t xml:space="preserve">Email submission: if you are submitting this form via email, please tick this box </w:t>
            </w:r>
            <w:hyperlink r:id="rId2">
              <w:bookmarkStart w:id="0" w:name="emoji-info-url"/>
              <w:bookmarkStart w:id="1" w:name="emoji-info-value"/>
              <w:bookmarkEnd w:id="0"/>
              <w:bookmarkEnd w:id="1"/>
              <w:r>
                <w:rPr>
                  <w:rStyle w:val="InternetLink"/>
                  <w:rFonts w:ascii="Calibri" w:hAnsi="Calibri"/>
                  <w:b/>
                  <w:caps w:val="false"/>
                  <w:smallCaps w:val="false"/>
                  <w:strike w:val="false"/>
                  <w:dstrike w:val="false"/>
                  <w:color w:val="000000"/>
                  <w:spacing w:val="0"/>
                  <w:sz w:val="24"/>
                  <w:szCs w:val="24"/>
                  <w:highlight w:val="white"/>
                  <w:u w:val="none"/>
                  <w:effect w:val="none"/>
                  <w:lang w:val="en-GB"/>
                </w:rPr>
                <w:t>✔</w:t>
              </w:r>
            </w:hyperlink>
            <w:r>
              <w:rPr>
                <w:rFonts w:ascii="Calibri" w:hAnsi="Calibri"/>
                <w:b/>
                <w:sz w:val="24"/>
                <w:szCs w:val="24"/>
                <w:lang w:val="en-GB"/>
              </w:rPr>
              <w:t xml:space="preserve"> </w:t>
            </w:r>
          </w:p>
          <w:p>
            <w:pPr>
              <w:pStyle w:val="NormalWeb"/>
              <w:spacing w:before="0" w:after="0"/>
              <w:ind w:left="0" w:right="34" w:hanging="0"/>
              <w:rPr>
                <w:lang w:val="en-GB"/>
              </w:rPr>
            </w:pPr>
            <w:r>
              <w:rPr>
                <w:rFonts w:ascii="Calibri" w:hAnsi="Calibri"/>
                <w:b/>
                <w:sz w:val="24"/>
                <w:szCs w:val="24"/>
                <w:lang w:val="en-GB"/>
              </w:rPr>
              <w:t>(as a substitute for your signature) to confirm that you agree to the above declaration.</w:t>
            </w:r>
          </w:p>
        </w:tc>
      </w:tr>
      <w:tr>
        <w:trPr>
          <w:trHeight w:val="3972" w:hRule="atLeast"/>
        </w:trPr>
        <w:tc>
          <w:tcPr>
            <w:tcW w:w="8856"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tcPr>
          <w:p>
            <w:pPr>
              <w:pStyle w:val="Normal"/>
              <w:rPr>
                <w:rFonts w:ascii="Arial" w:hAnsi="Arial"/>
                <w:b/>
                <w:b/>
                <w:lang w:val="en-GB"/>
              </w:rPr>
            </w:pPr>
            <w:r>
              <w:rPr>
                <w:rFonts w:ascii="Arial" w:hAnsi="Arial"/>
                <w:b/>
                <w:lang w:val="en-GB"/>
              </w:rPr>
            </w:r>
          </w:p>
          <w:p>
            <w:pPr>
              <w:pStyle w:val="Normal"/>
              <w:rPr>
                <w:lang w:val="en-GB"/>
              </w:rPr>
            </w:pPr>
            <w:r>
              <w:rPr>
                <w:rFonts w:ascii="Arial" w:hAnsi="Arial"/>
                <w:b/>
                <w:lang w:val="en-GB"/>
              </w:rPr>
              <w:t>Assignment Mark</w:t>
            </w:r>
          </w:p>
          <w:tbl>
            <w:tblPr>
              <w:tblW w:w="8630" w:type="dxa"/>
              <w:jc w:val="left"/>
              <w:tblInd w:w="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88" w:type="dxa"/>
                <w:bottom w:w="0" w:type="dxa"/>
                <w:right w:w="108" w:type="dxa"/>
              </w:tblCellMar>
            </w:tblPr>
            <w:tblGrid>
              <w:gridCol w:w="6968"/>
              <w:gridCol w:w="1661"/>
            </w:tblGrid>
            <w:tr>
              <w:trPr/>
              <w:tc>
                <w:tcPr>
                  <w:tcW w:w="69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tcPr>
                <w:p>
                  <w:pPr>
                    <w:pStyle w:val="Normal"/>
                    <w:rPr>
                      <w:rFonts w:ascii="Arial" w:hAnsi="Arial"/>
                      <w:sz w:val="20"/>
                      <w:szCs w:val="20"/>
                      <w:lang w:val="en-GB"/>
                    </w:rPr>
                  </w:pPr>
                  <w:r>
                    <w:rPr>
                      <w:rFonts w:ascii="Arial" w:hAnsi="Arial"/>
                      <w:sz w:val="20"/>
                      <w:szCs w:val="20"/>
                      <w:lang w:val="en-GB"/>
                    </w:rPr>
                  </w:r>
                </w:p>
                <w:p>
                  <w:pPr>
                    <w:pStyle w:val="Normal"/>
                    <w:rPr>
                      <w:lang w:val="en-GB"/>
                    </w:rPr>
                  </w:pPr>
                  <w:r>
                    <w:rPr>
                      <w:rFonts w:ascii="Arial" w:hAnsi="Arial"/>
                      <w:sz w:val="20"/>
                      <w:szCs w:val="20"/>
                      <w:lang w:val="en-GB"/>
                    </w:rPr>
                    <w:t>1</w:t>
                  </w:r>
                  <w:r>
                    <w:rPr>
                      <w:rFonts w:ascii="Arial" w:hAnsi="Arial"/>
                      <w:sz w:val="20"/>
                      <w:szCs w:val="20"/>
                      <w:vertAlign w:val="superscript"/>
                      <w:lang w:val="en-GB"/>
                    </w:rPr>
                    <w:t>st</w:t>
                  </w:r>
                  <w:r>
                    <w:rPr>
                      <w:rFonts w:ascii="Arial" w:hAnsi="Arial"/>
                      <w:sz w:val="20"/>
                      <w:szCs w:val="20"/>
                      <w:lang w:val="en-GB"/>
                    </w:rPr>
                    <w:t xml:space="preserve"> Marker’s Provisional mark</w:t>
                  </w:r>
                </w:p>
              </w:tc>
              <w:tc>
                <w:tcPr>
                  <w:tcW w:w="16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tcPr>
                <w:p>
                  <w:pPr>
                    <w:pStyle w:val="Normal"/>
                    <w:rPr>
                      <w:rFonts w:ascii="Arial" w:hAnsi="Arial"/>
                      <w:sz w:val="20"/>
                      <w:szCs w:val="20"/>
                      <w:lang w:val="en-GB"/>
                    </w:rPr>
                  </w:pPr>
                  <w:r>
                    <w:rPr>
                      <w:rFonts w:ascii="Arial" w:hAnsi="Arial"/>
                      <w:sz w:val="20"/>
                      <w:szCs w:val="20"/>
                      <w:lang w:val="en-GB"/>
                    </w:rPr>
                  </w:r>
                </w:p>
              </w:tc>
            </w:tr>
            <w:tr>
              <w:trPr/>
              <w:tc>
                <w:tcPr>
                  <w:tcW w:w="69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tcPr>
                <w:p>
                  <w:pPr>
                    <w:pStyle w:val="Normal"/>
                    <w:rPr>
                      <w:rFonts w:ascii="Arial" w:hAnsi="Arial"/>
                      <w:sz w:val="20"/>
                      <w:szCs w:val="20"/>
                      <w:lang w:val="en-GB"/>
                    </w:rPr>
                  </w:pPr>
                  <w:r>
                    <w:rPr>
                      <w:rFonts w:ascii="Arial" w:hAnsi="Arial"/>
                      <w:sz w:val="20"/>
                      <w:szCs w:val="20"/>
                      <w:lang w:val="en-GB"/>
                    </w:rPr>
                  </w:r>
                </w:p>
                <w:p>
                  <w:pPr>
                    <w:pStyle w:val="Normal"/>
                    <w:rPr>
                      <w:lang w:val="en-GB"/>
                    </w:rPr>
                  </w:pPr>
                  <w:r>
                    <w:rPr>
                      <w:rFonts w:ascii="Arial" w:hAnsi="Arial"/>
                      <w:sz w:val="20"/>
                      <w:szCs w:val="20"/>
                      <w:lang w:val="en-GB"/>
                    </w:rPr>
                    <w:t>2</w:t>
                  </w:r>
                  <w:r>
                    <w:rPr>
                      <w:rFonts w:ascii="Arial" w:hAnsi="Arial"/>
                      <w:sz w:val="20"/>
                      <w:szCs w:val="20"/>
                      <w:vertAlign w:val="superscript"/>
                      <w:lang w:val="en-GB"/>
                    </w:rPr>
                    <w:t>nd</w:t>
                  </w:r>
                  <w:r>
                    <w:rPr>
                      <w:rFonts w:ascii="Arial" w:hAnsi="Arial"/>
                      <w:sz w:val="20"/>
                      <w:szCs w:val="20"/>
                      <w:lang w:val="en-GB"/>
                    </w:rPr>
                    <w:t xml:space="preserve"> Marker’s/Moderator’s provisional mark</w:t>
                  </w:r>
                </w:p>
              </w:tc>
              <w:tc>
                <w:tcPr>
                  <w:tcW w:w="16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tcPr>
                <w:p>
                  <w:pPr>
                    <w:pStyle w:val="Normal"/>
                    <w:rPr>
                      <w:rFonts w:ascii="Arial" w:hAnsi="Arial"/>
                      <w:sz w:val="20"/>
                      <w:szCs w:val="20"/>
                      <w:lang w:val="en-GB"/>
                    </w:rPr>
                  </w:pPr>
                  <w:r>
                    <w:rPr>
                      <w:rFonts w:ascii="Arial" w:hAnsi="Arial"/>
                      <w:sz w:val="20"/>
                      <w:szCs w:val="20"/>
                      <w:lang w:val="en-GB"/>
                    </w:rPr>
                  </w:r>
                </w:p>
              </w:tc>
            </w:tr>
            <w:tr>
              <w:trPr/>
              <w:tc>
                <w:tcPr>
                  <w:tcW w:w="69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tcPr>
                <w:p>
                  <w:pPr>
                    <w:pStyle w:val="Normal"/>
                    <w:rPr>
                      <w:rFonts w:ascii="Arial" w:hAnsi="Arial"/>
                      <w:sz w:val="20"/>
                      <w:szCs w:val="20"/>
                      <w:lang w:val="en-GB"/>
                    </w:rPr>
                  </w:pPr>
                  <w:r>
                    <w:rPr>
                      <w:rFonts w:ascii="Arial" w:hAnsi="Arial"/>
                      <w:sz w:val="20"/>
                      <w:szCs w:val="20"/>
                      <w:lang w:val="en-GB"/>
                    </w:rPr>
                  </w:r>
                </w:p>
                <w:p>
                  <w:pPr>
                    <w:pStyle w:val="Normal"/>
                    <w:rPr>
                      <w:lang w:val="en-GB"/>
                    </w:rPr>
                  </w:pPr>
                  <w:r>
                    <w:rPr>
                      <w:rFonts w:ascii="Arial" w:hAnsi="Arial"/>
                      <w:sz w:val="20"/>
                      <w:szCs w:val="20"/>
                      <w:lang w:val="en-GB"/>
                    </w:rPr>
                    <w:t>External Examiner’s mark (if relevant)</w:t>
                  </w:r>
                </w:p>
              </w:tc>
              <w:tc>
                <w:tcPr>
                  <w:tcW w:w="16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tcPr>
                <w:p>
                  <w:pPr>
                    <w:pStyle w:val="Normal"/>
                    <w:rPr>
                      <w:rFonts w:ascii="Arial" w:hAnsi="Arial"/>
                      <w:sz w:val="20"/>
                      <w:szCs w:val="20"/>
                      <w:lang w:val="en-GB"/>
                    </w:rPr>
                  </w:pPr>
                  <w:r>
                    <w:rPr>
                      <w:rFonts w:ascii="Arial" w:hAnsi="Arial"/>
                      <w:sz w:val="20"/>
                      <w:szCs w:val="20"/>
                      <w:lang w:val="en-GB"/>
                    </w:rPr>
                  </w:r>
                </w:p>
              </w:tc>
            </w:tr>
            <w:tr>
              <w:trPr/>
              <w:tc>
                <w:tcPr>
                  <w:tcW w:w="69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tcPr>
                <w:p>
                  <w:pPr>
                    <w:pStyle w:val="Normal"/>
                    <w:rPr>
                      <w:rFonts w:ascii="Arial" w:hAnsi="Arial"/>
                      <w:sz w:val="20"/>
                      <w:szCs w:val="20"/>
                      <w:lang w:val="en-GB"/>
                    </w:rPr>
                  </w:pPr>
                  <w:r>
                    <w:rPr>
                      <w:rFonts w:ascii="Arial" w:hAnsi="Arial"/>
                      <w:sz w:val="20"/>
                      <w:szCs w:val="20"/>
                      <w:lang w:val="en-GB"/>
                    </w:rPr>
                  </w:r>
                </w:p>
                <w:p>
                  <w:pPr>
                    <w:pStyle w:val="Normal"/>
                    <w:rPr>
                      <w:lang w:val="en-GB"/>
                    </w:rPr>
                  </w:pPr>
                  <w:r>
                    <w:rPr>
                      <w:rFonts w:ascii="Arial" w:hAnsi="Arial"/>
                      <w:b/>
                      <w:sz w:val="20"/>
                      <w:szCs w:val="20"/>
                      <w:lang w:val="en-GB"/>
                    </w:rPr>
                    <w:t>Final Mark</w:t>
                  </w:r>
                </w:p>
                <w:p>
                  <w:pPr>
                    <w:pStyle w:val="Normal"/>
                    <w:rPr>
                      <w:rFonts w:ascii="Arial" w:hAnsi="Arial"/>
                      <w:sz w:val="20"/>
                      <w:szCs w:val="20"/>
                      <w:lang w:val="en-GB"/>
                    </w:rPr>
                  </w:pPr>
                  <w:r>
                    <w:rPr>
                      <w:rFonts w:ascii="Arial" w:hAnsi="Arial"/>
                      <w:sz w:val="20"/>
                      <w:szCs w:val="20"/>
                      <w:lang w:val="en-GB"/>
                    </w:rPr>
                  </w:r>
                </w:p>
              </w:tc>
              <w:tc>
                <w:tcPr>
                  <w:tcW w:w="16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8" w:type="dxa"/>
                  </w:tcMar>
                </w:tcPr>
                <w:p>
                  <w:pPr>
                    <w:pStyle w:val="Normal"/>
                    <w:rPr>
                      <w:rFonts w:ascii="Arial" w:hAnsi="Arial"/>
                      <w:sz w:val="20"/>
                      <w:szCs w:val="20"/>
                      <w:lang w:val="en-GB"/>
                    </w:rPr>
                  </w:pPr>
                  <w:r>
                    <w:rPr>
                      <w:rFonts w:ascii="Arial" w:hAnsi="Arial"/>
                      <w:sz w:val="20"/>
                      <w:szCs w:val="20"/>
                      <w:lang w:val="en-GB"/>
                    </w:rPr>
                  </w:r>
                </w:p>
              </w:tc>
            </w:tr>
          </w:tbl>
          <w:p>
            <w:pPr>
              <w:pStyle w:val="NormalWeb"/>
              <w:spacing w:before="0" w:after="0"/>
              <w:ind w:left="142" w:right="34" w:hanging="0"/>
              <w:rPr>
                <w:rFonts w:ascii="Arial" w:hAnsi="Arial"/>
                <w:b/>
                <w:b/>
                <w:sz w:val="22"/>
                <w:szCs w:val="22"/>
                <w:lang w:val="en-GB"/>
              </w:rPr>
            </w:pPr>
            <w:r>
              <w:rPr>
                <w:rFonts w:ascii="Arial" w:hAnsi="Arial"/>
                <w:b/>
                <w:sz w:val="22"/>
                <w:szCs w:val="22"/>
                <w:lang w:val="en-GB"/>
              </w:rPr>
            </w:r>
          </w:p>
          <w:p>
            <w:pPr>
              <w:pStyle w:val="NormalWeb"/>
              <w:spacing w:before="0" w:after="0"/>
              <w:ind w:left="142" w:right="34" w:hanging="0"/>
              <w:rPr>
                <w:lang w:val="en-GB"/>
              </w:rPr>
            </w:pPr>
            <w:r>
              <w:rPr>
                <w:rFonts w:ascii="Arial" w:hAnsi="Arial"/>
                <w:b/>
                <w:sz w:val="22"/>
                <w:szCs w:val="22"/>
                <w:lang w:val="en-GB"/>
              </w:rPr>
              <w:t>NB.</w:t>
            </w:r>
            <w:r>
              <w:rPr>
                <w:rFonts w:ascii="Arial" w:hAnsi="Arial"/>
                <w:sz w:val="22"/>
                <w:szCs w:val="22"/>
                <w:lang w:val="en-GB"/>
              </w:rPr>
              <w:t xml:space="preserve">  All marks are provisional until confirmed by the Final Examination Board.</w:t>
            </w:r>
          </w:p>
          <w:p>
            <w:pPr>
              <w:pStyle w:val="NormalWeb"/>
              <w:spacing w:before="0" w:after="0"/>
              <w:rPr>
                <w:rFonts w:ascii="Arial" w:hAnsi="Arial"/>
                <w:b/>
                <w:b/>
                <w:sz w:val="22"/>
                <w:szCs w:val="22"/>
                <w:lang w:val="en-GB"/>
              </w:rPr>
            </w:pPr>
            <w:r>
              <w:rPr>
                <w:rFonts w:ascii="Arial" w:hAnsi="Arial"/>
                <w:b/>
                <w:sz w:val="22"/>
                <w:szCs w:val="22"/>
                <w:lang w:val="en-GB"/>
              </w:rPr>
            </w:r>
          </w:p>
          <w:p>
            <w:pPr>
              <w:pStyle w:val="NormalWeb"/>
              <w:spacing w:before="0" w:after="0"/>
              <w:rPr>
                <w:rFonts w:ascii="Arial" w:hAnsi="Arial"/>
                <w:b/>
                <w:b/>
                <w:sz w:val="22"/>
                <w:szCs w:val="22"/>
                <w:lang w:val="en-GB"/>
              </w:rPr>
            </w:pPr>
            <w:r>
              <w:rPr>
                <w:rFonts w:ascii="Arial" w:hAnsi="Arial"/>
                <w:b/>
                <w:sz w:val="22"/>
                <w:szCs w:val="22"/>
                <w:lang w:val="en-GB"/>
              </w:rPr>
            </w:r>
          </w:p>
          <w:p>
            <w:pPr>
              <w:pStyle w:val="NormalWeb"/>
              <w:spacing w:before="0" w:after="0"/>
              <w:rPr>
                <w:lang w:val="en-GB"/>
              </w:rPr>
            </w:pPr>
            <w:r>
              <w:rPr>
                <w:rFonts w:ascii="Arial" w:hAnsi="Arial"/>
                <w:b/>
                <w:sz w:val="22"/>
                <w:lang w:val="en-GB"/>
              </w:rPr>
              <w:t xml:space="preserve">            </w:t>
            </w:r>
            <w:r>
              <w:rPr>
                <w:rFonts w:ascii="Arial" w:hAnsi="Arial"/>
                <w:b/>
                <w:sz w:val="22"/>
                <w:lang w:val="en-GB"/>
              </w:rPr>
              <w:t xml:space="preserve">ALL COMMENTS ARE ON THE PDF OF YOUR PAPER IN TURNITIN </w:t>
            </w:r>
          </w:p>
          <w:p>
            <w:pPr>
              <w:pStyle w:val="NormalWeb"/>
              <w:spacing w:before="0" w:after="0"/>
              <w:rPr>
                <w:rFonts w:ascii="Arial" w:hAnsi="Arial"/>
                <w:b/>
                <w:b/>
                <w:sz w:val="22"/>
                <w:szCs w:val="22"/>
                <w:lang w:val="en-GB"/>
              </w:rPr>
            </w:pPr>
            <w:r>
              <w:rPr>
                <w:rFonts w:ascii="Arial" w:hAnsi="Arial"/>
                <w:b/>
                <w:sz w:val="22"/>
                <w:szCs w:val="22"/>
                <w:lang w:val="en-GB"/>
              </w:rPr>
            </w:r>
          </w:p>
          <w:p>
            <w:pPr>
              <w:pStyle w:val="NormalWeb"/>
              <w:spacing w:before="0" w:after="0"/>
              <w:rPr>
                <w:rFonts w:ascii="Arial" w:hAnsi="Arial"/>
                <w:b/>
                <w:b/>
                <w:sz w:val="22"/>
                <w:szCs w:val="22"/>
                <w:lang w:val="en-GB"/>
              </w:rPr>
            </w:pPr>
            <w:r>
              <w:rPr>
                <w:rFonts w:ascii="Arial" w:hAnsi="Arial"/>
                <w:b/>
                <w:sz w:val="22"/>
                <w:szCs w:val="22"/>
                <w:lang w:val="en-GB"/>
              </w:rPr>
            </w:r>
          </w:p>
          <w:p>
            <w:pPr>
              <w:pStyle w:val="NormalWeb"/>
              <w:spacing w:before="0" w:after="0"/>
              <w:rPr>
                <w:lang w:val="en-GB"/>
              </w:rPr>
            </w:pPr>
            <w:r>
              <w:rPr>
                <w:rFonts w:ascii="Arial" w:hAnsi="Arial"/>
                <w:b/>
                <w:sz w:val="22"/>
                <w:szCs w:val="22"/>
                <w:lang w:val="en-GB"/>
              </w:rPr>
              <w:t>For completion by Marker 1:</w:t>
            </w:r>
          </w:p>
          <w:p>
            <w:pPr>
              <w:pStyle w:val="NormalWeb"/>
              <w:rPr>
                <w:lang w:val="en-GB"/>
              </w:rPr>
            </w:pPr>
            <w:r>
              <w:rPr>
                <w:rFonts w:ascii="Arial" w:hAnsi="Arial"/>
                <w:sz w:val="22"/>
                <w:szCs w:val="22"/>
                <w:lang w:val="en-GB"/>
              </w:rPr>
              <w:t>Comments:</w:t>
            </w:r>
          </w:p>
          <w:p>
            <w:pPr>
              <w:pStyle w:val="NormalWeb"/>
              <w:rPr>
                <w:lang w:val="en-GB"/>
              </w:rPr>
            </w:pPr>
            <w:r>
              <w:rPr>
                <w:lang w:val="en-GB"/>
              </w:rPr>
            </w:r>
          </w:p>
        </w:tc>
      </w:tr>
      <w:tr>
        <w:trPr>
          <w:trHeight w:val="492" w:hRule="atLeast"/>
        </w:trPr>
        <w:tc>
          <w:tcPr>
            <w:tcW w:w="6765"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tcPr>
          <w:p>
            <w:pPr>
              <w:pStyle w:val="NormalWeb"/>
              <w:ind w:left="142" w:right="34" w:hanging="0"/>
              <w:rPr>
                <w:lang w:val="en-GB"/>
              </w:rPr>
            </w:pPr>
            <w:r>
              <w:rPr>
                <w:rFonts w:ascii="Arial" w:hAnsi="Arial"/>
                <w:sz w:val="22"/>
                <w:szCs w:val="22"/>
                <w:lang w:val="en-GB"/>
              </w:rPr>
              <w:t>Marker’s signature:</w:t>
            </w:r>
          </w:p>
        </w:tc>
        <w:tc>
          <w:tcPr>
            <w:tcW w:w="209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tcPr>
          <w:p>
            <w:pPr>
              <w:pStyle w:val="NormalWeb"/>
              <w:spacing w:before="0" w:after="0"/>
              <w:ind w:left="142" w:right="34" w:hanging="0"/>
              <w:rPr>
                <w:lang w:val="en-GB"/>
              </w:rPr>
            </w:pPr>
            <w:r>
              <w:rPr>
                <w:rFonts w:ascii="Arial" w:hAnsi="Arial"/>
                <w:sz w:val="22"/>
                <w:szCs w:val="22"/>
                <w:lang w:val="en-GB"/>
              </w:rPr>
              <w:t>Date:</w:t>
            </w:r>
          </w:p>
        </w:tc>
      </w:tr>
      <w:tr>
        <w:trPr/>
        <w:tc>
          <w:tcPr>
            <w:tcW w:w="8856"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tcPr>
          <w:p>
            <w:pPr>
              <w:pStyle w:val="NormalWeb"/>
              <w:spacing w:before="0" w:after="0"/>
              <w:ind w:left="0" w:right="-334" w:hanging="0"/>
              <w:rPr>
                <w:rFonts w:ascii="Arial" w:hAnsi="Arial"/>
                <w:i/>
                <w:i/>
                <w:sz w:val="22"/>
                <w:szCs w:val="22"/>
                <w:lang w:val="en-GB"/>
              </w:rPr>
            </w:pPr>
            <w:r>
              <w:rPr>
                <w:rFonts w:ascii="Arial" w:hAnsi="Arial"/>
                <w:i/>
                <w:sz w:val="22"/>
                <w:szCs w:val="22"/>
                <w:lang w:val="en-GB"/>
              </w:rPr>
            </w:r>
          </w:p>
          <w:p>
            <w:pPr>
              <w:pStyle w:val="NormalWeb"/>
              <w:spacing w:before="0" w:after="0"/>
              <w:ind w:left="0" w:right="-334" w:hanging="0"/>
              <w:rPr>
                <w:lang w:val="en-GB"/>
              </w:rPr>
            </w:pPr>
            <w:r>
              <w:rPr>
                <w:rFonts w:ascii="Arial" w:hAnsi="Arial"/>
                <w:b/>
                <w:sz w:val="22"/>
                <w:szCs w:val="22"/>
                <w:lang w:val="en-GB"/>
              </w:rPr>
              <w:t>For completion by Marker 2/Moderator:</w:t>
            </w:r>
          </w:p>
          <w:p>
            <w:pPr>
              <w:pStyle w:val="NormalWeb"/>
              <w:spacing w:before="0" w:after="0"/>
              <w:ind w:left="0" w:right="-334" w:hanging="0"/>
              <w:rPr>
                <w:rFonts w:ascii="Arial" w:hAnsi="Arial"/>
                <w:b/>
                <w:b/>
                <w:sz w:val="22"/>
                <w:szCs w:val="22"/>
                <w:lang w:val="en-GB"/>
              </w:rPr>
            </w:pPr>
            <w:r>
              <w:rPr>
                <w:rFonts w:ascii="Arial" w:hAnsi="Arial"/>
                <w:b/>
                <w:sz w:val="22"/>
                <w:szCs w:val="22"/>
                <w:lang w:val="en-GB"/>
              </w:rPr>
            </w:r>
          </w:p>
          <w:p>
            <w:pPr>
              <w:pStyle w:val="NormalWeb"/>
              <w:spacing w:before="0" w:after="0"/>
              <w:ind w:left="0" w:right="-334" w:hanging="0"/>
              <w:rPr>
                <w:lang w:val="en-GB"/>
              </w:rPr>
            </w:pPr>
            <w:r>
              <w:rPr>
                <w:rFonts w:ascii="Arial" w:hAnsi="Arial"/>
                <w:sz w:val="22"/>
                <w:szCs w:val="22"/>
                <w:lang w:val="en-GB"/>
              </w:rPr>
              <w:t>Comments:</w:t>
            </w:r>
          </w:p>
          <w:p>
            <w:pPr>
              <w:pStyle w:val="NormalWeb"/>
              <w:spacing w:before="0" w:after="0"/>
              <w:ind w:left="0" w:right="-334" w:hanging="0"/>
              <w:rPr>
                <w:rFonts w:ascii="Arial" w:hAnsi="Arial"/>
                <w:sz w:val="22"/>
                <w:szCs w:val="22"/>
                <w:lang w:val="en-GB"/>
              </w:rPr>
            </w:pPr>
            <w:r>
              <w:rPr>
                <w:rFonts w:ascii="Arial" w:hAnsi="Arial"/>
                <w:sz w:val="22"/>
                <w:szCs w:val="22"/>
                <w:lang w:val="en-GB"/>
              </w:rPr>
            </w:r>
          </w:p>
          <w:p>
            <w:pPr>
              <w:pStyle w:val="NormalWeb"/>
              <w:spacing w:before="0" w:after="0"/>
              <w:ind w:left="0" w:right="-334" w:hanging="0"/>
              <w:rPr>
                <w:rFonts w:ascii="Arial" w:hAnsi="Arial"/>
                <w:sz w:val="22"/>
                <w:szCs w:val="22"/>
                <w:lang w:val="en-GB"/>
              </w:rPr>
            </w:pPr>
            <w:r>
              <w:rPr>
                <w:rFonts w:ascii="Arial" w:hAnsi="Arial"/>
                <w:sz w:val="22"/>
                <w:szCs w:val="22"/>
                <w:lang w:val="en-GB"/>
              </w:rPr>
            </w:r>
          </w:p>
        </w:tc>
      </w:tr>
      <w:tr>
        <w:trPr>
          <w:trHeight w:val="720" w:hRule="atLeast"/>
        </w:trPr>
        <w:tc>
          <w:tcPr>
            <w:tcW w:w="520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tcPr>
          <w:p>
            <w:pPr>
              <w:pStyle w:val="NormalWeb"/>
              <w:spacing w:before="0" w:after="0"/>
              <w:ind w:left="0" w:right="-334" w:hanging="0"/>
              <w:rPr>
                <w:lang w:val="en-GB"/>
              </w:rPr>
            </w:pPr>
            <w:r>
              <w:rPr>
                <w:rFonts w:ascii="Arial" w:hAnsi="Arial"/>
                <w:sz w:val="22"/>
                <w:szCs w:val="22"/>
                <w:lang w:val="en-GB"/>
              </w:rPr>
              <w:t>Marker’s Signature:</w:t>
            </w:r>
          </w:p>
        </w:tc>
        <w:tc>
          <w:tcPr>
            <w:tcW w:w="3647"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tcPr>
          <w:p>
            <w:pPr>
              <w:pStyle w:val="NormalWeb"/>
              <w:spacing w:before="0" w:after="0"/>
              <w:ind w:left="0" w:right="-334" w:hanging="0"/>
              <w:rPr>
                <w:lang w:val="en-GB"/>
              </w:rPr>
            </w:pPr>
            <w:r>
              <w:rPr>
                <w:rFonts w:ascii="Arial" w:hAnsi="Arial"/>
                <w:sz w:val="22"/>
                <w:szCs w:val="22"/>
                <w:lang w:val="en-GB"/>
              </w:rPr>
              <w:t>Date:</w:t>
            </w:r>
          </w:p>
        </w:tc>
      </w:tr>
      <w:tr>
        <w:trPr>
          <w:trHeight w:val="720" w:hRule="atLeast"/>
        </w:trPr>
        <w:tc>
          <w:tcPr>
            <w:tcW w:w="8856"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tcPr>
          <w:p>
            <w:pPr>
              <w:pStyle w:val="Normal"/>
              <w:rPr>
                <w:lang w:val="en-GB"/>
              </w:rPr>
            </w:pPr>
            <w:r>
              <w:rPr>
                <w:rFonts w:ascii="Arial" w:hAnsi="Arial"/>
                <w:b/>
                <w:sz w:val="22"/>
                <w:szCs w:val="22"/>
                <w:lang w:val="en-GB"/>
              </w:rPr>
              <w:t>External Examiner’s comments (if relevant)</w:t>
            </w:r>
          </w:p>
          <w:p>
            <w:pPr>
              <w:pStyle w:val="NormalWeb"/>
              <w:spacing w:before="0" w:after="0"/>
              <w:ind w:left="0" w:right="-334" w:hanging="0"/>
              <w:rPr>
                <w:rFonts w:ascii="Arial" w:hAnsi="Arial"/>
                <w:sz w:val="22"/>
                <w:szCs w:val="22"/>
                <w:lang w:val="en-GB"/>
              </w:rPr>
            </w:pPr>
            <w:r>
              <w:rPr>
                <w:rFonts w:ascii="Arial" w:hAnsi="Arial"/>
                <w:sz w:val="22"/>
                <w:szCs w:val="22"/>
                <w:lang w:val="en-GB"/>
              </w:rPr>
            </w:r>
          </w:p>
        </w:tc>
      </w:tr>
      <w:tr>
        <w:trPr>
          <w:trHeight w:val="720" w:hRule="atLeast"/>
        </w:trPr>
        <w:tc>
          <w:tcPr>
            <w:tcW w:w="520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tcPr>
          <w:p>
            <w:pPr>
              <w:pStyle w:val="Normal"/>
              <w:rPr>
                <w:lang w:val="en-GB"/>
              </w:rPr>
            </w:pPr>
            <w:r>
              <w:rPr>
                <w:rFonts w:ascii="Arial" w:hAnsi="Arial"/>
                <w:sz w:val="22"/>
                <w:szCs w:val="22"/>
                <w:lang w:val="en-GB"/>
              </w:rPr>
              <w:t>External Examiner’s Signature:</w:t>
            </w:r>
          </w:p>
        </w:tc>
        <w:tc>
          <w:tcPr>
            <w:tcW w:w="3647"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3" w:type="dxa"/>
            </w:tcMar>
          </w:tcPr>
          <w:p>
            <w:pPr>
              <w:pStyle w:val="Normal"/>
              <w:rPr>
                <w:lang w:val="en-GB"/>
              </w:rPr>
            </w:pPr>
            <w:r>
              <w:rPr>
                <w:rFonts w:ascii="Arial" w:hAnsi="Arial"/>
                <w:sz w:val="22"/>
                <w:szCs w:val="22"/>
                <w:lang w:val="en-GB"/>
              </w:rPr>
              <w:t>Date:</w:t>
            </w:r>
          </w:p>
        </w:tc>
      </w:tr>
    </w:tbl>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rPr>
          <w:rFonts w:ascii="Calibri" w:hAnsi="Calibri"/>
          <w:b/>
          <w:b/>
          <w:bCs/>
          <w:sz w:val="22"/>
          <w:szCs w:val="22"/>
          <w:lang w:val="en-GB"/>
        </w:rPr>
      </w:pPr>
      <w:r>
        <w:rPr>
          <w:rFonts w:ascii="Calibri" w:hAnsi="Calibri"/>
          <w:b/>
          <w:bCs/>
          <w:sz w:val="22"/>
          <w:szCs w:val="22"/>
          <w:lang w:val="en-GB"/>
        </w:rPr>
      </w:r>
    </w:p>
    <w:p>
      <w:pPr>
        <w:pStyle w:val="Normal"/>
        <w:jc w:val="center"/>
        <w:rPr>
          <w:rFonts w:ascii="Calibri" w:hAnsi="Calibri"/>
          <w:b/>
          <w:b/>
          <w:bCs/>
          <w:sz w:val="22"/>
          <w:szCs w:val="22"/>
        </w:rPr>
      </w:pPr>
      <w:r>
        <w:rPr>
          <w:rFonts w:ascii="Calibri" w:hAnsi="Calibri"/>
          <w:b/>
          <w:bCs/>
          <w:sz w:val="22"/>
          <w:szCs w:val="22"/>
        </w:rPr>
      </w:r>
    </w:p>
    <w:p>
      <w:pPr>
        <w:pStyle w:val="Normal"/>
        <w:jc w:val="center"/>
        <w:rPr>
          <w:rFonts w:ascii="Calibri" w:hAnsi="Calibri"/>
          <w:b/>
          <w:b/>
          <w:bCs/>
          <w:sz w:val="22"/>
          <w:szCs w:val="22"/>
        </w:rPr>
      </w:pPr>
      <w:r>
        <w:rPr>
          <w:rFonts w:ascii="Calibri" w:hAnsi="Calibri"/>
          <w:b/>
          <w:bCs/>
          <w:sz w:val="22"/>
          <w:szCs w:val="22"/>
        </w:rPr>
      </w:r>
    </w:p>
    <w:p>
      <w:pPr>
        <w:pStyle w:val="Normal"/>
        <w:jc w:val="center"/>
        <w:rPr>
          <w:rFonts w:ascii="Calibri" w:hAnsi="Calibri"/>
        </w:rPr>
      </w:pPr>
      <w:r>
        <w:rPr>
          <w:rFonts w:ascii="Calibri" w:hAnsi="Calibri"/>
          <w:b/>
          <w:bCs/>
          <w:sz w:val="22"/>
          <w:szCs w:val="22"/>
          <w:lang w:val="en-GB" w:eastAsia="zxx" w:bidi="zxx"/>
        </w:rPr>
        <w:t>Explore the Cultural Significance of a Lunar Myth</w:t>
      </w:r>
    </w:p>
    <w:p>
      <w:pPr>
        <w:pStyle w:val="Normal"/>
        <w:jc w:val="center"/>
        <w:rPr>
          <w:rFonts w:ascii="Calibri" w:hAnsi="Calibri"/>
          <w:b/>
          <w:b/>
          <w:bCs/>
          <w:sz w:val="22"/>
          <w:szCs w:val="22"/>
          <w:lang w:val="en-GB" w:eastAsia="zxx" w:bidi="zxx"/>
        </w:rPr>
      </w:pPr>
      <w:r>
        <w:rPr>
          <w:rFonts w:ascii="Calibri" w:hAnsi="Calibri"/>
          <w:b/>
          <w:bCs/>
          <w:sz w:val="22"/>
          <w:szCs w:val="22"/>
          <w:lang w:val="en-GB" w:eastAsia="zxx" w:bidi="zxx"/>
        </w:rPr>
      </w:r>
    </w:p>
    <w:p>
      <w:pPr>
        <w:pStyle w:val="Normal"/>
        <w:jc w:val="left"/>
        <w:rPr>
          <w:rFonts w:ascii="Calibri" w:hAnsi="Calibri"/>
          <w:b w:val="false"/>
          <w:b w:val="false"/>
          <w:bCs w:val="false"/>
          <w:sz w:val="22"/>
          <w:szCs w:val="22"/>
          <w:lang w:val="en-GB" w:eastAsia="zxx" w:bidi="zxx"/>
        </w:rPr>
      </w:pPr>
      <w:r>
        <w:rPr>
          <w:rFonts w:ascii="Calibri" w:hAnsi="Calibri"/>
          <w:b w:val="false"/>
          <w:bCs w:val="false"/>
          <w:sz w:val="22"/>
          <w:szCs w:val="22"/>
          <w:lang w:val="en-GB" w:eastAsia="zxx" w:bidi="zxx"/>
        </w:rPr>
      </w:r>
    </w:p>
    <w:p>
      <w:pPr>
        <w:pStyle w:val="Normal"/>
        <w:jc w:val="left"/>
        <w:rPr>
          <w:rFonts w:ascii="Calibri" w:hAnsi="Calibri"/>
        </w:rPr>
      </w:pPr>
      <w:r>
        <w:rPr>
          <w:rFonts w:ascii="Calibri" w:hAnsi="Calibri"/>
          <w:b w:val="false"/>
          <w:bCs w:val="false"/>
          <w:sz w:val="22"/>
          <w:szCs w:val="22"/>
          <w:lang w:val="en-GB" w:eastAsia="zxx" w:bidi="zxx"/>
        </w:rPr>
        <w:tab/>
      </w:r>
      <w:r>
        <w:rPr>
          <w:rFonts w:ascii="Calibri" w:hAnsi="Calibri"/>
          <w:b w:val="false"/>
          <w:bCs w:val="false"/>
          <w:sz w:val="22"/>
          <w:szCs w:val="22"/>
          <w:lang w:val="en-GB" w:eastAsia="zxx" w:bidi="zxx"/>
        </w:rPr>
        <w:t>The central theme of this essay will be to explore the cultural impact and significance of a sequence of interrelated lunar myths as they appear and reappear in various different cultures. By focusing primarily along the Grecian, Germanic, Nordic and Indo-Aryan trade routes</w:t>
      </w:r>
      <w:r>
        <w:rPr>
          <w:rFonts w:ascii="Calibri" w:hAnsi="Calibri"/>
          <w:b w:val="false"/>
          <w:bCs w:val="false"/>
          <w:sz w:val="22"/>
          <w:szCs w:val="22"/>
          <w:lang w:val="en-GB" w:eastAsia="zxx" w:bidi="zxx"/>
        </w:rPr>
        <w:t>,</w:t>
      </w:r>
      <w:r>
        <w:rPr>
          <w:rFonts w:ascii="Calibri" w:hAnsi="Calibri"/>
          <w:b w:val="false"/>
          <w:bCs w:val="false"/>
          <w:sz w:val="22"/>
          <w:szCs w:val="22"/>
          <w:lang w:val="en-GB" w:eastAsia="zxx" w:bidi="zxx"/>
        </w:rPr>
        <w:t xml:space="preserve"> I hope to show how </w:t>
      </w:r>
      <w:r>
        <w:rPr>
          <w:rFonts w:ascii="Calibri" w:hAnsi="Calibri"/>
          <w:b w:val="false"/>
          <w:bCs w:val="false"/>
          <w:sz w:val="22"/>
          <w:szCs w:val="22"/>
          <w:lang w:val="en-GB" w:eastAsia="zxx" w:bidi="zxx"/>
        </w:rPr>
        <w:t>cross-cultural exchange in mythology became a shared human, panentheist experience, with the lunar gods and goddesses divinity intersecting and influencing</w:t>
      </w:r>
      <w:r>
        <w:rPr>
          <w:rFonts w:ascii="Calibri" w:hAnsi="Calibri"/>
          <w:b w:val="false"/>
          <w:bCs w:val="false"/>
          <w:sz w:val="22"/>
          <w:szCs w:val="22"/>
          <w:lang w:val="en-GB" w:eastAsia="zxx" w:bidi="zxx"/>
        </w:rPr>
        <w:t xml:space="preserve"> their</w:t>
      </w:r>
      <w:r>
        <w:rPr>
          <w:rFonts w:ascii="Calibri" w:hAnsi="Calibri"/>
          <w:b w:val="false"/>
          <w:bCs w:val="false"/>
          <w:sz w:val="22"/>
          <w:szCs w:val="22"/>
          <w:lang w:val="en-GB" w:eastAsia="zxx" w:bidi="zxx"/>
        </w:rPr>
        <w:t xml:space="preserve"> societ</w:t>
      </w:r>
      <w:r>
        <w:rPr>
          <w:rFonts w:ascii="Calibri" w:hAnsi="Calibri"/>
          <w:b w:val="false"/>
          <w:bCs w:val="false"/>
          <w:sz w:val="22"/>
          <w:szCs w:val="22"/>
          <w:lang w:val="en-GB" w:eastAsia="zxx" w:bidi="zxx"/>
        </w:rPr>
        <w:t>ies</w:t>
      </w:r>
      <w:r>
        <w:rPr>
          <w:rFonts w:ascii="Calibri" w:hAnsi="Calibri"/>
          <w:b w:val="false"/>
          <w:bCs w:val="false"/>
          <w:sz w:val="22"/>
          <w:szCs w:val="22"/>
          <w:lang w:val="en-GB" w:eastAsia="zxx" w:bidi="zxx"/>
        </w:rPr>
        <w:t xml:space="preserve">. The twin repeating motifs of the lunar myth that will be investigated will be firstly, the moon being 'chased', </w:t>
      </w:r>
      <w:r>
        <w:rPr>
          <w:rFonts w:ascii="Calibri" w:hAnsi="Calibri"/>
          <w:b w:val="false"/>
          <w:bCs w:val="false"/>
          <w:sz w:val="22"/>
          <w:szCs w:val="22"/>
          <w:lang w:val="en-GB" w:eastAsia="zxx" w:bidi="zxx"/>
        </w:rPr>
        <w:t xml:space="preserve">this premise is </w:t>
      </w:r>
      <w:r>
        <w:rPr>
          <w:rFonts w:ascii="Calibri" w:hAnsi="Calibri"/>
          <w:b w:val="false"/>
          <w:bCs w:val="false"/>
          <w:sz w:val="22"/>
          <w:szCs w:val="22"/>
          <w:lang w:val="en-GB" w:eastAsia="zxx" w:bidi="zxx"/>
        </w:rPr>
        <w:t>frequently seen in collaboration with a solar aspect</w:t>
      </w:r>
      <w:r>
        <w:rPr>
          <w:rFonts w:ascii="Calibri" w:hAnsi="Calibri"/>
          <w:b w:val="false"/>
          <w:bCs w:val="false"/>
          <w:sz w:val="22"/>
          <w:szCs w:val="22"/>
          <w:lang w:val="en-GB" w:eastAsia="zxx" w:bidi="zxx"/>
        </w:rPr>
        <w:t>,</w:t>
      </w:r>
      <w:r>
        <w:rPr>
          <w:rFonts w:ascii="Calibri" w:hAnsi="Calibri"/>
          <w:b w:val="false"/>
          <w:bCs w:val="false"/>
          <w:sz w:val="22"/>
          <w:szCs w:val="22"/>
          <w:lang w:val="en-GB" w:eastAsia="zxx" w:bidi="zxx"/>
        </w:rPr>
        <w:t xml:space="preserve"> either as the chaser or a fellow </w:t>
      </w:r>
      <w:r>
        <w:rPr>
          <w:rFonts w:ascii="Calibri" w:hAnsi="Calibri"/>
          <w:b w:val="false"/>
          <w:bCs w:val="false"/>
          <w:sz w:val="22"/>
          <w:szCs w:val="22"/>
          <w:lang w:val="en-GB" w:eastAsia="zxx" w:bidi="zxx"/>
        </w:rPr>
        <w:t xml:space="preserve">victim of the </w:t>
      </w:r>
      <w:r>
        <w:rPr>
          <w:rFonts w:ascii="Calibri" w:hAnsi="Calibri"/>
          <w:b w:val="false"/>
          <w:bCs w:val="false"/>
          <w:sz w:val="22"/>
          <w:szCs w:val="22"/>
          <w:lang w:val="en-GB" w:eastAsia="zxx" w:bidi="zxx"/>
        </w:rPr>
        <w:t>chase</w:t>
      </w:r>
      <w:r>
        <w:rPr>
          <w:rFonts w:ascii="Calibri" w:hAnsi="Calibri"/>
          <w:b w:val="false"/>
          <w:bCs w:val="false"/>
          <w:sz w:val="22"/>
          <w:szCs w:val="22"/>
          <w:lang w:val="en-GB" w:eastAsia="zxx" w:bidi="zxx"/>
        </w:rPr>
        <w:t xml:space="preserve">. Following on from the chase narrative, beings </w:t>
      </w:r>
      <w:r>
        <w:rPr>
          <w:rFonts w:ascii="Calibri" w:hAnsi="Calibri"/>
          <w:b w:val="false"/>
          <w:bCs w:val="false"/>
          <w:sz w:val="22"/>
          <w:szCs w:val="22"/>
          <w:lang w:val="en-GB" w:eastAsia="zxx" w:bidi="zxx"/>
        </w:rPr>
        <w:t>that are i</w:t>
      </w:r>
      <w:r>
        <w:rPr>
          <w:rFonts w:ascii="Calibri" w:hAnsi="Calibri"/>
          <w:b w:val="false"/>
          <w:bCs w:val="false"/>
          <w:sz w:val="22"/>
          <w:szCs w:val="22"/>
          <w:lang w:val="en-GB" w:eastAsia="zxx" w:bidi="zxx"/>
        </w:rPr>
        <w:t>n a</w:t>
      </w:r>
      <w:r>
        <w:rPr>
          <w:rFonts w:ascii="Calibri" w:hAnsi="Calibri"/>
          <w:b w:val="false"/>
          <w:bCs w:val="false"/>
          <w:sz w:val="22"/>
          <w:szCs w:val="22"/>
          <w:lang w:val="en-GB" w:eastAsia="zxx" w:bidi="zxx"/>
        </w:rPr>
        <w:t>ssociat</w:t>
      </w:r>
      <w:r>
        <w:rPr>
          <w:rFonts w:ascii="Calibri" w:hAnsi="Calibri"/>
          <w:b w:val="false"/>
          <w:bCs w:val="false"/>
          <w:sz w:val="22"/>
          <w:szCs w:val="22"/>
          <w:lang w:val="en-GB" w:eastAsia="zxx" w:bidi="zxx"/>
        </w:rPr>
        <w:t>ion of</w:t>
      </w:r>
      <w:r>
        <w:rPr>
          <w:rFonts w:ascii="Calibri" w:hAnsi="Calibri"/>
          <w:b w:val="false"/>
          <w:bCs w:val="false"/>
          <w:sz w:val="22"/>
          <w:szCs w:val="22"/>
          <w:lang w:val="en-GB" w:eastAsia="zxx" w:bidi="zxx"/>
        </w:rPr>
        <w:t xml:space="preserve"> the moon </w:t>
      </w:r>
      <w:r>
        <w:rPr>
          <w:rFonts w:ascii="Calibri" w:hAnsi="Calibri"/>
          <w:b w:val="false"/>
          <w:bCs w:val="false"/>
          <w:sz w:val="22"/>
          <w:szCs w:val="22"/>
          <w:lang w:val="en-GB" w:eastAsia="zxx" w:bidi="zxx"/>
        </w:rPr>
        <w:t>spirits</w:t>
      </w:r>
      <w:r>
        <w:rPr>
          <w:rFonts w:ascii="Calibri" w:hAnsi="Calibri"/>
          <w:b w:val="false"/>
          <w:bCs w:val="false"/>
          <w:sz w:val="22"/>
          <w:szCs w:val="22"/>
          <w:lang w:val="en-GB" w:eastAsia="zxx" w:bidi="zxx"/>
        </w:rPr>
        <w:t>,</w:t>
      </w:r>
      <w:r>
        <w:rPr>
          <w:rFonts w:ascii="Calibri" w:hAnsi="Calibri"/>
          <w:b w:val="false"/>
          <w:bCs w:val="false"/>
          <w:sz w:val="22"/>
          <w:szCs w:val="22"/>
          <w:lang w:val="en-GB" w:eastAsia="zxx" w:bidi="zxx"/>
        </w:rPr>
        <w:t xml:space="preserve"> a</w:t>
      </w:r>
      <w:r>
        <w:rPr>
          <w:rFonts w:ascii="Calibri" w:hAnsi="Calibri"/>
          <w:b w:val="false"/>
          <w:bCs w:val="false"/>
          <w:sz w:val="22"/>
          <w:szCs w:val="22"/>
          <w:lang w:val="en-GB" w:eastAsia="zxx" w:bidi="zxx"/>
        </w:rPr>
        <w:t>re</w:t>
      </w:r>
      <w:r>
        <w:rPr>
          <w:rFonts w:ascii="Calibri" w:hAnsi="Calibri"/>
          <w:b w:val="false"/>
          <w:bCs w:val="false"/>
          <w:sz w:val="22"/>
          <w:szCs w:val="22"/>
          <w:lang w:val="en-GB" w:eastAsia="zxx" w:bidi="zxx"/>
        </w:rPr>
        <w:t xml:space="preserve"> </w:t>
      </w:r>
      <w:r>
        <w:rPr>
          <w:rFonts w:ascii="Calibri" w:hAnsi="Calibri"/>
          <w:b w:val="false"/>
          <w:bCs w:val="false"/>
          <w:sz w:val="22"/>
          <w:szCs w:val="22"/>
          <w:lang w:val="en-GB" w:eastAsia="zxx" w:bidi="zxx"/>
        </w:rPr>
        <w:t>often seen as harbingers of ill portent</w:t>
      </w:r>
      <w:r>
        <w:rPr>
          <w:rFonts w:ascii="Calibri" w:hAnsi="Calibri"/>
          <w:b w:val="false"/>
          <w:bCs w:val="false"/>
          <w:sz w:val="22"/>
          <w:szCs w:val="22"/>
          <w:lang w:val="en-GB" w:eastAsia="zxx" w:bidi="zxx"/>
        </w:rPr>
        <w:t>. F</w:t>
      </w:r>
      <w:r>
        <w:rPr>
          <w:rFonts w:ascii="Calibri" w:hAnsi="Calibri"/>
          <w:b w:val="false"/>
          <w:bCs w:val="false"/>
          <w:sz w:val="22"/>
          <w:szCs w:val="22"/>
          <w:lang w:val="en-GB" w:eastAsia="zxx" w:bidi="zxx"/>
        </w:rPr>
        <w:t>or example, in Norse mythology, Ragnar</w:t>
      </w:r>
      <w:r>
        <w:rPr>
          <w:rFonts w:eastAsia="Andale Sans UI" w:cs="Tahoma" w:ascii="Calibri" w:hAnsi="Calibri"/>
          <w:b w:val="false"/>
          <w:bCs w:val="false"/>
          <w:sz w:val="22"/>
          <w:szCs w:val="22"/>
          <w:lang w:val="en-GB" w:eastAsia="zxx" w:bidi="zxx"/>
        </w:rPr>
        <w:t xml:space="preserve">ök, a cataclysmic natural and supernatural apocalypse, is heralded when the wolf Hati, swallows the moon, after finally catching Mani, the Norse god associated with the moon. The second common motif that arises regarding the lunar myths is the male and female duality as represented </w:t>
      </w:r>
      <w:r>
        <w:rPr>
          <w:rFonts w:eastAsia="Andale Sans UI" w:cs="Tahoma" w:ascii="Calibri" w:hAnsi="Calibri"/>
          <w:b w:val="false"/>
          <w:bCs w:val="false"/>
          <w:sz w:val="22"/>
          <w:szCs w:val="22"/>
          <w:lang w:val="en-GB" w:eastAsia="zxx" w:bidi="zxx"/>
        </w:rPr>
        <w:t>by</w:t>
      </w:r>
      <w:r>
        <w:rPr>
          <w:rFonts w:eastAsia="Andale Sans UI" w:cs="Tahoma" w:ascii="Calibri" w:hAnsi="Calibri"/>
          <w:b w:val="false"/>
          <w:bCs w:val="false"/>
          <w:sz w:val="22"/>
          <w:szCs w:val="22"/>
          <w:lang w:val="en-GB" w:eastAsia="zxx" w:bidi="zxx"/>
        </w:rPr>
        <w:t xml:space="preserve"> a sibling, lover, or as a source of enmity between the two</w:t>
      </w:r>
      <w:r>
        <w:rPr>
          <w:rStyle w:val="FootnoteAnchor"/>
          <w:rFonts w:eastAsia="Andale Sans UI" w:cs="Tahoma" w:ascii="Calibri" w:hAnsi="Calibri"/>
          <w:b w:val="false"/>
          <w:bCs w:val="false"/>
          <w:sz w:val="22"/>
          <w:szCs w:val="22"/>
          <w:lang w:val="en-GB" w:eastAsia="zxx" w:bidi="zxx"/>
        </w:rPr>
        <w:footnoteReference w:id="2"/>
      </w:r>
      <w:r>
        <w:rPr>
          <w:rFonts w:eastAsia="Andale Sans UI" w:cs="Tahoma" w:ascii="Calibri" w:hAnsi="Calibri"/>
          <w:b w:val="false"/>
          <w:bCs w:val="false"/>
          <w:sz w:val="22"/>
          <w:szCs w:val="22"/>
          <w:lang w:val="en-GB" w:eastAsia="zxx" w:bidi="zxx"/>
        </w:rPr>
        <w:t>, often the secondary being is a representation of the sun</w:t>
      </w:r>
      <w:r>
        <w:rPr>
          <w:rFonts w:eastAsia="Andale Sans UI" w:cs="Tahoma" w:ascii="Calibri" w:hAnsi="Calibri"/>
          <w:b w:val="false"/>
          <w:bCs w:val="false"/>
          <w:sz w:val="22"/>
          <w:szCs w:val="22"/>
          <w:lang w:val="en-GB" w:eastAsia="zxx" w:bidi="zxx"/>
        </w:rPr>
        <w:t xml:space="preserve">. </w:t>
      </w:r>
    </w:p>
    <w:p>
      <w:pPr>
        <w:pStyle w:val="Normal"/>
        <w:jc w:val="left"/>
        <w:rPr>
          <w:b w:val="false"/>
          <w:b w:val="false"/>
          <w:bCs w:val="false"/>
          <w:sz w:val="22"/>
          <w:szCs w:val="22"/>
          <w:lang w:val="en-GB" w:eastAsia="zxx" w:bidi="zxx"/>
        </w:rPr>
      </w:pPr>
      <w:r>
        <w:rPr>
          <w:rFonts w:ascii="Calibri" w:hAnsi="Calibri"/>
        </w:rPr>
      </w:r>
    </w:p>
    <w:p>
      <w:pPr>
        <w:pStyle w:val="Normal"/>
        <w:jc w:val="left"/>
        <w:rPr>
          <w:rFonts w:ascii="Calibri" w:hAnsi="Calibri"/>
        </w:rPr>
      </w:pPr>
      <w:r>
        <w:rPr>
          <w:rFonts w:ascii="Calibri" w:hAnsi="Calibri"/>
          <w:b w:val="false"/>
          <w:bCs w:val="false"/>
          <w:sz w:val="22"/>
          <w:szCs w:val="22"/>
          <w:lang w:val="en-GB" w:eastAsia="zxx" w:bidi="zxx"/>
        </w:rPr>
        <w:tab/>
      </w:r>
      <w:r>
        <w:rPr>
          <w:rFonts w:ascii="Calibri" w:hAnsi="Calibri"/>
          <w:b w:val="false"/>
          <w:bCs w:val="false"/>
          <w:sz w:val="22"/>
          <w:szCs w:val="22"/>
          <w:lang w:val="en-GB" w:eastAsia="zxx" w:bidi="zxx"/>
        </w:rPr>
        <w:t xml:space="preserve">In </w:t>
      </w:r>
      <w:r>
        <w:rPr>
          <w:rFonts w:ascii="Calibri" w:hAnsi="Calibri"/>
          <w:b w:val="false"/>
          <w:bCs w:val="false"/>
          <w:i/>
          <w:iCs/>
          <w:sz w:val="22"/>
          <w:szCs w:val="22"/>
          <w:lang w:val="en-GB" w:eastAsia="zxx" w:bidi="zxx"/>
        </w:rPr>
        <w:t>Sapiens: A Brief History of Humankind</w:t>
      </w:r>
      <w:r>
        <w:rPr>
          <w:rStyle w:val="FootnoteAnchor"/>
          <w:rFonts w:ascii="Calibri" w:hAnsi="Calibri"/>
          <w:b w:val="false"/>
          <w:bCs w:val="false"/>
          <w:i/>
          <w:iCs/>
          <w:sz w:val="22"/>
          <w:szCs w:val="22"/>
          <w:lang w:val="en-GB" w:eastAsia="zxx" w:bidi="zxx"/>
        </w:rPr>
        <w:footnoteReference w:id="3"/>
      </w:r>
      <w:r>
        <w:rPr>
          <w:rFonts w:ascii="Calibri" w:hAnsi="Calibri"/>
          <w:b w:val="false"/>
          <w:bCs w:val="false"/>
          <w:i w:val="false"/>
          <w:iCs w:val="false"/>
          <w:sz w:val="22"/>
          <w:szCs w:val="22"/>
          <w:lang w:val="en-GB" w:eastAsia="zxx" w:bidi="zxx"/>
        </w:rPr>
        <w:t>, author Yuval Noah Harari retells an apocryphal anecdote regarding the training of astronauts Neil Armstrong and Buzz Aldrin. The story that Harari recounts is that of Aldrin and Armstrong, in the lead up to the Apollo 11 mission to land on the moon on the 20th July 1969, meeting with an elderly Native American. The old man, who is presumably a Navajo elder as the Apollo mission specialists did train on Navajo reservation lands</w:t>
      </w:r>
      <w:r>
        <w:rPr>
          <w:rFonts w:ascii="Calibri" w:hAnsi="Calibri"/>
          <w:b w:val="false"/>
          <w:bCs w:val="false"/>
          <w:i w:val="false"/>
          <w:iCs w:val="false"/>
          <w:sz w:val="22"/>
          <w:szCs w:val="22"/>
          <w:lang w:val="en-GB" w:eastAsia="zxx" w:bidi="zxx"/>
        </w:rPr>
        <w:t>;</w:t>
      </w:r>
      <w:r>
        <w:rPr>
          <w:rFonts w:ascii="Calibri" w:hAnsi="Calibri"/>
          <w:b w:val="false"/>
          <w:bCs w:val="false"/>
          <w:i w:val="false"/>
          <w:iCs w:val="false"/>
          <w:sz w:val="22"/>
          <w:szCs w:val="22"/>
          <w:lang w:val="en-GB" w:eastAsia="zxx" w:bidi="zxx"/>
        </w:rPr>
        <w:t xml:space="preserve"> asks who they are and why they were there. When the elderly man learns who Armstrong and Aldrin are, and when the astronauts reply to say that they are part of the lunar expedition and would soon be travelling to the moon, the old man supposedly explains to them that his people have a strong spiritual connection to the moon and that they believe that holy beings or the spirits of his tribe reside there. The elderly man then asks </w:t>
      </w:r>
      <w:r>
        <w:rPr>
          <w:rFonts w:ascii="Calibri" w:hAnsi="Calibri"/>
          <w:b w:val="false"/>
          <w:bCs w:val="false"/>
          <w:i w:val="false"/>
          <w:iCs w:val="false"/>
          <w:sz w:val="22"/>
          <w:szCs w:val="22"/>
          <w:lang w:val="en-GB" w:eastAsia="zxx" w:bidi="zxx"/>
        </w:rPr>
        <w:t xml:space="preserve">that </w:t>
      </w:r>
      <w:r>
        <w:rPr>
          <w:rFonts w:ascii="Calibri" w:hAnsi="Calibri"/>
          <w:b w:val="false"/>
          <w:bCs w:val="false"/>
          <w:i w:val="false"/>
          <w:iCs w:val="false"/>
          <w:sz w:val="22"/>
          <w:szCs w:val="22"/>
          <w:lang w:val="en-GB" w:eastAsia="zxx" w:bidi="zxx"/>
        </w:rPr>
        <w:t>the two astronauts, as a favour to him, if they would pass along a message to these divine lunar beings when they arrive</w:t>
      </w:r>
      <w:r>
        <w:rPr>
          <w:rFonts w:ascii="Calibri" w:hAnsi="Calibri"/>
          <w:b w:val="false"/>
          <w:bCs w:val="false"/>
          <w:i w:val="false"/>
          <w:iCs w:val="false"/>
          <w:sz w:val="22"/>
          <w:szCs w:val="22"/>
          <w:lang w:val="en-GB" w:eastAsia="zxx" w:bidi="zxx"/>
        </w:rPr>
        <w:t xml:space="preserve"> and</w:t>
      </w:r>
      <w:r>
        <w:rPr>
          <w:rFonts w:ascii="Calibri" w:hAnsi="Calibri"/>
          <w:b w:val="false"/>
          <w:bCs w:val="false"/>
          <w:i w:val="false"/>
          <w:iCs w:val="false"/>
          <w:sz w:val="22"/>
          <w:szCs w:val="22"/>
          <w:lang w:val="en-GB" w:eastAsia="zxx" w:bidi="zxx"/>
        </w:rPr>
        <w:t xml:space="preserve"> if they should meet. Aldrin and Armstrong agree and learn by rote the message in the language of the old man's tribe, but when they ask to know what they are repeating, the tribal elder becomes reticent and states that this is a sacred message and can only be conveyed to the divine. After the meeting, when the astronauts return to their base, curiosity gets the better of them and they begin a search for someone who speaks the tribal language and who was willing to translate the message that they had memorised. The translator that they engage cannot contain his laughter when he hears what the message is and delivers the following punchline, </w:t>
      </w:r>
      <w:r>
        <w:rPr>
          <w:rFonts w:ascii="Calibri" w:hAnsi="Calibri"/>
          <w:b w:val="false"/>
          <w:bCs w:val="false"/>
          <w:i/>
          <w:iCs/>
          <w:sz w:val="22"/>
          <w:szCs w:val="22"/>
          <w:lang w:val="en-GB" w:eastAsia="zxx" w:bidi="zxx"/>
        </w:rPr>
        <w:t>"Don't believe a single word these people are telling you. They have come to steal your lands."</w:t>
      </w:r>
      <w:r>
        <w:rPr>
          <w:rFonts w:ascii="Calibri" w:hAnsi="Calibri"/>
          <w:b w:val="false"/>
          <w:bCs w:val="false"/>
          <w:i w:val="false"/>
          <w:iCs w:val="false"/>
          <w:sz w:val="22"/>
          <w:szCs w:val="22"/>
          <w:lang w:val="en-GB" w:eastAsia="zxx" w:bidi="zxx"/>
        </w:rPr>
        <w:t xml:space="preserve"> </w:t>
      </w:r>
    </w:p>
    <w:p>
      <w:pPr>
        <w:pStyle w:val="Normal"/>
        <w:jc w:val="left"/>
        <w:rPr>
          <w:rFonts w:ascii="Calibri" w:hAnsi="Calibri"/>
          <w:b w:val="false"/>
          <w:b w:val="false"/>
          <w:bCs w:val="false"/>
          <w:i w:val="false"/>
          <w:i w:val="false"/>
          <w:iCs w:val="false"/>
          <w:sz w:val="22"/>
          <w:szCs w:val="22"/>
        </w:rPr>
      </w:pPr>
      <w:r>
        <w:rPr>
          <w:rFonts w:ascii="Calibri" w:hAnsi="Calibri"/>
          <w:b w:val="false"/>
          <w:bCs w:val="false"/>
          <w:i w:val="false"/>
          <w:iCs w:val="false"/>
          <w:sz w:val="22"/>
          <w:szCs w:val="22"/>
        </w:rPr>
      </w:r>
    </w:p>
    <w:p>
      <w:pPr>
        <w:pStyle w:val="Normal"/>
        <w:jc w:val="left"/>
        <w:rPr>
          <w:rFonts w:ascii="Calibri" w:hAnsi="Calibri"/>
        </w:rPr>
      </w:pPr>
      <w:r>
        <w:rPr>
          <w:rFonts w:ascii="Calibri" w:hAnsi="Calibri"/>
          <w:b w:val="false"/>
          <w:bCs w:val="false"/>
          <w:i w:val="false"/>
          <w:iCs w:val="false"/>
          <w:sz w:val="22"/>
          <w:szCs w:val="22"/>
          <w:lang w:val="en-GB" w:eastAsia="zxx" w:bidi="zxx"/>
        </w:rPr>
        <w:tab/>
        <w:t>Whether the anecdote is true or not, and Young</w:t>
      </w:r>
      <w:r>
        <w:rPr>
          <w:rStyle w:val="FootnoteAnchor"/>
          <w:rFonts w:ascii="Calibri" w:hAnsi="Calibri"/>
          <w:b w:val="false"/>
          <w:bCs w:val="false"/>
          <w:i w:val="false"/>
          <w:iCs w:val="false"/>
          <w:sz w:val="22"/>
          <w:szCs w:val="22"/>
          <w:lang w:val="en-GB" w:eastAsia="zxx" w:bidi="zxx"/>
        </w:rPr>
        <w:footnoteReference w:id="4"/>
      </w:r>
      <w:r>
        <w:rPr>
          <w:rFonts w:ascii="Calibri" w:hAnsi="Calibri"/>
          <w:b w:val="false"/>
          <w:bCs w:val="false"/>
          <w:i w:val="false"/>
          <w:iCs w:val="false"/>
          <w:sz w:val="22"/>
          <w:szCs w:val="22"/>
          <w:lang w:val="en-GB" w:eastAsia="zxx" w:bidi="zxx"/>
        </w:rPr>
        <w:t xml:space="preserve"> suggested that in an article regarding the opinions of </w:t>
      </w:r>
      <w:r>
        <w:rPr>
          <w:rFonts w:ascii="Calibri" w:hAnsi="Calibri"/>
          <w:b w:val="false"/>
          <w:bCs w:val="false"/>
          <w:i/>
          <w:iCs/>
          <w:sz w:val="22"/>
          <w:szCs w:val="22"/>
          <w:lang w:val="en-GB" w:eastAsia="zxx" w:bidi="zxx"/>
        </w:rPr>
        <w:t>'Native American Views on the Space Program</w:t>
      </w:r>
      <w:r>
        <w:rPr>
          <w:rFonts w:ascii="Calibri" w:hAnsi="Calibri"/>
          <w:b w:val="false"/>
          <w:bCs w:val="false"/>
          <w:i w:val="false"/>
          <w:iCs w:val="false"/>
          <w:sz w:val="22"/>
          <w:szCs w:val="22"/>
          <w:lang w:val="en-GB" w:eastAsia="zxx" w:bidi="zxx"/>
        </w:rPr>
        <w:t xml:space="preserve">' that it has a </w:t>
      </w:r>
      <w:r>
        <w:rPr>
          <w:rFonts w:ascii="Calibri" w:hAnsi="Calibri"/>
          <w:b w:val="false"/>
          <w:bCs w:val="false"/>
          <w:i/>
          <w:iCs/>
          <w:sz w:val="22"/>
          <w:szCs w:val="22"/>
          <w:lang w:val="en-GB" w:eastAsia="zxx" w:bidi="zxx"/>
        </w:rPr>
        <w:t>basis</w:t>
      </w:r>
      <w:r>
        <w:rPr>
          <w:rFonts w:ascii="Calibri" w:hAnsi="Calibri"/>
          <w:b w:val="false"/>
          <w:bCs w:val="false"/>
          <w:i w:val="false"/>
          <w:iCs w:val="false"/>
          <w:sz w:val="22"/>
          <w:szCs w:val="22"/>
          <w:lang w:val="en-GB" w:eastAsia="zxx" w:bidi="zxx"/>
        </w:rPr>
        <w:t xml:space="preserve"> in truth, the anecdote serves to illustrate a modern interpretation of the cultural significance of a lunar myth. The subversive Native Americans of the story share their spirituality and connection to the moon while the gullible astronauts from NASA are representatives of a colder, more distant government body, that has had a long history of malignant encounters with the indigenous people. More tellingly is that </w:t>
      </w:r>
      <w:r>
        <w:rPr>
          <w:rFonts w:ascii="Calibri" w:hAnsi="Calibri"/>
          <w:b w:val="false"/>
          <w:bCs w:val="false"/>
          <w:i w:val="false"/>
          <w:iCs w:val="false"/>
          <w:sz w:val="22"/>
          <w:szCs w:val="22"/>
          <w:lang w:val="en-GB" w:eastAsia="zxx" w:bidi="zxx"/>
        </w:rPr>
        <w:t xml:space="preserve">at the time of the purported encounter, </w:t>
      </w:r>
      <w:r>
        <w:rPr>
          <w:rFonts w:ascii="Calibri" w:hAnsi="Calibri"/>
          <w:b w:val="false"/>
          <w:bCs w:val="false"/>
          <w:i w:val="false"/>
          <w:iCs w:val="false"/>
          <w:sz w:val="22"/>
          <w:szCs w:val="22"/>
          <w:lang w:val="en-GB" w:eastAsia="zxx" w:bidi="zxx"/>
        </w:rPr>
        <w:t xml:space="preserve">America and the rest of the world were supposedly enamoured with Armstrong and Aldrin as well as Michael Collins, the pilot of the command module </w:t>
      </w:r>
      <w:r>
        <w:rPr>
          <w:rFonts w:ascii="Calibri" w:hAnsi="Calibri"/>
          <w:b w:val="false"/>
          <w:bCs w:val="false"/>
          <w:i/>
          <w:iCs/>
          <w:sz w:val="22"/>
          <w:szCs w:val="22"/>
          <w:lang w:val="en-GB" w:eastAsia="zxx" w:bidi="zxx"/>
        </w:rPr>
        <w:t>Columbia</w:t>
      </w:r>
      <w:r>
        <w:rPr>
          <w:rFonts w:ascii="Calibri" w:hAnsi="Calibri"/>
          <w:b w:val="false"/>
          <w:bCs w:val="false"/>
          <w:i w:val="false"/>
          <w:iCs w:val="false"/>
          <w:sz w:val="22"/>
          <w:szCs w:val="22"/>
          <w:lang w:val="en-GB" w:eastAsia="zxx" w:bidi="zxx"/>
        </w:rPr>
        <w:t xml:space="preserve"> on the Apollo 11 mission</w:t>
      </w:r>
      <w:r>
        <w:rPr>
          <w:rFonts w:ascii="Calibri" w:hAnsi="Calibri"/>
          <w:b w:val="false"/>
          <w:bCs w:val="false"/>
          <w:i w:val="false"/>
          <w:iCs w:val="false"/>
          <w:sz w:val="22"/>
          <w:szCs w:val="22"/>
          <w:lang w:val="en-GB" w:eastAsia="zxx" w:bidi="zxx"/>
        </w:rPr>
        <w:t xml:space="preserve">. </w:t>
      </w:r>
      <w:r>
        <w:rPr>
          <w:rFonts w:ascii="Calibri" w:hAnsi="Calibri"/>
          <w:b w:val="false"/>
          <w:bCs w:val="false"/>
          <w:i w:val="false"/>
          <w:iCs w:val="false"/>
          <w:sz w:val="22"/>
          <w:szCs w:val="22"/>
          <w:lang w:val="en-GB" w:eastAsia="zxx" w:bidi="zxx"/>
        </w:rPr>
        <w:t>As cited by Launius, Glennan stated that the astronauts would go on to become immediate national and international heroes</w:t>
      </w:r>
      <w:r>
        <w:rPr>
          <w:rStyle w:val="FootnoteAnchor"/>
          <w:rFonts w:ascii="Calibri" w:hAnsi="Calibri"/>
          <w:b w:val="false"/>
          <w:bCs w:val="false"/>
          <w:i w:val="false"/>
          <w:iCs w:val="false"/>
          <w:sz w:val="22"/>
          <w:szCs w:val="22"/>
          <w:lang w:val="en-GB" w:eastAsia="zxx" w:bidi="zxx"/>
        </w:rPr>
        <w:footnoteReference w:id="5"/>
      </w:r>
      <w:r>
        <w:rPr>
          <w:rFonts w:ascii="Calibri" w:hAnsi="Calibri"/>
          <w:b w:val="false"/>
          <w:bCs w:val="false"/>
          <w:i w:val="false"/>
          <w:iCs w:val="false"/>
          <w:sz w:val="22"/>
          <w:szCs w:val="22"/>
          <w:lang w:val="en-GB" w:eastAsia="zxx" w:bidi="zxx"/>
        </w:rPr>
        <w:t>. According to Wilson,</w:t>
      </w:r>
      <w:r>
        <w:rPr>
          <w:rStyle w:val="FootnoteAnchor"/>
          <w:rFonts w:ascii="Calibri" w:hAnsi="Calibri"/>
          <w:b w:val="false"/>
          <w:bCs w:val="false"/>
          <w:i w:val="false"/>
          <w:iCs w:val="false"/>
          <w:sz w:val="22"/>
          <w:szCs w:val="22"/>
          <w:lang w:val="en-GB" w:eastAsia="zxx" w:bidi="zxx"/>
        </w:rPr>
        <w:footnoteReference w:id="6"/>
      </w:r>
      <w:r>
        <w:rPr>
          <w:rFonts w:ascii="Calibri" w:hAnsi="Calibri"/>
          <w:b w:val="false"/>
          <w:bCs w:val="false"/>
          <w:i w:val="false"/>
          <w:iCs w:val="false"/>
          <w:sz w:val="22"/>
          <w:szCs w:val="22"/>
          <w:lang w:val="en-GB" w:eastAsia="zxx" w:bidi="zxx"/>
        </w:rPr>
        <w:t xml:space="preserve"> the American space programme, and particularly the Apollo 11 mission was a display of civil religion and that provided a near religious symbolism that is peppered throughout by 'rhetoric and belief'.</w:t>
      </w:r>
    </w:p>
    <w:p>
      <w:pPr>
        <w:pStyle w:val="Normal"/>
        <w:jc w:val="left"/>
        <w:rPr>
          <w:rFonts w:ascii="Calibri" w:hAnsi="Calibri"/>
          <w:b w:val="false"/>
          <w:b w:val="false"/>
          <w:bCs w:val="false"/>
          <w:i w:val="false"/>
          <w:i w:val="false"/>
          <w:iCs w:val="false"/>
          <w:sz w:val="22"/>
          <w:szCs w:val="22"/>
        </w:rPr>
      </w:pPr>
      <w:r>
        <w:rPr>
          <w:rFonts w:ascii="Calibri" w:hAnsi="Calibri"/>
          <w:b w:val="false"/>
          <w:bCs w:val="false"/>
          <w:i w:val="false"/>
          <w:iCs w:val="false"/>
          <w:sz w:val="22"/>
          <w:szCs w:val="22"/>
        </w:rPr>
      </w:r>
    </w:p>
    <w:p>
      <w:pPr>
        <w:pStyle w:val="Normal"/>
        <w:jc w:val="left"/>
        <w:rPr>
          <w:rFonts w:ascii="Calibri" w:hAnsi="Calibri"/>
        </w:rPr>
      </w:pPr>
      <w:r>
        <w:rPr>
          <w:rFonts w:ascii="Calibri" w:hAnsi="Calibri"/>
          <w:b w:val="false"/>
          <w:bCs w:val="false"/>
          <w:i w:val="false"/>
          <w:iCs w:val="false"/>
          <w:sz w:val="22"/>
          <w:szCs w:val="22"/>
          <w:lang w:val="en-GB" w:eastAsia="zxx" w:bidi="zxx"/>
        </w:rPr>
        <w:tab/>
        <w:t>Lunar, solar, stellar or planetary events have fascinated humankind since the dawn of creation, from  Ancient Egyptians modifying and separating their solar and lunar calendars</w:t>
      </w:r>
      <w:r>
        <w:rPr>
          <w:rStyle w:val="FootnoteAnchor"/>
          <w:rFonts w:ascii="Calibri" w:hAnsi="Calibri"/>
          <w:b w:val="false"/>
          <w:bCs w:val="false"/>
          <w:i w:val="false"/>
          <w:iCs w:val="false"/>
          <w:sz w:val="22"/>
          <w:szCs w:val="22"/>
          <w:lang w:val="en-GB" w:eastAsia="zxx" w:bidi="zxx"/>
        </w:rPr>
        <w:footnoteReference w:id="7"/>
      </w:r>
      <w:r>
        <w:rPr>
          <w:rFonts w:ascii="Calibri" w:hAnsi="Calibri"/>
          <w:b w:val="false"/>
          <w:bCs w:val="false"/>
          <w:i w:val="false"/>
          <w:iCs w:val="false"/>
          <w:sz w:val="22"/>
          <w:szCs w:val="22"/>
          <w:lang w:val="en-GB" w:eastAsia="zxx" w:bidi="zxx"/>
        </w:rPr>
        <w:t xml:space="preserve"> by purpose and intent to our continuing fascination up to the present. As a species we have evolved beyond the spiritual need for exploration to expose a technological desire that has replaced the search for deities with resource and conquest inclination instead.  Our desire to revisit and explore the moon is palatable and there is a seemingly endless array of YouTube videos, news reports, and scientific articles that ascribe to the returning to space and lunar </w:t>
      </w:r>
      <w:r>
        <w:rPr>
          <w:rFonts w:ascii="Calibri" w:hAnsi="Calibri"/>
          <w:b w:val="false"/>
          <w:bCs w:val="false"/>
          <w:i w:val="false"/>
          <w:iCs w:val="false"/>
          <w:sz w:val="22"/>
          <w:szCs w:val="22"/>
          <w:lang w:val="en-GB" w:eastAsia="zxx" w:bidi="zxx"/>
        </w:rPr>
        <w:t>geographic expedition</w:t>
      </w:r>
      <w:r>
        <w:rPr>
          <w:rFonts w:ascii="Calibri" w:hAnsi="Calibri"/>
          <w:b w:val="false"/>
          <w:bCs w:val="false"/>
          <w:i w:val="false"/>
          <w:iCs w:val="false"/>
          <w:sz w:val="22"/>
          <w:szCs w:val="22"/>
          <w:lang w:val="en-GB" w:eastAsia="zxx" w:bidi="zxx"/>
        </w:rPr>
        <w:t xml:space="preserve"> as a positive step in secular, humanist exploration. According to Boyle</w:t>
      </w:r>
      <w:r>
        <w:rPr>
          <w:rStyle w:val="FootnoteAnchor"/>
          <w:rFonts w:ascii="Calibri" w:hAnsi="Calibri"/>
          <w:b w:val="false"/>
          <w:bCs w:val="false"/>
          <w:i w:val="false"/>
          <w:iCs w:val="false"/>
          <w:sz w:val="22"/>
          <w:szCs w:val="22"/>
          <w:lang w:val="en-GB" w:eastAsia="zxx" w:bidi="zxx"/>
        </w:rPr>
        <w:footnoteReference w:id="8"/>
      </w:r>
      <w:r>
        <w:rPr>
          <w:rFonts w:ascii="Calibri" w:hAnsi="Calibri"/>
          <w:b w:val="false"/>
          <w:bCs w:val="false"/>
          <w:i w:val="false"/>
          <w:iCs w:val="false"/>
          <w:sz w:val="22"/>
          <w:szCs w:val="22"/>
          <w:lang w:val="en-GB" w:eastAsia="zxx" w:bidi="zxx"/>
        </w:rPr>
        <w:t xml:space="preserve"> the moon was '</w:t>
      </w:r>
      <w:r>
        <w:rPr>
          <w:rFonts w:ascii="Calibri" w:hAnsi="Calibri"/>
          <w:b w:val="false"/>
          <w:bCs w:val="false"/>
          <w:i w:val="false"/>
          <w:iCs w:val="false"/>
          <w:caps w:val="false"/>
          <w:smallCaps w:val="false"/>
          <w:color w:val="000000"/>
          <w:spacing w:val="0"/>
          <w:sz w:val="22"/>
          <w:szCs w:val="22"/>
          <w:lang w:val="en-GB" w:eastAsia="zxx" w:bidi="zxx"/>
        </w:rPr>
        <w:t>a destination that will always loom largest in our collective consciousness' and</w:t>
      </w:r>
      <w:r>
        <w:rPr>
          <w:rFonts w:ascii="Calibri" w:hAnsi="Calibri"/>
          <w:b w:val="false"/>
          <w:bCs w:val="false"/>
          <w:i w:val="false"/>
          <w:iCs w:val="false"/>
          <w:sz w:val="22"/>
          <w:szCs w:val="22"/>
          <w:lang w:val="en-GB" w:eastAsia="zxx" w:bidi="zxx"/>
        </w:rPr>
        <w:t xml:space="preserve"> that returning to the moon with the Artemis space programme, Artemis being the name of the twin sister of the Greek God Apollo, was '</w:t>
      </w:r>
      <w:r>
        <w:rPr>
          <w:rFonts w:ascii="Calibri" w:hAnsi="Calibri"/>
          <w:b w:val="false"/>
          <w:bCs w:val="false"/>
          <w:i w:val="false"/>
          <w:iCs w:val="false"/>
          <w:caps w:val="false"/>
          <w:smallCaps w:val="false"/>
          <w:color w:val="000000"/>
          <w:spacing w:val="0"/>
          <w:sz w:val="22"/>
          <w:szCs w:val="22"/>
          <w:lang w:val="en-GB" w:eastAsia="zxx" w:bidi="zxx"/>
        </w:rPr>
        <w:t>an experiment begun years ago with good intentions'</w:t>
      </w:r>
      <w:r>
        <w:rPr>
          <w:rFonts w:ascii="Calibri" w:hAnsi="Calibri"/>
          <w:b w:val="false"/>
          <w:bCs w:val="false"/>
          <w:i w:val="false"/>
          <w:iCs w:val="false"/>
          <w:caps w:val="false"/>
          <w:smallCaps w:val="false"/>
          <w:color w:val="000000"/>
          <w:spacing w:val="0"/>
          <w:sz w:val="22"/>
          <w:szCs w:val="22"/>
        </w:rPr>
        <w:t>. An</w:t>
      </w:r>
      <w:r>
        <w:rPr>
          <w:rFonts w:ascii="Calibri" w:hAnsi="Calibri"/>
          <w:b w:val="false"/>
          <w:bCs w:val="false"/>
          <w:i w:val="false"/>
          <w:iCs w:val="false"/>
          <w:caps w:val="false"/>
          <w:smallCaps w:val="false"/>
          <w:color w:val="000000"/>
          <w:spacing w:val="0"/>
          <w:sz w:val="22"/>
          <w:szCs w:val="22"/>
        </w:rPr>
        <w:t>other</w:t>
      </w:r>
      <w:r>
        <w:rPr>
          <w:rFonts w:ascii="Calibri" w:hAnsi="Calibri"/>
          <w:b w:val="false"/>
          <w:bCs w:val="false"/>
          <w:i w:val="false"/>
          <w:iCs w:val="false"/>
          <w:caps w:val="false"/>
          <w:smallCaps w:val="false"/>
          <w:color w:val="000000"/>
          <w:spacing w:val="0"/>
          <w:sz w:val="22"/>
          <w:szCs w:val="22"/>
        </w:rPr>
        <w:t xml:space="preserve"> adaptation of the cultural significance of ritual in</w:t>
      </w:r>
      <w:r>
        <w:rPr>
          <w:rFonts w:ascii="Calibri" w:hAnsi="Calibri"/>
          <w:b w:val="false"/>
          <w:bCs w:val="false"/>
          <w:i w:val="false"/>
          <w:iCs w:val="false"/>
          <w:caps w:val="false"/>
          <w:smallCaps w:val="false"/>
          <w:color w:val="000000"/>
          <w:spacing w:val="0"/>
          <w:sz w:val="22"/>
          <w:szCs w:val="22"/>
        </w:rPr>
        <w:t xml:space="preserve"> contemporary</w:t>
      </w:r>
      <w:r>
        <w:rPr>
          <w:rFonts w:ascii="Calibri" w:hAnsi="Calibri"/>
          <w:b w:val="false"/>
          <w:bCs w:val="false"/>
          <w:i w:val="false"/>
          <w:iCs w:val="false"/>
          <w:caps w:val="false"/>
          <w:smallCaps w:val="false"/>
          <w:color w:val="000000"/>
          <w:spacing w:val="0"/>
          <w:sz w:val="22"/>
          <w:szCs w:val="22"/>
        </w:rPr>
        <w:t xml:space="preserve"> lunar mythos is the co-opting or modernizing by Jewish women of the monthly New Moon celebrations of </w:t>
      </w:r>
      <w:r>
        <w:rPr>
          <w:rFonts w:ascii="Calibri" w:hAnsi="Calibri"/>
          <w:b w:val="false"/>
          <w:bCs w:val="false"/>
          <w:i/>
          <w:iCs/>
          <w:caps w:val="false"/>
          <w:smallCaps w:val="false"/>
          <w:color w:val="000000"/>
          <w:spacing w:val="0"/>
          <w:sz w:val="22"/>
          <w:szCs w:val="22"/>
        </w:rPr>
        <w:t>Rosh Chodesh</w:t>
      </w:r>
      <w:r>
        <w:rPr>
          <w:rFonts w:ascii="Calibri" w:hAnsi="Calibri"/>
          <w:b w:val="false"/>
          <w:bCs w:val="false"/>
          <w:i w:val="false"/>
          <w:iCs w:val="false"/>
          <w:caps w:val="false"/>
          <w:smallCaps w:val="false"/>
          <w:color w:val="000000"/>
          <w:spacing w:val="0"/>
          <w:sz w:val="22"/>
          <w:szCs w:val="22"/>
        </w:rPr>
        <w:t xml:space="preserve">, where [the] 'modern forms of traditional myths provide a mythical charter for new religious practices in </w:t>
      </w:r>
      <w:r>
        <w:rPr>
          <w:rFonts w:ascii="Calibri" w:hAnsi="Calibri"/>
          <w:b w:val="false"/>
          <w:bCs w:val="false"/>
          <w:i w:val="false"/>
          <w:iCs w:val="false"/>
          <w:caps w:val="false"/>
          <w:smallCaps w:val="false"/>
          <w:color w:val="000000"/>
          <w:spacing w:val="0"/>
          <w:sz w:val="22"/>
          <w:szCs w:val="22"/>
        </w:rPr>
        <w:t xml:space="preserve">a </w:t>
      </w:r>
      <w:r>
        <w:rPr>
          <w:rFonts w:ascii="Calibri" w:hAnsi="Calibri"/>
          <w:b w:val="false"/>
          <w:bCs w:val="false"/>
          <w:i w:val="false"/>
          <w:iCs w:val="false"/>
          <w:caps w:val="false"/>
          <w:smallCaps w:val="false"/>
          <w:color w:val="000000"/>
          <w:spacing w:val="0"/>
          <w:sz w:val="22"/>
          <w:szCs w:val="22"/>
        </w:rPr>
        <w:t>contemporary Jewish life.'</w:t>
      </w:r>
      <w:r>
        <w:rPr>
          <w:rStyle w:val="FootnoteAnchor"/>
          <w:rFonts w:ascii="Calibri" w:hAnsi="Calibri"/>
          <w:b w:val="false"/>
          <w:bCs w:val="false"/>
          <w:i w:val="false"/>
          <w:iCs w:val="false"/>
          <w:caps w:val="false"/>
          <w:smallCaps w:val="false"/>
          <w:color w:val="000000"/>
          <w:spacing w:val="0"/>
          <w:sz w:val="22"/>
          <w:szCs w:val="22"/>
        </w:rPr>
        <w:footnoteReference w:id="9"/>
      </w:r>
    </w:p>
    <w:p>
      <w:pPr>
        <w:pStyle w:val="Normal"/>
        <w:jc w:val="left"/>
        <w:rPr>
          <w:rFonts w:ascii="Calibri" w:hAnsi="Calibri"/>
          <w:b w:val="false"/>
          <w:b w:val="false"/>
          <w:bCs w:val="false"/>
          <w:i w:val="false"/>
          <w:i w:val="false"/>
          <w:iCs w:val="false"/>
          <w:caps w:val="false"/>
          <w:smallCaps w:val="false"/>
          <w:color w:val="000000"/>
          <w:spacing w:val="0"/>
          <w:sz w:val="22"/>
          <w:szCs w:val="22"/>
        </w:rPr>
      </w:pPr>
      <w:r>
        <w:rPr>
          <w:rFonts w:ascii="Calibri" w:hAnsi="Calibri"/>
          <w:b w:val="false"/>
          <w:bCs w:val="false"/>
          <w:i w:val="false"/>
          <w:iCs w:val="false"/>
          <w:caps w:val="false"/>
          <w:smallCaps w:val="false"/>
          <w:color w:val="000000"/>
          <w:spacing w:val="0"/>
          <w:sz w:val="22"/>
          <w:szCs w:val="22"/>
        </w:rPr>
      </w:r>
    </w:p>
    <w:p>
      <w:pPr>
        <w:pStyle w:val="Normal"/>
        <w:jc w:val="left"/>
        <w:rPr>
          <w:rFonts w:ascii="Calibri" w:hAnsi="Calibri"/>
        </w:rPr>
      </w:pPr>
      <w:r>
        <w:rPr>
          <w:rFonts w:ascii="Calibri" w:hAnsi="Calibri"/>
          <w:b w:val="false"/>
          <w:bCs w:val="false"/>
          <w:i w:val="false"/>
          <w:iCs w:val="false"/>
          <w:caps w:val="false"/>
          <w:smallCaps w:val="false"/>
          <w:color w:val="000000"/>
          <w:spacing w:val="0"/>
          <w:sz w:val="22"/>
          <w:szCs w:val="22"/>
        </w:rPr>
        <w:tab/>
        <w:t>Multiple different cultures have developed lunar myths where the orb is deified along with the sun or other planetary bodies. In Ancient Greece, Artemis, for whom the modern lunar mission is named, was associated as a contemporary of the main moon goddess Selene, they were both also known as Diana and Luna in their Roman aspects. Similarly, the god Apollo, who was known as Apollo as well in the Roman pantheon, has several legends associating him along with the sun god Helios, alias Sol in the Roman collection, brother god/</w:t>
      </w:r>
      <w:r>
        <w:rPr>
          <w:rFonts w:ascii="Calibri" w:hAnsi="Calibri"/>
          <w:b w:val="false"/>
          <w:bCs w:val="false"/>
          <w:i w:val="false"/>
          <w:iCs w:val="false"/>
          <w:caps w:val="false"/>
          <w:smallCaps w:val="false"/>
          <w:color w:val="000000"/>
          <w:spacing w:val="0"/>
          <w:sz w:val="22"/>
          <w:szCs w:val="22"/>
        </w:rPr>
        <w:t xml:space="preserve">brother </w:t>
      </w:r>
      <w:r>
        <w:rPr>
          <w:rFonts w:ascii="Calibri" w:hAnsi="Calibri"/>
          <w:b w:val="false"/>
          <w:bCs w:val="false"/>
          <w:i w:val="false"/>
          <w:iCs w:val="false"/>
          <w:caps w:val="false"/>
          <w:smallCaps w:val="false"/>
          <w:color w:val="000000"/>
          <w:spacing w:val="0"/>
          <w:sz w:val="22"/>
          <w:szCs w:val="22"/>
        </w:rPr>
        <w:t>titan to Selene. In a majority of these cultures the moon is frequently portrayed as feminine, for example Bendis was a Thracian goddess that was likewise associated with Artemis in Ancient Athens. Mawu, alternatively Mahu or Maou, was a mother goddess of the African Dahomey tribes, she was ascribed to the moon and when she joined with Lisa, the male deity connected with the sun, she transformed into an androgynous being that was known as Mawu-Lisa. According to Obbink</w:t>
      </w:r>
      <w:r>
        <w:rPr>
          <w:rStyle w:val="FootnoteAnchor"/>
          <w:rFonts w:ascii="Calibri" w:hAnsi="Calibri"/>
          <w:b w:val="false"/>
          <w:bCs w:val="false"/>
          <w:i w:val="false"/>
          <w:iCs w:val="false"/>
          <w:caps w:val="false"/>
          <w:smallCaps w:val="false"/>
          <w:color w:val="000000"/>
          <w:spacing w:val="0"/>
          <w:sz w:val="22"/>
          <w:szCs w:val="22"/>
        </w:rPr>
        <w:footnoteReference w:id="10"/>
      </w:r>
      <w:r>
        <w:rPr>
          <w:rFonts w:ascii="Calibri" w:hAnsi="Calibri"/>
          <w:b w:val="false"/>
          <w:bCs w:val="false"/>
          <w:i w:val="false"/>
          <w:iCs w:val="false"/>
          <w:caps w:val="false"/>
          <w:smallCaps w:val="false"/>
          <w:color w:val="000000"/>
          <w:spacing w:val="0"/>
          <w:sz w:val="22"/>
          <w:szCs w:val="22"/>
        </w:rPr>
        <w:t>, Chryssipus of Soli also 'interpreted Selene and Men as respectively the female and male aspects of the same god'. With regard to the Etruscan goddess Catha (</w:t>
      </w:r>
      <w:r>
        <w:rPr>
          <w:rFonts w:ascii="Calibri" w:hAnsi="Calibri"/>
          <w:b w:val="false"/>
          <w:bCs w:val="false"/>
          <w:i w:val="false"/>
          <w:iCs w:val="false"/>
          <w:caps w:val="false"/>
          <w:smallCaps w:val="false"/>
          <w:color w:val="202122"/>
          <w:spacing w:val="0"/>
          <w:sz w:val="22"/>
          <w:szCs w:val="22"/>
        </w:rPr>
        <w:t>Cavatha, Cavtha, Cath, Cautha, and Kavtha)</w:t>
      </w:r>
      <w:r>
        <w:rPr>
          <w:rFonts w:ascii="Calibri" w:hAnsi="Calibri"/>
          <w:b w:val="false"/>
          <w:bCs w:val="false"/>
          <w:i w:val="false"/>
          <w:iCs w:val="false"/>
          <w:caps w:val="false"/>
          <w:smallCaps w:val="false"/>
          <w:color w:val="000000"/>
          <w:spacing w:val="0"/>
          <w:sz w:val="22"/>
          <w:szCs w:val="22"/>
        </w:rPr>
        <w:t xml:space="preserve">  Nancy de Grummond</w:t>
      </w:r>
      <w:r>
        <w:rPr>
          <w:rStyle w:val="FootnoteAnchor"/>
          <w:rFonts w:ascii="Calibri" w:hAnsi="Calibri"/>
          <w:b w:val="false"/>
          <w:bCs w:val="false"/>
          <w:i w:val="false"/>
          <w:iCs w:val="false"/>
          <w:caps w:val="false"/>
          <w:smallCaps w:val="false"/>
          <w:color w:val="000000"/>
          <w:spacing w:val="0"/>
          <w:sz w:val="22"/>
          <w:szCs w:val="22"/>
        </w:rPr>
        <w:footnoteReference w:id="11"/>
      </w:r>
      <w:r>
        <w:rPr>
          <w:rFonts w:ascii="Calibri" w:hAnsi="Calibri"/>
          <w:b w:val="false"/>
          <w:bCs w:val="false"/>
          <w:i w:val="false"/>
          <w:iCs w:val="false"/>
          <w:caps w:val="false"/>
          <w:smallCaps w:val="false"/>
          <w:color w:val="000000"/>
          <w:spacing w:val="0"/>
          <w:sz w:val="22"/>
          <w:szCs w:val="22"/>
        </w:rPr>
        <w:t xml:space="preserve"> argued that rather than being a solar deity, she is more likely to be a lunar goddess because at the archaeological sites at Pyrgi (</w:t>
      </w:r>
      <w:r>
        <w:rPr>
          <w:rFonts w:ascii="Calibri" w:hAnsi="Calibri"/>
          <w:b w:val="false"/>
          <w:bCs w:val="false"/>
          <w:i/>
          <w:iCs/>
          <w:caps w:val="false"/>
          <w:smallCaps w:val="false"/>
          <w:color w:val="000000"/>
          <w:spacing w:val="0"/>
          <w:sz w:val="22"/>
          <w:szCs w:val="22"/>
        </w:rPr>
        <w:t>Pyrgus</w:t>
      </w:r>
      <w:r>
        <w:rPr>
          <w:rFonts w:ascii="Calibri" w:hAnsi="Calibri"/>
          <w:b w:val="false"/>
          <w:bCs w:val="false"/>
          <w:i w:val="false"/>
          <w:iCs w:val="false"/>
          <w:caps w:val="false"/>
          <w:smallCaps w:val="false"/>
          <w:color w:val="000000"/>
          <w:spacing w:val="0"/>
          <w:sz w:val="22"/>
          <w:szCs w:val="22"/>
        </w:rPr>
        <w:t xml:space="preserve"> in Etruscan) she is coupled with </w:t>
      </w:r>
      <w:r>
        <w:rPr>
          <w:rFonts w:ascii="Calibri" w:hAnsi="Calibri"/>
          <w:b w:val="false"/>
          <w:bCs w:val="false"/>
          <w:i w:val="false"/>
          <w:iCs w:val="false"/>
          <w:caps w:val="false"/>
          <w:smallCaps w:val="false"/>
          <w:color w:val="202122"/>
          <w:spacing w:val="0"/>
          <w:sz w:val="22"/>
          <w:szCs w:val="22"/>
        </w:rPr>
        <w:t>Śuri</w:t>
      </w:r>
      <w:r>
        <w:rPr>
          <w:rFonts w:ascii="Calibri" w:hAnsi="Calibri"/>
          <w:b w:val="false"/>
          <w:bCs w:val="false"/>
          <w:i w:val="false"/>
          <w:iCs w:val="false"/>
          <w:caps w:val="false"/>
          <w:smallCaps w:val="false"/>
          <w:color w:val="000000"/>
          <w:spacing w:val="0"/>
          <w:sz w:val="22"/>
          <w:szCs w:val="22"/>
        </w:rPr>
        <w:t xml:space="preserve"> (</w:t>
      </w:r>
      <w:r>
        <w:rPr>
          <w:rFonts w:ascii="Calibri" w:hAnsi="Calibri"/>
          <w:b w:val="false"/>
          <w:bCs w:val="false"/>
          <w:i/>
          <w:iCs/>
          <w:caps w:val="false"/>
          <w:smallCaps w:val="false"/>
          <w:color w:val="000000"/>
          <w:spacing w:val="0"/>
          <w:sz w:val="22"/>
          <w:szCs w:val="22"/>
        </w:rPr>
        <w:t>Soranus</w:t>
      </w:r>
      <w:r>
        <w:rPr>
          <w:rFonts w:ascii="Calibri" w:hAnsi="Calibri"/>
          <w:b w:val="false"/>
          <w:bCs w:val="false"/>
          <w:i w:val="false"/>
          <w:iCs w:val="false"/>
          <w:caps w:val="false"/>
          <w:smallCaps w:val="false"/>
          <w:color w:val="000000"/>
          <w:spacing w:val="0"/>
          <w:sz w:val="22"/>
          <w:szCs w:val="22"/>
        </w:rPr>
        <w:t xml:space="preserve"> in Latin):</w:t>
      </w:r>
    </w:p>
    <w:p>
      <w:pPr>
        <w:pStyle w:val="Normal"/>
        <w:jc w:val="left"/>
        <w:rPr>
          <w:rFonts w:ascii="Calibri" w:hAnsi="Calibri"/>
        </w:rPr>
      </w:pPr>
      <w:r>
        <w:rPr>
          <w:rFonts w:ascii="Calibri" w:hAnsi="Calibri"/>
          <w:b w:val="false"/>
          <w:bCs w:val="false"/>
          <w:i w:val="false"/>
          <w:iCs w:val="false"/>
          <w:caps w:val="false"/>
          <w:smallCaps w:val="false"/>
          <w:color w:val="000000"/>
          <w:spacing w:val="0"/>
          <w:sz w:val="22"/>
          <w:szCs w:val="22"/>
        </w:rPr>
        <w:tab/>
      </w:r>
    </w:p>
    <w:p>
      <w:pPr>
        <w:pStyle w:val="Normal"/>
        <w:jc w:val="left"/>
        <w:rPr>
          <w:rFonts w:ascii="Calibri" w:hAnsi="Calibri"/>
        </w:rPr>
      </w:pPr>
      <w:r>
        <w:rPr>
          <w:rFonts w:ascii="Calibri" w:hAnsi="Calibri"/>
          <w:b w:val="false"/>
          <w:bCs w:val="false"/>
          <w:i w:val="false"/>
          <w:iCs w:val="false"/>
          <w:caps w:val="false"/>
          <w:smallCaps w:val="false"/>
          <w:color w:val="000000"/>
          <w:spacing w:val="0"/>
          <w:sz w:val="22"/>
          <w:szCs w:val="22"/>
        </w:rPr>
        <w:tab/>
      </w:r>
      <w:r>
        <w:rPr>
          <w:rFonts w:ascii="Calibri" w:hAnsi="Calibri"/>
          <w:b w:val="false"/>
          <w:bCs w:val="false"/>
          <w:i w:val="false"/>
          <w:iCs w:val="false"/>
          <w:caps w:val="false"/>
          <w:smallCaps w:val="false"/>
          <w:color w:val="000000"/>
          <w:spacing w:val="0"/>
          <w:sz w:val="22"/>
          <w:szCs w:val="22"/>
        </w:rPr>
        <w:t xml:space="preserve">[...] who is convincingly linked with Apollo Soranus and therefore has a solar identity [...] we would </w:t>
        <w:tab/>
        <w:t xml:space="preserve">positively expect her [Catha] to be lunar, just as in numerous indications of cult practice in the </w:t>
        <w:tab/>
        <w:t>ancient world, the sun and moon are worshipped together.</w:t>
      </w:r>
    </w:p>
    <w:p>
      <w:pPr>
        <w:pStyle w:val="Normal"/>
        <w:jc w:val="left"/>
        <w:rPr>
          <w:rFonts w:ascii="Calibri" w:hAnsi="Calibri"/>
          <w:b w:val="false"/>
          <w:b w:val="false"/>
          <w:bCs w:val="false"/>
          <w:i w:val="false"/>
          <w:i w:val="false"/>
          <w:iCs w:val="false"/>
          <w:caps w:val="false"/>
          <w:smallCaps w:val="false"/>
          <w:color w:val="000000"/>
          <w:spacing w:val="0"/>
          <w:sz w:val="22"/>
          <w:szCs w:val="22"/>
        </w:rPr>
      </w:pPr>
      <w:r>
        <w:rPr>
          <w:rFonts w:ascii="Calibri" w:hAnsi="Calibri"/>
          <w:b w:val="false"/>
          <w:bCs w:val="false"/>
          <w:i w:val="false"/>
          <w:iCs w:val="false"/>
          <w:caps w:val="false"/>
          <w:smallCaps w:val="false"/>
          <w:color w:val="000000"/>
          <w:spacing w:val="0"/>
          <w:sz w:val="22"/>
          <w:szCs w:val="22"/>
        </w:rPr>
      </w:r>
    </w:p>
    <w:p>
      <w:pPr>
        <w:pStyle w:val="Normal"/>
        <w:jc w:val="left"/>
        <w:rPr>
          <w:rFonts w:ascii="Calibri" w:hAnsi="Calibri"/>
        </w:rPr>
      </w:pPr>
      <w:r>
        <w:rPr>
          <w:rFonts w:ascii="Calibri" w:hAnsi="Calibri"/>
          <w:b w:val="false"/>
          <w:bCs w:val="false"/>
          <w:i w:val="false"/>
          <w:iCs w:val="false"/>
          <w:caps w:val="false"/>
          <w:smallCaps w:val="false"/>
          <w:color w:val="000000"/>
          <w:spacing w:val="0"/>
          <w:sz w:val="22"/>
          <w:szCs w:val="22"/>
        </w:rPr>
        <w:t xml:space="preserve"> </w:t>
      </w:r>
      <w:r>
        <w:rPr>
          <w:rFonts w:ascii="Calibri" w:hAnsi="Calibri"/>
          <w:b w:val="false"/>
          <w:bCs w:val="false"/>
          <w:i w:val="false"/>
          <w:iCs w:val="false"/>
          <w:caps w:val="false"/>
          <w:smallCaps w:val="false"/>
          <w:color w:val="000000"/>
          <w:spacing w:val="0"/>
          <w:sz w:val="22"/>
          <w:szCs w:val="22"/>
        </w:rPr>
        <w:tab/>
        <w:t>Many ancient cultures similarly had myths regarding the sun or moon being pulled along or driven across the skies by some form of divine chariot or carriage, the previously mentioned Selene and Helios, from Greek mythology, both rode across the sky in chariots, with Helios driving a</w:t>
      </w:r>
      <w:r>
        <w:rPr>
          <w:rFonts w:ascii="Calibri" w:hAnsi="Calibri"/>
          <w:b w:val="false"/>
          <w:bCs w:val="false"/>
          <w:i/>
          <w:iCs/>
          <w:caps w:val="false"/>
          <w:smallCaps w:val="false"/>
          <w:color w:val="000000"/>
          <w:spacing w:val="0"/>
          <w:sz w:val="22"/>
          <w:szCs w:val="22"/>
        </w:rPr>
        <w:t xml:space="preserve"> quadriga</w:t>
      </w:r>
      <w:r>
        <w:rPr>
          <w:rFonts w:ascii="Calibri" w:hAnsi="Calibri"/>
          <w:b w:val="false"/>
          <w:bCs w:val="false"/>
          <w:i w:val="false"/>
          <w:iCs w:val="false"/>
          <w:caps w:val="false"/>
          <w:smallCaps w:val="false"/>
          <w:color w:val="000000"/>
          <w:spacing w:val="0"/>
          <w:sz w:val="22"/>
          <w:szCs w:val="22"/>
        </w:rPr>
        <w:t>, a carriage pulled by four horses. However in the case of Egyptian mythology, the Sun god Ra would travel on solar barques, boat style vessels, that would move via twelve hourly increments during the day and then a further twelve hourly intervals between twilight and dawn where Ra would traverse the underworld. With regard to funerary practices, Abubakr</w:t>
      </w:r>
      <w:r>
        <w:rPr>
          <w:rStyle w:val="FootnoteAnchor"/>
          <w:rFonts w:ascii="Calibri" w:hAnsi="Calibri"/>
          <w:b w:val="false"/>
          <w:bCs w:val="false"/>
          <w:i w:val="false"/>
          <w:iCs w:val="false"/>
          <w:caps w:val="false"/>
          <w:smallCaps w:val="false"/>
          <w:color w:val="000000"/>
          <w:spacing w:val="0"/>
          <w:sz w:val="22"/>
          <w:szCs w:val="22"/>
        </w:rPr>
        <w:footnoteReference w:id="12"/>
      </w:r>
      <w:r>
        <w:rPr>
          <w:rFonts w:ascii="Calibri" w:hAnsi="Calibri"/>
          <w:b w:val="false"/>
          <w:bCs w:val="false"/>
          <w:i w:val="false"/>
          <w:iCs w:val="false"/>
          <w:caps w:val="false"/>
          <w:smallCaps w:val="false"/>
          <w:color w:val="000000"/>
          <w:spacing w:val="0"/>
          <w:sz w:val="22"/>
          <w:szCs w:val="22"/>
        </w:rPr>
        <w:t xml:space="preserve"> maintained that as the pharaohs were considered the mortal personification of Ra, they should also be able to traverse to the underworld in a similarly constructed reed boat upon their deaths. The collective consciousness of a shared male and female, brother and sister, or husband and wife, mythos relating to the sun and moon is a common denominator or thread among archaic cultures and it is conceivable that as language spread out along Proto-Indo-European speakers that their deities also dispersed along similar lines. As ideas and thoughts mixed and interacted with other people, stories changed to reflect the current social mythologies by breaking off, altering and adapting to better reflect the</w:t>
      </w:r>
      <w:r>
        <w:rPr>
          <w:rFonts w:ascii="Calibri" w:hAnsi="Calibri"/>
          <w:b w:val="false"/>
          <w:bCs w:val="false"/>
          <w:i w:val="false"/>
          <w:iCs w:val="false"/>
          <w:caps w:val="false"/>
          <w:smallCaps w:val="false"/>
          <w:color w:val="000000"/>
          <w:spacing w:val="0"/>
          <w:sz w:val="22"/>
          <w:szCs w:val="22"/>
        </w:rPr>
        <w:t xml:space="preserve"> cross</w:t>
      </w:r>
      <w:r>
        <w:rPr>
          <w:rFonts w:ascii="Calibri" w:hAnsi="Calibri"/>
          <w:b w:val="false"/>
          <w:bCs w:val="false"/>
          <w:i w:val="false"/>
          <w:iCs w:val="false"/>
          <w:caps w:val="false"/>
          <w:smallCaps w:val="false"/>
          <w:color w:val="000000"/>
          <w:spacing w:val="0"/>
          <w:sz w:val="22"/>
          <w:szCs w:val="22"/>
        </w:rPr>
        <w:t xml:space="preserve"> cultur</w:t>
      </w:r>
      <w:r>
        <w:rPr>
          <w:rFonts w:ascii="Calibri" w:hAnsi="Calibri"/>
          <w:b w:val="false"/>
          <w:bCs w:val="false"/>
          <w:i w:val="false"/>
          <w:iCs w:val="false"/>
          <w:caps w:val="false"/>
          <w:smallCaps w:val="false"/>
          <w:color w:val="000000"/>
          <w:spacing w:val="0"/>
          <w:sz w:val="22"/>
          <w:szCs w:val="22"/>
        </w:rPr>
        <w:t xml:space="preserve">al exchanges </w:t>
      </w:r>
      <w:r>
        <w:rPr>
          <w:rFonts w:ascii="Calibri" w:hAnsi="Calibri"/>
          <w:b w:val="false"/>
          <w:bCs w:val="false"/>
          <w:i w:val="false"/>
          <w:iCs w:val="false"/>
          <w:caps w:val="false"/>
          <w:smallCaps w:val="false"/>
          <w:color w:val="000000"/>
          <w:spacing w:val="0"/>
          <w:sz w:val="22"/>
          <w:szCs w:val="22"/>
        </w:rPr>
        <w:t>of the people that their stories represented.</w:t>
      </w:r>
    </w:p>
    <w:p>
      <w:pPr>
        <w:pStyle w:val="Normal"/>
        <w:jc w:val="left"/>
        <w:rPr>
          <w:rFonts w:ascii="Calibri" w:hAnsi="Calibri"/>
          <w:b w:val="false"/>
          <w:b w:val="false"/>
          <w:bCs w:val="false"/>
          <w:i w:val="false"/>
          <w:i w:val="false"/>
          <w:iCs w:val="false"/>
          <w:caps w:val="false"/>
          <w:smallCaps w:val="false"/>
          <w:color w:val="000000"/>
          <w:spacing w:val="0"/>
          <w:sz w:val="22"/>
          <w:szCs w:val="22"/>
        </w:rPr>
      </w:pPr>
      <w:r>
        <w:rPr>
          <w:rFonts w:ascii="Calibri" w:hAnsi="Calibri"/>
          <w:b w:val="false"/>
          <w:bCs w:val="false"/>
          <w:i w:val="false"/>
          <w:iCs w:val="false"/>
          <w:caps w:val="false"/>
          <w:smallCaps w:val="false"/>
          <w:color w:val="000000"/>
          <w:spacing w:val="0"/>
          <w:sz w:val="22"/>
          <w:szCs w:val="22"/>
        </w:rPr>
      </w:r>
    </w:p>
    <w:p>
      <w:pPr>
        <w:pStyle w:val="Normal"/>
        <w:jc w:val="left"/>
        <w:rPr/>
      </w:pPr>
      <w:r>
        <w:rPr>
          <w:rFonts w:ascii="Calibri" w:hAnsi="Calibri"/>
          <w:b w:val="false"/>
          <w:bCs w:val="false"/>
          <w:i w:val="false"/>
          <w:iCs w:val="false"/>
          <w:caps w:val="false"/>
          <w:smallCaps w:val="false"/>
          <w:color w:val="000000"/>
          <w:spacing w:val="0"/>
          <w:sz w:val="22"/>
          <w:szCs w:val="22"/>
        </w:rPr>
        <w:tab/>
        <w:t xml:space="preserve">Norse mythology depicts the sun and moon not as personified deities per say but more correctly as operators in charge of correcting the course of a solar chariot and the lunar trajectory. Again the dynamic of a sibling pairing occurs, but in the Norse skies Mani is a male deity responsible for the moon while his beautiful sister Sol is in charge of the solar chariot. As Helios, in Greek mythology, pulled his quadriga across the heavens, so to must Sol guide two celestial horses, named Arvak and Alsvinn, while being chased by the giant wolf </w:t>
      </w:r>
      <w:r>
        <w:rPr>
          <w:rFonts w:ascii="Calibri" w:hAnsi="Calibri"/>
          <w:b w:val="false"/>
          <w:bCs w:val="false"/>
          <w:i/>
          <w:iCs/>
          <w:caps w:val="false"/>
          <w:smallCaps w:val="false"/>
          <w:color w:val="000000"/>
          <w:spacing w:val="0"/>
          <w:sz w:val="22"/>
          <w:szCs w:val="22"/>
        </w:rPr>
        <w:t>Sk</w:t>
      </w:r>
      <w:r>
        <w:rPr>
          <w:rFonts w:eastAsia="Andale Sans UI" w:cs="Tahoma" w:ascii="Calibri" w:hAnsi="Calibri"/>
          <w:b w:val="false"/>
          <w:bCs w:val="false"/>
          <w:i/>
          <w:iCs/>
          <w:caps w:val="false"/>
          <w:smallCaps w:val="false"/>
          <w:color w:val="000000"/>
          <w:spacing w:val="0"/>
          <w:sz w:val="22"/>
          <w:szCs w:val="22"/>
        </w:rPr>
        <w:t>ö</w:t>
      </w:r>
      <w:r>
        <w:rPr>
          <w:rFonts w:ascii="Calibri" w:hAnsi="Calibri"/>
          <w:b w:val="false"/>
          <w:bCs w:val="false"/>
          <w:i/>
          <w:iCs/>
          <w:caps w:val="false"/>
          <w:smallCaps w:val="false"/>
          <w:color w:val="000000"/>
          <w:spacing w:val="0"/>
          <w:sz w:val="22"/>
          <w:szCs w:val="22"/>
        </w:rPr>
        <w:t>ll</w:t>
      </w:r>
      <w:r>
        <w:rPr>
          <w:rFonts w:ascii="Calibri" w:hAnsi="Calibri"/>
          <w:b w:val="false"/>
          <w:bCs w:val="false"/>
          <w:i w:val="false"/>
          <w:iCs w:val="false"/>
          <w:caps w:val="false"/>
          <w:smallCaps w:val="false"/>
          <w:color w:val="000000"/>
          <w:spacing w:val="0"/>
          <w:sz w:val="22"/>
          <w:szCs w:val="22"/>
        </w:rPr>
        <w:t xml:space="preserve"> (the one who mocks) who wishes to devour her. Likewise, Sol's brother Mani is pursued by the sibling of Sk</w:t>
      </w:r>
      <w:r>
        <w:rPr>
          <w:rFonts w:eastAsia="Andale Sans UI" w:cs="Tahoma" w:ascii="Calibri" w:hAnsi="Calibri"/>
          <w:b w:val="false"/>
          <w:bCs w:val="false"/>
          <w:i w:val="false"/>
          <w:iCs w:val="false"/>
          <w:caps w:val="false"/>
          <w:smallCaps w:val="false"/>
          <w:color w:val="000000"/>
          <w:spacing w:val="0"/>
          <w:sz w:val="22"/>
          <w:szCs w:val="22"/>
        </w:rPr>
        <w:t>ö</w:t>
      </w:r>
      <w:r>
        <w:rPr>
          <w:rFonts w:ascii="Calibri" w:hAnsi="Calibri"/>
          <w:b w:val="false"/>
          <w:bCs w:val="false"/>
          <w:i w:val="false"/>
          <w:iCs w:val="false"/>
          <w:caps w:val="false"/>
          <w:smallCaps w:val="false"/>
          <w:color w:val="000000"/>
          <w:spacing w:val="0"/>
          <w:sz w:val="22"/>
          <w:szCs w:val="22"/>
        </w:rPr>
        <w:t xml:space="preserve">ll, </w:t>
      </w:r>
      <w:r>
        <w:rPr>
          <w:rFonts w:ascii="Calibri" w:hAnsi="Calibri"/>
          <w:b w:val="false"/>
          <w:bCs w:val="false"/>
          <w:i/>
          <w:iCs/>
          <w:caps w:val="false"/>
          <w:smallCaps w:val="false"/>
          <w:color w:val="000000"/>
          <w:spacing w:val="0"/>
          <w:sz w:val="22"/>
          <w:szCs w:val="22"/>
        </w:rPr>
        <w:t>Hati</w:t>
      </w:r>
      <w:r>
        <w:rPr>
          <w:rFonts w:ascii="Calibri" w:hAnsi="Calibri"/>
          <w:b w:val="false"/>
          <w:bCs w:val="false"/>
          <w:i w:val="false"/>
          <w:iCs w:val="false"/>
          <w:caps w:val="false"/>
          <w:smallCaps w:val="false"/>
          <w:color w:val="000000"/>
          <w:spacing w:val="0"/>
          <w:sz w:val="22"/>
          <w:szCs w:val="22"/>
        </w:rPr>
        <w:t xml:space="preserve"> </w:t>
      </w:r>
      <w:r>
        <w:rPr>
          <w:rStyle w:val="Emphasis"/>
          <w:rFonts w:ascii="Calibri" w:hAnsi="Calibri"/>
          <w:b w:val="false"/>
          <w:bCs w:val="false"/>
          <w:i/>
          <w:caps w:val="false"/>
          <w:smallCaps w:val="false"/>
          <w:color w:val="000000"/>
          <w:spacing w:val="0"/>
          <w:sz w:val="22"/>
          <w:szCs w:val="22"/>
        </w:rPr>
        <w:t>Hróðvitnir</w:t>
      </w:r>
      <w:r>
        <w:rPr>
          <w:rFonts w:ascii="Calibri" w:hAnsi="Calibri"/>
          <w:b w:val="false"/>
          <w:bCs w:val="false"/>
          <w:i w:val="false"/>
          <w:iCs w:val="false"/>
          <w:caps w:val="false"/>
          <w:smallCaps w:val="false"/>
          <w:color w:val="000000"/>
          <w:spacing w:val="0"/>
          <w:sz w:val="22"/>
          <w:szCs w:val="22"/>
        </w:rPr>
        <w:t xml:space="preserve"> (the one who hates and son of the Famous Wolf (Fenrir)). Using the Eddic poem </w:t>
      </w:r>
      <w:r>
        <w:rPr>
          <w:rFonts w:ascii="Calibri" w:hAnsi="Calibri"/>
          <w:b w:val="false"/>
          <w:bCs w:val="false"/>
          <w:i/>
          <w:iCs/>
          <w:caps w:val="false"/>
          <w:smallCaps w:val="false"/>
          <w:color w:val="2B2B2B"/>
          <w:spacing w:val="0"/>
          <w:sz w:val="22"/>
          <w:szCs w:val="22"/>
        </w:rPr>
        <w:t>Grímnismál</w:t>
      </w:r>
      <w:r>
        <w:rPr>
          <w:rFonts w:ascii="Calibri" w:hAnsi="Calibri"/>
          <w:b w:val="false"/>
          <w:bCs w:val="false"/>
          <w:i w:val="false"/>
          <w:iCs w:val="false"/>
          <w:caps w:val="false"/>
          <w:smallCaps w:val="false"/>
          <w:color w:val="2B2B2B"/>
          <w:spacing w:val="0"/>
          <w:sz w:val="22"/>
          <w:szCs w:val="22"/>
        </w:rPr>
        <w:t xml:space="preserve">, </w:t>
      </w:r>
      <w:r>
        <w:rPr>
          <w:rFonts w:ascii="Calibri" w:hAnsi="Calibri"/>
          <w:b w:val="false"/>
          <w:bCs w:val="false"/>
          <w:i w:val="false"/>
          <w:iCs w:val="false"/>
          <w:caps w:val="false"/>
          <w:smallCaps w:val="false"/>
          <w:color w:val="000000"/>
          <w:spacing w:val="0"/>
          <w:sz w:val="22"/>
          <w:szCs w:val="22"/>
        </w:rPr>
        <w:t>Daniel McCoy proposed that instead of Sk</w:t>
      </w:r>
      <w:r>
        <w:rPr>
          <w:rFonts w:eastAsia="Andale Sans UI" w:cs="Tahoma" w:ascii="Calibri" w:hAnsi="Calibri"/>
          <w:b w:val="false"/>
          <w:bCs w:val="false"/>
          <w:i w:val="false"/>
          <w:iCs w:val="false"/>
          <w:caps w:val="false"/>
          <w:smallCaps w:val="false"/>
          <w:color w:val="000000"/>
          <w:spacing w:val="0"/>
          <w:sz w:val="22"/>
          <w:szCs w:val="22"/>
        </w:rPr>
        <w:t>ö</w:t>
      </w:r>
      <w:r>
        <w:rPr>
          <w:rFonts w:ascii="Calibri" w:hAnsi="Calibri"/>
          <w:b w:val="false"/>
          <w:bCs w:val="false"/>
          <w:i w:val="false"/>
          <w:iCs w:val="false"/>
          <w:caps w:val="false"/>
          <w:smallCaps w:val="false"/>
          <w:color w:val="000000"/>
          <w:spacing w:val="0"/>
          <w:sz w:val="22"/>
          <w:szCs w:val="22"/>
        </w:rPr>
        <w:t xml:space="preserve">ll chasing Sol, and Hati chasing Mani, they have actually been pursuing their alternate quarry than that </w:t>
      </w:r>
      <w:r>
        <w:rPr>
          <w:rFonts w:ascii="Calibri" w:hAnsi="Calibri"/>
          <w:b w:val="false"/>
          <w:bCs w:val="false"/>
          <w:i w:val="false"/>
          <w:iCs w:val="false"/>
          <w:caps w:val="false"/>
          <w:smallCaps w:val="false"/>
          <w:color w:val="000000"/>
          <w:spacing w:val="0"/>
          <w:sz w:val="22"/>
          <w:szCs w:val="22"/>
        </w:rPr>
        <w:t xml:space="preserve">which </w:t>
      </w:r>
      <w:r>
        <w:rPr>
          <w:rFonts w:ascii="Calibri" w:hAnsi="Calibri"/>
          <w:b w:val="false"/>
          <w:bCs w:val="false"/>
          <w:i w:val="false"/>
          <w:iCs w:val="false"/>
          <w:caps w:val="false"/>
          <w:smallCaps w:val="false"/>
          <w:color w:val="000000"/>
          <w:spacing w:val="0"/>
          <w:sz w:val="22"/>
          <w:szCs w:val="22"/>
        </w:rPr>
        <w:t>they are credited to:</w:t>
      </w:r>
      <w:r>
        <w:rPr>
          <w:rStyle w:val="FootnoteAnchor"/>
          <w:rFonts w:ascii="Calibri" w:hAnsi="Calibri"/>
          <w:b w:val="false"/>
          <w:bCs w:val="false"/>
          <w:i w:val="false"/>
          <w:iCs w:val="false"/>
          <w:caps w:val="false"/>
          <w:smallCaps w:val="false"/>
          <w:color w:val="000000"/>
          <w:spacing w:val="0"/>
          <w:sz w:val="22"/>
          <w:szCs w:val="22"/>
        </w:rPr>
        <w:footnoteReference w:id="13"/>
      </w:r>
    </w:p>
    <w:p>
      <w:pPr>
        <w:pStyle w:val="Normal"/>
        <w:jc w:val="left"/>
        <w:rPr>
          <w:rFonts w:ascii="Calibri" w:hAnsi="Calibri"/>
          <w:color w:val="000000"/>
          <w:sz w:val="22"/>
          <w:szCs w:val="22"/>
        </w:rPr>
      </w:pPr>
      <w:r>
        <w:rPr>
          <w:rFonts w:ascii="Calibri" w:hAnsi="Calibri"/>
          <w:color w:val="000000"/>
          <w:sz w:val="22"/>
          <w:szCs w:val="22"/>
        </w:rPr>
      </w:r>
    </w:p>
    <w:p>
      <w:pPr>
        <w:pStyle w:val="Normal"/>
        <w:jc w:val="left"/>
        <w:rPr>
          <w:rFonts w:ascii="Calibri" w:hAnsi="Calibri"/>
        </w:rPr>
      </w:pPr>
      <w:r>
        <w:rPr>
          <w:rFonts w:ascii="Calibri" w:hAnsi="Calibri"/>
          <w:b w:val="false"/>
          <w:bCs w:val="false"/>
          <w:i/>
          <w:iCs w:val="false"/>
          <w:caps w:val="false"/>
          <w:smallCaps w:val="false"/>
          <w:color w:val="000000"/>
          <w:spacing w:val="0"/>
          <w:sz w:val="22"/>
          <w:szCs w:val="22"/>
        </w:rPr>
        <w:tab/>
        <w:t>Skoll is the name of the wolf</w:t>
      </w:r>
      <w:r>
        <w:rPr>
          <w:rFonts w:ascii="Calibri" w:hAnsi="Calibri"/>
          <w:b w:val="false"/>
          <w:bCs w:val="false"/>
          <w:i w:val="false"/>
          <w:iCs w:val="false"/>
          <w:caps w:val="false"/>
          <w:smallCaps w:val="false"/>
          <w:color w:val="000000"/>
          <w:spacing w:val="0"/>
          <w:sz w:val="22"/>
          <w:szCs w:val="22"/>
        </w:rPr>
        <w:br/>
        <w:tab/>
      </w:r>
      <w:r>
        <w:rPr>
          <w:rFonts w:ascii="Calibri" w:hAnsi="Calibri"/>
          <w:b w:val="false"/>
          <w:bCs w:val="false"/>
          <w:i/>
          <w:iCs w:val="false"/>
          <w:caps w:val="false"/>
          <w:smallCaps w:val="false"/>
          <w:color w:val="000000"/>
          <w:spacing w:val="0"/>
          <w:sz w:val="22"/>
          <w:szCs w:val="22"/>
        </w:rPr>
        <w:t>Who follows the shining priest</w:t>
      </w:r>
      <w:r>
        <w:rPr>
          <w:rFonts w:ascii="Calibri" w:hAnsi="Calibri"/>
          <w:b w:val="false"/>
          <w:bCs w:val="false"/>
          <w:i w:val="false"/>
          <w:iCs w:val="false"/>
          <w:caps w:val="false"/>
          <w:smallCaps w:val="false"/>
          <w:color w:val="000000"/>
          <w:spacing w:val="0"/>
          <w:sz w:val="22"/>
          <w:szCs w:val="22"/>
        </w:rPr>
        <w:br/>
        <w:tab/>
      </w:r>
      <w:r>
        <w:rPr>
          <w:rFonts w:ascii="Calibri" w:hAnsi="Calibri"/>
          <w:b w:val="false"/>
          <w:bCs w:val="false"/>
          <w:i/>
          <w:iCs w:val="false"/>
          <w:caps w:val="false"/>
          <w:smallCaps w:val="false"/>
          <w:color w:val="000000"/>
          <w:spacing w:val="0"/>
          <w:sz w:val="22"/>
          <w:szCs w:val="22"/>
        </w:rPr>
        <w:t>Into the desolate forest,</w:t>
      </w:r>
      <w:r>
        <w:rPr>
          <w:rFonts w:ascii="Calibri" w:hAnsi="Calibri"/>
          <w:b w:val="false"/>
          <w:bCs w:val="false"/>
          <w:i w:val="false"/>
          <w:iCs w:val="false"/>
          <w:caps w:val="false"/>
          <w:smallCaps w:val="false"/>
          <w:color w:val="000000"/>
          <w:spacing w:val="0"/>
          <w:sz w:val="22"/>
          <w:szCs w:val="22"/>
        </w:rPr>
        <w:br/>
        <w:tab/>
      </w:r>
      <w:r>
        <w:rPr>
          <w:rFonts w:ascii="Calibri" w:hAnsi="Calibri"/>
          <w:b w:val="false"/>
          <w:bCs w:val="false"/>
          <w:i/>
          <w:iCs w:val="false"/>
          <w:caps w:val="false"/>
          <w:smallCaps w:val="false"/>
          <w:color w:val="000000"/>
          <w:spacing w:val="0"/>
          <w:sz w:val="22"/>
          <w:szCs w:val="22"/>
        </w:rPr>
        <w:t>And the other is Hati,</w:t>
      </w:r>
      <w:r>
        <w:rPr>
          <w:rFonts w:ascii="Calibri" w:hAnsi="Calibri"/>
          <w:b w:val="false"/>
          <w:bCs w:val="false"/>
          <w:i w:val="false"/>
          <w:iCs w:val="false"/>
          <w:caps w:val="false"/>
          <w:smallCaps w:val="false"/>
          <w:color w:val="000000"/>
          <w:spacing w:val="0"/>
          <w:sz w:val="22"/>
          <w:szCs w:val="22"/>
        </w:rPr>
        <w:br/>
        <w:tab/>
      </w:r>
      <w:r>
        <w:rPr>
          <w:rFonts w:ascii="Calibri" w:hAnsi="Calibri"/>
          <w:b w:val="false"/>
          <w:bCs w:val="false"/>
          <w:i/>
          <w:iCs w:val="false"/>
          <w:caps w:val="false"/>
          <w:smallCaps w:val="false"/>
          <w:color w:val="000000"/>
          <w:spacing w:val="0"/>
          <w:sz w:val="22"/>
          <w:szCs w:val="22"/>
        </w:rPr>
        <w:t>Hróðvitnir’s son,</w:t>
      </w:r>
      <w:r>
        <w:rPr>
          <w:rFonts w:ascii="Calibri" w:hAnsi="Calibri"/>
          <w:b w:val="false"/>
          <w:bCs w:val="false"/>
          <w:i w:val="false"/>
          <w:iCs w:val="false"/>
          <w:caps w:val="false"/>
          <w:smallCaps w:val="false"/>
          <w:color w:val="000000"/>
          <w:spacing w:val="0"/>
          <w:sz w:val="22"/>
          <w:szCs w:val="22"/>
        </w:rPr>
        <w:br/>
        <w:tab/>
      </w:r>
      <w:r>
        <w:rPr>
          <w:rFonts w:ascii="Calibri" w:hAnsi="Calibri"/>
          <w:b w:val="false"/>
          <w:bCs w:val="false"/>
          <w:i/>
          <w:iCs w:val="false"/>
          <w:caps w:val="false"/>
          <w:smallCaps w:val="false"/>
          <w:color w:val="000000"/>
          <w:spacing w:val="0"/>
          <w:sz w:val="22"/>
          <w:szCs w:val="22"/>
        </w:rPr>
        <w:t>Who chases the bright bride of the sky.</w:t>
      </w:r>
    </w:p>
    <w:p>
      <w:pPr>
        <w:pStyle w:val="Normal"/>
        <w:jc w:val="left"/>
        <w:rPr>
          <w:rFonts w:ascii="Calibri" w:hAnsi="Calibri"/>
          <w:b w:val="false"/>
          <w:b w:val="false"/>
          <w:bCs w:val="false"/>
          <w:i w:val="false"/>
          <w:i w:val="false"/>
          <w:iCs w:val="false"/>
          <w:caps w:val="false"/>
          <w:smallCaps w:val="false"/>
          <w:spacing w:val="0"/>
          <w:sz w:val="22"/>
          <w:szCs w:val="22"/>
        </w:rPr>
      </w:pPr>
      <w:r>
        <w:rPr>
          <w:rFonts w:ascii="Calibri" w:hAnsi="Calibri"/>
          <w:b w:val="false"/>
          <w:bCs w:val="false"/>
          <w:i w:val="false"/>
          <w:iCs w:val="false"/>
          <w:caps w:val="false"/>
          <w:smallCaps w:val="false"/>
          <w:spacing w:val="0"/>
          <w:sz w:val="22"/>
          <w:szCs w:val="22"/>
        </w:rPr>
      </w:r>
    </w:p>
    <w:p>
      <w:pPr>
        <w:pStyle w:val="Normal"/>
        <w:jc w:val="left"/>
        <w:rPr>
          <w:rFonts w:ascii="Calibri" w:hAnsi="Calibri"/>
        </w:rPr>
      </w:pPr>
      <w:r>
        <w:rPr>
          <w:rFonts w:ascii="Calibri" w:hAnsi="Calibri"/>
          <w:b w:val="false"/>
          <w:bCs w:val="false"/>
          <w:i w:val="false"/>
          <w:iCs w:val="false"/>
          <w:caps w:val="false"/>
          <w:smallCaps w:val="false"/>
          <w:color w:val="000000"/>
          <w:spacing w:val="0"/>
          <w:sz w:val="22"/>
          <w:szCs w:val="22"/>
        </w:rPr>
        <w:tab/>
        <w:t>Further evidence of a male and female sibling connection with a Norse lunar myth, continues with the story of Hjúki and Bil, who are supposedly two human children that Mani kidnaps and impels them to follow him as he crosses the night sky</w:t>
      </w:r>
      <w:r>
        <w:rPr>
          <w:rFonts w:ascii="Calibri" w:hAnsi="Calibri"/>
          <w:b w:val="false"/>
          <w:bCs w:val="false"/>
          <w:i w:val="false"/>
          <w:iCs w:val="false"/>
          <w:caps w:val="false"/>
          <w:smallCaps w:val="false"/>
          <w:color w:val="000000"/>
          <w:spacing w:val="0"/>
          <w:sz w:val="22"/>
          <w:szCs w:val="22"/>
        </w:rPr>
        <w:t xml:space="preserve"> T</w:t>
      </w:r>
      <w:r>
        <w:rPr>
          <w:rFonts w:ascii="Calibri" w:hAnsi="Calibri"/>
          <w:b w:val="false"/>
          <w:bCs w:val="false"/>
          <w:i w:val="false"/>
          <w:iCs w:val="false"/>
          <w:caps w:val="false"/>
          <w:smallCaps w:val="false"/>
          <w:color w:val="000000"/>
          <w:spacing w:val="0"/>
          <w:sz w:val="22"/>
          <w:szCs w:val="22"/>
        </w:rPr>
        <w:t xml:space="preserve">he traditional interpretation of the siblings is that they become known as the embodiment of the waxing and waning lunar cycles, or alternatively as the incarnation of the craters of the moon, as seen from the earth. In later Germanic folklore, Bil evolves to be associated with the agricultural deity </w:t>
      </w:r>
      <w:r>
        <w:rPr>
          <w:rFonts w:ascii="Calibri" w:hAnsi="Calibri"/>
          <w:b w:val="false"/>
          <w:bCs w:val="false"/>
          <w:i/>
          <w:iCs/>
          <w:caps w:val="false"/>
          <w:smallCaps w:val="false"/>
          <w:color w:val="000000"/>
          <w:spacing w:val="0"/>
          <w:sz w:val="22"/>
          <w:szCs w:val="22"/>
        </w:rPr>
        <w:t>Bilwis</w:t>
      </w:r>
      <w:r>
        <w:rPr>
          <w:rFonts w:ascii="Calibri" w:hAnsi="Calibri"/>
          <w:b w:val="false"/>
          <w:bCs w:val="false"/>
          <w:i w:val="false"/>
          <w:iCs w:val="false"/>
          <w:caps w:val="false"/>
          <w:smallCaps w:val="false"/>
          <w:color w:val="000000"/>
          <w:spacing w:val="0"/>
          <w:sz w:val="22"/>
          <w:szCs w:val="22"/>
        </w:rPr>
        <w:t xml:space="preserve">. Hjúki and Bil have been suggested as the inspiration for the English nursery rhyme </w:t>
      </w:r>
      <w:r>
        <w:rPr>
          <w:rFonts w:ascii="Calibri" w:hAnsi="Calibri"/>
          <w:b w:val="false"/>
          <w:bCs w:val="false"/>
          <w:i/>
          <w:iCs/>
          <w:caps w:val="false"/>
          <w:smallCaps w:val="false"/>
          <w:color w:val="000000"/>
          <w:spacing w:val="0"/>
          <w:sz w:val="22"/>
          <w:szCs w:val="22"/>
        </w:rPr>
        <w:t>Jack and Jill</w:t>
      </w:r>
      <w:r>
        <w:rPr>
          <w:rFonts w:ascii="Calibri" w:hAnsi="Calibri"/>
          <w:b w:val="false"/>
          <w:bCs w:val="false"/>
          <w:i w:val="false"/>
          <w:iCs w:val="false"/>
          <w:caps w:val="false"/>
          <w:smallCaps w:val="false"/>
          <w:color w:val="000000"/>
          <w:spacing w:val="0"/>
          <w:sz w:val="22"/>
          <w:szCs w:val="22"/>
        </w:rPr>
        <w:t>, and Simek</w:t>
      </w:r>
      <w:r>
        <w:rPr>
          <w:rStyle w:val="FootnoteAnchor"/>
          <w:rFonts w:ascii="Calibri" w:hAnsi="Calibri"/>
          <w:b w:val="false"/>
          <w:bCs w:val="false"/>
          <w:i w:val="false"/>
          <w:iCs w:val="false"/>
          <w:caps w:val="false"/>
          <w:smallCaps w:val="false"/>
          <w:color w:val="000000"/>
          <w:spacing w:val="0"/>
          <w:sz w:val="22"/>
          <w:szCs w:val="22"/>
        </w:rPr>
        <w:footnoteReference w:id="14"/>
      </w:r>
      <w:r>
        <w:rPr>
          <w:rFonts w:ascii="Calibri" w:hAnsi="Calibri"/>
          <w:b w:val="false"/>
          <w:bCs w:val="false"/>
          <w:i w:val="false"/>
          <w:iCs w:val="false"/>
          <w:caps w:val="false"/>
          <w:smallCaps w:val="false"/>
          <w:color w:val="000000"/>
          <w:spacing w:val="0"/>
          <w:sz w:val="22"/>
          <w:szCs w:val="22"/>
        </w:rPr>
        <w:t xml:space="preserve"> concluded that the obfuscation of what Hjúki and Bil are carrying can indicate that the story derives from Germanic, Scandinavian and English folklore, particularly the "Man in the Moon" tale, ascribed to where a man carries a pole and a woman carries a bushel- as made up by lunar maria. Conversely, Anne Holtsmark, </w:t>
      </w:r>
      <w:r>
        <w:rPr>
          <w:rFonts w:ascii="Calibri" w:hAnsi="Calibri"/>
          <w:b w:val="false"/>
          <w:bCs w:val="false"/>
          <w:i w:val="false"/>
          <w:iCs w:val="false"/>
          <w:caps w:val="false"/>
          <w:smallCaps w:val="false"/>
          <w:color w:val="000000"/>
          <w:spacing w:val="0"/>
          <w:sz w:val="22"/>
          <w:szCs w:val="22"/>
        </w:rPr>
        <w:t xml:space="preserve">when </w:t>
      </w:r>
      <w:r>
        <w:rPr>
          <w:rFonts w:ascii="Calibri" w:hAnsi="Calibri"/>
          <w:b w:val="false"/>
          <w:bCs w:val="false"/>
          <w:i w:val="false"/>
          <w:iCs w:val="false"/>
          <w:caps w:val="false"/>
          <w:smallCaps w:val="false"/>
          <w:color w:val="000000"/>
          <w:spacing w:val="0"/>
          <w:sz w:val="22"/>
          <w:szCs w:val="22"/>
        </w:rPr>
        <w:t xml:space="preserve">cited </w:t>
      </w:r>
      <w:r>
        <w:rPr>
          <w:rFonts w:ascii="Calibri" w:hAnsi="Calibri"/>
          <w:b w:val="false"/>
          <w:bCs w:val="false"/>
          <w:i w:val="false"/>
          <w:iCs w:val="false"/>
          <w:caps w:val="false"/>
          <w:smallCaps w:val="false"/>
          <w:color w:val="000000"/>
          <w:spacing w:val="0"/>
          <w:sz w:val="22"/>
          <w:szCs w:val="22"/>
        </w:rPr>
        <w:t>by</w:t>
      </w:r>
      <w:r>
        <w:rPr>
          <w:rFonts w:ascii="Calibri" w:hAnsi="Calibri"/>
          <w:b w:val="false"/>
          <w:bCs w:val="false"/>
          <w:i w:val="false"/>
          <w:iCs w:val="false"/>
          <w:caps w:val="false"/>
          <w:smallCaps w:val="false"/>
          <w:color w:val="000000"/>
          <w:spacing w:val="0"/>
          <w:sz w:val="22"/>
          <w:szCs w:val="22"/>
        </w:rPr>
        <w:t xml:space="preserve"> Lindow</w:t>
      </w:r>
      <w:r>
        <w:rPr>
          <w:rStyle w:val="FootnoteAnchor"/>
          <w:rFonts w:ascii="Calibri" w:hAnsi="Calibri"/>
          <w:b w:val="false"/>
          <w:bCs w:val="false"/>
          <w:i w:val="false"/>
          <w:iCs w:val="false"/>
          <w:caps w:val="false"/>
          <w:smallCaps w:val="false"/>
          <w:color w:val="000000"/>
          <w:spacing w:val="0"/>
          <w:sz w:val="22"/>
          <w:szCs w:val="22"/>
        </w:rPr>
        <w:footnoteReference w:id="15"/>
      </w:r>
      <w:r>
        <w:rPr>
          <w:rFonts w:ascii="Calibri" w:hAnsi="Calibri"/>
          <w:b w:val="false"/>
          <w:bCs w:val="false"/>
          <w:i w:val="false"/>
          <w:iCs w:val="false"/>
          <w:caps w:val="false"/>
          <w:smallCaps w:val="false"/>
          <w:color w:val="000000"/>
          <w:spacing w:val="0"/>
          <w:sz w:val="22"/>
          <w:szCs w:val="22"/>
        </w:rPr>
        <w:t>,</w:t>
      </w:r>
      <w:r>
        <w:rPr>
          <w:rFonts w:ascii="Calibri" w:hAnsi="Calibri"/>
          <w:b w:val="false"/>
          <w:bCs w:val="false"/>
          <w:i w:val="false"/>
          <w:iCs w:val="false"/>
          <w:caps w:val="false"/>
          <w:smallCaps w:val="false"/>
          <w:color w:val="000000"/>
          <w:spacing w:val="0"/>
          <w:sz w:val="22"/>
          <w:szCs w:val="22"/>
        </w:rPr>
        <w:t>sug</w:t>
      </w:r>
      <w:r>
        <w:rPr>
          <w:rFonts w:ascii="Calibri" w:hAnsi="Calibri"/>
          <w:b w:val="false"/>
          <w:bCs w:val="false"/>
          <w:i w:val="false"/>
          <w:iCs w:val="false"/>
          <w:caps w:val="false"/>
          <w:smallCaps w:val="false"/>
          <w:color w:val="000000"/>
          <w:spacing w:val="0"/>
          <w:sz w:val="22"/>
          <w:szCs w:val="22"/>
        </w:rPr>
        <w:t>gested that Bil may have been a type</w:t>
      </w:r>
      <w:r>
        <w:rPr>
          <w:rFonts w:ascii="Calibri" w:hAnsi="Calibri"/>
          <w:b w:val="false"/>
          <w:bCs w:val="false"/>
          <w:i w:val="false"/>
          <w:iCs w:val="false"/>
          <w:caps w:val="false"/>
          <w:smallCaps w:val="false"/>
          <w:color w:val="000000"/>
          <w:spacing w:val="0"/>
          <w:sz w:val="22"/>
          <w:szCs w:val="22"/>
        </w:rPr>
        <w:t xml:space="preserve"> of</w:t>
      </w:r>
      <w:r>
        <w:rPr>
          <w:rFonts w:ascii="Calibri" w:hAnsi="Calibri"/>
          <w:b w:val="false"/>
          <w:bCs w:val="false"/>
          <w:i w:val="false"/>
          <w:iCs w:val="false"/>
          <w:caps w:val="false"/>
          <w:smallCaps w:val="false"/>
          <w:color w:val="000000"/>
          <w:spacing w:val="0"/>
          <w:sz w:val="22"/>
          <w:szCs w:val="22"/>
        </w:rPr>
        <w:t xml:space="preserve"> female </w:t>
      </w:r>
      <w:r>
        <w:rPr>
          <w:rFonts w:ascii="Calibri" w:hAnsi="Calibri"/>
          <w:b w:val="false"/>
          <w:bCs w:val="false"/>
          <w:i w:val="false"/>
          <w:iCs w:val="false"/>
          <w:caps w:val="false"/>
          <w:smallCaps w:val="false"/>
          <w:color w:val="000000"/>
          <w:spacing w:val="0"/>
          <w:sz w:val="22"/>
          <w:szCs w:val="22"/>
        </w:rPr>
        <w:t xml:space="preserve">Norse </w:t>
      </w:r>
      <w:r>
        <w:rPr>
          <w:rFonts w:ascii="Calibri" w:hAnsi="Calibri"/>
          <w:b w:val="false"/>
          <w:bCs w:val="false"/>
          <w:i w:val="false"/>
          <w:iCs w:val="false"/>
          <w:caps w:val="false"/>
          <w:smallCaps w:val="false"/>
          <w:color w:val="000000"/>
          <w:spacing w:val="0"/>
          <w:sz w:val="22"/>
          <w:szCs w:val="22"/>
        </w:rPr>
        <w:t>deity</w:t>
      </w:r>
      <w:r>
        <w:rPr>
          <w:rFonts w:ascii="Calibri" w:hAnsi="Calibri"/>
          <w:b w:val="false"/>
          <w:bCs w:val="false"/>
          <w:i w:val="false"/>
          <w:iCs w:val="false"/>
          <w:caps w:val="false"/>
          <w:smallCaps w:val="false"/>
          <w:color w:val="000000"/>
          <w:spacing w:val="0"/>
          <w:sz w:val="22"/>
          <w:szCs w:val="22"/>
        </w:rPr>
        <w:t xml:space="preserve"> known as a </w:t>
      </w:r>
      <w:r>
        <w:rPr>
          <w:rFonts w:ascii="Calibri" w:hAnsi="Calibri"/>
          <w:b w:val="false"/>
          <w:bCs w:val="false"/>
          <w:i/>
          <w:iCs/>
          <w:caps w:val="false"/>
          <w:smallCaps w:val="false"/>
          <w:color w:val="000000"/>
          <w:spacing w:val="0"/>
          <w:sz w:val="22"/>
          <w:szCs w:val="22"/>
        </w:rPr>
        <w:t>Dis</w:t>
      </w:r>
      <w:r>
        <w:rPr>
          <w:rFonts w:ascii="Calibri" w:hAnsi="Calibri"/>
          <w:b w:val="false"/>
          <w:bCs w:val="false"/>
          <w:i w:val="false"/>
          <w:iCs w:val="false"/>
          <w:caps w:val="false"/>
          <w:smallCaps w:val="false"/>
          <w:color w:val="000000"/>
          <w:spacing w:val="0"/>
          <w:sz w:val="22"/>
          <w:szCs w:val="22"/>
        </w:rPr>
        <w:t xml:space="preserve"> </w:t>
      </w:r>
      <w:r>
        <w:rPr>
          <w:rFonts w:ascii="Calibri" w:hAnsi="Calibri"/>
          <w:b w:val="false"/>
          <w:bCs w:val="false"/>
          <w:i w:val="false"/>
          <w:iCs w:val="false"/>
          <w:caps w:val="false"/>
          <w:smallCaps w:val="false"/>
          <w:color w:val="000000"/>
          <w:spacing w:val="0"/>
          <w:sz w:val="22"/>
          <w:szCs w:val="22"/>
        </w:rPr>
        <w:t xml:space="preserve">relating to "Fate" as depicted by the </w:t>
      </w:r>
      <w:r>
        <w:rPr>
          <w:rFonts w:ascii="Calibri" w:hAnsi="Calibri"/>
          <w:b w:val="false"/>
          <w:bCs w:val="false"/>
          <w:i/>
          <w:iCs/>
          <w:caps w:val="false"/>
          <w:smallCaps w:val="false"/>
          <w:color w:val="000000"/>
          <w:spacing w:val="0"/>
          <w:sz w:val="22"/>
          <w:szCs w:val="22"/>
        </w:rPr>
        <w:t>Norns</w:t>
      </w:r>
      <w:r>
        <w:rPr>
          <w:rFonts w:ascii="Calibri" w:hAnsi="Calibri"/>
          <w:b w:val="false"/>
          <w:bCs w:val="false"/>
          <w:i w:val="false"/>
          <w:iCs w:val="false"/>
          <w:caps w:val="false"/>
          <w:smallCaps w:val="false"/>
          <w:color w:val="000000"/>
          <w:spacing w:val="0"/>
          <w:sz w:val="22"/>
          <w:szCs w:val="22"/>
        </w:rPr>
        <w:t>, the Norse equivalent</w:t>
      </w:r>
      <w:r>
        <w:rPr>
          <w:rFonts w:ascii="Calibri" w:hAnsi="Calibri"/>
          <w:b w:val="false"/>
          <w:bCs w:val="false"/>
          <w:i w:val="false"/>
          <w:iCs w:val="false"/>
          <w:caps w:val="false"/>
          <w:smallCaps w:val="false"/>
          <w:color w:val="000000"/>
          <w:spacing w:val="0"/>
          <w:sz w:val="22"/>
          <w:szCs w:val="22"/>
        </w:rPr>
        <w:t xml:space="preserve"> of</w:t>
      </w:r>
      <w:r>
        <w:rPr>
          <w:rFonts w:ascii="Calibri" w:hAnsi="Calibri"/>
          <w:b w:val="false"/>
          <w:bCs w:val="false"/>
          <w:i w:val="false"/>
          <w:iCs w:val="false"/>
          <w:caps w:val="false"/>
          <w:smallCaps w:val="false"/>
          <w:color w:val="000000"/>
          <w:spacing w:val="0"/>
          <w:sz w:val="22"/>
          <w:szCs w:val="22"/>
        </w:rPr>
        <w:t xml:space="preserve"> the Greek deities the </w:t>
      </w:r>
      <w:r>
        <w:rPr>
          <w:rFonts w:ascii="Calibri" w:hAnsi="Calibri"/>
          <w:b w:val="false"/>
          <w:bCs w:val="false"/>
          <w:i/>
          <w:iCs/>
          <w:caps w:val="false"/>
          <w:smallCaps w:val="false"/>
          <w:color w:val="000000"/>
          <w:spacing w:val="0"/>
          <w:sz w:val="22"/>
          <w:szCs w:val="22"/>
        </w:rPr>
        <w:t>Moirai</w:t>
      </w:r>
      <w:r>
        <w:rPr>
          <w:rFonts w:ascii="Calibri" w:hAnsi="Calibri"/>
          <w:b w:val="false"/>
          <w:bCs w:val="false"/>
          <w:i w:val="false"/>
          <w:iCs w:val="false"/>
          <w:caps w:val="false"/>
          <w:smallCaps w:val="false"/>
          <w:color w:val="000000"/>
          <w:spacing w:val="0"/>
          <w:sz w:val="22"/>
          <w:szCs w:val="22"/>
        </w:rPr>
        <w:t xml:space="preserve">, </w:t>
      </w:r>
      <w:r>
        <w:rPr>
          <w:rFonts w:ascii="Calibri" w:hAnsi="Calibri"/>
          <w:b w:val="false"/>
          <w:bCs w:val="false"/>
          <w:i w:val="false"/>
          <w:iCs w:val="false"/>
          <w:caps w:val="false"/>
          <w:smallCaps w:val="false"/>
          <w:color w:val="000000"/>
          <w:spacing w:val="0"/>
          <w:sz w:val="22"/>
          <w:szCs w:val="22"/>
        </w:rPr>
        <w:t xml:space="preserve">otherwise known as </w:t>
      </w:r>
      <w:r>
        <w:rPr>
          <w:rFonts w:ascii="Calibri" w:hAnsi="Calibri"/>
          <w:b w:val="false"/>
          <w:bCs w:val="false"/>
          <w:i w:val="false"/>
          <w:iCs w:val="false"/>
          <w:caps w:val="false"/>
          <w:smallCaps w:val="false"/>
          <w:color w:val="000000"/>
          <w:spacing w:val="0"/>
          <w:sz w:val="22"/>
          <w:szCs w:val="22"/>
        </w:rPr>
        <w:t>the Fates</w:t>
      </w:r>
      <w:r>
        <w:rPr>
          <w:rFonts w:ascii="Calibri" w:hAnsi="Calibri"/>
          <w:b w:val="false"/>
          <w:bCs w:val="false"/>
          <w:i w:val="false"/>
          <w:iCs w:val="false"/>
          <w:caps w:val="false"/>
          <w:smallCaps w:val="false"/>
          <w:color w:val="000000"/>
          <w:spacing w:val="0"/>
          <w:sz w:val="22"/>
          <w:szCs w:val="22"/>
        </w:rPr>
        <w:t>, who spin the lives o</w:t>
      </w:r>
      <w:r>
        <w:rPr>
          <w:rFonts w:ascii="Calibri" w:hAnsi="Calibri"/>
          <w:b w:val="false"/>
          <w:bCs w:val="false"/>
          <w:i w:val="false"/>
          <w:iCs w:val="false"/>
          <w:caps w:val="false"/>
          <w:smallCaps w:val="false"/>
          <w:color w:val="000000"/>
          <w:spacing w:val="0"/>
          <w:sz w:val="22"/>
          <w:szCs w:val="22"/>
        </w:rPr>
        <w:t>f</w:t>
      </w:r>
      <w:r>
        <w:rPr>
          <w:rFonts w:ascii="Calibri" w:hAnsi="Calibri"/>
          <w:b w:val="false"/>
          <w:bCs w:val="false"/>
          <w:i w:val="false"/>
          <w:iCs w:val="false"/>
          <w:caps w:val="false"/>
          <w:smallCaps w:val="false"/>
          <w:color w:val="000000"/>
          <w:spacing w:val="0"/>
          <w:sz w:val="22"/>
          <w:szCs w:val="22"/>
        </w:rPr>
        <w:t xml:space="preserve"> mortals on golden threads</w:t>
      </w:r>
      <w:r>
        <w:rPr>
          <w:rFonts w:ascii="Calibri" w:hAnsi="Calibri"/>
          <w:b w:val="false"/>
          <w:bCs w:val="false"/>
          <w:i w:val="false"/>
          <w:iCs w:val="false"/>
          <w:caps w:val="false"/>
          <w:smallCaps w:val="false"/>
          <w:color w:val="000000"/>
          <w:spacing w:val="0"/>
          <w:sz w:val="22"/>
          <w:szCs w:val="22"/>
        </w:rPr>
        <w:t>.</w:t>
      </w:r>
    </w:p>
    <w:p>
      <w:pPr>
        <w:pStyle w:val="Normal"/>
        <w:jc w:val="left"/>
        <w:rPr>
          <w:rFonts w:ascii="Calibri" w:hAnsi="Calibri"/>
        </w:rPr>
      </w:pPr>
      <w:r>
        <w:rPr>
          <w:rFonts w:ascii="Calibri" w:hAnsi="Calibri"/>
          <w:b w:val="false"/>
          <w:bCs w:val="false"/>
          <w:i w:val="false"/>
          <w:iCs w:val="false"/>
          <w:caps w:val="false"/>
          <w:smallCaps w:val="false"/>
          <w:color w:val="000000"/>
          <w:spacing w:val="0"/>
          <w:sz w:val="22"/>
          <w:szCs w:val="22"/>
        </w:rPr>
        <w:tab/>
      </w:r>
    </w:p>
    <w:p>
      <w:pPr>
        <w:pStyle w:val="Normal"/>
        <w:jc w:val="left"/>
        <w:rPr/>
      </w:pPr>
      <w:r>
        <w:rPr>
          <w:rFonts w:ascii="Calibri" w:hAnsi="Calibri"/>
          <w:b w:val="false"/>
          <w:bCs w:val="false"/>
          <w:i w:val="false"/>
          <w:iCs w:val="false"/>
          <w:caps w:val="false"/>
          <w:smallCaps w:val="false"/>
          <w:color w:val="000000"/>
          <w:spacing w:val="0"/>
          <w:sz w:val="22"/>
          <w:szCs w:val="22"/>
        </w:rPr>
        <w:tab/>
      </w:r>
      <w:r>
        <w:rPr>
          <w:rFonts w:ascii="Calibri" w:hAnsi="Calibri"/>
          <w:b w:val="false"/>
          <w:bCs w:val="false"/>
          <w:i w:val="false"/>
          <w:iCs w:val="false"/>
          <w:caps w:val="false"/>
          <w:smallCaps w:val="false"/>
          <w:color w:val="000000"/>
          <w:spacing w:val="0"/>
          <w:sz w:val="22"/>
          <w:szCs w:val="22"/>
        </w:rPr>
        <w:t xml:space="preserve">Often times ancient myths regarding lunar and solar deities cast them as involved in some sort of heavenly chase or a battle for dominion or celestial dominance. In Aztec culture, the moon goddess </w:t>
      </w:r>
      <w:hyperlink r:id="rId3">
        <w:r>
          <w:rPr>
            <w:rStyle w:val="InternetLink"/>
            <w:rFonts w:ascii="Calibri" w:hAnsi="Calibri"/>
            <w:b w:val="false"/>
            <w:bCs w:val="false"/>
            <w:i w:val="false"/>
            <w:iCs w:val="false"/>
            <w:caps w:val="false"/>
            <w:smallCaps w:val="false"/>
            <w:strike w:val="false"/>
            <w:dstrike w:val="false"/>
            <w:color w:val="282828"/>
            <w:spacing w:val="0"/>
            <w:sz w:val="22"/>
            <w:szCs w:val="22"/>
            <w:u w:val="none"/>
            <w:effect w:val="none"/>
          </w:rPr>
          <w:t>Coyolxauhqui</w:t>
        </w:r>
      </w:hyperlink>
      <w:r>
        <w:rPr>
          <w:rFonts w:ascii="Calibri" w:hAnsi="Calibri"/>
          <w:b w:val="false"/>
          <w:bCs w:val="false"/>
          <w:i w:val="false"/>
          <w:iCs w:val="false"/>
          <w:caps w:val="false"/>
          <w:smallCaps w:val="false"/>
          <w:strike w:val="false"/>
          <w:dstrike w:val="false"/>
          <w:color w:val="000000"/>
          <w:spacing w:val="0"/>
          <w:sz w:val="22"/>
          <w:szCs w:val="22"/>
          <w:u w:val="none"/>
          <w:effect w:val="none"/>
        </w:rPr>
        <w:t xml:space="preserve">, eternally fought a losing battle against her brother, the sun god </w:t>
      </w:r>
      <w:r>
        <w:rPr>
          <w:rFonts w:ascii="Calibri" w:hAnsi="Calibri"/>
          <w:b w:val="false"/>
          <w:bCs w:val="false"/>
          <w:i w:val="false"/>
          <w:iCs w:val="false"/>
          <w:caps w:val="false"/>
          <w:smallCaps w:val="false"/>
          <w:strike w:val="false"/>
          <w:dstrike w:val="false"/>
          <w:color w:val="282828"/>
          <w:spacing w:val="0"/>
          <w:sz w:val="22"/>
          <w:szCs w:val="22"/>
          <w:u w:val="none"/>
          <w:effect w:val="none"/>
        </w:rPr>
        <w:t>Huitzilopochtli</w:t>
      </w:r>
      <w:r>
        <w:rPr>
          <w:rFonts w:ascii="Calibri" w:hAnsi="Calibri"/>
          <w:b w:val="false"/>
          <w:bCs w:val="false"/>
          <w:i w:val="false"/>
          <w:iCs w:val="false"/>
          <w:caps w:val="false"/>
          <w:smallCaps w:val="false"/>
          <w:strike w:val="false"/>
          <w:dstrike w:val="false"/>
          <w:color w:val="000000"/>
          <w:spacing w:val="0"/>
          <w:sz w:val="22"/>
          <w:szCs w:val="22"/>
          <w:u w:val="none"/>
          <w:effect w:val="none"/>
        </w:rPr>
        <w:t xml:space="preserve">, and the Aztec's would emulate the perpetual death cycle through sacrifice at temples. Alternatively, some lunar gods and goddesses will have a </w:t>
      </w:r>
      <w:r>
        <w:rPr>
          <w:rFonts w:ascii="Calibri" w:hAnsi="Calibri"/>
          <w:b w:val="false"/>
          <w:bCs w:val="false"/>
          <w:i w:val="false"/>
          <w:iCs w:val="false"/>
          <w:caps w:val="false"/>
          <w:smallCaps w:val="false"/>
          <w:color w:val="000000"/>
          <w:spacing w:val="0"/>
          <w:sz w:val="22"/>
          <w:szCs w:val="22"/>
        </w:rPr>
        <w:t xml:space="preserve">mythos that is associated with destiny, fate or ill omens, for example </w:t>
      </w:r>
      <w:r>
        <w:rPr>
          <w:rFonts w:ascii="Calibri" w:hAnsi="Calibri"/>
          <w:b w:val="false"/>
          <w:bCs w:val="false"/>
          <w:i/>
          <w:iCs/>
          <w:caps w:val="false"/>
          <w:smallCaps w:val="false"/>
          <w:color w:val="000000"/>
          <w:spacing w:val="0"/>
          <w:sz w:val="22"/>
          <w:szCs w:val="22"/>
        </w:rPr>
        <w:t xml:space="preserve">Ix Chel </w:t>
      </w:r>
      <w:r>
        <w:rPr>
          <w:rFonts w:ascii="Calibri" w:hAnsi="Calibri"/>
          <w:b w:val="false"/>
          <w:bCs w:val="false"/>
          <w:i w:val="false"/>
          <w:iCs w:val="false"/>
          <w:caps w:val="false"/>
          <w:smallCaps w:val="false"/>
          <w:color w:val="000000"/>
          <w:spacing w:val="0"/>
          <w:sz w:val="22"/>
          <w:szCs w:val="22"/>
        </w:rPr>
        <w:t xml:space="preserve">(Lady Rainbow in Mayan) who in her youth as the new moon was a symbol of fertility and sexuality but as she aged through the lunar cycles she becomes symbolic as a harbinger of death and destruction. Ix Chel's duality is a variation on another common theme </w:t>
      </w:r>
      <w:r>
        <w:rPr>
          <w:rFonts w:ascii="Calibri" w:hAnsi="Calibri"/>
          <w:b w:val="false"/>
          <w:bCs w:val="false"/>
          <w:i w:val="false"/>
          <w:iCs w:val="false"/>
          <w:caps w:val="false"/>
          <w:smallCaps w:val="false"/>
          <w:color w:val="000000"/>
          <w:spacing w:val="0"/>
          <w:sz w:val="22"/>
          <w:szCs w:val="22"/>
        </w:rPr>
        <w:t xml:space="preserve">among </w:t>
      </w:r>
      <w:r>
        <w:rPr>
          <w:rFonts w:ascii="Calibri" w:hAnsi="Calibri"/>
          <w:b w:val="false"/>
          <w:bCs w:val="false"/>
          <w:i w:val="false"/>
          <w:iCs w:val="false"/>
          <w:caps w:val="false"/>
          <w:smallCaps w:val="false"/>
          <w:color w:val="000000"/>
          <w:spacing w:val="0"/>
          <w:sz w:val="22"/>
          <w:szCs w:val="22"/>
        </w:rPr>
        <w:t xml:space="preserve">lunar goddesses, that of the triple aspect goddess, or the maiden, mother, crone narrative and their associations with magic and mysticism. Jones explored the idea that in Orphic tradition, Selene was a representation of a triple aspect version of the Moirai, on '"the </w:t>
      </w:r>
      <w:r>
        <w:rPr>
          <w:rFonts w:ascii="Calibri" w:hAnsi="Calibri"/>
          <w:b w:val="false"/>
          <w:bCs w:val="false"/>
          <w:i w:val="false"/>
          <w:iCs w:val="false"/>
          <w:caps w:val="false"/>
          <w:smallCaps w:val="false"/>
          <w:color w:val="202122"/>
          <w:spacing w:val="0"/>
          <w:sz w:val="22"/>
          <w:szCs w:val="22"/>
        </w:rPr>
        <w:t>thirtieth and the fifteenth and the first" (</w:t>
      </w:r>
      <w:r>
        <w:rPr>
          <w:rFonts w:ascii="Calibri" w:hAnsi="Calibri"/>
          <w:b w:val="false"/>
          <w:bCs w:val="false"/>
          <w:i w:val="false"/>
          <w:iCs w:val="false"/>
          <w:caps w:val="false"/>
          <w:smallCaps w:val="false"/>
          <w:color w:val="202122"/>
          <w:spacing w:val="0"/>
          <w:sz w:val="22"/>
          <w:szCs w:val="22"/>
        </w:rPr>
        <w:t xml:space="preserve">that is: </w:t>
      </w:r>
      <w:r>
        <w:rPr>
          <w:rFonts w:ascii="Calibri" w:hAnsi="Calibri"/>
          <w:b w:val="false"/>
          <w:bCs w:val="false"/>
          <w:i w:val="false"/>
          <w:iCs w:val="false"/>
          <w:caps w:val="false"/>
          <w:smallCaps w:val="false"/>
          <w:color w:val="202122"/>
          <w:spacing w:val="0"/>
          <w:sz w:val="22"/>
          <w:szCs w:val="22"/>
        </w:rPr>
        <w:t>the crescent moon, full moon, and dark moon, as delineated by the divisions of the calendar month)'</w:t>
      </w:r>
      <w:r>
        <w:rPr>
          <w:rFonts w:ascii="Calibri" w:hAnsi="Calibri"/>
          <w:b w:val="false"/>
          <w:bCs w:val="false"/>
          <w:i w:val="false"/>
          <w:iCs w:val="false"/>
          <w:caps w:val="false"/>
          <w:smallCaps w:val="false"/>
          <w:color w:val="000000"/>
          <w:spacing w:val="0"/>
          <w:sz w:val="22"/>
          <w:szCs w:val="22"/>
        </w:rPr>
        <w:t>.</w:t>
      </w:r>
      <w:r>
        <w:rPr>
          <w:rStyle w:val="FootnoteAnchor"/>
          <w:rFonts w:ascii="Calibri" w:hAnsi="Calibri"/>
          <w:b w:val="false"/>
          <w:bCs w:val="false"/>
          <w:i w:val="false"/>
          <w:iCs w:val="false"/>
          <w:caps w:val="false"/>
          <w:smallCaps w:val="false"/>
          <w:color w:val="000000"/>
          <w:spacing w:val="0"/>
          <w:sz w:val="22"/>
          <w:szCs w:val="22"/>
        </w:rPr>
        <w:footnoteReference w:id="16"/>
      </w:r>
      <w:r>
        <w:rPr>
          <w:rFonts w:ascii="Calibri" w:hAnsi="Calibri"/>
          <w:b w:val="false"/>
          <w:bCs w:val="false"/>
          <w:i w:val="false"/>
          <w:iCs w:val="false"/>
          <w:caps w:val="false"/>
          <w:smallCaps w:val="false"/>
          <w:color w:val="000000"/>
          <w:spacing w:val="0"/>
          <w:sz w:val="22"/>
          <w:szCs w:val="22"/>
        </w:rPr>
        <w:t xml:space="preserve"> </w:t>
      </w:r>
    </w:p>
    <w:p>
      <w:pPr>
        <w:pStyle w:val="Normal"/>
        <w:jc w:val="left"/>
        <w:rPr>
          <w:rFonts w:ascii="Calibri" w:hAnsi="Calibri"/>
          <w:b w:val="false"/>
          <w:b w:val="false"/>
          <w:bCs w:val="false"/>
          <w:i w:val="false"/>
          <w:i w:val="false"/>
          <w:iCs w:val="false"/>
          <w:caps w:val="false"/>
          <w:smallCaps w:val="false"/>
          <w:color w:val="000000"/>
          <w:spacing w:val="0"/>
          <w:sz w:val="22"/>
          <w:szCs w:val="22"/>
        </w:rPr>
      </w:pPr>
      <w:r>
        <w:rPr>
          <w:rFonts w:ascii="Calibri" w:hAnsi="Calibri"/>
          <w:b w:val="false"/>
          <w:bCs w:val="false"/>
          <w:i w:val="false"/>
          <w:iCs w:val="false"/>
          <w:caps w:val="false"/>
          <w:smallCaps w:val="false"/>
          <w:color w:val="000000"/>
          <w:spacing w:val="0"/>
          <w:sz w:val="22"/>
          <w:szCs w:val="22"/>
        </w:rPr>
      </w:r>
    </w:p>
    <w:p>
      <w:pPr>
        <w:pStyle w:val="Normal"/>
        <w:jc w:val="left"/>
        <w:rPr/>
      </w:pPr>
      <w:r>
        <w:rPr>
          <w:rFonts w:ascii="Calibri" w:hAnsi="Calibri"/>
          <w:b w:val="false"/>
          <w:bCs w:val="false"/>
          <w:i w:val="false"/>
          <w:iCs w:val="false"/>
          <w:caps w:val="false"/>
          <w:smallCaps w:val="false"/>
          <w:color w:val="000000"/>
          <w:spacing w:val="0"/>
          <w:sz w:val="22"/>
          <w:szCs w:val="22"/>
        </w:rPr>
        <w:tab/>
        <w:t>Conventionally, the relationship between some lunar myths that connect to subversive beings, such as trickster gods and demons, who incidentally, would have delighted at the anecdote of the tribal elder and the astronauts, can be seen through the depictions and stories in literature, media, drama and music that still influence into the present. "Sly Fox", wolves and werewolves, "Coyote" and "Dingo", all share a persistent common theme in a myriad of cultures from around the world. Uther</w:t>
      </w:r>
      <w:r>
        <w:rPr>
          <w:rStyle w:val="FootnoteAnchor"/>
          <w:rFonts w:ascii="Calibri" w:hAnsi="Calibri"/>
          <w:b w:val="false"/>
          <w:bCs w:val="false"/>
          <w:i w:val="false"/>
          <w:iCs w:val="false"/>
          <w:caps w:val="false"/>
          <w:smallCaps w:val="false"/>
          <w:color w:val="000000"/>
          <w:spacing w:val="0"/>
          <w:sz w:val="22"/>
          <w:szCs w:val="22"/>
        </w:rPr>
        <w:footnoteReference w:id="17"/>
      </w:r>
      <w:r>
        <w:rPr>
          <w:rFonts w:ascii="Calibri" w:hAnsi="Calibri"/>
          <w:b w:val="false"/>
          <w:bCs w:val="false"/>
          <w:i w:val="false"/>
          <w:iCs w:val="false"/>
          <w:caps w:val="false"/>
          <w:smallCaps w:val="false"/>
          <w:color w:val="000000"/>
          <w:spacing w:val="0"/>
          <w:sz w:val="22"/>
          <w:szCs w:val="22"/>
        </w:rPr>
        <w:t xml:space="preserve"> suggested that in fables and folkloric mythology the fox, and animals with similar fox like traits such as "Jackal" or "Hyena" were often portrayed as both a deceiver and a recipient of deceit; and '[depending] on the culture where it occurs [...] fox narratives may differ in terms of type and motif</w:t>
      </w:r>
      <w:r>
        <w:rPr>
          <w:rFonts w:ascii="Calibri" w:hAnsi="Calibri"/>
          <w:b w:val="false"/>
          <w:bCs w:val="false"/>
          <w:i w:val="false"/>
          <w:iCs w:val="false"/>
          <w:caps w:val="false"/>
          <w:smallCaps w:val="false"/>
          <w:color w:val="000000"/>
          <w:spacing w:val="0"/>
          <w:sz w:val="22"/>
          <w:szCs w:val="22"/>
        </w:rPr>
        <w:t xml:space="preserve">, </w:t>
      </w:r>
      <w:r>
        <w:rPr>
          <w:rFonts w:ascii="Calibri" w:hAnsi="Calibri"/>
          <w:b w:val="false"/>
          <w:bCs w:val="false"/>
          <w:i w:val="false"/>
          <w:iCs w:val="false"/>
          <w:caps w:val="false"/>
          <w:smallCaps w:val="false"/>
          <w:color w:val="000000"/>
          <w:spacing w:val="0"/>
          <w:sz w:val="22"/>
          <w:szCs w:val="22"/>
        </w:rPr>
        <w:t>it is quite possible that they exhibit a number of common traits.</w:t>
      </w:r>
      <w:r>
        <w:rPr>
          <w:rFonts w:ascii="Calibri" w:hAnsi="Calibri"/>
          <w:b w:val="false"/>
          <w:bCs w:val="false"/>
          <w:i w:val="false"/>
          <w:iCs w:val="false"/>
          <w:caps w:val="false"/>
          <w:smallCaps w:val="false"/>
          <w:color w:val="000000"/>
          <w:spacing w:val="0"/>
          <w:sz w:val="22"/>
          <w:szCs w:val="22"/>
        </w:rPr>
        <w:t>'</w:t>
      </w:r>
      <w:r>
        <w:rPr>
          <w:rFonts w:ascii="Calibri" w:hAnsi="Calibri"/>
          <w:b w:val="false"/>
          <w:bCs w:val="false"/>
          <w:i w:val="false"/>
          <w:iCs w:val="false"/>
          <w:caps w:val="false"/>
          <w:smallCaps w:val="false"/>
          <w:color w:val="000000"/>
          <w:spacing w:val="0"/>
          <w:sz w:val="22"/>
          <w:szCs w:val="22"/>
        </w:rPr>
        <w:t xml:space="preserve"> Fenrir the Wolf, </w:t>
      </w:r>
      <w:r>
        <w:rPr>
          <w:rFonts w:ascii="Calibri" w:hAnsi="Calibri"/>
          <w:b w:val="false"/>
          <w:bCs w:val="false"/>
          <w:i w:val="false"/>
          <w:iCs w:val="false"/>
          <w:caps w:val="false"/>
          <w:smallCaps w:val="false"/>
          <w:color w:val="000000"/>
          <w:spacing w:val="0"/>
          <w:sz w:val="22"/>
          <w:szCs w:val="22"/>
        </w:rPr>
        <w:t>the</w:t>
      </w:r>
      <w:r>
        <w:rPr>
          <w:rFonts w:ascii="Calibri" w:hAnsi="Calibri"/>
          <w:b w:val="false"/>
          <w:bCs w:val="false"/>
          <w:i w:val="false"/>
          <w:iCs w:val="false"/>
          <w:caps w:val="false"/>
          <w:smallCaps w:val="false"/>
          <w:color w:val="000000"/>
          <w:spacing w:val="0"/>
          <w:sz w:val="22"/>
          <w:szCs w:val="22"/>
        </w:rPr>
        <w:t xml:space="preserve"> presumed father of </w:t>
      </w:r>
      <w:r>
        <w:rPr>
          <w:rFonts w:ascii="Calibri" w:hAnsi="Calibri"/>
          <w:b w:val="false"/>
          <w:bCs w:val="false"/>
          <w:i w:val="false"/>
          <w:iCs w:val="false"/>
          <w:caps w:val="false"/>
          <w:smallCaps w:val="false"/>
          <w:color w:val="000000"/>
          <w:spacing w:val="0"/>
          <w:sz w:val="22"/>
          <w:szCs w:val="22"/>
        </w:rPr>
        <w:t xml:space="preserve">the Norse sky chasing wolves, </w:t>
      </w:r>
      <w:r>
        <w:rPr>
          <w:rFonts w:ascii="Calibri" w:hAnsi="Calibri"/>
          <w:b w:val="false"/>
          <w:bCs w:val="false"/>
          <w:i w:val="false"/>
          <w:iCs w:val="false"/>
          <w:caps w:val="false"/>
          <w:smallCaps w:val="false"/>
          <w:color w:val="000000"/>
          <w:spacing w:val="0"/>
          <w:sz w:val="22"/>
          <w:szCs w:val="22"/>
        </w:rPr>
        <w:t>Sk</w:t>
      </w:r>
      <w:r>
        <w:rPr>
          <w:rFonts w:eastAsia="Andale Sans UI" w:cs="Tahoma" w:ascii="Calibri" w:hAnsi="Calibri"/>
          <w:b w:val="false"/>
          <w:bCs w:val="false"/>
          <w:i w:val="false"/>
          <w:iCs w:val="false"/>
          <w:caps w:val="false"/>
          <w:smallCaps w:val="false"/>
          <w:color w:val="000000"/>
          <w:spacing w:val="0"/>
          <w:sz w:val="22"/>
          <w:szCs w:val="22"/>
        </w:rPr>
        <w:t>ö</w:t>
      </w:r>
      <w:r>
        <w:rPr>
          <w:rFonts w:ascii="Calibri" w:hAnsi="Calibri"/>
          <w:b w:val="false"/>
          <w:bCs w:val="false"/>
          <w:i w:val="false"/>
          <w:iCs w:val="false"/>
          <w:caps w:val="false"/>
          <w:smallCaps w:val="false"/>
          <w:color w:val="000000"/>
          <w:spacing w:val="0"/>
          <w:sz w:val="22"/>
          <w:szCs w:val="22"/>
        </w:rPr>
        <w:t>ll and Hati, was one of the animal incarnated children of the</w:t>
      </w:r>
      <w:r>
        <w:rPr>
          <w:rFonts w:ascii="Calibri" w:hAnsi="Calibri"/>
          <w:b w:val="false"/>
          <w:bCs w:val="false"/>
          <w:i w:val="false"/>
          <w:iCs w:val="false"/>
          <w:caps w:val="false"/>
          <w:smallCaps w:val="false"/>
          <w:color w:val="000000"/>
          <w:spacing w:val="0"/>
          <w:sz w:val="22"/>
          <w:szCs w:val="22"/>
        </w:rPr>
        <w:t xml:space="preserve"> </w:t>
      </w:r>
      <w:r>
        <w:rPr>
          <w:rFonts w:ascii="Calibri" w:hAnsi="Calibri"/>
          <w:b w:val="false"/>
          <w:bCs w:val="false"/>
          <w:i w:val="false"/>
          <w:iCs w:val="false"/>
          <w:caps w:val="false"/>
          <w:smallCaps w:val="false"/>
          <w:color w:val="000000"/>
          <w:spacing w:val="0"/>
          <w:sz w:val="22"/>
          <w:szCs w:val="22"/>
        </w:rPr>
        <w:t>trickster god Loki</w:t>
      </w:r>
      <w:r>
        <w:rPr>
          <w:rFonts w:ascii="Calibri" w:hAnsi="Calibri"/>
          <w:b w:val="false"/>
          <w:bCs w:val="false"/>
          <w:i w:val="false"/>
          <w:iCs w:val="false"/>
          <w:caps w:val="false"/>
          <w:smallCaps w:val="false"/>
          <w:color w:val="000000"/>
          <w:spacing w:val="0"/>
          <w:sz w:val="22"/>
          <w:szCs w:val="22"/>
        </w:rPr>
        <w:t>. A</w:t>
      </w:r>
      <w:r>
        <w:rPr>
          <w:rFonts w:ascii="Calibri" w:hAnsi="Calibri"/>
          <w:b w:val="false"/>
          <w:bCs w:val="false"/>
          <w:i w:val="false"/>
          <w:iCs w:val="false"/>
          <w:caps w:val="false"/>
          <w:smallCaps w:val="false"/>
          <w:color w:val="000000"/>
          <w:spacing w:val="0"/>
          <w:sz w:val="22"/>
          <w:szCs w:val="22"/>
        </w:rPr>
        <w:t>s Loki's grandchildren</w:t>
      </w:r>
      <w:r>
        <w:rPr>
          <w:rFonts w:ascii="Calibri" w:hAnsi="Calibri"/>
          <w:b w:val="false"/>
          <w:bCs w:val="false"/>
          <w:i w:val="false"/>
          <w:iCs w:val="false"/>
          <w:caps w:val="false"/>
          <w:smallCaps w:val="false"/>
          <w:color w:val="000000"/>
          <w:spacing w:val="0"/>
          <w:sz w:val="22"/>
          <w:szCs w:val="22"/>
        </w:rPr>
        <w:t>, Sk</w:t>
      </w:r>
      <w:r>
        <w:rPr>
          <w:rFonts w:eastAsia="Andale Sans UI" w:cs="Tahoma" w:ascii="Calibri" w:hAnsi="Calibri"/>
          <w:b w:val="false"/>
          <w:bCs w:val="false"/>
          <w:i w:val="false"/>
          <w:iCs w:val="false"/>
          <w:caps w:val="false"/>
          <w:smallCaps w:val="false"/>
          <w:color w:val="000000"/>
          <w:spacing w:val="0"/>
          <w:sz w:val="22"/>
          <w:szCs w:val="22"/>
        </w:rPr>
        <w:t>ö</w:t>
      </w:r>
      <w:r>
        <w:rPr>
          <w:rFonts w:ascii="Calibri" w:hAnsi="Calibri"/>
          <w:b w:val="false"/>
          <w:bCs w:val="false"/>
          <w:i w:val="false"/>
          <w:iCs w:val="false"/>
          <w:caps w:val="false"/>
          <w:smallCaps w:val="false"/>
          <w:color w:val="000000"/>
          <w:spacing w:val="0"/>
          <w:sz w:val="22"/>
          <w:szCs w:val="22"/>
        </w:rPr>
        <w:t>ll and Hati</w:t>
      </w:r>
      <w:r>
        <w:rPr>
          <w:rFonts w:ascii="Calibri" w:hAnsi="Calibri"/>
          <w:b w:val="false"/>
          <w:bCs w:val="false"/>
          <w:i w:val="false"/>
          <w:iCs w:val="false"/>
          <w:caps w:val="false"/>
          <w:smallCaps w:val="false"/>
          <w:color w:val="000000"/>
          <w:spacing w:val="0"/>
          <w:sz w:val="22"/>
          <w:szCs w:val="22"/>
        </w:rPr>
        <w:t xml:space="preserve"> </w:t>
      </w:r>
      <w:r>
        <w:rPr>
          <w:rFonts w:ascii="Calibri" w:hAnsi="Calibri"/>
          <w:b w:val="false"/>
          <w:bCs w:val="false"/>
          <w:i w:val="false"/>
          <w:iCs w:val="false"/>
          <w:caps w:val="false"/>
          <w:smallCaps w:val="false"/>
          <w:color w:val="000000"/>
          <w:spacing w:val="0"/>
          <w:sz w:val="22"/>
          <w:szCs w:val="22"/>
        </w:rPr>
        <w:t xml:space="preserve">are witness to another event that heralds the oncoming apocalypse, that of Loki escaping his punishment of being bound to a rock with poison dripping onto his face for causing the death of Odin's son Baldr (Baldur, Balder). </w:t>
      </w:r>
      <w:r>
        <w:rPr>
          <w:rFonts w:ascii="Calibri" w:hAnsi="Calibri"/>
          <w:b w:val="false"/>
          <w:bCs w:val="false"/>
          <w:i w:val="false"/>
          <w:iCs w:val="false"/>
          <w:caps w:val="false"/>
          <w:smallCaps w:val="false"/>
          <w:color w:val="000000"/>
          <w:spacing w:val="0"/>
          <w:sz w:val="22"/>
          <w:szCs w:val="22"/>
        </w:rPr>
        <w:t xml:space="preserve">In the poem </w:t>
      </w:r>
      <w:r>
        <w:rPr>
          <w:rFonts w:ascii="Calibri" w:hAnsi="Calibri"/>
          <w:b w:val="false"/>
          <w:bCs w:val="false"/>
          <w:i/>
          <w:iCs/>
          <w:caps w:val="false"/>
          <w:smallCaps w:val="false"/>
          <w:color w:val="000000"/>
          <w:spacing w:val="0"/>
          <w:sz w:val="22"/>
          <w:szCs w:val="22"/>
        </w:rPr>
        <w:t>Transcendent Fury</w:t>
      </w:r>
      <w:r>
        <w:rPr>
          <w:rFonts w:ascii="Calibri" w:hAnsi="Calibri"/>
          <w:b w:val="false"/>
          <w:bCs w:val="false"/>
          <w:i w:val="false"/>
          <w:iCs w:val="false"/>
          <w:caps w:val="false"/>
          <w:smallCaps w:val="false"/>
          <w:color w:val="000000"/>
          <w:spacing w:val="0"/>
          <w:sz w:val="22"/>
          <w:szCs w:val="22"/>
        </w:rPr>
        <w:t>, Fernand Roqueplan</w:t>
      </w:r>
      <w:r>
        <w:rPr>
          <w:rStyle w:val="FootnoteAnchor"/>
          <w:rFonts w:ascii="Calibri" w:hAnsi="Calibri"/>
          <w:b w:val="false"/>
          <w:bCs w:val="false"/>
          <w:i w:val="false"/>
          <w:iCs w:val="false"/>
          <w:caps w:val="false"/>
          <w:smallCaps w:val="false"/>
          <w:color w:val="000000"/>
          <w:spacing w:val="0"/>
          <w:sz w:val="22"/>
          <w:szCs w:val="22"/>
        </w:rPr>
        <w:footnoteReference w:id="18"/>
      </w:r>
      <w:r>
        <w:rPr>
          <w:rFonts w:ascii="Calibri" w:hAnsi="Calibri"/>
          <w:b w:val="false"/>
          <w:bCs w:val="false"/>
          <w:i w:val="false"/>
          <w:iCs w:val="false"/>
          <w:caps w:val="false"/>
          <w:smallCaps w:val="false"/>
          <w:color w:val="000000"/>
          <w:spacing w:val="0"/>
          <w:sz w:val="22"/>
          <w:szCs w:val="22"/>
        </w:rPr>
        <w:t xml:space="preserve"> recounts how the supernatural children of the Sky God, Esum (Darkness), Osrane (Moon) and Owia (Sun) are subjected to the clairaudience of Anansi, the trickster Spider God</w:t>
      </w:r>
      <w:r>
        <w:rPr>
          <w:rFonts w:ascii="Calibri" w:hAnsi="Calibri"/>
          <w:b w:val="false"/>
          <w:bCs w:val="false"/>
          <w:i w:val="false"/>
          <w:iCs w:val="false"/>
          <w:caps w:val="false"/>
          <w:smallCaps w:val="false"/>
          <w:color w:val="000000"/>
          <w:spacing w:val="0"/>
          <w:sz w:val="22"/>
          <w:szCs w:val="22"/>
        </w:rPr>
        <w:t xml:space="preserve"> of West African origin</w:t>
      </w:r>
      <w:r>
        <w:rPr>
          <w:rFonts w:ascii="Calibri" w:hAnsi="Calibri"/>
          <w:b w:val="false"/>
          <w:bCs w:val="false"/>
          <w:i w:val="false"/>
          <w:iCs w:val="false"/>
          <w:caps w:val="false"/>
          <w:smallCaps w:val="false"/>
          <w:color w:val="000000"/>
          <w:spacing w:val="0"/>
          <w:sz w:val="22"/>
          <w:szCs w:val="22"/>
        </w:rPr>
        <w:t>, perpetuating the idea that tricksters and sky-bound spirits and deities are often oath watchers, Helios the Greek sun god was often called upon to act as a witness, from his birds eye view</w:t>
      </w:r>
      <w:r>
        <w:rPr>
          <w:rFonts w:ascii="Calibri" w:hAnsi="Calibri"/>
          <w:b w:val="false"/>
          <w:bCs w:val="false"/>
          <w:i w:val="false"/>
          <w:iCs w:val="false"/>
          <w:caps w:val="false"/>
          <w:smallCaps w:val="false"/>
          <w:color w:val="000000"/>
          <w:spacing w:val="0"/>
          <w:sz w:val="22"/>
          <w:szCs w:val="22"/>
        </w:rPr>
        <w:t>.</w:t>
      </w:r>
      <w:r>
        <w:rPr>
          <w:rFonts w:ascii="Calibri" w:hAnsi="Calibri"/>
          <w:b w:val="false"/>
          <w:bCs w:val="false"/>
          <w:i w:val="false"/>
          <w:iCs w:val="false"/>
          <w:caps w:val="false"/>
          <w:smallCaps w:val="false"/>
          <w:color w:val="000000"/>
          <w:spacing w:val="0"/>
          <w:sz w:val="22"/>
          <w:szCs w:val="22"/>
        </w:rPr>
        <w:t xml:space="preserve"> </w:t>
      </w:r>
      <w:r>
        <w:rPr>
          <w:rFonts w:ascii="Calibri" w:hAnsi="Calibri"/>
          <w:b w:val="false"/>
          <w:bCs w:val="false"/>
          <w:i w:val="false"/>
          <w:iCs w:val="false"/>
          <w:caps w:val="false"/>
          <w:smallCaps w:val="false"/>
          <w:color w:val="000000"/>
          <w:spacing w:val="0"/>
          <w:sz w:val="22"/>
          <w:szCs w:val="22"/>
        </w:rPr>
        <w:t xml:space="preserve">The moon can be viewed as a liar or trickster in their own right as well: </w:t>
      </w:r>
    </w:p>
    <w:p>
      <w:pPr>
        <w:pStyle w:val="Normal"/>
        <w:jc w:val="left"/>
        <w:rPr>
          <w:rFonts w:ascii="Calibri" w:hAnsi="Calibri"/>
          <w:b w:val="false"/>
          <w:b w:val="false"/>
          <w:bCs w:val="false"/>
          <w:i w:val="false"/>
          <w:i w:val="false"/>
          <w:iCs w:val="false"/>
          <w:caps w:val="false"/>
          <w:smallCaps w:val="false"/>
          <w:color w:val="000000"/>
          <w:spacing w:val="0"/>
          <w:sz w:val="22"/>
          <w:szCs w:val="22"/>
        </w:rPr>
      </w:pPr>
      <w:r>
        <w:rPr/>
      </w:r>
    </w:p>
    <w:p>
      <w:pPr>
        <w:pStyle w:val="Normal"/>
        <w:jc w:val="left"/>
        <w:rPr/>
      </w:pPr>
      <w:r>
        <w:rPr>
          <w:rFonts w:ascii="Calibri" w:hAnsi="Calibri"/>
          <w:b w:val="false"/>
          <w:bCs w:val="false"/>
          <w:i w:val="false"/>
          <w:iCs w:val="false"/>
          <w:caps w:val="false"/>
          <w:smallCaps w:val="false"/>
          <w:color w:val="000000"/>
          <w:spacing w:val="0"/>
          <w:sz w:val="22"/>
          <w:szCs w:val="22"/>
        </w:rPr>
        <w:tab/>
      </w:r>
      <w:r>
        <w:rPr>
          <w:rFonts w:ascii="Calibri" w:hAnsi="Calibri"/>
          <w:b w:val="false"/>
          <w:bCs w:val="false"/>
          <w:i w:val="false"/>
          <w:iCs w:val="false"/>
          <w:caps w:val="false"/>
          <w:smallCaps w:val="false"/>
          <w:color w:val="303030"/>
          <w:spacing w:val="0"/>
          <w:sz w:val="22"/>
          <w:szCs w:val="22"/>
        </w:rPr>
        <w:t xml:space="preserve">Andean people used to speak of the moon whispering lies in the sun's ear — the crescent in the </w:t>
        <w:tab/>
        <w:t xml:space="preserve">eclipse. So they would bang drums and make dogs howl to alert the sun that "the moon is a liar and </w:t>
        <w:tab/>
        <w:t>he's lying to the sun" about the people of Earth, Aveni said.</w:t>
      </w:r>
      <w:r>
        <w:rPr>
          <w:rStyle w:val="FootnoteAnchor"/>
          <w:rFonts w:ascii="Calibri" w:hAnsi="Calibri"/>
          <w:b w:val="false"/>
          <w:bCs w:val="false"/>
          <w:i w:val="false"/>
          <w:iCs w:val="false"/>
          <w:caps w:val="false"/>
          <w:smallCaps w:val="false"/>
          <w:color w:val="303030"/>
          <w:spacing w:val="0"/>
          <w:sz w:val="22"/>
          <w:szCs w:val="22"/>
        </w:rPr>
        <w:footnoteReference w:id="19"/>
      </w:r>
    </w:p>
    <w:p>
      <w:pPr>
        <w:pStyle w:val="Normal"/>
        <w:jc w:val="left"/>
        <w:rPr>
          <w:rFonts w:ascii="Calibri" w:hAnsi="Calibri"/>
          <w:b w:val="false"/>
          <w:b w:val="false"/>
          <w:bCs w:val="false"/>
          <w:i w:val="false"/>
          <w:i w:val="false"/>
          <w:iCs w:val="false"/>
          <w:caps w:val="false"/>
          <w:smallCaps w:val="false"/>
          <w:color w:val="000000"/>
          <w:spacing w:val="0"/>
          <w:sz w:val="22"/>
          <w:szCs w:val="22"/>
        </w:rPr>
      </w:pPr>
      <w:r>
        <w:rPr>
          <w:rFonts w:ascii="Calibri" w:hAnsi="Calibri"/>
          <w:b w:val="false"/>
          <w:bCs w:val="false"/>
          <w:i w:val="false"/>
          <w:iCs w:val="false"/>
          <w:caps w:val="false"/>
          <w:smallCaps w:val="false"/>
          <w:color w:val="000000"/>
          <w:spacing w:val="0"/>
          <w:sz w:val="22"/>
          <w:szCs w:val="22"/>
        </w:rPr>
      </w:r>
    </w:p>
    <w:p>
      <w:pPr>
        <w:pStyle w:val="Normal"/>
        <w:jc w:val="left"/>
        <w:rPr>
          <w:rFonts w:ascii="Calibri" w:hAnsi="Calibri"/>
        </w:rPr>
      </w:pPr>
      <w:r>
        <w:rPr>
          <w:rFonts w:ascii="Calibri" w:hAnsi="Calibri"/>
          <w:b w:val="false"/>
          <w:bCs w:val="false"/>
          <w:sz w:val="22"/>
          <w:szCs w:val="22"/>
          <w:lang w:val="en-GB" w:eastAsia="zxx" w:bidi="zxx"/>
        </w:rPr>
        <w:tab/>
        <w:t>The concept of a celestial animal or a supernatural being swallowing and devouring a planetary body or satellite is not unique to Germanic and Norse mythology</w:t>
      </w:r>
      <w:r>
        <w:rPr>
          <w:rFonts w:ascii="Calibri" w:hAnsi="Calibri"/>
          <w:b w:val="false"/>
          <w:bCs w:val="false"/>
          <w:sz w:val="22"/>
          <w:szCs w:val="22"/>
          <w:lang w:val="en-GB" w:eastAsia="zxx" w:bidi="zxx"/>
        </w:rPr>
        <w:t>. However, Ragnarök is somewhat unique as it is also a forerunner to the death of the gods, in fact Ragnarök is often referred to by the epithet "</w:t>
      </w:r>
      <w:r>
        <w:rPr>
          <w:rFonts w:ascii="Calibri" w:hAnsi="Calibri"/>
          <w:b w:val="false"/>
          <w:bCs w:val="false"/>
          <w:i/>
          <w:iCs/>
          <w:sz w:val="22"/>
          <w:szCs w:val="22"/>
          <w:lang w:val="en-GB" w:eastAsia="zxx" w:bidi="zxx"/>
        </w:rPr>
        <w:t>The Twilight of the Gods</w:t>
      </w:r>
      <w:r>
        <w:rPr>
          <w:rFonts w:ascii="Calibri" w:hAnsi="Calibri"/>
          <w:b w:val="false"/>
          <w:bCs w:val="false"/>
          <w:i w:val="false"/>
          <w:iCs w:val="false"/>
          <w:sz w:val="22"/>
          <w:szCs w:val="22"/>
          <w:lang w:val="en-GB" w:eastAsia="zxx" w:bidi="zxx"/>
        </w:rPr>
        <w:t>".</w:t>
      </w:r>
      <w:r>
        <w:rPr>
          <w:rFonts w:ascii="Calibri" w:hAnsi="Calibri"/>
          <w:b w:val="false"/>
          <w:bCs w:val="false"/>
          <w:sz w:val="22"/>
          <w:szCs w:val="22"/>
          <w:lang w:val="en-GB" w:eastAsia="zxx" w:bidi="zxx"/>
        </w:rPr>
        <w:t xml:space="preserve"> At twilight, the sun has dropped below the horizon</w:t>
      </w:r>
      <w:r>
        <w:rPr>
          <w:rFonts w:ascii="Calibri" w:hAnsi="Calibri"/>
          <w:b w:val="false"/>
          <w:bCs w:val="false"/>
          <w:sz w:val="22"/>
          <w:szCs w:val="22"/>
          <w:lang w:val="en-GB" w:eastAsia="zxx" w:bidi="zxx"/>
        </w:rPr>
        <w:t>,</w:t>
      </w:r>
      <w:r>
        <w:rPr>
          <w:rFonts w:ascii="Calibri" w:hAnsi="Calibri"/>
          <w:b w:val="false"/>
          <w:bCs w:val="false"/>
          <w:sz w:val="22"/>
          <w:szCs w:val="22"/>
          <w:lang w:val="en-GB" w:eastAsia="zxx" w:bidi="zxx"/>
        </w:rPr>
        <w:t xml:space="preserve"> or</w:t>
      </w:r>
      <w:r>
        <w:rPr>
          <w:rFonts w:ascii="Calibri" w:hAnsi="Calibri"/>
          <w:b w:val="false"/>
          <w:bCs w:val="false"/>
          <w:sz w:val="22"/>
          <w:szCs w:val="22"/>
          <w:lang w:val="en-GB" w:eastAsia="zxx" w:bidi="zxx"/>
        </w:rPr>
        <w:t xml:space="preserve"> alternatively,</w:t>
      </w:r>
      <w:r>
        <w:rPr>
          <w:rFonts w:ascii="Calibri" w:hAnsi="Calibri"/>
          <w:b w:val="false"/>
          <w:bCs w:val="false"/>
          <w:sz w:val="22"/>
          <w:szCs w:val="22"/>
          <w:lang w:val="en-GB" w:eastAsia="zxx" w:bidi="zxx"/>
        </w:rPr>
        <w:t xml:space="preserve"> has not yet reached the horizon, causing darkness and obscurity, when applying this to the Ragnarök myth, it can be the time of dark after the moon is swallowed by Hati and before the rebirth and renewal of the </w:t>
      </w:r>
      <w:r>
        <w:rPr>
          <w:rFonts w:ascii="Calibri" w:hAnsi="Calibri"/>
          <w:b w:val="false"/>
          <w:bCs w:val="false"/>
          <w:sz w:val="22"/>
          <w:szCs w:val="22"/>
          <w:lang w:val="en-GB" w:eastAsia="zxx" w:bidi="zxx"/>
        </w:rPr>
        <w:t>world and the supernatural. Every night as Hati tries to swallow the moon, he loses some teeth,</w:t>
      </w:r>
      <w:r>
        <w:rPr>
          <w:rFonts w:ascii="Calibri" w:hAnsi="Calibri"/>
          <w:b w:val="false"/>
          <w:bCs w:val="false"/>
          <w:sz w:val="22"/>
          <w:szCs w:val="22"/>
          <w:lang w:val="en-GB" w:eastAsia="zxx" w:bidi="zxx"/>
        </w:rPr>
        <w:t xml:space="preserve"> Bressan</w:t>
      </w:r>
      <w:r>
        <w:rPr>
          <w:rStyle w:val="FootnoteAnchor"/>
          <w:rFonts w:ascii="Calibri" w:hAnsi="Calibri"/>
          <w:b w:val="false"/>
          <w:bCs w:val="false"/>
          <w:sz w:val="22"/>
          <w:szCs w:val="22"/>
          <w:lang w:val="en-GB" w:eastAsia="zxx" w:bidi="zxx"/>
        </w:rPr>
        <w:footnoteReference w:id="20"/>
      </w:r>
      <w:r>
        <w:rPr>
          <w:rFonts w:ascii="Calibri" w:hAnsi="Calibri"/>
          <w:b w:val="false"/>
          <w:bCs w:val="false"/>
          <w:sz w:val="22"/>
          <w:szCs w:val="22"/>
          <w:lang w:val="en-GB" w:eastAsia="zxx" w:bidi="zxx"/>
        </w:rPr>
        <w:t xml:space="preserve"> citing</w:t>
      </w:r>
      <w:r>
        <w:rPr>
          <w:rFonts w:ascii="Calibri" w:hAnsi="Calibri"/>
          <w:b w:val="false"/>
          <w:bCs w:val="false"/>
          <w:sz w:val="22"/>
          <w:szCs w:val="22"/>
          <w:lang w:val="en-GB" w:eastAsia="zxx" w:bidi="zxx"/>
        </w:rPr>
        <w:t xml:space="preserve"> the Austrian palaeontologist, Othenio Abel</w:t>
      </w:r>
      <w:r>
        <w:rPr>
          <w:rFonts w:ascii="Calibri" w:hAnsi="Calibri"/>
          <w:b w:val="false"/>
          <w:bCs w:val="false"/>
          <w:sz w:val="22"/>
          <w:szCs w:val="22"/>
          <w:lang w:val="en-GB" w:eastAsia="zxx" w:bidi="zxx"/>
        </w:rPr>
        <w:t xml:space="preserve"> </w:t>
      </w:r>
      <w:r>
        <w:rPr>
          <w:rFonts w:ascii="Calibri" w:hAnsi="Calibri"/>
          <w:b w:val="false"/>
          <w:bCs w:val="false"/>
          <w:sz w:val="22"/>
          <w:szCs w:val="22"/>
          <w:lang w:val="en-GB" w:eastAsia="zxx" w:bidi="zxx"/>
        </w:rPr>
        <w:t>posited that 'the teeth of the moon wolf [were] in fact fossilized sharks teeth</w:t>
      </w:r>
      <w:r>
        <w:rPr>
          <w:rFonts w:ascii="Calibri" w:hAnsi="Calibri"/>
          <w:b w:val="false"/>
          <w:bCs w:val="false"/>
          <w:sz w:val="22"/>
          <w:szCs w:val="22"/>
          <w:lang w:val="en-GB" w:eastAsia="zxx" w:bidi="zxx"/>
        </w:rPr>
        <w:t xml:space="preserve"> from the species carcharodon,' an extinct species of lamnidae from the "white shark" family.</w:t>
      </w:r>
    </w:p>
    <w:p>
      <w:pPr>
        <w:pStyle w:val="Normal"/>
        <w:jc w:val="left"/>
        <w:rPr>
          <w:rFonts w:ascii="Calibri" w:hAnsi="Calibri"/>
        </w:rPr>
      </w:pPr>
      <w:r>
        <w:rPr>
          <w:rFonts w:ascii="Calibri" w:hAnsi="Calibri"/>
          <w:b w:val="false"/>
          <w:bCs w:val="false"/>
          <w:sz w:val="22"/>
          <w:szCs w:val="22"/>
          <w:lang w:val="en-GB" w:eastAsia="zxx" w:bidi="zxx"/>
        </w:rPr>
        <w:tab/>
      </w:r>
    </w:p>
    <w:p>
      <w:pPr>
        <w:pStyle w:val="Normal"/>
        <w:jc w:val="left"/>
        <w:rPr>
          <w:rFonts w:ascii="Calibri" w:hAnsi="Calibri"/>
        </w:rPr>
      </w:pPr>
      <w:r>
        <w:rPr>
          <w:rFonts w:ascii="Calibri" w:hAnsi="Calibri"/>
          <w:b w:val="false"/>
          <w:bCs w:val="false"/>
          <w:sz w:val="22"/>
          <w:szCs w:val="22"/>
          <w:lang w:val="en-GB" w:eastAsia="zxx" w:bidi="zxx"/>
        </w:rPr>
        <w:tab/>
      </w:r>
      <w:r>
        <w:rPr>
          <w:rFonts w:ascii="Calibri" w:hAnsi="Calibri"/>
          <w:b w:val="false"/>
          <w:bCs w:val="false"/>
          <w:sz w:val="22"/>
          <w:szCs w:val="22"/>
          <w:lang w:val="en-GB" w:eastAsia="zxx" w:bidi="zxx"/>
        </w:rPr>
        <w:t>G</w:t>
      </w:r>
      <w:r>
        <w:rPr>
          <w:rFonts w:ascii="Calibri" w:hAnsi="Calibri"/>
          <w:b w:val="false"/>
          <w:bCs w:val="false"/>
          <w:sz w:val="22"/>
          <w:szCs w:val="22"/>
          <w:lang w:val="en-GB" w:eastAsia="zxx" w:bidi="zxx"/>
        </w:rPr>
        <w:t>od-like figures who eat the sun to explain a solar eclipse is a</w:t>
      </w:r>
      <w:r>
        <w:rPr>
          <w:rFonts w:ascii="Calibri" w:hAnsi="Calibri"/>
          <w:b w:val="false"/>
          <w:bCs w:val="false"/>
          <w:sz w:val="22"/>
          <w:szCs w:val="22"/>
          <w:lang w:val="en-GB" w:eastAsia="zxx" w:bidi="zxx"/>
        </w:rPr>
        <w:t>nother</w:t>
      </w:r>
      <w:r>
        <w:rPr>
          <w:rFonts w:ascii="Calibri" w:hAnsi="Calibri"/>
          <w:b w:val="false"/>
          <w:bCs w:val="false"/>
          <w:sz w:val="22"/>
          <w:szCs w:val="22"/>
          <w:lang w:val="en-GB" w:eastAsia="zxx" w:bidi="zxx"/>
        </w:rPr>
        <w:t xml:space="preserve"> common theme among </w:t>
      </w:r>
      <w:r>
        <w:rPr>
          <w:rFonts w:ascii="Calibri" w:hAnsi="Calibri"/>
          <w:b w:val="false"/>
          <w:bCs w:val="false"/>
          <w:sz w:val="22"/>
          <w:szCs w:val="22"/>
          <w:lang w:val="en-GB" w:eastAsia="zxx" w:bidi="zxx"/>
        </w:rPr>
        <w:t>a plenitude of antiquated</w:t>
      </w:r>
      <w:r>
        <w:rPr>
          <w:rFonts w:ascii="Calibri" w:hAnsi="Calibri"/>
          <w:b w:val="false"/>
          <w:bCs w:val="false"/>
          <w:sz w:val="22"/>
          <w:szCs w:val="22"/>
          <w:lang w:val="en-GB" w:eastAsia="zxx" w:bidi="zxx"/>
        </w:rPr>
        <w:t xml:space="preserve"> cultures. In </w:t>
      </w:r>
      <w:r>
        <w:rPr>
          <w:rFonts w:ascii="Calibri" w:hAnsi="Calibri"/>
          <w:b w:val="false"/>
          <w:bCs w:val="false"/>
          <w:sz w:val="22"/>
          <w:szCs w:val="22"/>
          <w:lang w:val="en-GB" w:eastAsia="zxx" w:bidi="zxx"/>
        </w:rPr>
        <w:t>I</w:t>
      </w:r>
      <w:r>
        <w:rPr>
          <w:rFonts w:ascii="Calibri" w:hAnsi="Calibri"/>
          <w:b w:val="false"/>
          <w:bCs w:val="false"/>
          <w:sz w:val="22"/>
          <w:szCs w:val="22"/>
          <w:lang w:val="en-GB" w:eastAsia="zxx" w:bidi="zxx"/>
        </w:rPr>
        <w:t>ndia the beheaded demon Rahu eats the sun as an act of vengeance for revealing that he had dr</w:t>
      </w:r>
      <w:r>
        <w:rPr>
          <w:rFonts w:ascii="Calibri" w:hAnsi="Calibri"/>
          <w:b w:val="false"/>
          <w:bCs w:val="false"/>
          <w:sz w:val="22"/>
          <w:szCs w:val="22"/>
          <w:lang w:val="en-GB" w:eastAsia="zxx" w:bidi="zxx"/>
        </w:rPr>
        <w:t>un</w:t>
      </w:r>
      <w:r>
        <w:rPr>
          <w:rFonts w:ascii="Calibri" w:hAnsi="Calibri"/>
          <w:b w:val="false"/>
          <w:bCs w:val="false"/>
          <w:sz w:val="22"/>
          <w:szCs w:val="22"/>
          <w:lang w:val="en-GB" w:eastAsia="zxx" w:bidi="zxx"/>
        </w:rPr>
        <w:t xml:space="preserve">k </w:t>
      </w:r>
      <w:r>
        <w:rPr>
          <w:rFonts w:ascii="Calibri" w:hAnsi="Calibri"/>
          <w:b w:val="false"/>
          <w:bCs w:val="false"/>
          <w:sz w:val="22"/>
          <w:szCs w:val="22"/>
          <w:lang w:val="en-GB" w:eastAsia="zxx" w:bidi="zxx"/>
        </w:rPr>
        <w:t xml:space="preserve">from </w:t>
      </w:r>
      <w:r>
        <w:rPr>
          <w:rFonts w:ascii="Calibri" w:hAnsi="Calibri"/>
          <w:b w:val="false"/>
          <w:bCs w:val="false"/>
          <w:sz w:val="22"/>
          <w:szCs w:val="22"/>
          <w:lang w:val="en-GB" w:eastAsia="zxx" w:bidi="zxx"/>
        </w:rPr>
        <w:t>the nectar of immortality, but as the sun emerges again from his headless body, it signals the end of the</w:t>
      </w:r>
      <w:r>
        <w:rPr>
          <w:rFonts w:ascii="Calibri" w:hAnsi="Calibri"/>
          <w:b w:val="false"/>
          <w:bCs w:val="false"/>
          <w:sz w:val="22"/>
          <w:szCs w:val="22"/>
          <w:lang w:val="en-GB" w:eastAsia="zxx" w:bidi="zxx"/>
        </w:rPr>
        <w:t xml:space="preserve"> eclipse.</w:t>
      </w:r>
      <w:r>
        <w:rPr>
          <w:rFonts w:ascii="Calibri" w:hAnsi="Calibri"/>
          <w:b w:val="false"/>
          <w:bCs w:val="false"/>
          <w:sz w:val="22"/>
          <w:szCs w:val="22"/>
          <w:lang w:val="en-GB" w:eastAsia="zxx" w:bidi="zxx"/>
        </w:rPr>
        <w:t xml:space="preserve"> Hindu religious belief state that Rahu represents the ascension of the moon and is also known by the term the </w:t>
      </w:r>
      <w:r>
        <w:rPr>
          <w:rFonts w:ascii="Calibri" w:hAnsi="Calibri"/>
          <w:b w:val="false"/>
          <w:bCs w:val="false"/>
          <w:i/>
          <w:iCs/>
          <w:sz w:val="22"/>
          <w:szCs w:val="22"/>
          <w:lang w:val="en-GB" w:eastAsia="zxx" w:bidi="zxx"/>
        </w:rPr>
        <w:t>north lunar node</w:t>
      </w:r>
      <w:r>
        <w:rPr>
          <w:rStyle w:val="FootnoteAnchor"/>
          <w:rFonts w:ascii="Calibri" w:hAnsi="Calibri"/>
          <w:b w:val="false"/>
          <w:bCs w:val="false"/>
          <w:sz w:val="22"/>
          <w:szCs w:val="22"/>
          <w:lang w:val="en-GB" w:eastAsia="zxx" w:bidi="zxx"/>
        </w:rPr>
        <w:footnoteReference w:id="21"/>
      </w:r>
      <w:r>
        <w:rPr>
          <w:rFonts w:ascii="Calibri" w:hAnsi="Calibri"/>
          <w:b w:val="false"/>
          <w:bCs w:val="false"/>
          <w:sz w:val="22"/>
          <w:szCs w:val="22"/>
          <w:lang w:val="en-GB" w:eastAsia="zxx" w:bidi="zxx"/>
        </w:rPr>
        <w:t xml:space="preserve"> S</w:t>
      </w:r>
      <w:r>
        <w:rPr>
          <w:rFonts w:ascii="Calibri" w:hAnsi="Calibri"/>
          <w:b w:val="false"/>
          <w:bCs w:val="false"/>
          <w:sz w:val="22"/>
          <w:szCs w:val="22"/>
          <w:lang w:val="en-GB" w:eastAsia="zxx" w:bidi="zxx"/>
        </w:rPr>
        <w:t>imilarly, in Indonesian mythology Rahu</w:t>
      </w:r>
      <w:r>
        <w:rPr>
          <w:rFonts w:ascii="Calibri" w:hAnsi="Calibri"/>
          <w:b w:val="false"/>
          <w:bCs w:val="false"/>
          <w:sz w:val="22"/>
          <w:szCs w:val="22"/>
          <w:lang w:val="en-GB" w:eastAsia="zxx" w:bidi="zxx"/>
        </w:rPr>
        <w:t xml:space="preserve"> appears again and this time his</w:t>
      </w:r>
      <w:r>
        <w:rPr>
          <w:rFonts w:ascii="Calibri" w:hAnsi="Calibri"/>
          <w:b w:val="false"/>
          <w:bCs w:val="false"/>
          <w:sz w:val="22"/>
          <w:szCs w:val="22"/>
          <w:lang w:val="en-GB" w:eastAsia="zxx" w:bidi="zxx"/>
        </w:rPr>
        <w:t xml:space="preserve"> eating of the su</w:t>
      </w:r>
      <w:r>
        <w:rPr>
          <w:rFonts w:ascii="Calibri" w:hAnsi="Calibri"/>
          <w:b w:val="false"/>
          <w:bCs w:val="false"/>
          <w:sz w:val="22"/>
          <w:szCs w:val="22"/>
          <w:lang w:val="en-GB" w:eastAsia="zxx" w:bidi="zxx"/>
        </w:rPr>
        <w:t xml:space="preserve">n causes his tongue to be burned and when he spits the sun out, it causes the sun to emerge from the eclipse once </w:t>
      </w:r>
      <w:r>
        <w:rPr>
          <w:rFonts w:ascii="Calibri" w:hAnsi="Calibri"/>
          <w:b w:val="false"/>
          <w:bCs w:val="false"/>
          <w:sz w:val="22"/>
          <w:szCs w:val="22"/>
          <w:lang w:val="en-GB" w:eastAsia="zxx" w:bidi="zxx"/>
        </w:rPr>
        <w:t>more</w:t>
      </w:r>
      <w:r>
        <w:rPr>
          <w:rFonts w:ascii="Calibri" w:hAnsi="Calibri"/>
          <w:b w:val="false"/>
          <w:bCs w:val="false"/>
          <w:sz w:val="22"/>
          <w:szCs w:val="22"/>
          <w:lang w:val="en-GB" w:eastAsia="zxx" w:bidi="zxx"/>
        </w:rPr>
        <w:t>. The</w:t>
      </w:r>
      <w:r>
        <w:rPr>
          <w:rFonts w:ascii="Calibri" w:hAnsi="Calibri"/>
          <w:b w:val="false"/>
          <w:bCs w:val="false"/>
          <w:sz w:val="22"/>
          <w:szCs w:val="22"/>
          <w:lang w:val="en-GB" w:eastAsia="zxx" w:bidi="zxx"/>
        </w:rPr>
        <w:t xml:space="preserve"> Bakunawa, a serpent dragon for</w:t>
      </w:r>
      <w:r>
        <w:rPr>
          <w:rFonts w:ascii="Calibri" w:hAnsi="Calibri"/>
          <w:b w:val="false"/>
          <w:bCs w:val="false"/>
          <w:sz w:val="22"/>
          <w:szCs w:val="22"/>
          <w:lang w:val="en-GB" w:eastAsia="zxx" w:bidi="zxx"/>
        </w:rPr>
        <w:t xml:space="preserve">m from </w:t>
      </w:r>
      <w:r>
        <w:rPr>
          <w:rFonts w:ascii="Calibri" w:hAnsi="Calibri"/>
          <w:b w:val="false"/>
          <w:bCs w:val="false"/>
          <w:sz w:val="22"/>
          <w:szCs w:val="22"/>
          <w:lang w:val="en-GB" w:eastAsia="zxx" w:bidi="zxx"/>
        </w:rPr>
        <w:t>Philippine</w:t>
      </w:r>
      <w:r>
        <w:rPr>
          <w:rFonts w:ascii="Calibri" w:hAnsi="Calibri"/>
          <w:b w:val="false"/>
          <w:bCs w:val="false"/>
          <w:sz w:val="22"/>
          <w:szCs w:val="22"/>
          <w:lang w:val="en-GB" w:eastAsia="zxx" w:bidi="zxx"/>
        </w:rPr>
        <w:t xml:space="preserve"> mythos, is a partially syncretized myth of Rahu, as well as N</w:t>
      </w:r>
      <w:r>
        <w:rPr>
          <w:rFonts w:eastAsia="Andale Sans UI" w:cs="Tahoma" w:ascii="Calibri" w:hAnsi="Calibri"/>
          <w:b w:val="false"/>
          <w:bCs w:val="false"/>
          <w:sz w:val="22"/>
          <w:szCs w:val="22"/>
          <w:lang w:val="en-GB" w:eastAsia="zxx" w:bidi="zxx"/>
        </w:rPr>
        <w:t>āga and Ketu, in Hindu-Buddhist spiritual deities</w:t>
      </w:r>
      <w:r>
        <w:rPr>
          <w:rStyle w:val="FootnoteAnchor"/>
          <w:rFonts w:eastAsia="Andale Sans UI" w:cs="Tahoma" w:ascii="Calibri" w:hAnsi="Calibri"/>
          <w:b w:val="false"/>
          <w:bCs w:val="false"/>
          <w:sz w:val="22"/>
          <w:szCs w:val="22"/>
          <w:vertAlign w:val="superscript"/>
          <w:lang w:val="en-GB" w:eastAsia="zxx" w:bidi="zxx"/>
        </w:rPr>
        <w:footnoteReference w:id="22"/>
      </w:r>
      <w:r>
        <w:rPr>
          <w:rFonts w:eastAsia="Andale Sans UI" w:cs="Tahoma" w:ascii="Calibri" w:hAnsi="Calibri"/>
          <w:b w:val="false"/>
          <w:bCs w:val="false"/>
          <w:sz w:val="22"/>
          <w:szCs w:val="22"/>
          <w:lang w:val="en-GB" w:eastAsia="zxx" w:bidi="zxx"/>
        </w:rPr>
        <w:t>.</w:t>
      </w:r>
      <w:r>
        <w:rPr>
          <w:rFonts w:eastAsia="Andale Sans UI" w:cs="Tahoma" w:ascii="Calibri" w:hAnsi="Calibri"/>
          <w:b w:val="false"/>
          <w:bCs w:val="false"/>
          <w:sz w:val="22"/>
          <w:szCs w:val="22"/>
          <w:lang w:val="en-GB" w:eastAsia="zxx" w:bidi="zxx"/>
        </w:rPr>
        <w:t xml:space="preserve"> Historically, during lunar eclipses native Filipinos would bang drums, ring </w:t>
      </w:r>
      <w:r>
        <w:rPr>
          <w:rFonts w:eastAsia="Andale Sans UI" w:cs="Tahoma" w:ascii="Calibri" w:hAnsi="Calibri"/>
          <w:b w:val="false"/>
          <w:bCs w:val="false"/>
          <w:sz w:val="22"/>
          <w:szCs w:val="22"/>
          <w:lang w:val="en-GB" w:eastAsia="zxx" w:bidi="zxx"/>
        </w:rPr>
        <w:t xml:space="preserve">bells and make noise to scare off the Bakunawa from eating the moon referring to him as either a dragon, tiger or crocodile spirit and saying </w:t>
      </w:r>
      <w:r>
        <w:rPr>
          <w:rFonts w:eastAsia="Andale Sans UI" w:cs="Tahoma" w:ascii="Calibri" w:hAnsi="Calibri"/>
          <w:b w:val="false"/>
          <w:bCs w:val="false"/>
          <w:i/>
          <w:color w:val="202122"/>
          <w:spacing w:val="0"/>
          <w:sz w:val="22"/>
          <w:szCs w:val="22"/>
          <w:lang w:val="en-GB" w:eastAsia="zxx" w:bidi="zxx"/>
        </w:rPr>
        <w:t>Linamon [ni] laho [ang] buwan</w:t>
      </w:r>
      <w:r>
        <w:rPr>
          <w:rFonts w:eastAsia="Andale Sans UI" w:cs="Tahoma" w:ascii="Calibri" w:hAnsi="Calibri"/>
          <w:b w:val="false"/>
          <w:bCs w:val="false"/>
          <w:i/>
          <w:caps w:val="false"/>
          <w:smallCaps w:val="false"/>
          <w:color w:val="202122"/>
          <w:spacing w:val="0"/>
          <w:sz w:val="22"/>
          <w:szCs w:val="22"/>
          <w:lang w:val="en-GB" w:eastAsia="zxx" w:bidi="zxx"/>
        </w:rPr>
        <w:t xml:space="preserve"> </w:t>
      </w:r>
      <w:r>
        <w:rPr>
          <w:rFonts w:eastAsia="Andale Sans UI" w:cs="Tahoma" w:ascii="Calibri" w:hAnsi="Calibri"/>
          <w:b w:val="false"/>
          <w:bCs w:val="false"/>
          <w:i w:val="false"/>
          <w:caps w:val="false"/>
          <w:smallCaps w:val="false"/>
          <w:color w:val="202122"/>
          <w:spacing w:val="0"/>
          <w:sz w:val="22"/>
          <w:szCs w:val="22"/>
          <w:lang w:val="en-GB" w:eastAsia="zxx" w:bidi="zxx"/>
        </w:rPr>
        <w:t>[Tagalog trans.: "Laho swallowed the moon"]</w:t>
      </w:r>
      <w:r>
        <w:rPr>
          <w:rStyle w:val="FootnoteAnchor"/>
          <w:rFonts w:eastAsia="Andale Sans UI" w:cs="Tahoma" w:ascii="Calibri" w:hAnsi="Calibri"/>
          <w:b w:val="false"/>
          <w:bCs w:val="false"/>
          <w:i w:val="false"/>
          <w:caps w:val="false"/>
          <w:smallCaps w:val="false"/>
          <w:color w:val="202122"/>
          <w:spacing w:val="0"/>
          <w:sz w:val="22"/>
          <w:szCs w:val="22"/>
          <w:vertAlign w:val="superscript"/>
          <w:lang w:val="en-GB" w:eastAsia="zxx" w:bidi="zxx"/>
        </w:rPr>
        <w:footnoteReference w:id="23"/>
      </w:r>
      <w:r>
        <w:rPr>
          <w:rFonts w:eastAsia="Andale Sans UI" w:cs="Tahoma" w:ascii="Calibri" w:hAnsi="Calibri"/>
          <w:b w:val="false"/>
          <w:bCs w:val="false"/>
          <w:i w:val="false"/>
          <w:caps w:val="false"/>
          <w:smallCaps w:val="false"/>
          <w:color w:val="202122"/>
          <w:spacing w:val="0"/>
          <w:sz w:val="22"/>
          <w:szCs w:val="22"/>
          <w:lang w:val="en-GB" w:eastAsia="zxx" w:bidi="zxx"/>
        </w:rPr>
        <w:t>.</w:t>
      </w:r>
    </w:p>
    <w:p>
      <w:pPr>
        <w:pStyle w:val="Normal"/>
        <w:jc w:val="left"/>
        <w:rPr>
          <w:rFonts w:ascii="Calibri" w:hAnsi="Calibri"/>
          <w:b w:val="false"/>
          <w:b w:val="false"/>
          <w:bCs w:val="false"/>
          <w:sz w:val="22"/>
          <w:szCs w:val="22"/>
          <w:lang w:val="en-GB"/>
        </w:rPr>
      </w:pPr>
      <w:r>
        <w:rPr>
          <w:rFonts w:ascii="Calibri" w:hAnsi="Calibri"/>
          <w:b w:val="false"/>
          <w:bCs w:val="false"/>
          <w:sz w:val="22"/>
          <w:szCs w:val="22"/>
          <w:lang w:val="en-GB"/>
        </w:rPr>
      </w:r>
    </w:p>
    <w:p>
      <w:pPr>
        <w:pStyle w:val="Normal"/>
        <w:jc w:val="left"/>
        <w:rPr>
          <w:rFonts w:ascii="Calibri" w:hAnsi="Calibri"/>
          <w:b w:val="false"/>
          <w:b w:val="false"/>
          <w:bCs w:val="false"/>
          <w:sz w:val="22"/>
          <w:szCs w:val="22"/>
          <w:lang w:val="en-GB"/>
        </w:rPr>
      </w:pPr>
      <w:r>
        <w:rPr>
          <w:rFonts w:ascii="Calibri" w:hAnsi="Calibri"/>
          <w:b w:val="false"/>
          <w:bCs w:val="false"/>
          <w:sz w:val="22"/>
          <w:szCs w:val="22"/>
          <w:lang w:val="en-GB"/>
        </w:rPr>
        <w:tab/>
        <w:t>In conclusion, in this essay I have attempted to show that there is an undercurrent of similar mythical lunar tropes in mythos from cultures that have mixed and entwined either through trade or expansion. Hati's swallowing of the moon is emblematic of other lunar deities or celestial beings who are associated with the moon and it's lunar phases, pathways or ascension. By combining the male and female solar and lunar myths from around the world, it can be stated with relative ease that the cultural significance of the story is in the combination of joint worship. As our ancestors looked towards the heavens we as a people still do but in the form of scientific lunar discovery and the expansion of our species.</w:t>
      </w:r>
    </w:p>
    <w:p>
      <w:pPr>
        <w:pStyle w:val="Normal"/>
        <w:jc w:val="left"/>
        <w:rPr>
          <w:rFonts w:ascii="Calibri" w:hAnsi="Calibri"/>
          <w:b w:val="false"/>
          <w:b w:val="false"/>
          <w:bCs w:val="false"/>
          <w:sz w:val="22"/>
          <w:szCs w:val="22"/>
          <w:lang w:val="en-GB"/>
        </w:rPr>
      </w:pPr>
      <w:r>
        <w:rPr>
          <w:rFonts w:ascii="Calibri" w:hAnsi="Calibri"/>
          <w:b w:val="false"/>
          <w:bCs w:val="false"/>
          <w:sz w:val="22"/>
          <w:szCs w:val="22"/>
          <w:lang w:val="en-GB"/>
        </w:rPr>
      </w:r>
    </w:p>
    <w:p>
      <w:pPr>
        <w:pStyle w:val="Normal"/>
        <w:jc w:val="left"/>
        <w:rPr>
          <w:rFonts w:ascii="Calibri" w:hAnsi="Calibri"/>
          <w:b w:val="false"/>
          <w:b w:val="false"/>
          <w:bCs w:val="false"/>
          <w:sz w:val="22"/>
          <w:szCs w:val="22"/>
          <w:lang w:val="en-GB"/>
        </w:rPr>
      </w:pPr>
      <w:r>
        <w:rPr>
          <w:rFonts w:ascii="Calibri" w:hAnsi="Calibri"/>
          <w:b w:val="false"/>
          <w:bCs w:val="false"/>
          <w:sz w:val="22"/>
          <w:szCs w:val="22"/>
          <w:lang w:val="en-GB"/>
        </w:rPr>
      </w:r>
    </w:p>
    <w:p>
      <w:pPr>
        <w:pStyle w:val="Normal"/>
        <w:jc w:val="left"/>
        <w:rPr>
          <w:rFonts w:ascii="Calibri" w:hAnsi="Calibri"/>
          <w:b w:val="false"/>
          <w:b w:val="false"/>
          <w:bCs w:val="false"/>
          <w:sz w:val="22"/>
          <w:szCs w:val="22"/>
          <w:lang w:val="en-GB"/>
        </w:rPr>
      </w:pPr>
      <w:r>
        <w:rPr>
          <w:rFonts w:ascii="Calibri" w:hAnsi="Calibri"/>
          <w:b w:val="false"/>
          <w:bCs w:val="false"/>
          <w:sz w:val="22"/>
          <w:szCs w:val="22"/>
          <w:lang w:val="en-GB"/>
        </w:rPr>
      </w:r>
    </w:p>
    <w:p>
      <w:pPr>
        <w:pStyle w:val="Normal"/>
        <w:jc w:val="left"/>
        <w:rPr>
          <w:rFonts w:ascii="Calibri" w:hAnsi="Calibri"/>
          <w:b w:val="false"/>
          <w:b w:val="false"/>
          <w:bCs w:val="false"/>
          <w:sz w:val="22"/>
          <w:szCs w:val="22"/>
          <w:lang w:val="en-GB"/>
        </w:rPr>
      </w:pPr>
      <w:r>
        <w:rPr>
          <w:rFonts w:ascii="Calibri" w:hAnsi="Calibri"/>
          <w:b w:val="false"/>
          <w:bCs w:val="false"/>
          <w:sz w:val="22"/>
          <w:szCs w:val="22"/>
          <w:lang w:val="en-GB"/>
        </w:rPr>
      </w:r>
    </w:p>
    <w:p>
      <w:pPr>
        <w:pStyle w:val="Normal"/>
        <w:jc w:val="left"/>
        <w:rPr>
          <w:rFonts w:ascii="Calibri" w:hAnsi="Calibri"/>
          <w:b w:val="false"/>
          <w:b w:val="false"/>
          <w:bCs w:val="false"/>
          <w:sz w:val="22"/>
          <w:szCs w:val="22"/>
          <w:lang w:val="en-GB"/>
        </w:rPr>
      </w:pPr>
      <w:r>
        <w:rPr>
          <w:rFonts w:ascii="Calibri" w:hAnsi="Calibri"/>
          <w:b w:val="false"/>
          <w:bCs w:val="false"/>
          <w:sz w:val="22"/>
          <w:szCs w:val="22"/>
          <w:lang w:val="en-GB"/>
        </w:rPr>
      </w:r>
    </w:p>
    <w:p>
      <w:pPr>
        <w:pStyle w:val="Normal"/>
        <w:jc w:val="left"/>
        <w:rPr>
          <w:rFonts w:ascii="Calibri" w:hAnsi="Calibri"/>
          <w:b w:val="false"/>
          <w:b w:val="false"/>
          <w:bCs w:val="false"/>
          <w:sz w:val="22"/>
          <w:szCs w:val="22"/>
          <w:lang w:val="en-GB"/>
        </w:rPr>
      </w:pPr>
      <w:r>
        <w:rPr>
          <w:rFonts w:ascii="Calibri" w:hAnsi="Calibri"/>
          <w:b w:val="false"/>
          <w:bCs w:val="false"/>
          <w:sz w:val="22"/>
          <w:szCs w:val="22"/>
          <w:lang w:val="en-GB"/>
        </w:rPr>
      </w:r>
    </w:p>
    <w:p>
      <w:pPr>
        <w:pStyle w:val="Normal"/>
        <w:jc w:val="left"/>
        <w:rPr>
          <w:rFonts w:ascii="Calibri" w:hAnsi="Calibri"/>
          <w:b w:val="false"/>
          <w:b w:val="false"/>
          <w:bCs w:val="false"/>
          <w:sz w:val="22"/>
          <w:szCs w:val="22"/>
          <w:lang w:val="en-GB"/>
        </w:rPr>
      </w:pPr>
      <w:r>
        <w:rPr>
          <w:rFonts w:ascii="Calibri" w:hAnsi="Calibri"/>
          <w:b w:val="false"/>
          <w:bCs w:val="false"/>
          <w:sz w:val="22"/>
          <w:szCs w:val="22"/>
          <w:lang w:val="en-GB"/>
        </w:rPr>
      </w:r>
    </w:p>
    <w:p>
      <w:pPr>
        <w:pStyle w:val="Normal"/>
        <w:jc w:val="left"/>
        <w:rPr>
          <w:rFonts w:ascii="Calibri" w:hAnsi="Calibri"/>
          <w:b w:val="false"/>
          <w:b w:val="false"/>
          <w:bCs w:val="false"/>
          <w:sz w:val="22"/>
          <w:szCs w:val="22"/>
          <w:lang w:val="en-GB"/>
        </w:rPr>
      </w:pPr>
      <w:r>
        <w:rPr>
          <w:rFonts w:ascii="Calibri" w:hAnsi="Calibri"/>
          <w:b w:val="false"/>
          <w:bCs w:val="false"/>
          <w:sz w:val="22"/>
          <w:szCs w:val="22"/>
          <w:lang w:val="en-GB"/>
        </w:rPr>
      </w:r>
    </w:p>
    <w:p>
      <w:pPr>
        <w:pStyle w:val="Normal"/>
        <w:jc w:val="left"/>
        <w:rPr>
          <w:rFonts w:ascii="Calibri" w:hAnsi="Calibri"/>
          <w:b w:val="false"/>
          <w:b w:val="false"/>
          <w:bCs w:val="false"/>
          <w:sz w:val="22"/>
          <w:szCs w:val="22"/>
          <w:lang w:val="en-GB"/>
        </w:rPr>
      </w:pPr>
      <w:r>
        <w:rPr>
          <w:rFonts w:ascii="Calibri" w:hAnsi="Calibri"/>
          <w:b w:val="false"/>
          <w:bCs w:val="false"/>
          <w:sz w:val="22"/>
          <w:szCs w:val="22"/>
          <w:lang w:val="en-GB"/>
        </w:rPr>
      </w:r>
    </w:p>
    <w:p>
      <w:pPr>
        <w:pStyle w:val="Normal"/>
        <w:jc w:val="left"/>
        <w:rPr>
          <w:rFonts w:ascii="Calibri" w:hAnsi="Calibri"/>
          <w:b w:val="false"/>
          <w:b w:val="false"/>
          <w:bCs w:val="false"/>
          <w:sz w:val="22"/>
          <w:szCs w:val="22"/>
          <w:lang w:val="en-GB"/>
        </w:rPr>
      </w:pPr>
      <w:r>
        <w:rPr>
          <w:rFonts w:ascii="Calibri" w:hAnsi="Calibri"/>
          <w:b w:val="false"/>
          <w:bCs w:val="false"/>
          <w:sz w:val="22"/>
          <w:szCs w:val="22"/>
          <w:lang w:val="en-GB"/>
        </w:rPr>
      </w:r>
    </w:p>
    <w:p>
      <w:pPr>
        <w:pStyle w:val="Normal"/>
        <w:jc w:val="left"/>
        <w:rPr>
          <w:rFonts w:ascii="Calibri" w:hAnsi="Calibri"/>
          <w:b w:val="false"/>
          <w:b w:val="false"/>
          <w:bCs w:val="false"/>
          <w:sz w:val="22"/>
          <w:szCs w:val="22"/>
          <w:lang w:val="en-GB"/>
        </w:rPr>
      </w:pPr>
      <w:r>
        <w:rPr>
          <w:rFonts w:ascii="Calibri" w:hAnsi="Calibri"/>
          <w:b w:val="false"/>
          <w:bCs w:val="false"/>
          <w:sz w:val="22"/>
          <w:szCs w:val="22"/>
          <w:lang w:val="en-GB"/>
        </w:rPr>
      </w:r>
    </w:p>
    <w:p>
      <w:pPr>
        <w:pStyle w:val="Normal"/>
        <w:jc w:val="left"/>
        <w:rPr>
          <w:rFonts w:ascii="Calibri" w:hAnsi="Calibri"/>
          <w:b w:val="false"/>
          <w:b w:val="false"/>
          <w:bCs w:val="false"/>
          <w:sz w:val="22"/>
          <w:szCs w:val="22"/>
          <w:lang w:val="en-GB"/>
        </w:rPr>
      </w:pPr>
      <w:r>
        <w:rPr>
          <w:rFonts w:ascii="Calibri" w:hAnsi="Calibri"/>
          <w:b w:val="false"/>
          <w:bCs w:val="false"/>
          <w:sz w:val="22"/>
          <w:szCs w:val="22"/>
          <w:lang w:val="en-GB"/>
        </w:rPr>
      </w:r>
    </w:p>
    <w:p>
      <w:pPr>
        <w:pStyle w:val="Normal"/>
        <w:jc w:val="left"/>
        <w:rPr>
          <w:rFonts w:ascii="Calibri" w:hAnsi="Calibri"/>
          <w:b w:val="false"/>
          <w:b w:val="false"/>
          <w:bCs w:val="false"/>
          <w:sz w:val="22"/>
          <w:szCs w:val="22"/>
          <w:lang w:val="en-GB"/>
        </w:rPr>
      </w:pPr>
      <w:r>
        <w:rPr>
          <w:rFonts w:ascii="Calibri" w:hAnsi="Calibri"/>
          <w:b w:val="false"/>
          <w:bCs w:val="false"/>
          <w:sz w:val="22"/>
          <w:szCs w:val="22"/>
          <w:lang w:val="en-GB"/>
        </w:rPr>
      </w:r>
    </w:p>
    <w:p>
      <w:pPr>
        <w:pStyle w:val="Normal"/>
        <w:jc w:val="left"/>
        <w:rPr>
          <w:rFonts w:ascii="Calibri" w:hAnsi="Calibri"/>
          <w:b w:val="false"/>
          <w:b w:val="false"/>
          <w:bCs w:val="false"/>
          <w:sz w:val="22"/>
          <w:szCs w:val="22"/>
          <w:lang w:val="en-GB"/>
        </w:rPr>
      </w:pPr>
      <w:r>
        <w:rPr>
          <w:rFonts w:ascii="Calibri" w:hAnsi="Calibri"/>
          <w:b w:val="false"/>
          <w:bCs w:val="false"/>
          <w:sz w:val="22"/>
          <w:szCs w:val="22"/>
          <w:lang w:val="en-GB"/>
        </w:rPr>
      </w:r>
    </w:p>
    <w:p>
      <w:pPr>
        <w:pStyle w:val="Normal"/>
        <w:jc w:val="left"/>
        <w:rPr>
          <w:rFonts w:ascii="Calibri" w:hAnsi="Calibri"/>
          <w:b w:val="false"/>
          <w:b w:val="false"/>
          <w:bCs w:val="false"/>
          <w:sz w:val="22"/>
          <w:szCs w:val="22"/>
          <w:lang w:val="en-GB"/>
        </w:rPr>
      </w:pPr>
      <w:r>
        <w:rPr>
          <w:rFonts w:ascii="Calibri" w:hAnsi="Calibri"/>
          <w:b w:val="false"/>
          <w:bCs w:val="false"/>
          <w:sz w:val="22"/>
          <w:szCs w:val="22"/>
          <w:lang w:val="en-GB"/>
        </w:rPr>
      </w:r>
    </w:p>
    <w:p>
      <w:pPr>
        <w:pStyle w:val="Normal"/>
        <w:jc w:val="left"/>
        <w:rPr>
          <w:rFonts w:ascii="Calibri" w:hAnsi="Calibri"/>
          <w:b w:val="false"/>
          <w:b w:val="false"/>
          <w:bCs w:val="false"/>
          <w:sz w:val="22"/>
          <w:szCs w:val="22"/>
          <w:lang w:val="en-GB"/>
        </w:rPr>
      </w:pPr>
      <w:r>
        <w:rPr>
          <w:rFonts w:ascii="Calibri" w:hAnsi="Calibri"/>
          <w:b w:val="false"/>
          <w:bCs w:val="false"/>
          <w:sz w:val="22"/>
          <w:szCs w:val="22"/>
          <w:lang w:val="en-GB"/>
        </w:rPr>
      </w:r>
    </w:p>
    <w:p>
      <w:pPr>
        <w:pStyle w:val="Normal"/>
        <w:jc w:val="left"/>
        <w:rPr/>
      </w:pPr>
      <w:r>
        <w:rPr>
          <w:rFonts w:ascii="Calibri" w:hAnsi="Calibri"/>
          <w:b/>
          <w:bCs/>
          <w:sz w:val="22"/>
          <w:szCs w:val="22"/>
          <w:lang w:val="en-GB"/>
        </w:rPr>
        <w:t>References:</w:t>
        <w:br/>
      </w:r>
    </w:p>
    <w:p>
      <w:pPr>
        <w:pStyle w:val="Normal"/>
        <w:jc w:val="left"/>
        <w:rPr/>
      </w:pPr>
      <w:r>
        <w:rPr>
          <w:b w:val="false"/>
          <w:bCs w:val="false"/>
          <w:sz w:val="22"/>
          <w:szCs w:val="22"/>
          <w:lang w:val="en-GB"/>
        </w:rPr>
        <w:t>1.</w:t>
      </w:r>
      <w:r>
        <w:rPr>
          <w:b w:val="false"/>
          <w:bCs w:val="false"/>
          <w:sz w:val="22"/>
          <w:szCs w:val="22"/>
          <w:lang w:val="en-GB"/>
        </w:rPr>
        <w:t xml:space="preserve"> Rahmann, R. (1955) 'Quarrels and Enmity between the Sun and the Moon. A Contribution to the Mythologies of the Philippines, India, and the Malay Peninsula.' </w:t>
      </w:r>
      <w:r>
        <w:rPr>
          <w:b w:val="false"/>
          <w:bCs w:val="false"/>
          <w:i/>
          <w:sz w:val="22"/>
          <w:szCs w:val="22"/>
          <w:lang w:val="en-GB"/>
        </w:rPr>
        <w:t>Folklore Studies</w:t>
      </w:r>
      <w:r>
        <w:rPr>
          <w:b w:val="false"/>
          <w:bCs w:val="false"/>
          <w:sz w:val="22"/>
          <w:szCs w:val="22"/>
          <w:lang w:val="en-GB"/>
        </w:rPr>
        <w:t>, 14, https://doi.org/10.2307/1177341. Accessed 30 Mar. 2023.</w:t>
      </w:r>
    </w:p>
    <w:p>
      <w:pPr>
        <w:pStyle w:val="Normal"/>
        <w:jc w:val="left"/>
        <w:rPr>
          <w:rFonts w:ascii="Times New Roman" w:hAnsi="Times New Roman"/>
          <w:lang w:val="en-GB"/>
        </w:rPr>
      </w:pPr>
      <w:r>
        <w:rPr>
          <w:b w:val="false"/>
          <w:bCs w:val="false"/>
          <w:sz w:val="22"/>
          <w:szCs w:val="22"/>
          <w:lang w:val="en-GB"/>
        </w:rPr>
        <w:t>2.</w:t>
      </w:r>
      <w:r>
        <w:rPr>
          <w:b w:val="false"/>
          <w:bCs w:val="false"/>
          <w:sz w:val="22"/>
          <w:szCs w:val="22"/>
          <w:lang w:val="en-GB"/>
        </w:rPr>
        <w:t xml:space="preserve"> Harari, Y. N. (2011),  </w:t>
      </w:r>
      <w:r>
        <w:rPr>
          <w:b w:val="false"/>
          <w:bCs w:val="false"/>
          <w:i/>
          <w:iCs/>
          <w:sz w:val="22"/>
          <w:szCs w:val="22"/>
          <w:lang w:val="en-GB"/>
        </w:rPr>
        <w:t xml:space="preserve">Sapiens: A Brief History of Humankind </w:t>
      </w:r>
      <w:r>
        <w:rPr>
          <w:b w:val="false"/>
          <w:bCs w:val="false"/>
          <w:i w:val="false"/>
          <w:iCs w:val="false"/>
          <w:sz w:val="22"/>
          <w:szCs w:val="22"/>
          <w:lang w:val="en-GB"/>
        </w:rPr>
        <w:t>(audiobook), Derek Perkins, narrator, (2015 Penguin Audio), Randomhouse Audiobooks (Publisher).</w:t>
      </w:r>
    </w:p>
    <w:p>
      <w:pPr>
        <w:pStyle w:val="Normal"/>
        <w:jc w:val="left"/>
        <w:rPr/>
      </w:pPr>
      <w:r>
        <w:rPr>
          <w:b w:val="false"/>
          <w:bCs w:val="false"/>
          <w:sz w:val="22"/>
          <w:szCs w:val="22"/>
          <w:lang w:val="en-GB"/>
        </w:rPr>
        <w:t>3</w:t>
      </w:r>
      <w:r>
        <w:rPr>
          <w:b w:val="false"/>
          <w:bCs w:val="false"/>
          <w:sz w:val="22"/>
          <w:szCs w:val="22"/>
          <w:lang w:val="en-GB"/>
        </w:rPr>
        <w:t>. Young. M. J., (1987) '</w:t>
      </w:r>
      <w:r>
        <w:rPr>
          <w:b w:val="false"/>
          <w:bCs w:val="false"/>
          <w:i w:val="false"/>
          <w:iCs w:val="false"/>
          <w:sz w:val="22"/>
          <w:szCs w:val="22"/>
          <w:lang w:val="en-GB"/>
        </w:rPr>
        <w:t xml:space="preserve">Pity the Indians of Outer Space: Native American Views of the Space Program' </w:t>
      </w:r>
      <w:r>
        <w:rPr>
          <w:b w:val="false"/>
          <w:bCs w:val="false"/>
          <w:i/>
          <w:iCs/>
          <w:sz w:val="22"/>
          <w:szCs w:val="22"/>
          <w:lang w:val="en-GB"/>
        </w:rPr>
        <w:t>Western Folklore</w:t>
      </w:r>
      <w:r>
        <w:rPr>
          <w:b w:val="false"/>
          <w:bCs w:val="false"/>
          <w:i w:val="false"/>
          <w:iCs w:val="false"/>
          <w:sz w:val="22"/>
          <w:szCs w:val="22"/>
          <w:lang w:val="en-GB"/>
        </w:rPr>
        <w:t xml:space="preserve">, 46 (4), 269-279, &lt;DOI: </w:t>
      </w:r>
      <w:r>
        <w:rPr>
          <w:b w:val="false"/>
          <w:bCs w:val="false"/>
          <w:i w:val="false"/>
          <w:iCs w:val="false"/>
          <w:caps w:val="false"/>
          <w:smallCaps w:val="false"/>
          <w:color w:val="000000"/>
          <w:spacing w:val="0"/>
          <w:sz w:val="24"/>
          <w:szCs w:val="22"/>
          <w:lang w:val="en-GB"/>
        </w:rPr>
        <w:t>https://doi.org/10.2307/1499889&gt;</w:t>
      </w:r>
    </w:p>
    <w:p>
      <w:pPr>
        <w:pStyle w:val="Normal"/>
        <w:jc w:val="left"/>
        <w:rPr/>
      </w:pPr>
      <w:r>
        <w:rPr>
          <w:b w:val="false"/>
          <w:bCs w:val="false"/>
          <w:sz w:val="22"/>
          <w:szCs w:val="22"/>
        </w:rPr>
        <w:t>4.</w:t>
      </w:r>
      <w:r>
        <w:rPr>
          <w:b w:val="false"/>
          <w:bCs w:val="false"/>
          <w:sz w:val="22"/>
          <w:szCs w:val="22"/>
        </w:rPr>
        <w:t xml:space="preserve"> Launius, R. D. (2008), 'Heroes in a Vacuum: The Apollo Astronaut as Cultural Icon.' </w:t>
      </w:r>
      <w:r>
        <w:rPr>
          <w:b w:val="false"/>
          <w:bCs w:val="false"/>
          <w:i/>
          <w:sz w:val="22"/>
          <w:szCs w:val="22"/>
        </w:rPr>
        <w:t>The Florida Historical Quarterly</w:t>
      </w:r>
      <w:r>
        <w:rPr>
          <w:b w:val="false"/>
          <w:bCs w:val="false"/>
          <w:sz w:val="22"/>
          <w:szCs w:val="22"/>
        </w:rPr>
        <w:t>, 87(2), 174–209, http://www.jstor.org/stable/20700214. Accessed 29 Mar. 2023.</w:t>
      </w:r>
    </w:p>
    <w:p>
      <w:pPr>
        <w:pStyle w:val="Normal"/>
        <w:jc w:val="left"/>
        <w:rPr/>
      </w:pPr>
      <w:r>
        <w:rPr>
          <w:b w:val="false"/>
          <w:bCs w:val="false"/>
          <w:sz w:val="22"/>
          <w:szCs w:val="22"/>
          <w:lang w:val="en-GB"/>
        </w:rPr>
        <w:t>4.</w:t>
      </w:r>
      <w:r>
        <w:rPr>
          <w:b w:val="false"/>
          <w:bCs w:val="false"/>
          <w:sz w:val="22"/>
          <w:szCs w:val="22"/>
          <w:lang w:val="en-GB"/>
        </w:rPr>
        <w:t xml:space="preserve"> </w:t>
      </w:r>
      <w:r>
        <w:rPr>
          <w:b w:val="false"/>
          <w:bCs w:val="false"/>
          <w:sz w:val="22"/>
          <w:szCs w:val="22"/>
        </w:rPr>
        <w:t>W</w:t>
      </w:r>
      <w:r>
        <w:rPr>
          <w:b w:val="false"/>
          <w:bCs w:val="false"/>
          <w:sz w:val="22"/>
          <w:szCs w:val="22"/>
        </w:rPr>
        <w:t>ilson</w:t>
      </w:r>
      <w:r>
        <w:rPr>
          <w:b w:val="false"/>
          <w:bCs w:val="false"/>
          <w:sz w:val="22"/>
          <w:szCs w:val="22"/>
        </w:rPr>
        <w:t xml:space="preserve">, C. R. (1984), American Heavens: Apollo and the Civil Religion. </w:t>
      </w:r>
      <w:r>
        <w:rPr>
          <w:b w:val="false"/>
          <w:bCs w:val="false"/>
          <w:i/>
          <w:sz w:val="22"/>
          <w:szCs w:val="22"/>
        </w:rPr>
        <w:t>Journal of Church and State</w:t>
      </w:r>
      <w:r>
        <w:rPr>
          <w:b w:val="false"/>
          <w:bCs w:val="false"/>
          <w:sz w:val="22"/>
          <w:szCs w:val="22"/>
        </w:rPr>
        <w:t xml:space="preserve">, </w:t>
      </w:r>
      <w:r>
        <w:rPr>
          <w:b w:val="false"/>
          <w:bCs w:val="false"/>
          <w:i w:val="false"/>
          <w:iCs w:val="false"/>
          <w:sz w:val="22"/>
          <w:szCs w:val="22"/>
        </w:rPr>
        <w:t>26(</w:t>
      </w:r>
      <w:r>
        <w:rPr>
          <w:b w:val="false"/>
          <w:bCs w:val="false"/>
          <w:sz w:val="22"/>
          <w:szCs w:val="22"/>
        </w:rPr>
        <w:t>2), 209–226, http://www.jstor.org/stable/23917806. Accessed 29 Mar. 2023.</w:t>
      </w:r>
    </w:p>
    <w:p>
      <w:pPr>
        <w:pStyle w:val="Normal"/>
        <w:jc w:val="left"/>
        <w:rPr/>
      </w:pPr>
      <w:r>
        <w:rPr>
          <w:b w:val="false"/>
          <w:bCs w:val="false"/>
          <w:sz w:val="22"/>
          <w:szCs w:val="22"/>
        </w:rPr>
        <w:t>6</w:t>
      </w:r>
      <w:r>
        <w:rPr>
          <w:b w:val="false"/>
          <w:bCs w:val="false"/>
          <w:sz w:val="22"/>
          <w:szCs w:val="22"/>
        </w:rPr>
        <w:t xml:space="preserve">. Tignor, R.L., (2010) 'Egypt during the Old Kingdom.' In </w:t>
      </w:r>
      <w:r>
        <w:rPr>
          <w:b w:val="false"/>
          <w:bCs w:val="false"/>
          <w:i/>
          <w:sz w:val="22"/>
          <w:szCs w:val="22"/>
        </w:rPr>
        <w:t>Egypt: A Short History</w:t>
      </w:r>
      <w:r>
        <w:rPr>
          <w:b w:val="false"/>
          <w:bCs w:val="false"/>
          <w:sz w:val="22"/>
          <w:szCs w:val="22"/>
        </w:rPr>
        <w:t>, 26–50, Princeton University Press, http://www.jstor.org/stable/j.ctt7rjf4.7. Accessed 29 Mar. 2023.</w:t>
      </w:r>
    </w:p>
    <w:p>
      <w:pPr>
        <w:pStyle w:val="Normal"/>
        <w:jc w:val="left"/>
        <w:rPr/>
      </w:pPr>
      <w:r>
        <w:rPr>
          <w:b w:val="false"/>
          <w:bCs w:val="false"/>
          <w:sz w:val="22"/>
          <w:szCs w:val="22"/>
        </w:rPr>
        <w:t>7</w:t>
      </w:r>
      <w:r>
        <w:rPr>
          <w:b w:val="false"/>
          <w:bCs w:val="false"/>
          <w:sz w:val="22"/>
          <w:szCs w:val="22"/>
        </w:rPr>
        <w:t xml:space="preserve">. Boyle, R. (2023), NASA's Return to the Moon is Off to a Rocky Start.' </w:t>
      </w:r>
      <w:r>
        <w:rPr>
          <w:b w:val="false"/>
          <w:bCs w:val="false"/>
          <w:i/>
          <w:iCs/>
          <w:sz w:val="22"/>
          <w:szCs w:val="22"/>
        </w:rPr>
        <w:t>MIT Technology Review</w:t>
      </w:r>
      <w:r>
        <w:rPr>
          <w:b w:val="false"/>
          <w:bCs w:val="false"/>
          <w:i w:val="false"/>
          <w:iCs w:val="false"/>
          <w:sz w:val="22"/>
          <w:szCs w:val="22"/>
        </w:rPr>
        <w:t>, January 9th, 2023,  https://www.technologyreview.com/2023/01/09/1065143/nasa-artemis-return-to-moon. Accessed 29 Mar. 2023.</w:t>
      </w:r>
    </w:p>
    <w:p>
      <w:pPr>
        <w:pStyle w:val="Normal"/>
        <w:jc w:val="left"/>
        <w:rPr/>
      </w:pPr>
      <w:r>
        <w:rPr>
          <w:b w:val="false"/>
          <w:bCs w:val="false"/>
          <w:i w:val="false"/>
          <w:iCs w:val="false"/>
          <w:sz w:val="22"/>
          <w:szCs w:val="22"/>
        </w:rPr>
        <w:t>8</w:t>
      </w:r>
      <w:r>
        <w:rPr>
          <w:b w:val="false"/>
          <w:bCs w:val="false"/>
          <w:i w:val="false"/>
          <w:iCs w:val="false"/>
          <w:sz w:val="22"/>
          <w:szCs w:val="22"/>
        </w:rPr>
        <w:t xml:space="preserve">. Rosen, D. M. and V. P. Rosen, (2000) 'New Myths and Meanings in Jewish New Moon Rituals.' </w:t>
      </w:r>
      <w:r>
        <w:rPr>
          <w:b w:val="false"/>
          <w:bCs w:val="false"/>
          <w:i/>
          <w:iCs w:val="false"/>
          <w:sz w:val="22"/>
          <w:szCs w:val="22"/>
        </w:rPr>
        <w:t>Ethnology</w:t>
      </w:r>
      <w:r>
        <w:rPr>
          <w:b w:val="false"/>
          <w:bCs w:val="false"/>
          <w:i w:val="false"/>
          <w:iCs w:val="false"/>
          <w:sz w:val="22"/>
          <w:szCs w:val="22"/>
        </w:rPr>
        <w:t>, 39(3), 263–77, https://doi.org/10.2307/3774110. Accessed 29 Mar. 2023.</w:t>
      </w:r>
    </w:p>
    <w:p>
      <w:pPr>
        <w:pStyle w:val="Normal"/>
        <w:jc w:val="left"/>
        <w:rPr/>
      </w:pPr>
      <w:r>
        <w:rPr>
          <w:b w:val="false"/>
          <w:bCs w:val="false"/>
          <w:i w:val="false"/>
          <w:iCs w:val="false"/>
          <w:sz w:val="22"/>
          <w:szCs w:val="22"/>
        </w:rPr>
        <w:t>9</w:t>
      </w:r>
      <w:r>
        <w:rPr>
          <w:b w:val="false"/>
          <w:bCs w:val="false"/>
          <w:i w:val="false"/>
          <w:iCs w:val="false"/>
          <w:sz w:val="22"/>
          <w:szCs w:val="22"/>
        </w:rPr>
        <w:t xml:space="preserve">. </w:t>
      </w:r>
      <w:r>
        <w:rPr>
          <w:b w:val="false"/>
          <w:bCs w:val="false"/>
          <w:i w:val="false"/>
          <w:iCs w:val="false"/>
          <w:caps w:val="false"/>
          <w:smallCaps w:val="false"/>
          <w:color w:val="202122"/>
          <w:spacing w:val="0"/>
          <w:sz w:val="24"/>
          <w:szCs w:val="24"/>
        </w:rPr>
        <w:t xml:space="preserve">Obbink, D. (2002) "'All Gods are True' in Epicurus" in </w:t>
      </w:r>
      <w:r>
        <w:rPr>
          <w:b w:val="false"/>
          <w:bCs w:val="false"/>
          <w:i/>
          <w:iCs w:val="false"/>
          <w:color w:val="202122"/>
          <w:spacing w:val="0"/>
          <w:sz w:val="24"/>
          <w:szCs w:val="24"/>
        </w:rPr>
        <w:t>Traditions of Theology: Studies in Hellenistic Theology, Its Background and Aftermath,</w:t>
      </w:r>
      <w:r>
        <w:rPr>
          <w:b w:val="false"/>
          <w:bCs w:val="false"/>
          <w:i/>
          <w:iCs w:val="false"/>
          <w:caps w:val="false"/>
          <w:smallCaps w:val="false"/>
          <w:color w:val="202122"/>
          <w:spacing w:val="0"/>
          <w:sz w:val="24"/>
          <w:szCs w:val="24"/>
        </w:rPr>
        <w:t xml:space="preserve"> </w:t>
      </w:r>
      <w:r>
        <w:rPr>
          <w:b w:val="false"/>
          <w:bCs w:val="false"/>
          <w:i w:val="false"/>
          <w:iCs w:val="false"/>
          <w:caps w:val="false"/>
          <w:smallCaps w:val="false"/>
          <w:color w:val="202122"/>
          <w:spacing w:val="0"/>
          <w:sz w:val="24"/>
          <w:szCs w:val="24"/>
        </w:rPr>
        <w:t>Dorothea, Frede, and André Laks (eds.),  Brill, Boston.</w:t>
      </w:r>
    </w:p>
    <w:p>
      <w:pPr>
        <w:pStyle w:val="Normal"/>
        <w:jc w:val="left"/>
        <w:rPr/>
      </w:pPr>
      <w:r>
        <w:rPr>
          <w:b w:val="false"/>
          <w:bCs w:val="false"/>
          <w:i w:val="false"/>
          <w:iCs w:val="false"/>
          <w:sz w:val="22"/>
          <w:szCs w:val="22"/>
        </w:rPr>
        <w:t>10</w:t>
      </w:r>
      <w:r>
        <w:rPr>
          <w:b w:val="false"/>
          <w:bCs w:val="false"/>
          <w:i w:val="false"/>
          <w:iCs w:val="false"/>
          <w:sz w:val="22"/>
          <w:szCs w:val="22"/>
        </w:rPr>
        <w:t xml:space="preserve">. de Grummond, N. T. (2008) 'Moon over Pyrgi: Catha, an Etruscan Lunar Goddess?' </w:t>
      </w:r>
      <w:r>
        <w:rPr>
          <w:b w:val="false"/>
          <w:bCs w:val="false"/>
          <w:i/>
          <w:iCs w:val="false"/>
          <w:sz w:val="22"/>
          <w:szCs w:val="22"/>
        </w:rPr>
        <w:t>American Journal of Archaeology</w:t>
      </w:r>
      <w:r>
        <w:rPr>
          <w:b w:val="false"/>
          <w:bCs w:val="false"/>
          <w:i w:val="false"/>
          <w:iCs w:val="false"/>
          <w:sz w:val="22"/>
          <w:szCs w:val="22"/>
        </w:rPr>
        <w:t>, 112 (3) 419–28 (422) http://www.jstor.org/stable/20627480. Accessed 30 Mar. 2023.</w:t>
      </w:r>
    </w:p>
    <w:p>
      <w:pPr>
        <w:pStyle w:val="Normal"/>
        <w:jc w:val="left"/>
        <w:rPr/>
      </w:pPr>
      <w:r>
        <w:rPr>
          <w:b w:val="false"/>
          <w:bCs w:val="false"/>
          <w:i w:val="false"/>
          <w:iCs w:val="false"/>
          <w:sz w:val="22"/>
          <w:szCs w:val="22"/>
        </w:rPr>
        <w:t>1</w:t>
      </w:r>
      <w:r>
        <w:rPr>
          <w:b w:val="false"/>
          <w:bCs w:val="false"/>
          <w:i w:val="false"/>
          <w:iCs w:val="false"/>
          <w:sz w:val="22"/>
          <w:szCs w:val="22"/>
        </w:rPr>
        <w:t>1</w:t>
      </w:r>
      <w:r>
        <w:rPr>
          <w:b w:val="false"/>
          <w:bCs w:val="false"/>
          <w:i w:val="false"/>
          <w:iCs w:val="false"/>
          <w:sz w:val="22"/>
          <w:szCs w:val="22"/>
        </w:rPr>
        <w:t xml:space="preserve">. Abubakr, A. M. (1955) 'Divine Boats of Ancient Egypt' </w:t>
      </w:r>
      <w:r>
        <w:rPr>
          <w:b w:val="false"/>
          <w:bCs w:val="false"/>
          <w:i/>
          <w:iCs w:val="false"/>
          <w:sz w:val="22"/>
          <w:szCs w:val="22"/>
        </w:rPr>
        <w:t>Archaeology</w:t>
      </w:r>
      <w:r>
        <w:rPr>
          <w:b w:val="false"/>
          <w:bCs w:val="false"/>
          <w:i w:val="false"/>
          <w:iCs w:val="false"/>
          <w:sz w:val="22"/>
          <w:szCs w:val="22"/>
        </w:rPr>
        <w:t>, 8 (2) 96–101 (96-7) http://www.jstor.org/stable/41663287. Accessed 30 Mar. 2023.</w:t>
      </w:r>
    </w:p>
    <w:p>
      <w:pPr>
        <w:pStyle w:val="Normal"/>
        <w:jc w:val="left"/>
        <w:rPr/>
      </w:pPr>
      <w:r>
        <w:rPr>
          <w:b w:val="false"/>
          <w:bCs w:val="false"/>
          <w:i w:val="false"/>
          <w:iCs w:val="false"/>
          <w:sz w:val="22"/>
          <w:szCs w:val="22"/>
        </w:rPr>
        <w:t>1</w:t>
      </w:r>
      <w:r>
        <w:rPr>
          <w:b w:val="false"/>
          <w:bCs w:val="false"/>
          <w:i w:val="false"/>
          <w:iCs w:val="false"/>
          <w:sz w:val="22"/>
          <w:szCs w:val="22"/>
        </w:rPr>
        <w:t>2</w:t>
      </w:r>
      <w:r>
        <w:rPr>
          <w:b w:val="false"/>
          <w:bCs w:val="false"/>
          <w:i w:val="false"/>
          <w:iCs w:val="false"/>
          <w:sz w:val="22"/>
          <w:szCs w:val="22"/>
        </w:rPr>
        <w:t xml:space="preserve">. McCoy, D., 'Skoll and Hati', </w:t>
      </w:r>
      <w:r>
        <w:rPr>
          <w:b w:val="false"/>
          <w:bCs w:val="false"/>
          <w:i/>
          <w:iCs/>
          <w:sz w:val="22"/>
          <w:szCs w:val="22"/>
        </w:rPr>
        <w:t>Norse Mythology for Smart People</w:t>
      </w:r>
      <w:r>
        <w:rPr>
          <w:b w:val="false"/>
          <w:bCs w:val="false"/>
          <w:i w:val="false"/>
          <w:iCs w:val="false"/>
          <w:sz w:val="22"/>
          <w:szCs w:val="22"/>
        </w:rPr>
        <w:t xml:space="preserve"> https://norse-mythology.org/skoll-hati/  Accessed 30 Mar. 2023</w:t>
      </w:r>
    </w:p>
    <w:p>
      <w:pPr>
        <w:pStyle w:val="Normal"/>
        <w:jc w:val="left"/>
        <w:rPr/>
      </w:pPr>
      <w:r>
        <w:rPr>
          <w:b w:val="false"/>
          <w:bCs w:val="false"/>
          <w:i w:val="false"/>
          <w:iCs w:val="false"/>
          <w:sz w:val="22"/>
          <w:szCs w:val="22"/>
        </w:rPr>
        <w:t>1</w:t>
      </w:r>
      <w:r>
        <w:rPr>
          <w:b w:val="false"/>
          <w:bCs w:val="false"/>
          <w:i w:val="false"/>
          <w:iCs w:val="false"/>
          <w:sz w:val="22"/>
          <w:szCs w:val="22"/>
        </w:rPr>
        <w:t>3</w:t>
      </w:r>
      <w:r>
        <w:rPr>
          <w:b w:val="false"/>
          <w:bCs w:val="false"/>
          <w:i w:val="false"/>
          <w:iCs w:val="false"/>
          <w:sz w:val="22"/>
          <w:szCs w:val="22"/>
        </w:rPr>
        <w:t xml:space="preserve">. Simek, R., (2007) (trans. Angela Hall) </w:t>
      </w:r>
      <w:r>
        <w:rPr>
          <w:b w:val="false"/>
          <w:bCs w:val="false"/>
          <w:i/>
          <w:iCs/>
          <w:sz w:val="22"/>
          <w:szCs w:val="22"/>
        </w:rPr>
        <w:t>Dictionary of Northern Mythology</w:t>
      </w:r>
      <w:r>
        <w:rPr>
          <w:b w:val="false"/>
          <w:bCs w:val="false"/>
          <w:i w:val="false"/>
          <w:iCs w:val="false"/>
          <w:sz w:val="22"/>
          <w:szCs w:val="22"/>
        </w:rPr>
        <w:t xml:space="preserve"> Suffolk: Boydell &amp; Brewer p. 201</w:t>
      </w:r>
    </w:p>
    <w:p>
      <w:pPr>
        <w:pStyle w:val="Normal"/>
        <w:jc w:val="left"/>
        <w:rPr/>
      </w:pPr>
      <w:r>
        <w:rPr>
          <w:b w:val="false"/>
          <w:bCs w:val="false"/>
          <w:i w:val="false"/>
          <w:iCs w:val="false"/>
          <w:sz w:val="22"/>
          <w:szCs w:val="22"/>
        </w:rPr>
        <w:t>1</w:t>
      </w:r>
      <w:r>
        <w:rPr>
          <w:b w:val="false"/>
          <w:bCs w:val="false"/>
          <w:i w:val="false"/>
          <w:iCs w:val="false"/>
          <w:sz w:val="22"/>
          <w:szCs w:val="22"/>
        </w:rPr>
        <w:t>4</w:t>
      </w:r>
      <w:r>
        <w:rPr>
          <w:b w:val="false"/>
          <w:bCs w:val="false"/>
          <w:i w:val="false"/>
          <w:iCs w:val="false"/>
          <w:sz w:val="22"/>
          <w:szCs w:val="22"/>
        </w:rPr>
        <w:t xml:space="preserve">. Lindow, J., 2001 </w:t>
      </w:r>
      <w:r>
        <w:rPr>
          <w:b w:val="false"/>
          <w:bCs w:val="false"/>
          <w:i/>
          <w:iCs/>
          <w:sz w:val="22"/>
          <w:szCs w:val="22"/>
        </w:rPr>
        <w:t>Norse Mythology:</w:t>
      </w:r>
      <w:r>
        <w:rPr>
          <w:b w:val="false"/>
          <w:bCs w:val="false"/>
          <w:i/>
          <w:iCs/>
          <w:color w:val="202122"/>
          <w:spacing w:val="0"/>
          <w:sz w:val="22"/>
          <w:szCs w:val="22"/>
        </w:rPr>
        <w:t xml:space="preserve"> A Guide to the Gods, Heroes, Rituals, and Beliefs</w:t>
      </w:r>
      <w:r>
        <w:rPr>
          <w:b w:val="false"/>
          <w:bCs w:val="false"/>
          <w:i w:val="false"/>
          <w:iCs w:val="false"/>
          <w:sz w:val="22"/>
          <w:szCs w:val="22"/>
        </w:rPr>
        <w:t xml:space="preserve"> Oxford: Oxford University Press p. 78.</w:t>
      </w:r>
    </w:p>
    <w:p>
      <w:pPr>
        <w:pStyle w:val="Normal"/>
        <w:jc w:val="left"/>
        <w:rPr/>
      </w:pPr>
      <w:r>
        <w:rPr>
          <w:b w:val="false"/>
          <w:bCs w:val="false"/>
          <w:i w:val="false"/>
          <w:iCs w:val="false"/>
          <w:caps w:val="false"/>
          <w:smallCaps w:val="false"/>
          <w:color w:val="202122"/>
          <w:spacing w:val="0"/>
          <w:sz w:val="22"/>
          <w:szCs w:val="22"/>
        </w:rPr>
        <w:t>1</w:t>
      </w:r>
      <w:r>
        <w:rPr>
          <w:b w:val="false"/>
          <w:bCs w:val="false"/>
          <w:i w:val="false"/>
          <w:iCs w:val="false"/>
          <w:caps w:val="false"/>
          <w:smallCaps w:val="false"/>
          <w:color w:val="202122"/>
          <w:spacing w:val="0"/>
          <w:sz w:val="22"/>
          <w:szCs w:val="22"/>
        </w:rPr>
        <w:t>5</w:t>
      </w:r>
      <w:r>
        <w:rPr>
          <w:b w:val="false"/>
          <w:bCs w:val="false"/>
          <w:i w:val="false"/>
          <w:iCs w:val="false"/>
          <w:caps w:val="false"/>
          <w:smallCaps w:val="false"/>
          <w:color w:val="202122"/>
          <w:spacing w:val="0"/>
          <w:sz w:val="22"/>
          <w:szCs w:val="22"/>
        </w:rPr>
        <w:t xml:space="preserve">. </w:t>
      </w:r>
      <w:r>
        <w:rPr>
          <w:b w:val="false"/>
          <w:bCs w:val="false"/>
          <w:i w:val="false"/>
          <w:iCs w:val="false"/>
          <w:sz w:val="22"/>
          <w:szCs w:val="22"/>
        </w:rPr>
        <w:t xml:space="preserve">Jones, P. H. (2005) 'A Goddess Arrives: Nineteenth Century Sources of the New Age Triple Moon Goddess' in </w:t>
      </w:r>
      <w:r>
        <w:rPr>
          <w:b w:val="false"/>
          <w:bCs w:val="false"/>
          <w:i/>
          <w:iCs/>
          <w:sz w:val="22"/>
          <w:szCs w:val="22"/>
        </w:rPr>
        <w:t>Culture and Cosmos</w:t>
      </w:r>
      <w:r>
        <w:rPr>
          <w:b w:val="false"/>
          <w:bCs w:val="false"/>
          <w:i w:val="false"/>
          <w:iCs w:val="false"/>
          <w:sz w:val="22"/>
          <w:szCs w:val="22"/>
        </w:rPr>
        <w:t xml:space="preserve"> 19 (1), 45-70.</w:t>
      </w:r>
    </w:p>
    <w:p>
      <w:pPr>
        <w:pStyle w:val="Footnote"/>
        <w:jc w:val="left"/>
        <w:rPr/>
      </w:pPr>
      <w:r>
        <w:rPr>
          <w:b w:val="false"/>
          <w:bCs w:val="false"/>
          <w:i w:val="false"/>
          <w:iCs w:val="false"/>
          <w:sz w:val="22"/>
          <w:szCs w:val="22"/>
        </w:rPr>
        <w:t>1</w:t>
      </w:r>
      <w:r>
        <w:rPr>
          <w:b w:val="false"/>
          <w:bCs w:val="false"/>
          <w:i w:val="false"/>
          <w:iCs w:val="false"/>
          <w:sz w:val="22"/>
          <w:szCs w:val="22"/>
        </w:rPr>
        <w:t>6</w:t>
      </w:r>
      <w:r>
        <w:rPr>
          <w:b w:val="false"/>
          <w:bCs w:val="false"/>
          <w:i w:val="false"/>
          <w:iCs w:val="false"/>
          <w:sz w:val="22"/>
          <w:szCs w:val="22"/>
        </w:rPr>
        <w:t xml:space="preserve">. Uther, H.(2006) "'The Fox in World Literature: Reflections on a ‘Fictional Animal.’” </w:t>
      </w:r>
      <w:r>
        <w:rPr>
          <w:b w:val="false"/>
          <w:bCs w:val="false"/>
          <w:i/>
          <w:iCs w:val="false"/>
          <w:sz w:val="22"/>
          <w:szCs w:val="22"/>
        </w:rPr>
        <w:t>Asian Folklore Studies</w:t>
      </w:r>
      <w:r>
        <w:rPr>
          <w:b w:val="false"/>
          <w:bCs w:val="false"/>
          <w:i w:val="false"/>
          <w:iCs w:val="false"/>
          <w:sz w:val="22"/>
          <w:szCs w:val="22"/>
        </w:rPr>
        <w:t>, 65 (2) pp. 133–60 http://www.jstor.org/stable/30030396. Accessed 30 Mar. 2023.</w:t>
      </w:r>
    </w:p>
    <w:p>
      <w:pPr>
        <w:pStyle w:val="Footnote"/>
        <w:jc w:val="left"/>
        <w:rPr/>
      </w:pPr>
      <w:r>
        <w:rPr>
          <w:b w:val="false"/>
          <w:bCs w:val="false"/>
          <w:i w:val="false"/>
          <w:iCs w:val="false"/>
          <w:sz w:val="22"/>
          <w:szCs w:val="22"/>
        </w:rPr>
        <w:t>1</w:t>
      </w:r>
      <w:r>
        <w:rPr>
          <w:b w:val="false"/>
          <w:bCs w:val="false"/>
          <w:i w:val="false"/>
          <w:iCs w:val="false"/>
          <w:sz w:val="22"/>
          <w:szCs w:val="22"/>
        </w:rPr>
        <w:t>7</w:t>
      </w:r>
      <w:r>
        <w:rPr>
          <w:b w:val="false"/>
          <w:bCs w:val="false"/>
          <w:i w:val="false"/>
          <w:iCs w:val="false"/>
          <w:sz w:val="22"/>
          <w:szCs w:val="22"/>
        </w:rPr>
        <w:t xml:space="preserve">. Roqueplan, F. (2001) 'Transcendent Fury.' </w:t>
      </w:r>
      <w:r>
        <w:rPr>
          <w:b w:val="false"/>
          <w:bCs w:val="false"/>
          <w:i/>
          <w:iCs w:val="false"/>
          <w:sz w:val="22"/>
          <w:szCs w:val="22"/>
        </w:rPr>
        <w:t>Chiricú</w:t>
      </w:r>
      <w:r>
        <w:rPr>
          <w:b w:val="false"/>
          <w:bCs w:val="false"/>
          <w:i w:val="false"/>
          <w:iCs w:val="false"/>
          <w:sz w:val="22"/>
          <w:szCs w:val="22"/>
        </w:rPr>
        <w:t>, 8 (3) http://www.jstor.org/stable/43506263. Accessed 30 Mar. 2023.</w:t>
      </w:r>
    </w:p>
    <w:p>
      <w:pPr>
        <w:pStyle w:val="Footnote"/>
        <w:jc w:val="left"/>
        <w:rPr/>
      </w:pPr>
      <w:r>
        <w:rPr>
          <w:rFonts w:ascii="Times New Roman" w:hAnsi="Times New Roman"/>
          <w:b w:val="false"/>
          <w:bCs w:val="false"/>
          <w:i w:val="false"/>
          <w:iCs w:val="false"/>
          <w:sz w:val="22"/>
          <w:szCs w:val="22"/>
        </w:rPr>
        <w:t xml:space="preserve">18. </w:t>
      </w:r>
      <w:r>
        <w:rPr>
          <w:rFonts w:ascii="Times New Roman" w:hAnsi="Times New Roman"/>
          <w:b w:val="false"/>
          <w:bCs w:val="false"/>
          <w:i w:val="false"/>
          <w:iCs w:val="false"/>
          <w:sz w:val="24"/>
          <w:szCs w:val="24"/>
        </w:rPr>
        <w:t>Borenstein, S., (2017) '</w:t>
      </w:r>
      <w:r>
        <w:rPr>
          <w:rFonts w:ascii="Times New Roman" w:hAnsi="Times New Roman"/>
          <w:b w:val="false"/>
          <w:bCs w:val="false"/>
          <w:i w:val="false"/>
          <w:iCs w:val="false"/>
          <w:caps w:val="false"/>
          <w:smallCaps w:val="false"/>
          <w:spacing w:val="0"/>
          <w:sz w:val="24"/>
          <w:szCs w:val="24"/>
        </w:rPr>
        <w:t>The lore and lure of eclipses: Blood, sex and a case of the munchies</w:t>
      </w:r>
      <w:r>
        <w:rPr>
          <w:rFonts w:ascii="Times New Roman" w:hAnsi="Times New Roman"/>
          <w:b w:val="false"/>
          <w:bCs w:val="false"/>
          <w:i w:val="false"/>
          <w:iCs w:val="false"/>
          <w:caps w:val="false"/>
          <w:smallCaps w:val="false"/>
          <w:spacing w:val="0"/>
          <w:sz w:val="24"/>
          <w:szCs w:val="24"/>
        </w:rPr>
        <w:t xml:space="preserve">' in </w:t>
      </w:r>
      <w:r>
        <w:rPr>
          <w:rFonts w:ascii="Times New Roman" w:hAnsi="Times New Roman"/>
          <w:b w:val="false"/>
          <w:bCs w:val="false"/>
          <w:i/>
          <w:iCs/>
          <w:caps w:val="false"/>
          <w:smallCaps w:val="false"/>
          <w:spacing w:val="0"/>
          <w:sz w:val="24"/>
          <w:szCs w:val="24"/>
        </w:rPr>
        <w:t xml:space="preserve"> Milwaukee Journal Sentinel </w:t>
      </w:r>
      <w:r>
        <w:rPr>
          <w:rFonts w:ascii="Times New Roman" w:hAnsi="Times New Roman"/>
          <w:b w:val="false"/>
          <w:bCs w:val="false"/>
          <w:i w:val="false"/>
          <w:iCs w:val="false"/>
          <w:caps w:val="false"/>
          <w:smallCaps w:val="false"/>
          <w:spacing w:val="0"/>
          <w:sz w:val="24"/>
          <w:szCs w:val="24"/>
        </w:rPr>
        <w:t>[online newspaper] https://eu.jsonline.com/story/life/green-sheet/2017/08/21/lore-and-lure-eclipses-blood-sex-and-case-munchies/584255001/ Accessed 30 Mar. 2023.</w:t>
      </w:r>
    </w:p>
    <w:p>
      <w:pPr>
        <w:pStyle w:val="Footnote"/>
        <w:jc w:val="left"/>
        <w:rPr/>
      </w:pPr>
      <w:r>
        <w:rPr>
          <w:b w:val="false"/>
          <w:bCs w:val="false"/>
          <w:i w:val="false"/>
          <w:iCs w:val="false"/>
          <w:sz w:val="22"/>
          <w:szCs w:val="22"/>
        </w:rPr>
        <w:t>1</w:t>
      </w:r>
      <w:r>
        <w:rPr>
          <w:b w:val="false"/>
          <w:bCs w:val="false"/>
          <w:i w:val="false"/>
          <w:iCs w:val="false"/>
          <w:sz w:val="22"/>
          <w:szCs w:val="22"/>
        </w:rPr>
        <w:t>9</w:t>
      </w:r>
      <w:r>
        <w:rPr>
          <w:b w:val="false"/>
          <w:bCs w:val="false"/>
          <w:i w:val="false"/>
          <w:iCs w:val="false"/>
          <w:sz w:val="22"/>
          <w:szCs w:val="22"/>
        </w:rPr>
        <w:t xml:space="preserve">. Bressan, D. (2013) 'The Teeth of the Moon Wolf' </w:t>
      </w:r>
      <w:r>
        <w:rPr>
          <w:b w:val="false"/>
          <w:bCs w:val="false"/>
          <w:i/>
          <w:iCs/>
          <w:sz w:val="22"/>
          <w:szCs w:val="22"/>
        </w:rPr>
        <w:t>Scientific American</w:t>
      </w:r>
      <w:r>
        <w:rPr>
          <w:b w:val="false"/>
          <w:bCs w:val="false"/>
          <w:i w:val="false"/>
          <w:iCs w:val="false"/>
          <w:sz w:val="22"/>
          <w:szCs w:val="22"/>
        </w:rPr>
        <w:t xml:space="preserve"> [online blog of journal] https://blogs.scientificamerican.com/history-of-geology/the-teeth-of-the-moon-wolf/ Accessed 30 Mar. 2023.</w:t>
      </w:r>
    </w:p>
    <w:p>
      <w:pPr>
        <w:pStyle w:val="Footnote"/>
        <w:jc w:val="left"/>
        <w:rPr/>
      </w:pPr>
      <w:r>
        <w:rPr>
          <w:b w:val="false"/>
          <w:bCs w:val="false"/>
          <w:i w:val="false"/>
          <w:iCs w:val="false"/>
          <w:sz w:val="22"/>
          <w:szCs w:val="22"/>
        </w:rPr>
        <w:t>20</w:t>
      </w:r>
      <w:r>
        <w:rPr>
          <w:b w:val="false"/>
          <w:bCs w:val="false"/>
          <w:i w:val="false"/>
          <w:iCs w:val="false"/>
          <w:sz w:val="22"/>
          <w:szCs w:val="22"/>
        </w:rPr>
        <w:t>. Dalal, R.,</w:t>
      </w:r>
      <w:r>
        <w:rPr>
          <w:b w:val="false"/>
          <w:bCs w:val="false"/>
          <w:i/>
          <w:iCs/>
          <w:sz w:val="22"/>
          <w:szCs w:val="22"/>
        </w:rPr>
        <w:t xml:space="preserve"> Hinduism: An Alphabetical Guide</w:t>
      </w:r>
      <w:r>
        <w:rPr>
          <w:b w:val="false"/>
          <w:bCs w:val="false"/>
          <w:i w:val="false"/>
          <w:iCs w:val="false"/>
          <w:sz w:val="22"/>
          <w:szCs w:val="22"/>
        </w:rPr>
        <w:t xml:space="preserve"> (2010) London: Penguin Books</w:t>
      </w:r>
    </w:p>
    <w:p>
      <w:pPr>
        <w:pStyle w:val="Footnote"/>
        <w:jc w:val="left"/>
        <w:rPr/>
      </w:pPr>
      <w:r>
        <w:rPr>
          <w:b w:val="false"/>
          <w:bCs w:val="false"/>
          <w:i w:val="false"/>
          <w:iCs w:val="false"/>
          <w:sz w:val="22"/>
          <w:szCs w:val="22"/>
        </w:rPr>
        <w:t>2</w:t>
      </w:r>
      <w:r>
        <w:rPr>
          <w:b w:val="false"/>
          <w:bCs w:val="false"/>
          <w:i w:val="false"/>
          <w:iCs w:val="false"/>
          <w:sz w:val="22"/>
          <w:szCs w:val="22"/>
        </w:rPr>
        <w:t>1</w:t>
      </w:r>
      <w:r>
        <w:rPr>
          <w:b w:val="false"/>
          <w:bCs w:val="false"/>
          <w:i w:val="false"/>
          <w:iCs w:val="false"/>
          <w:sz w:val="22"/>
          <w:szCs w:val="22"/>
        </w:rPr>
        <w:t xml:space="preserve">. </w:t>
      </w:r>
      <w:r>
        <w:rPr>
          <w:rFonts w:ascii="Times New Roman" w:hAnsi="Times New Roman"/>
          <w:b w:val="false"/>
          <w:bCs w:val="false"/>
          <w:i w:val="false"/>
          <w:iCs w:val="false"/>
          <w:caps w:val="false"/>
          <w:smallCaps w:val="false"/>
          <w:color w:val="202122"/>
          <w:spacing w:val="0"/>
          <w:sz w:val="24"/>
          <w:szCs w:val="24"/>
        </w:rPr>
        <w:t>Apostol</w:t>
      </w:r>
      <w:r>
        <w:rPr>
          <w:rFonts w:ascii="Times New Roman" w:hAnsi="Times New Roman"/>
          <w:b w:val="false"/>
          <w:bCs w:val="false"/>
          <w:i w:val="false"/>
          <w:iCs w:val="false"/>
          <w:caps w:val="false"/>
          <w:smallCaps w:val="false"/>
          <w:color w:val="202122"/>
          <w:spacing w:val="0"/>
          <w:sz w:val="24"/>
          <w:szCs w:val="24"/>
        </w:rPr>
        <w:t>, V. M.</w:t>
      </w:r>
      <w:r>
        <w:rPr>
          <w:rFonts w:ascii="Times New Roman" w:hAnsi="Times New Roman"/>
          <w:b w:val="false"/>
          <w:bCs w:val="false"/>
          <w:i w:val="false"/>
          <w:iCs w:val="false"/>
          <w:caps w:val="false"/>
          <w:smallCaps w:val="false"/>
          <w:color w:val="202122"/>
          <w:spacing w:val="0"/>
          <w:sz w:val="24"/>
          <w:szCs w:val="24"/>
        </w:rPr>
        <w:t xml:space="preserve"> (2012).</w:t>
      </w:r>
      <w:r>
        <w:rPr>
          <w:rFonts w:ascii="Times New Roman" w:hAnsi="Times New Roman"/>
          <w:b w:val="false"/>
          <w:bCs w:val="false"/>
          <w:i w:val="false"/>
          <w:iCs w:val="false"/>
          <w:caps w:val="false"/>
          <w:smallCaps w:val="false"/>
          <w:color w:val="202122"/>
          <w:spacing w:val="0"/>
          <w:sz w:val="24"/>
          <w:szCs w:val="24"/>
        </w:rPr>
        <w:t xml:space="preserve"> </w:t>
      </w:r>
      <w:r>
        <w:rPr>
          <w:rFonts w:ascii="Times New Roman" w:hAnsi="Times New Roman"/>
          <w:b w:val="false"/>
          <w:bCs w:val="false"/>
          <w:i/>
          <w:iCs w:val="false"/>
          <w:color w:val="202122"/>
          <w:spacing w:val="0"/>
          <w:sz w:val="24"/>
          <w:szCs w:val="24"/>
        </w:rPr>
        <w:t>Way of the Ancient Healer: Sacred Teachings from the Philippine Ancestral Traditions</w:t>
      </w:r>
      <w:r>
        <w:rPr>
          <w:rFonts w:ascii="Times New Roman" w:hAnsi="Times New Roman"/>
          <w:b w:val="false"/>
          <w:bCs w:val="false"/>
          <w:i w:val="false"/>
          <w:iCs w:val="false"/>
          <w:caps w:val="false"/>
          <w:smallCaps w:val="false"/>
          <w:color w:val="202122"/>
          <w:spacing w:val="0"/>
          <w:sz w:val="24"/>
          <w:szCs w:val="24"/>
        </w:rPr>
        <w:t>. North Atlantic Books.</w:t>
      </w:r>
      <w:r>
        <w:rPr>
          <w:rFonts w:ascii="Times New Roman" w:hAnsi="Times New Roman"/>
          <w:b w:val="false"/>
          <w:bCs w:val="false"/>
          <w:i w:val="false"/>
          <w:iCs w:val="false"/>
          <w:sz w:val="24"/>
          <w:szCs w:val="24"/>
        </w:rPr>
        <w:t xml:space="preserve"> </w:t>
      </w:r>
    </w:p>
    <w:p>
      <w:pPr>
        <w:pStyle w:val="Footnote"/>
        <w:jc w:val="left"/>
        <w:rPr/>
      </w:pPr>
      <w:r>
        <w:rPr>
          <w:rFonts w:ascii="Times New Roman" w:hAnsi="Times New Roman"/>
          <w:b w:val="false"/>
          <w:bCs w:val="false"/>
          <w:i w:val="false"/>
          <w:iCs w:val="false"/>
          <w:sz w:val="24"/>
          <w:szCs w:val="24"/>
        </w:rPr>
        <w:t>22.</w:t>
      </w:r>
      <w:r>
        <w:rPr>
          <w:rFonts w:ascii="Times New Roman" w:hAnsi="Times New Roman"/>
          <w:b w:val="false"/>
          <w:bCs w:val="false"/>
          <w:sz w:val="24"/>
          <w:szCs w:val="24"/>
          <w:lang w:val="en-GB"/>
        </w:rPr>
        <w:t xml:space="preserve"> </w:t>
      </w:r>
      <w:r>
        <w:rPr>
          <w:rFonts w:ascii="Times New Roman" w:hAnsi="Times New Roman"/>
          <w:b w:val="false"/>
          <w:bCs w:val="false"/>
          <w:i w:val="false"/>
          <w:caps w:val="false"/>
          <w:smallCaps w:val="false"/>
          <w:color w:val="202122"/>
          <w:spacing w:val="0"/>
          <w:sz w:val="24"/>
          <w:szCs w:val="24"/>
          <w:lang w:val="en-GB"/>
        </w:rPr>
        <w:t xml:space="preserve">Blair, E., (1906) </w:t>
      </w:r>
      <w:r>
        <w:rPr>
          <w:rFonts w:ascii="Times New Roman" w:hAnsi="Times New Roman"/>
          <w:b w:val="false"/>
          <w:bCs w:val="false"/>
          <w:i/>
          <w:iCs/>
          <w:caps w:val="false"/>
          <w:smallCaps w:val="false"/>
          <w:color w:val="202122"/>
          <w:spacing w:val="0"/>
          <w:sz w:val="24"/>
          <w:szCs w:val="24"/>
          <w:lang w:val="en-GB"/>
        </w:rPr>
        <w:t>The Philippine Islands, 1493-1898,</w:t>
      </w:r>
      <w:r>
        <w:rPr>
          <w:rFonts w:ascii="Times New Roman" w:hAnsi="Times New Roman"/>
          <w:b w:val="false"/>
          <w:bCs w:val="false"/>
          <w:i w:val="false"/>
          <w:caps w:val="false"/>
          <w:smallCaps w:val="false"/>
          <w:color w:val="202122"/>
          <w:spacing w:val="0"/>
          <w:sz w:val="24"/>
          <w:szCs w:val="24"/>
          <w:lang w:val="en-GB"/>
        </w:rPr>
        <w:t xml:space="preserve"> Arthur H. Clark Company. </w:t>
      </w:r>
    </w:p>
    <w:p>
      <w:pPr>
        <w:pStyle w:val="Normal"/>
        <w:jc w:val="left"/>
        <w:rPr/>
      </w:pPr>
      <w:r>
        <w:rPr/>
      </w:r>
    </w:p>
    <w:sectPr>
      <w:footnotePr>
        <w:numFmt w:val="decimal"/>
      </w:footnote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Tahoma">
    <w:charset w:val="00"/>
    <w:family w:val="roman"/>
    <w:pitch w:val="variable"/>
  </w:font>
  <w:font w:name="Trebuchet MS">
    <w:charset w:val="00"/>
    <w:family w:val="roman"/>
    <w:pitch w:val="variable"/>
  </w:font>
  <w:font w:name="OpenSymbol">
    <w:altName w:val="Arial Unicode MS"/>
    <w:charset w:val="00"/>
    <w:family w:val="roman"/>
    <w:pitch w:val="variable"/>
  </w:font>
  <w:font w:name="Georgia">
    <w:charset w:val="00"/>
    <w:family w:val="roman"/>
    <w:pitch w:val="variable"/>
  </w:font>
  <w:font w:name="Calibri">
    <w:charset w:val="00"/>
    <w:family w:val="roman"/>
    <w:pitch w:val="variable"/>
  </w:font>
  <w:font w:name="Calibri">
    <w:charset w:val="01"/>
    <w:family w:val="swiss"/>
    <w:pitch w:val="variable"/>
  </w:font>
  <w:font w:name="Times New Roman">
    <w:charset w:val="01"/>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p>
  </w:footnote>
  <w:footnote w:id="1" w:type="continuationSeparator">
    <w:p>
      <w:r>
        <w:continuationSeparator/>
      </w:r>
    </w:p>
  </w:footnote>
  <w:footnote w:id="2">
    <w:p>
      <w:pPr>
        <w:pStyle w:val="Footnote"/>
        <w:rPr/>
      </w:pPr>
      <w:r>
        <w:rPr/>
        <w:footnoteRef/>
        <w:tab/>
        <w:t>.</w:t>
      </w:r>
      <w:r>
        <w:rPr/>
        <w:t>R</w:t>
      </w:r>
      <w:r>
        <w:rPr/>
        <w:t>udolf R</w:t>
      </w:r>
      <w:r>
        <w:rPr/>
        <w:t xml:space="preserve">ahmann, </w:t>
      </w:r>
      <w:r>
        <w:rPr/>
        <w:t>'</w:t>
      </w:r>
      <w:r>
        <w:rPr/>
        <w:t>Quarrels and Enmity between the Sun and the Moon. A Contribution to the Mythologies of the Philippines, India, and the Malay Peninsula.</w:t>
      </w:r>
      <w:r>
        <w:rPr/>
        <w:t>'</w:t>
      </w:r>
      <w:r>
        <w:rPr/>
        <w:t xml:space="preserve"> </w:t>
      </w:r>
      <w:r>
        <w:rPr>
          <w:i/>
        </w:rPr>
        <w:t>Folklore Studies</w:t>
      </w:r>
      <w:r>
        <w:rPr/>
        <w:t>, vol. 14, 1955, pp. 202–14</w:t>
      </w:r>
      <w:r>
        <w:rPr/>
        <w:t xml:space="preserve">, </w:t>
      </w:r>
      <w:r>
        <w:rPr/>
        <w:t>https://doi.org/10.2307/1177341. Accessed 30 Mar. 2023.</w:t>
      </w:r>
    </w:p>
  </w:footnote>
  <w:footnote w:id="3">
    <w:p>
      <w:pPr>
        <w:pStyle w:val="Footnote"/>
        <w:rPr/>
      </w:pPr>
      <w:r>
        <w:rPr/>
        <w:footnoteRef/>
        <w:tab/>
      </w:r>
      <w:r>
        <w:rPr/>
        <w:t xml:space="preserve">. Yuval Noah Harari, </w:t>
      </w:r>
      <w:r>
        <w:rPr>
          <w:i/>
          <w:iCs/>
        </w:rPr>
        <w:t xml:space="preserve">Sapiens: A Brief History of Humankind </w:t>
      </w:r>
      <w:r>
        <w:rPr>
          <w:i w:val="false"/>
          <w:iCs w:val="false"/>
        </w:rPr>
        <w:t>(2011) (audiobook), Derek Perkins, narrator, (2015 Penguin Audio), Randomhouse Audiobooks (Publisher).</w:t>
      </w:r>
    </w:p>
  </w:footnote>
  <w:footnote w:id="4">
    <w:p>
      <w:pPr>
        <w:pStyle w:val="Footnote"/>
        <w:rPr/>
      </w:pPr>
      <w:r>
        <w:rPr/>
        <w:footnoteRef/>
        <w:tab/>
      </w:r>
      <w:r>
        <w:rPr/>
        <w:t>. M. Jane Young, '</w:t>
      </w:r>
      <w:r>
        <w:rPr>
          <w:i w:val="false"/>
          <w:iCs w:val="false"/>
        </w:rPr>
        <w:t xml:space="preserve">Pity the Indians of Outer Space: Native American Views of the Space Program' </w:t>
      </w:r>
      <w:r>
        <w:rPr>
          <w:i/>
          <w:iCs/>
        </w:rPr>
        <w:t>Western Folklore</w:t>
      </w:r>
      <w:r>
        <w:rPr>
          <w:i w:val="false"/>
          <w:iCs w:val="false"/>
        </w:rPr>
        <w:t xml:space="preserve">, vol.46, no.4, October (1987), pp. 269-279, (pp. 272-3), &lt;DOI: </w:t>
      </w:r>
      <w:r>
        <w:rPr>
          <w:b w:val="false"/>
          <w:i w:val="false"/>
          <w:iCs w:val="false"/>
          <w:caps w:val="false"/>
          <w:smallCaps w:val="false"/>
          <w:color w:val="000000"/>
          <w:spacing w:val="0"/>
          <w:sz w:val="24"/>
        </w:rPr>
        <w:t>https://doi.org/10.2307/1499889&gt;</w:t>
      </w:r>
    </w:p>
  </w:footnote>
  <w:footnote w:id="5">
    <w:p>
      <w:pPr>
        <w:pStyle w:val="Footnote"/>
        <w:rPr/>
      </w:pPr>
      <w:r>
        <w:rPr/>
        <w:footnoteRef/>
        <w:tab/>
      </w:r>
      <w:r>
        <w:rPr/>
        <w:t xml:space="preserve">. Roger D. Launius, 'Heroes in a Vacuum: The Apollo Astronaut as Cultural Icon.' </w:t>
      </w:r>
      <w:r>
        <w:rPr>
          <w:i/>
        </w:rPr>
        <w:t>The Florida Historical Quarterly</w:t>
      </w:r>
      <w:r>
        <w:rPr/>
        <w:t>, vol. 87, no. 2, 2008, pp. 174–209 (174) http://www.jstor.org/stable/20700214. Accessed 29 Mar. 2023.</w:t>
      </w:r>
    </w:p>
  </w:footnote>
  <w:footnote w:id="6">
    <w:p>
      <w:pPr>
        <w:pStyle w:val="Footnote"/>
        <w:rPr/>
      </w:pPr>
      <w:r>
        <w:rPr/>
        <w:footnoteRef/>
        <w:tab/>
      </w:r>
      <w:r>
        <w:rPr/>
        <w:t xml:space="preserve">. Charles Reagen Wilson, 'American Heavens: Apollo and the Civil Religion.' </w:t>
      </w:r>
      <w:r>
        <w:rPr>
          <w:i/>
        </w:rPr>
        <w:t>Journal of Church and State</w:t>
      </w:r>
      <w:r>
        <w:rPr/>
        <w:t xml:space="preserve"> 26, no. 2 (1984): pp. 209–26, (210), http://www.jstor.org/stable/23917806. Accessed 29 Mar. 2023.</w:t>
      </w:r>
    </w:p>
  </w:footnote>
  <w:footnote w:id="7">
    <w:p>
      <w:pPr>
        <w:pStyle w:val="Footnote"/>
        <w:rPr/>
      </w:pPr>
      <w:r>
        <w:rPr/>
        <w:footnoteRef/>
        <w:tab/>
      </w:r>
      <w:r>
        <w:rPr/>
        <w:t xml:space="preserve">. Robert L. Tignor, 'Egypt during the Old Kingdom.' In </w:t>
      </w:r>
      <w:r>
        <w:rPr>
          <w:i/>
        </w:rPr>
        <w:t>Egypt: A Short History</w:t>
      </w:r>
      <w:r>
        <w:rPr/>
        <w:t>, pp. 26–50 (47) Princeton University Press, (2010). http://www.jstor.org/stable/j.ctt7rjf4.7. Accessed 29 Mar. 2023.</w:t>
      </w:r>
    </w:p>
  </w:footnote>
  <w:footnote w:id="8">
    <w:p>
      <w:pPr>
        <w:pStyle w:val="Footnote"/>
        <w:rPr/>
      </w:pPr>
      <w:r>
        <w:rPr/>
        <w:footnoteRef/>
        <w:tab/>
      </w:r>
      <w:r>
        <w:rPr/>
        <w:t xml:space="preserve">. Rebecca Boyle, 'NASA's Return to the Moon is Off to a Rocky Start.' </w:t>
      </w:r>
      <w:r>
        <w:rPr>
          <w:i/>
          <w:iCs/>
        </w:rPr>
        <w:t>MIT Technology Review</w:t>
      </w:r>
      <w:r>
        <w:rPr>
          <w:i w:val="false"/>
          <w:iCs w:val="false"/>
        </w:rPr>
        <w:t>, January 9th, 2023, https://www.technologyreview.com/2023/01/09/1065143/nasa-artemis-return-to-moon. Accessed29 Mar. 2023.</w:t>
      </w:r>
    </w:p>
  </w:footnote>
  <w:footnote w:id="9">
    <w:p>
      <w:pPr>
        <w:pStyle w:val="Footnote"/>
        <w:rPr/>
      </w:pPr>
      <w:r>
        <w:rPr/>
        <w:footnoteRef/>
        <w:tab/>
      </w:r>
      <w:r>
        <w:rPr/>
        <w:t xml:space="preserve">. David M. Rosen, and Victoria P. Rosen. 'New Myths and Meanings in Jewish New Moon Rituals.' </w:t>
      </w:r>
      <w:r>
        <w:rPr>
          <w:i/>
        </w:rPr>
        <w:t>Ethnology</w:t>
      </w:r>
      <w:r>
        <w:rPr/>
        <w:t>, vol. 39, no. 3, (2000) pp. 263–77 (263) https://doi.org/10.2307/3774110. Accessed 29 Mar. 2023.</w:t>
      </w:r>
    </w:p>
  </w:footnote>
  <w:footnote w:id="10">
    <w:p>
      <w:pPr>
        <w:pStyle w:val="Footnote"/>
        <w:rPr/>
      </w:pPr>
      <w:r>
        <w:rPr>
          <w:sz w:val="24"/>
          <w:szCs w:val="24"/>
        </w:rPr>
        <w:footnoteRef/>
        <w:tab/>
      </w:r>
      <w:r>
        <w:rPr>
          <w:sz w:val="24"/>
          <w:szCs w:val="24"/>
        </w:rPr>
        <w:t xml:space="preserve">. </w:t>
      </w:r>
      <w:r>
        <w:rPr>
          <w:b w:val="false"/>
          <w:i w:val="false"/>
          <w:caps w:val="false"/>
          <w:smallCaps w:val="false"/>
          <w:color w:val="202122"/>
          <w:spacing w:val="0"/>
          <w:sz w:val="24"/>
          <w:szCs w:val="24"/>
        </w:rPr>
        <w:t xml:space="preserve">Dirk Obbink, "'All Gods are True' in Epicurus" in </w:t>
      </w:r>
      <w:r>
        <w:rPr>
          <w:b w:val="false"/>
          <w:i/>
          <w:color w:val="202122"/>
          <w:spacing w:val="0"/>
          <w:sz w:val="24"/>
          <w:szCs w:val="24"/>
        </w:rPr>
        <w:t>Traditions of Theology: Studies in Hellenistic Theology, Its Background and Aftermath,</w:t>
      </w:r>
      <w:r>
        <w:rPr>
          <w:b w:val="false"/>
          <w:i/>
          <w:caps w:val="false"/>
          <w:smallCaps w:val="false"/>
          <w:color w:val="202122"/>
          <w:spacing w:val="0"/>
          <w:sz w:val="24"/>
          <w:szCs w:val="24"/>
        </w:rPr>
        <w:t xml:space="preserve"> </w:t>
      </w:r>
      <w:r>
        <w:rPr>
          <w:b w:val="false"/>
          <w:i w:val="false"/>
          <w:caps w:val="false"/>
          <w:smallCaps w:val="false"/>
          <w:color w:val="202122"/>
          <w:spacing w:val="0"/>
          <w:sz w:val="24"/>
          <w:szCs w:val="24"/>
        </w:rPr>
        <w:t>Dorothea, Frede, and André Laks (eds.), (2002) Brill, Boston, p.200.</w:t>
      </w:r>
    </w:p>
  </w:footnote>
  <w:footnote w:id="11">
    <w:p>
      <w:pPr>
        <w:pStyle w:val="Footnote"/>
        <w:rPr/>
      </w:pPr>
      <w:r>
        <w:rPr/>
        <w:footnoteRef/>
        <w:tab/>
      </w:r>
      <w:r>
        <w:rPr/>
        <w:t xml:space="preserve">. Nancy T. de Grummond, 'Moon over Pyrgi: Catha, an Etruscan Lunar Goddess?' </w:t>
      </w:r>
      <w:r>
        <w:rPr>
          <w:i/>
        </w:rPr>
        <w:t>American Journal of Archaeology</w:t>
      </w:r>
      <w:r>
        <w:rPr/>
        <w:t>, vol. 112, no. 3, 2008, pp. 419–28 (422) http://www.jstor.org/stable/20627480. Accessed 30 Mar. 2023.</w:t>
      </w:r>
    </w:p>
  </w:footnote>
  <w:footnote w:id="12">
    <w:p>
      <w:pPr>
        <w:pStyle w:val="Footnote"/>
        <w:rPr/>
      </w:pPr>
      <w:r>
        <w:rPr/>
        <w:footnoteRef/>
        <w:tab/>
      </w:r>
      <w:r>
        <w:rPr/>
        <w:t xml:space="preserve">. Abdel Moneim Abubakr, 'Divine Boats of Ancient Egypt' </w:t>
      </w:r>
      <w:r>
        <w:rPr>
          <w:i/>
        </w:rPr>
        <w:t>Archaeology</w:t>
      </w:r>
      <w:r>
        <w:rPr/>
        <w:t>, vol. 8, no. 2, 1955, pp. 96–101 (96-7) http://www.jstor.org/stable/41663287. Accessed 30 Mar. 2023.</w:t>
      </w:r>
    </w:p>
  </w:footnote>
  <w:footnote w:id="13">
    <w:p>
      <w:pPr>
        <w:pStyle w:val="Footnote"/>
        <w:rPr/>
      </w:pPr>
      <w:r>
        <w:rPr/>
        <w:footnoteRef/>
        <w:tab/>
      </w:r>
      <w:r>
        <w:rPr/>
        <w:t xml:space="preserve">. Daniel McCoy, 'Skoll and Hati', </w:t>
      </w:r>
      <w:r>
        <w:rPr>
          <w:i/>
          <w:iCs/>
        </w:rPr>
        <w:t>Norse Mythology for Smart People</w:t>
      </w:r>
      <w:r>
        <w:rPr>
          <w:i w:val="false"/>
          <w:iCs w:val="false"/>
        </w:rPr>
        <w:t xml:space="preserve"> https://norse-mythology.org/skoll-hati/  Accessed 30 Mar. 2023.</w:t>
      </w:r>
    </w:p>
  </w:footnote>
  <w:footnote w:id="14">
    <w:p>
      <w:pPr>
        <w:pStyle w:val="Footnote"/>
        <w:rPr/>
      </w:pPr>
      <w:r>
        <w:rPr/>
        <w:footnoteRef/>
        <w:tab/>
      </w:r>
      <w:r>
        <w:rPr/>
        <w:t xml:space="preserve">. Rudolph Simek, (trans. Angela Hall) </w:t>
      </w:r>
      <w:r>
        <w:rPr>
          <w:i/>
          <w:iCs/>
        </w:rPr>
        <w:t>Dictionary of Northern Mythology</w:t>
      </w:r>
      <w:r>
        <w:rPr>
          <w:i w:val="false"/>
          <w:iCs w:val="false"/>
        </w:rPr>
        <w:t xml:space="preserve"> (2007) Suffolk: Boydell &amp; Brewer p. 201.</w:t>
      </w:r>
    </w:p>
  </w:footnote>
  <w:footnote w:id="15">
    <w:p>
      <w:pPr>
        <w:pStyle w:val="Footnote"/>
        <w:rPr/>
      </w:pPr>
      <w:r>
        <w:rPr/>
        <w:footnoteRef/>
        <w:tab/>
      </w:r>
      <w:r>
        <w:rPr/>
        <w:t xml:space="preserve">. </w:t>
      </w:r>
      <w:bookmarkStart w:id="2" w:name="__DdeLink__239_187092356"/>
      <w:r>
        <w:rPr/>
        <w:t xml:space="preserve">John Lindow, </w:t>
      </w:r>
      <w:r>
        <w:rPr>
          <w:i/>
          <w:iCs/>
        </w:rPr>
        <w:t>Nors</w:t>
      </w:r>
      <w:r>
        <w:rPr>
          <w:i/>
          <w:iCs/>
          <w:sz w:val="22"/>
          <w:szCs w:val="22"/>
        </w:rPr>
        <w:t>e Mythology:</w:t>
      </w:r>
      <w:r>
        <w:rPr>
          <w:b w:val="false"/>
          <w:i/>
          <w:iCs/>
          <w:color w:val="202122"/>
          <w:spacing w:val="0"/>
          <w:sz w:val="22"/>
          <w:szCs w:val="22"/>
        </w:rPr>
        <w:t xml:space="preserve"> A Guide to the Gods, Heroes, Rituals, and Beliefs</w:t>
      </w:r>
      <w:r>
        <w:rPr>
          <w:i/>
          <w:iCs/>
          <w:sz w:val="22"/>
          <w:szCs w:val="22"/>
        </w:rPr>
        <w:t xml:space="preserve"> </w:t>
      </w:r>
      <w:r>
        <w:rPr>
          <w:i w:val="false"/>
          <w:iCs w:val="false"/>
          <w:sz w:val="22"/>
          <w:szCs w:val="22"/>
        </w:rPr>
        <w:t xml:space="preserve">(2001) Oxford: Oxford University Press p. 78 referencing </w:t>
      </w:r>
      <w:bookmarkEnd w:id="2"/>
      <w:r>
        <w:rPr>
          <w:b w:val="false"/>
          <w:i w:val="false"/>
          <w:iCs w:val="false"/>
          <w:caps w:val="false"/>
          <w:smallCaps w:val="false"/>
          <w:color w:val="202122"/>
          <w:spacing w:val="0"/>
          <w:sz w:val="22"/>
          <w:szCs w:val="22"/>
        </w:rPr>
        <w:t>Holtsmark (1945:139–154).</w:t>
      </w:r>
    </w:p>
  </w:footnote>
  <w:footnote w:id="16">
    <w:p>
      <w:pPr>
        <w:pStyle w:val="Footnote"/>
        <w:rPr/>
      </w:pPr>
      <w:r>
        <w:rPr/>
        <w:footnoteRef/>
        <w:tab/>
      </w:r>
      <w:r>
        <w:rPr/>
        <w:t xml:space="preserve">. Prudence H. Jones, 'A Goddess Arrives: Nineteenth Century Sources of the New Age Triple Moon Goddess' in </w:t>
      </w:r>
      <w:r>
        <w:rPr>
          <w:i/>
          <w:iCs/>
        </w:rPr>
        <w:t>Culture and Cosmos</w:t>
      </w:r>
      <w:r>
        <w:rPr>
          <w:i w:val="false"/>
          <w:iCs w:val="false"/>
        </w:rPr>
        <w:t xml:space="preserve"> 19 (1), (2005), pp. 45-70 (50-1) citing Clement of Alexandria, </w:t>
      </w:r>
      <w:r>
        <w:rPr>
          <w:i/>
          <w:iCs/>
        </w:rPr>
        <w:t>Stromata</w:t>
      </w:r>
      <w:r>
        <w:rPr>
          <w:i w:val="false"/>
          <w:iCs w:val="false"/>
        </w:rPr>
        <w:t>: Abel frg. 253. J.</w:t>
      </w:r>
    </w:p>
  </w:footnote>
  <w:footnote w:id="17">
    <w:p>
      <w:pPr>
        <w:pStyle w:val="Footnote"/>
        <w:rPr/>
      </w:pPr>
      <w:r>
        <w:rPr/>
        <w:footnoteRef/>
        <w:tab/>
      </w:r>
      <w:r>
        <w:rPr/>
        <w:t xml:space="preserve">. Hans-Jörg Uther. "'The Fox in World Literature: Reflections on a </w:t>
      </w:r>
      <w:r>
        <w:rPr/>
        <w:t>'</w:t>
      </w:r>
      <w:r>
        <w:rPr/>
        <w:t>Fictional Animal.</w:t>
      </w:r>
      <w:r>
        <w:rPr/>
        <w:t>'"</w:t>
      </w:r>
      <w:r>
        <w:rPr/>
        <w:t xml:space="preserve"> </w:t>
      </w:r>
      <w:r>
        <w:rPr>
          <w:i/>
        </w:rPr>
        <w:t>Asian Folklore Studies</w:t>
      </w:r>
      <w:r>
        <w:rPr/>
        <w:t>, vol. 65, no. 2, 2006, pp. 133–60 (138) http://www.jstor.org/stable/30030396. Accessed 30 Mar. 2023.</w:t>
      </w:r>
    </w:p>
  </w:footnote>
  <w:footnote w:id="18">
    <w:p>
      <w:pPr>
        <w:pStyle w:val="Footnote"/>
        <w:rPr/>
      </w:pPr>
      <w:r>
        <w:rPr/>
        <w:footnoteRef/>
        <w:tab/>
      </w:r>
      <w:r>
        <w:rPr/>
        <w:t xml:space="preserve">. Fernand Roqueplan 'Transcendent Fury.' </w:t>
      </w:r>
      <w:r>
        <w:rPr>
          <w:i/>
        </w:rPr>
        <w:t>Chiricú</w:t>
      </w:r>
      <w:r>
        <w:rPr/>
        <w:t>, vol. 8, no. 3, 2001, p. 54 http://www.jstor.org/stable/43506263. Accessed 30 Mar. 2023.</w:t>
      </w:r>
    </w:p>
  </w:footnote>
  <w:footnote w:id="19">
    <w:p>
      <w:pPr>
        <w:pStyle w:val="Footnote"/>
        <w:rPr>
          <w:rFonts w:ascii="Times New Roman" w:hAnsi="Times New Roman"/>
          <w:sz w:val="24"/>
          <w:szCs w:val="24"/>
        </w:rPr>
      </w:pPr>
      <w:r>
        <w:rPr>
          <w:rFonts w:ascii="Times New Roman" w:hAnsi="Times New Roman"/>
          <w:sz w:val="24"/>
          <w:szCs w:val="24"/>
        </w:rPr>
        <w:footnoteRef/>
        <w:tab/>
        <w:t>. Seth Bo</w:t>
      </w:r>
      <w:r>
        <w:rPr>
          <w:rFonts w:ascii="Times New Roman" w:hAnsi="Times New Roman"/>
          <w:b w:val="false"/>
          <w:bCs w:val="false"/>
          <w:sz w:val="24"/>
          <w:szCs w:val="24"/>
        </w:rPr>
        <w:t>renstein, '</w:t>
      </w:r>
      <w:r>
        <w:rPr>
          <w:rFonts w:ascii="Times New Roman" w:hAnsi="Times New Roman"/>
          <w:b w:val="false"/>
          <w:bCs w:val="false"/>
          <w:i w:val="false"/>
          <w:caps w:val="false"/>
          <w:smallCaps w:val="false"/>
          <w:spacing w:val="0"/>
          <w:sz w:val="24"/>
          <w:szCs w:val="24"/>
        </w:rPr>
        <w:t>The lore and lure of eclipses: Blood, sex and a case of the munchies</w:t>
      </w:r>
      <w:r>
        <w:rPr>
          <w:rFonts w:ascii="Times New Roman" w:hAnsi="Times New Roman"/>
          <w:b w:val="false"/>
          <w:bCs w:val="false"/>
          <w:i w:val="false"/>
          <w:caps w:val="false"/>
          <w:smallCaps w:val="false"/>
          <w:spacing w:val="0"/>
          <w:sz w:val="24"/>
          <w:szCs w:val="24"/>
        </w:rPr>
        <w:t xml:space="preserve">' in </w:t>
      </w:r>
      <w:r>
        <w:rPr>
          <w:rFonts w:ascii="Times New Roman" w:hAnsi="Times New Roman"/>
          <w:b w:val="false"/>
          <w:bCs w:val="false"/>
          <w:i/>
          <w:iCs/>
          <w:caps w:val="false"/>
          <w:smallCaps w:val="false"/>
          <w:spacing w:val="0"/>
          <w:sz w:val="24"/>
          <w:szCs w:val="24"/>
        </w:rPr>
        <w:t xml:space="preserve"> Milwaukee Journal Sentinel </w:t>
      </w:r>
      <w:r>
        <w:rPr>
          <w:rFonts w:ascii="Times New Roman" w:hAnsi="Times New Roman"/>
          <w:b w:val="false"/>
          <w:bCs w:val="false"/>
          <w:i w:val="false"/>
          <w:iCs w:val="false"/>
          <w:caps w:val="false"/>
          <w:smallCaps w:val="false"/>
          <w:spacing w:val="0"/>
          <w:sz w:val="24"/>
          <w:szCs w:val="24"/>
        </w:rPr>
        <w:t>[online newspaper] (2017) https://eu.jsonline.com/story/life/green-sheet/2017/08/21/lore-and-lure-eclipses-blood-sex-and-case-munchies/584255001/ Accessed 30 Mar. 2023.</w:t>
      </w:r>
    </w:p>
    <w:p>
      <w:pPr>
        <w:pStyle w:val="Footnote"/>
        <w:rPr/>
      </w:pPr>
      <w:r>
        <w:rPr/>
      </w:r>
    </w:p>
  </w:footnote>
  <w:footnote w:id="20">
    <w:p>
      <w:pPr>
        <w:pStyle w:val="Footnote"/>
        <w:rPr/>
      </w:pPr>
      <w:r>
        <w:rPr/>
        <w:footnoteRef/>
        <w:tab/>
        <w:t xml:space="preserve">. David Bressan, 'The Teeth of the Moon Wolf' </w:t>
      </w:r>
      <w:r>
        <w:rPr>
          <w:i/>
          <w:iCs/>
        </w:rPr>
        <w:t>Scientific American</w:t>
      </w:r>
      <w:r>
        <w:rPr>
          <w:i w:val="false"/>
          <w:iCs w:val="false"/>
        </w:rPr>
        <w:t xml:space="preserve"> [online blog of journal] July 20th, 2013, https://blogs.scientificamerican.com/history-of-geology/the-teeth-of-the-moon-wolf/ Accessed 30 Mar. 2023.</w:t>
      </w:r>
    </w:p>
  </w:footnote>
  <w:footnote w:id="21">
    <w:p>
      <w:pPr>
        <w:pStyle w:val="Footnote"/>
        <w:rPr/>
      </w:pPr>
      <w:r>
        <w:rPr/>
        <w:footnoteRef/>
        <w:tab/>
        <w:t>. Roshen Dalal,</w:t>
      </w:r>
      <w:r>
        <w:rPr>
          <w:i/>
          <w:iCs/>
        </w:rPr>
        <w:t xml:space="preserve"> Hinduism: An Alphabetical Guide</w:t>
      </w:r>
      <w:r>
        <w:rPr>
          <w:i w:val="false"/>
          <w:iCs w:val="false"/>
        </w:rPr>
        <w:t xml:space="preserve"> (2010) London: Penguin Books p. 324</w:t>
      </w:r>
    </w:p>
  </w:footnote>
  <w:footnote w:id="22">
    <w:p>
      <w:pPr>
        <w:pStyle w:val="Footnote"/>
        <w:rPr/>
      </w:pPr>
      <w:r>
        <w:rPr/>
        <w:footnoteRef/>
        <w:tab/>
        <w:t xml:space="preserve">. </w:t>
      </w:r>
      <w:r>
        <w:rPr>
          <w:rFonts w:ascii="Times New Roman" w:hAnsi="Times New Roman"/>
          <w:b w:val="false"/>
          <w:i w:val="false"/>
          <w:caps w:val="false"/>
          <w:smallCaps w:val="false"/>
          <w:color w:val="202122"/>
          <w:spacing w:val="0"/>
          <w:sz w:val="24"/>
          <w:szCs w:val="24"/>
        </w:rPr>
        <w:t>Virgil Mayor</w:t>
      </w:r>
      <w:r>
        <w:rPr>
          <w:rFonts w:ascii="Times New Roman" w:hAnsi="Times New Roman"/>
          <w:b w:val="false"/>
          <w:i w:val="false"/>
          <w:caps w:val="false"/>
          <w:smallCaps w:val="false"/>
          <w:color w:val="202122"/>
          <w:spacing w:val="0"/>
          <w:sz w:val="24"/>
          <w:szCs w:val="24"/>
        </w:rPr>
        <w:t xml:space="preserve"> Apostol</w:t>
      </w:r>
      <w:r>
        <w:rPr>
          <w:rFonts w:ascii="Times New Roman" w:hAnsi="Times New Roman"/>
          <w:b w:val="false"/>
          <w:i w:val="false"/>
          <w:caps w:val="false"/>
          <w:smallCaps w:val="false"/>
          <w:color w:val="202122"/>
          <w:spacing w:val="0"/>
          <w:sz w:val="24"/>
          <w:szCs w:val="24"/>
        </w:rPr>
        <w:t xml:space="preserve">, </w:t>
      </w:r>
      <w:r>
        <w:rPr>
          <w:rFonts w:ascii="Times New Roman" w:hAnsi="Times New Roman"/>
          <w:b w:val="false"/>
          <w:i/>
          <w:color w:val="202122"/>
          <w:spacing w:val="0"/>
          <w:sz w:val="24"/>
          <w:szCs w:val="24"/>
        </w:rPr>
        <w:t>Way of the Ancient Healer: Sacred Teachings from the Philippine Ancestral Traditions</w:t>
      </w:r>
      <w:r>
        <w:rPr>
          <w:rFonts w:ascii="Times New Roman" w:hAnsi="Times New Roman"/>
          <w:b w:val="false"/>
          <w:i w:val="false"/>
          <w:caps w:val="false"/>
          <w:smallCaps w:val="false"/>
          <w:color w:val="202122"/>
          <w:spacing w:val="0"/>
          <w:sz w:val="24"/>
          <w:szCs w:val="24"/>
        </w:rPr>
        <w:t>. North Atlantic Books</w:t>
      </w:r>
      <w:r>
        <w:rPr>
          <w:rFonts w:ascii="Times New Roman" w:hAnsi="Times New Roman"/>
          <w:b w:val="false"/>
          <w:i w:val="false"/>
          <w:caps w:val="false"/>
          <w:smallCaps w:val="false"/>
          <w:color w:val="202122"/>
          <w:spacing w:val="0"/>
          <w:sz w:val="24"/>
          <w:szCs w:val="24"/>
        </w:rPr>
        <w:t xml:space="preserve"> (2012).</w:t>
      </w:r>
    </w:p>
  </w:footnote>
  <w:footnote w:id="23">
    <w:p>
      <w:pPr>
        <w:pStyle w:val="Footnote"/>
        <w:rPr/>
      </w:pPr>
      <w:r>
        <w:rPr/>
        <w:footnoteRef/>
        <w:tab/>
        <w:t xml:space="preserve">. </w:t>
      </w:r>
      <w:r>
        <w:rPr>
          <w:rFonts w:ascii="Times New Roman" w:hAnsi="Times New Roman"/>
          <w:b w:val="false"/>
          <w:bCs w:val="false"/>
          <w:i w:val="false"/>
          <w:caps w:val="false"/>
          <w:smallCaps w:val="false"/>
          <w:color w:val="202122"/>
          <w:spacing w:val="0"/>
          <w:sz w:val="24"/>
          <w:szCs w:val="24"/>
          <w:lang w:val="en-GB"/>
        </w:rPr>
        <w:t xml:space="preserve">Fr. Tomas Ortiz, Practica del Ministerio (1731) via Zuniga's Estadismo (1893) quoted in Blair, Emma (1906) </w:t>
      </w:r>
      <w:r>
        <w:rPr>
          <w:rFonts w:ascii="Times New Roman" w:hAnsi="Times New Roman"/>
          <w:b w:val="false"/>
          <w:bCs w:val="false"/>
          <w:i/>
          <w:iCs/>
          <w:caps w:val="false"/>
          <w:smallCaps w:val="false"/>
          <w:color w:val="202122"/>
          <w:spacing w:val="0"/>
          <w:sz w:val="24"/>
          <w:szCs w:val="24"/>
          <w:lang w:val="en-GB"/>
        </w:rPr>
        <w:t>The Philippine Islands, 1493-1898 Vol. 43,</w:t>
      </w:r>
      <w:r>
        <w:rPr>
          <w:rFonts w:ascii="Times New Roman" w:hAnsi="Times New Roman"/>
          <w:b w:val="false"/>
          <w:bCs w:val="false"/>
          <w:i w:val="false"/>
          <w:caps w:val="false"/>
          <w:smallCaps w:val="false"/>
          <w:color w:val="202122"/>
          <w:spacing w:val="0"/>
          <w:sz w:val="24"/>
          <w:szCs w:val="24"/>
          <w:lang w:val="en-GB"/>
        </w:rPr>
        <w:t xml:space="preserve"> Arthur H. Clark Company. </w:t>
      </w:r>
    </w:p>
  </w:footnote>
</w:footnotes>
</file>

<file path=word/settings.xml><?xml version="1.0" encoding="utf-8"?>
<w:settings xmlns:w="http://schemas.openxmlformats.org/wordprocessingml/2006/main">
  <w:zoom w:percent="100"/>
  <w:defaultTabStop w:val="709"/>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en-GB" w:eastAsia="zh-CN" w:bidi="hi-IN"/>
      </w:rPr>
    </w:rPrDefault>
    <w:pPrDefault>
      <w:pPr/>
    </w:pPrDefault>
  </w:docDefaults>
  <w:style w:type="paragraph" w:styleId="Normal">
    <w:name w:val="Normal"/>
    <w:qFormat/>
    <w:pPr>
      <w:widowControl w:val="false"/>
      <w:overflowPunct w:val="false"/>
      <w:bidi w:val="0"/>
      <w:jc w:val="left"/>
    </w:pPr>
    <w:rPr>
      <w:rFonts w:ascii="Times New Roman" w:hAnsi="Times New Roman" w:eastAsia="Andale Sans UI" w:cs="Tahoma"/>
      <w:color w:val="00000A"/>
      <w:sz w:val="24"/>
      <w:szCs w:val="24"/>
      <w:lang w:val="en-GB" w:eastAsia="zxx" w:bidi="zxx"/>
    </w:rPr>
  </w:style>
  <w:style w:type="paragraph" w:styleId="Heading1">
    <w:name w:val="Heading 1"/>
    <w:basedOn w:val="Normal"/>
    <w:qFormat/>
    <w:pPr>
      <w:spacing w:before="240" w:after="60"/>
    </w:pPr>
    <w:rPr>
      <w:rFonts w:ascii="Arial" w:hAnsi="Arial"/>
      <w:b/>
      <w:sz w:val="32"/>
      <w:szCs w:val="32"/>
    </w:rPr>
  </w:style>
  <w:style w:type="paragraph" w:styleId="Heading2">
    <w:name w:val="Heading 2"/>
    <w:basedOn w:val="Normal"/>
    <w:qFormat/>
    <w:pPr>
      <w:spacing w:before="240" w:after="60"/>
    </w:pPr>
    <w:rPr>
      <w:rFonts w:ascii="Arial" w:hAnsi="Arial"/>
      <w:b/>
      <w:i/>
      <w:sz w:val="28"/>
      <w:szCs w:val="28"/>
    </w:rPr>
  </w:style>
  <w:style w:type="paragraph" w:styleId="Heading3">
    <w:name w:val="Heading 3"/>
    <w:basedOn w:val="Normal"/>
    <w:qFormat/>
    <w:pPr>
      <w:ind w:left="720" w:right="0" w:hanging="0"/>
      <w:jc w:val="both"/>
    </w:pPr>
    <w:rPr>
      <w:rFonts w:ascii="Tahoma" w:hAnsi="Tahoma"/>
      <w:b/>
      <w:sz w:val="20"/>
      <w:szCs w:val="20"/>
    </w:rPr>
  </w:style>
  <w:style w:type="character" w:styleId="InternetLink">
    <w:name w:val="Internet Link"/>
    <w:rPr>
      <w:color w:val="000080"/>
      <w:u w:val="single"/>
      <w:lang w:eastAsia="zxx" w:bidi="zxx"/>
    </w:rPr>
  </w:style>
  <w:style w:type="character" w:styleId="ListLabel1">
    <w:name w:val="ListLabel 1"/>
    <w:qFormat/>
    <w:rPr>
      <w:sz w:val="20"/>
    </w:rPr>
  </w:style>
  <w:style w:type="character" w:styleId="FooterChar">
    <w:name w:val="Footer Char"/>
    <w:qFormat/>
    <w:rPr>
      <w:sz w:val="24"/>
      <w:szCs w:val="24"/>
    </w:rPr>
  </w:style>
  <w:style w:type="character" w:styleId="HeaderChar">
    <w:name w:val="Header Char"/>
    <w:qFormat/>
    <w:rPr>
      <w:rFonts w:ascii="Trebuchet MS" w:hAnsi="Trebuchet MS"/>
      <w:sz w:val="22"/>
    </w:rPr>
  </w:style>
  <w:style w:type="character" w:styleId="BalloonTextChar">
    <w:name w:val="Balloon Text Char"/>
    <w:qFormat/>
    <w:rPr>
      <w:rFonts w:ascii="Tahoma" w:hAnsi="Tahoma"/>
      <w:sz w:val="16"/>
      <w:szCs w:val="16"/>
    </w:rPr>
  </w:style>
  <w:style w:type="character" w:styleId="CommentSubjectChar">
    <w:name w:val="Comment Subject Char"/>
    <w:qFormat/>
    <w:rPr>
      <w:b/>
    </w:rPr>
  </w:style>
  <w:style w:type="character" w:styleId="CommentTextChar">
    <w:name w:val="Comment Text Char"/>
    <w:qFormat/>
    <w:rPr/>
  </w:style>
  <w:style w:type="character" w:styleId="CommentReference">
    <w:name w:val="Comment Reference"/>
    <w:qFormat/>
    <w:rPr>
      <w:sz w:val="16"/>
      <w:szCs w:val="16"/>
    </w:rPr>
  </w:style>
  <w:style w:type="character" w:styleId="DefaultParagraphFont">
    <w:name w:val="Default Paragraph Font"/>
    <w:qFormat/>
    <w:rPr/>
  </w:style>
  <w:style w:type="character" w:styleId="Emphasis">
    <w:name w:val="Emphasis"/>
    <w:qFormat/>
    <w:rPr>
      <w:i/>
      <w:iCs/>
    </w:rPr>
  </w:style>
  <w:style w:type="character" w:styleId="FootnoteCharacters">
    <w:name w:val="Footnote Characters"/>
    <w:qFormat/>
    <w:rPr/>
  </w:style>
  <w:style w:type="character" w:styleId="FootnoteAnchor">
    <w:name w:val="Footnote Anchor"/>
    <w:rPr>
      <w:vertAlign w:val="superscript"/>
    </w:rPr>
  </w:style>
  <w:style w:type="character" w:styleId="EndnoteCharacters">
    <w:name w:val="Endnote Characters"/>
    <w:qFormat/>
    <w:rPr/>
  </w:style>
  <w:style w:type="character" w:styleId="EndnoteAnchor">
    <w:name w:val="Endnote Anchor"/>
    <w:rPr>
      <w:vertAlign w:val="superscript"/>
    </w:rPr>
  </w:style>
  <w:style w:type="character" w:styleId="Bullets">
    <w:name w:val="Bullets"/>
    <w:qFormat/>
    <w:rPr>
      <w:rFonts w:ascii="OpenSymbol" w:hAnsi="OpenSymbol" w:eastAsia="OpenSymbol" w:cs="OpenSymbol"/>
    </w:rPr>
  </w:style>
  <w:style w:type="paragraph" w:styleId="Heading">
    <w:name w:val="Heading"/>
    <w:basedOn w:val="Normal"/>
    <w:next w:val="TextBody"/>
    <w:qFormat/>
    <w:pPr>
      <w:keepNext/>
      <w:spacing w:before="240" w:after="120"/>
    </w:pPr>
    <w:rPr>
      <w:rFonts w:ascii="Arial" w:hAnsi="Arial" w:eastAsia="Andale Sans UI" w:cs="Tahoma"/>
      <w:sz w:val="28"/>
      <w:szCs w:val="28"/>
    </w:rPr>
  </w:style>
  <w:style w:type="paragraph" w:styleId="TextBody">
    <w:name w:val="Body Text"/>
    <w:basedOn w:val="Normal"/>
    <w:pPr>
      <w:spacing w:before="0" w:after="120"/>
    </w:pPr>
    <w:rPr/>
  </w:style>
  <w:style w:type="paragraph" w:styleId="List">
    <w:name w:val="List"/>
    <w:basedOn w:val="TextBody"/>
    <w:pPr/>
    <w:rPr>
      <w:rFonts w:cs="Tahoma"/>
    </w:rPr>
  </w:style>
  <w:style w:type="paragraph" w:styleId="Caption">
    <w:name w:val="Caption"/>
    <w:basedOn w:val="Normal"/>
    <w:qFormat/>
    <w:pPr>
      <w:suppressLineNumbers/>
      <w:spacing w:before="120" w:after="120"/>
    </w:pPr>
    <w:rPr>
      <w:rFonts w:cs="Tahoma"/>
      <w:i/>
      <w:iCs/>
      <w:sz w:val="24"/>
      <w:szCs w:val="24"/>
    </w:rPr>
  </w:style>
  <w:style w:type="paragraph" w:styleId="Index">
    <w:name w:val="Index"/>
    <w:basedOn w:val="Normal"/>
    <w:qFormat/>
    <w:pPr>
      <w:suppressLineNumbers/>
    </w:pPr>
    <w:rPr>
      <w:rFonts w:cs="Tahoma"/>
    </w:rPr>
  </w:style>
  <w:style w:type="paragraph" w:styleId="Subtitle">
    <w:name w:val="Subtitle"/>
    <w:basedOn w:val="Normal"/>
    <w:qFormat/>
    <w:pPr/>
    <w:rPr>
      <w:i/>
      <w:color w:val="4F81BD"/>
      <w:sz w:val="24"/>
    </w:rPr>
  </w:style>
  <w:style w:type="paragraph" w:styleId="Title">
    <w:name w:val="Title"/>
    <w:basedOn w:val="Normal"/>
    <w:qFormat/>
    <w:pPr>
      <w:spacing w:before="0" w:after="300"/>
    </w:pPr>
    <w:rPr>
      <w:color w:val="17365D"/>
      <w:sz w:val="52"/>
    </w:rPr>
  </w:style>
  <w:style w:type="paragraph" w:styleId="Footer">
    <w:name w:val="Footer"/>
    <w:basedOn w:val="Normal"/>
    <w:pPr/>
    <w:rPr/>
  </w:style>
  <w:style w:type="paragraph" w:styleId="Header">
    <w:name w:val="Header"/>
    <w:basedOn w:val="Normal"/>
    <w:pPr/>
    <w:rPr>
      <w:rFonts w:ascii="Trebuchet MS" w:hAnsi="Trebuchet MS"/>
      <w:sz w:val="22"/>
      <w:szCs w:val="20"/>
    </w:rPr>
  </w:style>
  <w:style w:type="paragraph" w:styleId="BalloonText">
    <w:name w:val="Balloon Text"/>
    <w:basedOn w:val="Normal"/>
    <w:qFormat/>
    <w:pPr/>
    <w:rPr>
      <w:rFonts w:ascii="Tahoma" w:hAnsi="Tahoma"/>
      <w:sz w:val="16"/>
      <w:szCs w:val="16"/>
    </w:rPr>
  </w:style>
  <w:style w:type="paragraph" w:styleId="CommentSubject">
    <w:name w:val="Comment Subject"/>
    <w:qFormat/>
    <w:pPr>
      <w:widowControl w:val="false"/>
      <w:bidi w:val="0"/>
      <w:jc w:val="left"/>
    </w:pPr>
    <w:rPr>
      <w:rFonts w:ascii="Liberation Serif" w:hAnsi="Liberation Serif" w:eastAsia="SimSun" w:cs="Arial"/>
      <w:b/>
      <w:color w:val="00000A"/>
      <w:sz w:val="20"/>
      <w:szCs w:val="24"/>
      <w:lang w:val="en-GB" w:eastAsia="zh-CN" w:bidi="hi-IN"/>
    </w:rPr>
  </w:style>
  <w:style w:type="paragraph" w:styleId="CommentText">
    <w:name w:val="Comment Text"/>
    <w:basedOn w:val="Normal"/>
    <w:qFormat/>
    <w:pPr/>
    <w:rPr>
      <w:sz w:val="20"/>
      <w:szCs w:val="20"/>
    </w:rPr>
  </w:style>
  <w:style w:type="paragraph" w:styleId="NormalWeb">
    <w:name w:val="Normal (Web)"/>
    <w:basedOn w:val="Normal"/>
    <w:qFormat/>
    <w:pPr>
      <w:spacing w:before="0" w:after="0"/>
    </w:pPr>
    <w:rPr>
      <w:rFonts w:ascii="Georgia" w:hAnsi="Georgia"/>
      <w:color w:val="000000"/>
      <w:sz w:val="21"/>
      <w:szCs w:val="21"/>
    </w:rPr>
  </w:style>
  <w:style w:type="paragraph" w:styleId="TableContents">
    <w:name w:val="Table Contents"/>
    <w:basedOn w:val="Normal"/>
    <w:qFormat/>
    <w:pPr/>
    <w:rPr/>
  </w:style>
  <w:style w:type="paragraph" w:styleId="TableHeading">
    <w:name w:val="Table Heading"/>
    <w:basedOn w:val="TableContents"/>
    <w:qFormat/>
    <w:pPr/>
    <w:rPr/>
  </w:style>
  <w:style w:type="paragraph" w:styleId="Footnote">
    <w:name w:val="Footnote Text"/>
    <w:basedOn w:val="Normal"/>
    <w:pPr/>
    <w:rPr/>
  </w:style>
  <w:style w:type="paragraph" w:styleId="EndnoteSymbol">
    <w:name w:val="Endnote Symbol"/>
    <w:basedOn w:val="Normal"/>
    <w:qFormat/>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coolsymbol.com/copy/Heavy_Check_Mark_Symbol_&#10004;" TargetMode="External"/><Relationship Id="rId3" Type="http://schemas.openxmlformats.org/officeDocument/2006/relationships/hyperlink" Target="https://www.thoughtco.com/coatepec-the-sacred-mountain-of-aztecs-169340" TargetMode="External"/><Relationship Id="rId4" Type="http://schemas.openxmlformats.org/officeDocument/2006/relationships/footnotes" Target="footnotes.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830</TotalTime>
  <Application>LibreOffice/5.2.2.2$Windows_x86 LibreOffice_project/8f96e87c890bf8fa77463cd4b640a2312823f3ad</Application>
  <Pages>8</Pages>
  <Words>4165</Words>
  <Characters>22215</Characters>
  <CharactersWithSpaces>26320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2009-04-16T11:32:02Z</dcterms:created>
  <dc:creator/>
  <dc:description/>
  <dc:language>en-GB</dc:language>
  <cp:lastModifiedBy/>
  <cp:lastPrinted>2023-03-29T14:02:02Z</cp:lastPrinted>
  <dcterms:modified xsi:type="dcterms:W3CDTF">2023-03-30T23:24:00Z</dcterms:modified>
  <cp:revision>234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