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6E38D" w14:textId="77777777" w:rsidR="00591B67" w:rsidRDefault="00591B67" w:rsidP="6035CAF9"/>
    <w:p w14:paraId="3C35858D" w14:textId="2832CED0" w:rsidR="00591B67" w:rsidRDefault="00591B67" w:rsidP="00B83494">
      <w:pPr>
        <w:rPr>
          <w:rFonts w:ascii="Arial" w:hAnsi="Arial" w:cs="Arial"/>
          <w:sz w:val="32"/>
          <w:szCs w:val="32"/>
        </w:rPr>
      </w:pPr>
    </w:p>
    <w:p w14:paraId="18A15704" w14:textId="77777777" w:rsidR="00591B67" w:rsidRDefault="00591B67" w:rsidP="00866E45">
      <w:pPr>
        <w:rPr>
          <w:rFonts w:ascii="Arial" w:hAnsi="Arial" w:cs="Arial"/>
          <w:sz w:val="32"/>
          <w:szCs w:val="32"/>
        </w:rPr>
      </w:pPr>
    </w:p>
    <w:p w14:paraId="476BADA8" w14:textId="77777777" w:rsidR="00591B67" w:rsidRDefault="00591B67" w:rsidP="00591B67">
      <w:pPr>
        <w:jc w:val="center"/>
        <w:rPr>
          <w:rFonts w:ascii="Arial" w:hAnsi="Arial" w:cs="Arial"/>
          <w:sz w:val="32"/>
          <w:szCs w:val="32"/>
        </w:rPr>
      </w:pPr>
    </w:p>
    <w:p w14:paraId="27F40BEF" w14:textId="77777777" w:rsidR="00591B67" w:rsidRDefault="00591B67" w:rsidP="00591B67">
      <w:pPr>
        <w:rPr>
          <w:rFonts w:ascii="Arial" w:hAnsi="Arial" w:cs="Arial"/>
          <w:b/>
          <w:bCs/>
          <w:sz w:val="24"/>
          <w:szCs w:val="24"/>
        </w:rPr>
      </w:pPr>
    </w:p>
    <w:p w14:paraId="300F728D" w14:textId="7DACC17B" w:rsidR="001E444B" w:rsidRDefault="001E444B" w:rsidP="00591B67">
      <w:pPr>
        <w:rPr>
          <w:rFonts w:ascii="Arial" w:hAnsi="Arial" w:cs="Arial"/>
          <w:b/>
          <w:bCs/>
          <w:sz w:val="24"/>
          <w:szCs w:val="24"/>
        </w:rPr>
      </w:pPr>
      <w:r>
        <w:rPr>
          <w:noProof/>
        </w:rPr>
        <mc:AlternateContent>
          <mc:Choice Requires="wpg">
            <w:drawing>
              <wp:anchor distT="0" distB="0" distL="114300" distR="114300" simplePos="0" relativeHeight="251658240" behindDoc="1" locked="0" layoutInCell="1" allowOverlap="1" wp14:anchorId="678789B7" wp14:editId="25DBA998">
                <wp:simplePos x="0" y="0"/>
                <wp:positionH relativeFrom="page">
                  <wp:posOffset>456565</wp:posOffset>
                </wp:positionH>
                <wp:positionV relativeFrom="page">
                  <wp:posOffset>504825</wp:posOffset>
                </wp:positionV>
                <wp:extent cx="7019925" cy="9095105"/>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7019925" cy="9095105"/>
                          <a:chOff x="-1" y="104124"/>
                          <a:chExt cx="7007420" cy="9038606"/>
                        </a:xfrm>
                      </wpg:grpSpPr>
                      <wps:wsp>
                        <wps:cNvPr id="194" name="Rectangle 194"/>
                        <wps:cNvSpPr/>
                        <wps:spPr>
                          <a:xfrm>
                            <a:off x="-1" y="104124"/>
                            <a:ext cx="7007420" cy="1267476"/>
                          </a:xfrm>
                          <a:prstGeom prst="rect">
                            <a:avLst/>
                          </a:prstGeom>
                          <a:solidFill>
                            <a:srgbClr val="44546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210050"/>
                            <a:ext cx="6858000" cy="4932680"/>
                          </a:xfrm>
                          <a:prstGeom prst="rect">
                            <a:avLst/>
                          </a:prstGeom>
                          <a:solidFill>
                            <a:srgbClr val="44546A"/>
                          </a:solidFill>
                          <a:ln w="12700" cap="flat" cmpd="sng" algn="ctr">
                            <a:noFill/>
                            <a:prstDash val="solid"/>
                            <a:miter lim="800000"/>
                          </a:ln>
                          <a:effectLst/>
                        </wps:spPr>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DC19F3" w14:textId="46458AE7" w:rsidR="001E444B" w:rsidRPr="00EB7B1B" w:rsidRDefault="001E444B" w:rsidP="001E444B">
                                  <w:pPr>
                                    <w:pStyle w:val="NoSpacing"/>
                                    <w:spacing w:before="120"/>
                                    <w:jc w:val="center"/>
                                    <w:rPr>
                                      <w:color w:val="FFFFFF" w:themeColor="background1"/>
                                      <w:sz w:val="36"/>
                                      <w:szCs w:val="36"/>
                                    </w:rPr>
                                  </w:pPr>
                                  <w:r>
                                    <w:rPr>
                                      <w:color w:val="FFFFFF" w:themeColor="background1"/>
                                      <w:sz w:val="36"/>
                                      <w:szCs w:val="36"/>
                                    </w:rPr>
                                    <w:t>Marius Ciocea</w:t>
                                  </w:r>
                                  <w:r w:rsidR="00680A9F">
                                    <w:rPr>
                                      <w:color w:val="FFFFFF" w:themeColor="background1"/>
                                      <w:sz w:val="36"/>
                                      <w:szCs w:val="36"/>
                                    </w:rPr>
                                    <w:t>, Director</w:t>
                                  </w:r>
                                </w:p>
                              </w:sdtContent>
                            </w:sdt>
                            <w:p w14:paraId="31DC5512" w14:textId="43308E80" w:rsidR="001E444B" w:rsidRPr="00EB7B1B" w:rsidRDefault="003D0F1C" w:rsidP="001E444B">
                              <w:pPr>
                                <w:pStyle w:val="NoSpacing"/>
                                <w:spacing w:before="120"/>
                                <w:jc w:val="center"/>
                                <w:rPr>
                                  <w:rFonts w:ascii="Lucida Calligraphy" w:hAnsi="Lucida Calligraphy"/>
                                  <w:b/>
                                  <w:bCs/>
                                  <w:color w:val="FFFFFF" w:themeColor="background1"/>
                                  <w:sz w:val="40"/>
                                  <w:szCs w:val="40"/>
                                </w:rPr>
                              </w:pPr>
                              <w:sdt>
                                <w:sdtPr>
                                  <w:rPr>
                                    <w:b/>
                                    <w:bCs/>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04B19">
                                    <w:rPr>
                                      <w:b/>
                                      <w:bCs/>
                                      <w:caps/>
                                      <w:color w:val="FFFFFF" w:themeColor="background1"/>
                                      <w:sz w:val="36"/>
                                      <w:szCs w:val="36"/>
                                    </w:rPr>
                                    <w:t>hENRIQ SOL</w:t>
                                  </w:r>
                                  <w:r w:rsidR="00680A9F">
                                    <w:rPr>
                                      <w:b/>
                                      <w:bCs/>
                                      <w:caps/>
                                      <w:color w:val="FFFFFF" w:themeColor="background1"/>
                                      <w:sz w:val="36"/>
                                      <w:szCs w:val="36"/>
                                    </w:rPr>
                                    <w:t>UTION LTD</w:t>
                                  </w:r>
                                </w:sdtContent>
                              </w:sdt>
                              <w:r w:rsidR="001E444B" w:rsidRPr="00EB7B1B">
                                <w:rPr>
                                  <w:b/>
                                  <w:bCs/>
                                  <w:color w:val="FFFFFF" w:themeColor="background1"/>
                                  <w:sz w:val="36"/>
                                  <w:szCs w:val="36"/>
                                </w:rPr>
                                <w:t>  </w:t>
                              </w:r>
                              <w:r w:rsidR="001E444B" w:rsidRPr="00EB7B1B">
                                <w:rPr>
                                  <w:b/>
                                  <w:bCs/>
                                  <w:noProof/>
                                  <w:sz w:val="36"/>
                                  <w:szCs w:val="36"/>
                                </w:rPr>
                                <w:drawing>
                                  <wp:inline distT="0" distB="0" distL="0" distR="0" wp14:anchorId="7A295554" wp14:editId="1C90D7FF">
                                    <wp:extent cx="961335" cy="6419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4">
                                                  <a:shade val="45000"/>
                                                  <a:satMod val="135000"/>
                                                </a:schemeClr>
                                                <a:prstClr val="white"/>
                                              </a:duotone>
                                              <a:extLst>
                                                <a:ext uri="{BEBA8EAE-BF5A-486C-A8C5-ECC9F3942E4B}">
                                                  <a14:imgProps xmlns:a14="http://schemas.microsoft.com/office/drawing/2010/main">
                                                    <a14:imgLayer r:embed="rId9">
                                                      <a14:imgEffect>
                                                        <a14:saturation sat="0"/>
                                                      </a14:imgEffect>
                                                    </a14:imgLayer>
                                                  </a14:imgProps>
                                                </a:ext>
                                              </a:extLst>
                                            </a:blip>
                                            <a:stretch>
                                              <a:fillRect/>
                                            </a:stretch>
                                          </pic:blipFill>
                                          <pic:spPr>
                                            <a:xfrm>
                                              <a:off x="0" y="0"/>
                                              <a:ext cx="976063" cy="651820"/>
                                            </a:xfrm>
                                            <a:prstGeom prst="rect">
                                              <a:avLst/>
                                            </a:prstGeom>
                                          </pic:spPr>
                                        </pic:pic>
                                      </a:graphicData>
                                    </a:graphic>
                                  </wp:inline>
                                </w:drawing>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00" y="1374486"/>
                            <a:ext cx="6858000" cy="2892713"/>
                          </a:xfrm>
                          <a:prstGeom prst="rect">
                            <a:avLst/>
                          </a:prstGeom>
                          <a:solidFill>
                            <a:sysClr val="window" lastClr="FFFFFF"/>
                          </a:solidFill>
                          <a:ln w="6350">
                            <a:noFill/>
                          </a:ln>
                          <a:effectLst/>
                        </wps:spPr>
                        <wps:txbx>
                          <w:txbxContent>
                            <w:p w14:paraId="19E99436" w14:textId="1A4B9C5D" w:rsidR="001E444B" w:rsidRPr="00291230" w:rsidRDefault="001E444B" w:rsidP="001E444B">
                              <w:pPr>
                                <w:pStyle w:val="NoSpacing"/>
                                <w:jc w:val="center"/>
                                <w:rPr>
                                  <w:rFonts w:ascii="Arial" w:eastAsiaTheme="majorEastAsia" w:hAnsi="Arial" w:cs="Arial"/>
                                  <w:b/>
                                  <w:bCs/>
                                  <w:color w:val="44546A" w:themeColor="text2"/>
                                  <w:sz w:val="44"/>
                                  <w:szCs w:val="44"/>
                                </w:rPr>
                              </w:pPr>
                              <w:r w:rsidRPr="00291230">
                                <w:rPr>
                                  <w:rFonts w:ascii="Arial" w:eastAsiaTheme="majorEastAsia" w:hAnsi="Arial" w:cs="Arial"/>
                                  <w:b/>
                                  <w:bCs/>
                                  <w:color w:val="44546A" w:themeColor="text2"/>
                                  <w:sz w:val="44"/>
                                  <w:szCs w:val="44"/>
                                </w:rPr>
                                <w:t>Courtyard</w:t>
                              </w:r>
                              <w:r w:rsidR="005503EC" w:rsidRPr="00291230">
                                <w:rPr>
                                  <w:rFonts w:ascii="Arial" w:eastAsiaTheme="majorEastAsia" w:hAnsi="Arial" w:cs="Arial"/>
                                  <w:b/>
                                  <w:bCs/>
                                  <w:color w:val="44546A" w:themeColor="text2"/>
                                  <w:sz w:val="44"/>
                                  <w:szCs w:val="44"/>
                                </w:rPr>
                                <w:t xml:space="preserve"> by</w:t>
                              </w:r>
                              <w:r w:rsidRPr="00291230">
                                <w:rPr>
                                  <w:rFonts w:ascii="Arial" w:eastAsiaTheme="majorEastAsia" w:hAnsi="Arial" w:cs="Arial"/>
                                  <w:b/>
                                  <w:bCs/>
                                  <w:color w:val="44546A" w:themeColor="text2"/>
                                  <w:sz w:val="44"/>
                                  <w:szCs w:val="44"/>
                                </w:rPr>
                                <w:t xml:space="preserve"> Marriott Hotels: Employee High Turnover Rate</w:t>
                              </w:r>
                            </w:p>
                            <w:p w14:paraId="30E7AA98" w14:textId="77777777" w:rsidR="001E444B" w:rsidRPr="00EB7B1B" w:rsidRDefault="001E444B" w:rsidP="001E444B">
                              <w:pPr>
                                <w:pStyle w:val="NoSpacing"/>
                                <w:jc w:val="center"/>
                                <w:rPr>
                                  <w:rFonts w:ascii="Arial" w:eastAsiaTheme="majorEastAsia" w:hAnsi="Arial" w:cs="Arial"/>
                                  <w:b/>
                                  <w:bCs/>
                                  <w:color w:val="44546A" w:themeColor="text2"/>
                                  <w:sz w:val="18"/>
                                  <w:szCs w:val="18"/>
                                </w:rPr>
                              </w:pPr>
                            </w:p>
                            <w:p w14:paraId="42884DEE" w14:textId="77777777" w:rsidR="001E444B" w:rsidRPr="00327B5C" w:rsidRDefault="001E444B" w:rsidP="001E444B">
                              <w:pPr>
                                <w:pStyle w:val="NoSpacing"/>
                                <w:jc w:val="center"/>
                                <w:rPr>
                                  <w:rFonts w:ascii="Arial" w:eastAsiaTheme="majorEastAsia" w:hAnsi="Arial" w:cs="Arial"/>
                                  <w:b/>
                                  <w:bCs/>
                                  <w:caps/>
                                  <w:color w:val="4472C4" w:themeColor="accent1"/>
                                  <w:sz w:val="36"/>
                                  <w:szCs w:val="36"/>
                                </w:rPr>
                              </w:pPr>
                              <w:r w:rsidRPr="00EB7B1B">
                                <w:rPr>
                                  <w:rFonts w:ascii="Arial" w:eastAsiaTheme="majorEastAsia" w:hAnsi="Arial" w:cs="Arial"/>
                                  <w:b/>
                                  <w:bCs/>
                                  <w:color w:val="44546A" w:themeColor="text2"/>
                                  <w:sz w:val="28"/>
                                  <w:szCs w:val="28"/>
                                </w:rPr>
                                <w:t>A Report for The Marriott International, Inc</w:t>
                              </w:r>
                              <w:r w:rsidRPr="00327B5C">
                                <w:rPr>
                                  <w:rFonts w:ascii="Arial" w:eastAsiaTheme="majorEastAsia" w:hAnsi="Arial" w:cs="Arial"/>
                                  <w:b/>
                                  <w:bCs/>
                                  <w:color w:val="4472C4" w:themeColor="accent1"/>
                                  <w:sz w:val="36"/>
                                  <w:szCs w:val="36"/>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8789B7" id="Group 193" o:spid="_x0000_s1026" style="position:absolute;margin-left:35.95pt;margin-top:39.75pt;width:552.75pt;height:716.15pt;z-index:-251658240;mso-position-horizontal-relative:page;mso-position-vertical-relative:page" coordorigin=",1041" coordsize="70074,90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">
                <v:rect id="Rectangle 194" o:spid="_x0000_s1027" style="position:absolute;top:1041;width:70074;height:12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" fillcolor="#44546a" stroked="f" strokeweight="1pt"/>
                <v:rect id="Rectangle 195" o:spid="_x0000_s1028" style="position:absolute;top:42100;width:68580;height:49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" fillcolor="#44546a"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DC19F3" w14:textId="46458AE7" w:rsidR="001E444B" w:rsidRPr="00EB7B1B" w:rsidRDefault="001E444B" w:rsidP="001E444B">
                            <w:pPr>
                              <w:pStyle w:val="NoSpacing"/>
                              <w:spacing w:before="120"/>
                              <w:jc w:val="center"/>
                              <w:rPr>
                                <w:color w:val="FFFFFF" w:themeColor="background1"/>
                                <w:sz w:val="36"/>
                                <w:szCs w:val="36"/>
                              </w:rPr>
                            </w:pPr>
                            <w:r>
                              <w:rPr>
                                <w:color w:val="FFFFFF" w:themeColor="background1"/>
                                <w:sz w:val="36"/>
                                <w:szCs w:val="36"/>
                              </w:rPr>
                              <w:t>Marius Ciocea</w:t>
                            </w:r>
                            <w:r w:rsidR="00680A9F">
                              <w:rPr>
                                <w:color w:val="FFFFFF" w:themeColor="background1"/>
                                <w:sz w:val="36"/>
                                <w:szCs w:val="36"/>
                              </w:rPr>
                              <w:t>, Director</w:t>
                            </w:r>
                          </w:p>
                        </w:sdtContent>
                      </w:sdt>
                      <w:p w14:paraId="31DC5512" w14:textId="43308E80" w:rsidR="001E444B" w:rsidRPr="00EB7B1B" w:rsidRDefault="003D0F1C" w:rsidP="001E444B">
                        <w:pPr>
                          <w:pStyle w:val="NoSpacing"/>
                          <w:spacing w:before="120"/>
                          <w:jc w:val="center"/>
                          <w:rPr>
                            <w:rFonts w:ascii="Lucida Calligraphy" w:hAnsi="Lucida Calligraphy"/>
                            <w:b/>
                            <w:bCs/>
                            <w:color w:val="FFFFFF" w:themeColor="background1"/>
                            <w:sz w:val="40"/>
                            <w:szCs w:val="40"/>
                          </w:rPr>
                        </w:pPr>
                        <w:sdt>
                          <w:sdtPr>
                            <w:rPr>
                              <w:b/>
                              <w:bCs/>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04B19">
                              <w:rPr>
                                <w:b/>
                                <w:bCs/>
                                <w:caps/>
                                <w:color w:val="FFFFFF" w:themeColor="background1"/>
                                <w:sz w:val="36"/>
                                <w:szCs w:val="36"/>
                              </w:rPr>
                              <w:t>hENRIQ SOL</w:t>
                            </w:r>
                            <w:r w:rsidR="00680A9F">
                              <w:rPr>
                                <w:b/>
                                <w:bCs/>
                                <w:caps/>
                                <w:color w:val="FFFFFF" w:themeColor="background1"/>
                                <w:sz w:val="36"/>
                                <w:szCs w:val="36"/>
                              </w:rPr>
                              <w:t>UTION LTD</w:t>
                            </w:r>
                          </w:sdtContent>
                        </w:sdt>
                        <w:r w:rsidR="001E444B" w:rsidRPr="00EB7B1B">
                          <w:rPr>
                            <w:b/>
                            <w:bCs/>
                            <w:color w:val="FFFFFF" w:themeColor="background1"/>
                            <w:sz w:val="36"/>
                            <w:szCs w:val="36"/>
                          </w:rPr>
                          <w:t>  </w:t>
                        </w:r>
                        <w:r w:rsidR="001E444B" w:rsidRPr="00EB7B1B">
                          <w:rPr>
                            <w:b/>
                            <w:bCs/>
                            <w:noProof/>
                            <w:sz w:val="36"/>
                            <w:szCs w:val="36"/>
                          </w:rPr>
                          <w:drawing>
                            <wp:inline distT="0" distB="0" distL="0" distR="0" wp14:anchorId="7A295554" wp14:editId="1C90D7FF">
                              <wp:extent cx="961335" cy="6419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4">
                                            <a:shade val="45000"/>
                                            <a:satMod val="135000"/>
                                          </a:schemeClr>
                                          <a:prstClr val="white"/>
                                        </a:duotone>
                                        <a:extLst>
                                          <a:ext uri="{BEBA8EAE-BF5A-486C-A8C5-ECC9F3942E4B}">
                                            <a14:imgProps xmlns:a14="http://schemas.microsoft.com/office/drawing/2010/main">
                                              <a14:imgLayer r:embed="rId9">
                                                <a14:imgEffect>
                                                  <a14:saturation sat="0"/>
                                                </a14:imgEffect>
                                              </a14:imgLayer>
                                            </a14:imgProps>
                                          </a:ext>
                                        </a:extLst>
                                      </a:blip>
                                      <a:stretch>
                                        <a:fillRect/>
                                      </a:stretch>
                                    </pic:blipFill>
                                    <pic:spPr>
                                      <a:xfrm>
                                        <a:off x="0" y="0"/>
                                        <a:ext cx="976063" cy="651820"/>
                                      </a:xfrm>
                                      <a:prstGeom prst="rect">
                                        <a:avLst/>
                                      </a:prstGeom>
                                    </pic:spPr>
                                  </pic:pic>
                                </a:graphicData>
                              </a:graphic>
                            </wp:inline>
                          </w:drawing>
                        </w:r>
                      </w:p>
                    </w:txbxContent>
                  </v:textbox>
                </v:rect>
                <v:shapetype id="_x0000_t202" coordsize="21600,21600" o:spt="202" path="m,l,21600r21600,l21600,xe">
                  <v:stroke joinstyle="miter"/>
                  <v:path gradientshapeok="t" o:connecttype="rect"/>
                </v:shapetype>
                <v:shape id="Text Box 196" o:spid="_x0000_s1029" type="#_x0000_t202" style="position:absolute;left:68;top:13744;width:68580;height:28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p w14:paraId="19E99436" w14:textId="1A4B9C5D" w:rsidR="001E444B" w:rsidRPr="00291230" w:rsidRDefault="001E444B" w:rsidP="001E444B">
                        <w:pPr>
                          <w:pStyle w:val="NoSpacing"/>
                          <w:jc w:val="center"/>
                          <w:rPr>
                            <w:rFonts w:ascii="Arial" w:eastAsiaTheme="majorEastAsia" w:hAnsi="Arial" w:cs="Arial"/>
                            <w:b/>
                            <w:bCs/>
                            <w:color w:val="44546A" w:themeColor="text2"/>
                            <w:sz w:val="44"/>
                            <w:szCs w:val="44"/>
                          </w:rPr>
                        </w:pPr>
                        <w:r w:rsidRPr="00291230">
                          <w:rPr>
                            <w:rFonts w:ascii="Arial" w:eastAsiaTheme="majorEastAsia" w:hAnsi="Arial" w:cs="Arial"/>
                            <w:b/>
                            <w:bCs/>
                            <w:color w:val="44546A" w:themeColor="text2"/>
                            <w:sz w:val="44"/>
                            <w:szCs w:val="44"/>
                          </w:rPr>
                          <w:t>Courtyard</w:t>
                        </w:r>
                        <w:r w:rsidR="005503EC" w:rsidRPr="00291230">
                          <w:rPr>
                            <w:rFonts w:ascii="Arial" w:eastAsiaTheme="majorEastAsia" w:hAnsi="Arial" w:cs="Arial"/>
                            <w:b/>
                            <w:bCs/>
                            <w:color w:val="44546A" w:themeColor="text2"/>
                            <w:sz w:val="44"/>
                            <w:szCs w:val="44"/>
                          </w:rPr>
                          <w:t xml:space="preserve"> by</w:t>
                        </w:r>
                        <w:r w:rsidRPr="00291230">
                          <w:rPr>
                            <w:rFonts w:ascii="Arial" w:eastAsiaTheme="majorEastAsia" w:hAnsi="Arial" w:cs="Arial"/>
                            <w:b/>
                            <w:bCs/>
                            <w:color w:val="44546A" w:themeColor="text2"/>
                            <w:sz w:val="44"/>
                            <w:szCs w:val="44"/>
                          </w:rPr>
                          <w:t xml:space="preserve"> Marriott Hotels: Employee High Turnover Rate</w:t>
                        </w:r>
                      </w:p>
                      <w:p w14:paraId="30E7AA98" w14:textId="77777777" w:rsidR="001E444B" w:rsidRPr="00EB7B1B" w:rsidRDefault="001E444B" w:rsidP="001E444B">
                        <w:pPr>
                          <w:pStyle w:val="NoSpacing"/>
                          <w:jc w:val="center"/>
                          <w:rPr>
                            <w:rFonts w:ascii="Arial" w:eastAsiaTheme="majorEastAsia" w:hAnsi="Arial" w:cs="Arial"/>
                            <w:b/>
                            <w:bCs/>
                            <w:color w:val="44546A" w:themeColor="text2"/>
                            <w:sz w:val="18"/>
                            <w:szCs w:val="18"/>
                          </w:rPr>
                        </w:pPr>
                      </w:p>
                      <w:p w14:paraId="42884DEE" w14:textId="77777777" w:rsidR="001E444B" w:rsidRPr="00327B5C" w:rsidRDefault="001E444B" w:rsidP="001E444B">
                        <w:pPr>
                          <w:pStyle w:val="NoSpacing"/>
                          <w:jc w:val="center"/>
                          <w:rPr>
                            <w:rFonts w:ascii="Arial" w:eastAsiaTheme="majorEastAsia" w:hAnsi="Arial" w:cs="Arial"/>
                            <w:b/>
                            <w:bCs/>
                            <w:caps/>
                            <w:color w:val="4472C4" w:themeColor="accent1"/>
                            <w:sz w:val="36"/>
                            <w:szCs w:val="36"/>
                          </w:rPr>
                        </w:pPr>
                        <w:r w:rsidRPr="00EB7B1B">
                          <w:rPr>
                            <w:rFonts w:ascii="Arial" w:eastAsiaTheme="majorEastAsia" w:hAnsi="Arial" w:cs="Arial"/>
                            <w:b/>
                            <w:bCs/>
                            <w:color w:val="44546A" w:themeColor="text2"/>
                            <w:sz w:val="28"/>
                            <w:szCs w:val="28"/>
                          </w:rPr>
                          <w:t>A Report for The Marriott International, Inc</w:t>
                        </w:r>
                        <w:r w:rsidRPr="00327B5C">
                          <w:rPr>
                            <w:rFonts w:ascii="Arial" w:eastAsiaTheme="majorEastAsia" w:hAnsi="Arial" w:cs="Arial"/>
                            <w:b/>
                            <w:bCs/>
                            <w:color w:val="4472C4" w:themeColor="accent1"/>
                            <w:sz w:val="36"/>
                            <w:szCs w:val="36"/>
                          </w:rPr>
                          <w:t>.</w:t>
                        </w:r>
                      </w:p>
                    </w:txbxContent>
                  </v:textbox>
                </v:shape>
                <w10:wrap anchorx="page" anchory="page"/>
              </v:group>
            </w:pict>
          </mc:Fallback>
        </mc:AlternateContent>
      </w:r>
    </w:p>
    <w:p w14:paraId="331F068C" w14:textId="77777777" w:rsidR="001E444B" w:rsidRDefault="001E444B" w:rsidP="00591B67">
      <w:pPr>
        <w:rPr>
          <w:rFonts w:ascii="Arial" w:hAnsi="Arial" w:cs="Arial"/>
          <w:b/>
          <w:bCs/>
          <w:sz w:val="24"/>
          <w:szCs w:val="24"/>
        </w:rPr>
      </w:pPr>
    </w:p>
    <w:p w14:paraId="7D1E67F3" w14:textId="77777777" w:rsidR="001E444B" w:rsidRDefault="001E444B" w:rsidP="00591B67">
      <w:pPr>
        <w:rPr>
          <w:rFonts w:ascii="Arial" w:hAnsi="Arial" w:cs="Arial"/>
          <w:b/>
          <w:bCs/>
          <w:sz w:val="24"/>
          <w:szCs w:val="24"/>
        </w:rPr>
      </w:pPr>
    </w:p>
    <w:p w14:paraId="5B313090" w14:textId="77777777" w:rsidR="001E444B" w:rsidRDefault="001E444B" w:rsidP="00591B67">
      <w:pPr>
        <w:rPr>
          <w:rFonts w:ascii="Arial" w:hAnsi="Arial" w:cs="Arial"/>
          <w:b/>
          <w:bCs/>
          <w:sz w:val="24"/>
          <w:szCs w:val="24"/>
        </w:rPr>
      </w:pPr>
    </w:p>
    <w:p w14:paraId="4E925D58" w14:textId="77777777" w:rsidR="001E444B" w:rsidRDefault="001E444B" w:rsidP="00591B67">
      <w:pPr>
        <w:rPr>
          <w:rFonts w:ascii="Arial" w:hAnsi="Arial" w:cs="Arial"/>
          <w:b/>
          <w:bCs/>
          <w:sz w:val="24"/>
          <w:szCs w:val="24"/>
        </w:rPr>
      </w:pPr>
    </w:p>
    <w:p w14:paraId="7725D75B" w14:textId="77777777" w:rsidR="001E444B" w:rsidRDefault="001E444B" w:rsidP="00591B67">
      <w:pPr>
        <w:rPr>
          <w:rFonts w:ascii="Arial" w:hAnsi="Arial" w:cs="Arial"/>
          <w:b/>
          <w:bCs/>
          <w:sz w:val="24"/>
          <w:szCs w:val="24"/>
        </w:rPr>
      </w:pPr>
    </w:p>
    <w:p w14:paraId="4A8FA2E1" w14:textId="77777777" w:rsidR="001E444B" w:rsidRDefault="001E444B" w:rsidP="00591B67">
      <w:pPr>
        <w:rPr>
          <w:rFonts w:ascii="Arial" w:hAnsi="Arial" w:cs="Arial"/>
          <w:b/>
          <w:bCs/>
          <w:sz w:val="24"/>
          <w:szCs w:val="24"/>
        </w:rPr>
      </w:pPr>
    </w:p>
    <w:p w14:paraId="5AFEF264" w14:textId="77777777" w:rsidR="001E444B" w:rsidRDefault="001E444B" w:rsidP="00591B67">
      <w:pPr>
        <w:rPr>
          <w:rFonts w:ascii="Arial" w:hAnsi="Arial" w:cs="Arial"/>
          <w:b/>
          <w:bCs/>
          <w:sz w:val="24"/>
          <w:szCs w:val="24"/>
        </w:rPr>
      </w:pPr>
    </w:p>
    <w:p w14:paraId="5278D8E0" w14:textId="77777777" w:rsidR="001E444B" w:rsidRDefault="001E444B" w:rsidP="00591B67">
      <w:pPr>
        <w:rPr>
          <w:rFonts w:ascii="Arial" w:hAnsi="Arial" w:cs="Arial"/>
          <w:b/>
          <w:bCs/>
          <w:sz w:val="24"/>
          <w:szCs w:val="24"/>
        </w:rPr>
      </w:pPr>
    </w:p>
    <w:p w14:paraId="13E82F55" w14:textId="54E64789" w:rsidR="001E444B" w:rsidRPr="00037854" w:rsidRDefault="00037854" w:rsidP="00591B67">
      <w:pPr>
        <w:rPr>
          <w:rFonts w:ascii="Arial" w:hAnsi="Arial" w:cs="Arial"/>
          <w:b/>
          <w:bCs/>
          <w:color w:val="FFFFFF" w:themeColor="background1"/>
          <w:sz w:val="24"/>
          <w:szCs w:val="24"/>
        </w:rPr>
      </w:pPr>
      <w:r w:rsidRPr="00037854">
        <w:rPr>
          <w:rFonts w:ascii="Arial" w:hAnsi="Arial" w:cs="Arial"/>
          <w:b/>
          <w:bCs/>
          <w:color w:val="FFFFFF" w:themeColor="background1"/>
          <w:sz w:val="24"/>
          <w:szCs w:val="24"/>
        </w:rPr>
        <w:t>November 2023</w:t>
      </w:r>
    </w:p>
    <w:p w14:paraId="59061410" w14:textId="77777777" w:rsidR="001E444B" w:rsidRDefault="001E444B" w:rsidP="00591B67">
      <w:pPr>
        <w:rPr>
          <w:rFonts w:ascii="Arial" w:hAnsi="Arial" w:cs="Arial"/>
          <w:b/>
          <w:bCs/>
          <w:sz w:val="24"/>
          <w:szCs w:val="24"/>
        </w:rPr>
      </w:pPr>
    </w:p>
    <w:p w14:paraId="7F7D5233" w14:textId="77777777" w:rsidR="00037854" w:rsidRDefault="00037854" w:rsidP="00AB6F7B">
      <w:pPr>
        <w:rPr>
          <w:rFonts w:ascii="Arial" w:hAnsi="Arial" w:cs="Arial"/>
          <w:b/>
          <w:bCs/>
          <w:color w:val="FFFFFF" w:themeColor="background1"/>
          <w:sz w:val="24"/>
          <w:szCs w:val="24"/>
        </w:rPr>
      </w:pPr>
    </w:p>
    <w:p w14:paraId="4FDE6305" w14:textId="77777777" w:rsidR="00037854" w:rsidRDefault="00037854" w:rsidP="00AB6F7B">
      <w:pPr>
        <w:rPr>
          <w:rFonts w:ascii="Arial" w:hAnsi="Arial" w:cs="Arial"/>
          <w:b/>
          <w:bCs/>
          <w:color w:val="FFFFFF" w:themeColor="background1"/>
          <w:sz w:val="24"/>
          <w:szCs w:val="24"/>
        </w:rPr>
      </w:pPr>
    </w:p>
    <w:p w14:paraId="39CEDE50" w14:textId="05C774F4" w:rsidR="00AB6F7B" w:rsidRPr="00AB6F7B" w:rsidRDefault="00AB6F7B" w:rsidP="00AB6F7B">
      <w:pPr>
        <w:rPr>
          <w:rFonts w:ascii="Arial" w:hAnsi="Arial" w:cs="Arial"/>
          <w:b/>
          <w:bCs/>
          <w:color w:val="FFFFFF" w:themeColor="background1"/>
          <w:sz w:val="24"/>
          <w:szCs w:val="24"/>
        </w:rPr>
      </w:pPr>
      <w:r w:rsidRPr="00AB6F7B">
        <w:rPr>
          <w:rFonts w:ascii="Arial" w:hAnsi="Arial" w:cs="Arial"/>
          <w:b/>
          <w:bCs/>
          <w:color w:val="FFFFFF" w:themeColor="background1"/>
          <w:sz w:val="24"/>
          <w:szCs w:val="24"/>
        </w:rPr>
        <w:t>Student Nam</w:t>
      </w:r>
      <w:r>
        <w:rPr>
          <w:rFonts w:ascii="Arial" w:hAnsi="Arial" w:cs="Arial"/>
          <w:b/>
          <w:bCs/>
          <w:color w:val="FFFFFF" w:themeColor="background1"/>
          <w:sz w:val="24"/>
          <w:szCs w:val="24"/>
        </w:rPr>
        <w:t xml:space="preserve">e: </w:t>
      </w:r>
      <w:r w:rsidR="005503EC" w:rsidRPr="005503EC">
        <w:rPr>
          <w:rFonts w:ascii="Arial" w:hAnsi="Arial" w:cs="Arial"/>
          <w:b/>
          <w:bCs/>
          <w:color w:val="FFFFFF" w:themeColor="background1"/>
          <w:sz w:val="24"/>
          <w:szCs w:val="24"/>
        </w:rPr>
        <w:t>Marius Ciocea</w:t>
      </w:r>
    </w:p>
    <w:p w14:paraId="5033769B" w14:textId="53585694" w:rsidR="00AB6F7B" w:rsidRPr="00AB6F7B" w:rsidRDefault="00AB6F7B" w:rsidP="00AB6F7B">
      <w:pPr>
        <w:rPr>
          <w:rFonts w:ascii="Arial" w:hAnsi="Arial" w:cs="Arial"/>
          <w:b/>
          <w:bCs/>
          <w:color w:val="FFFFFF" w:themeColor="background1"/>
          <w:sz w:val="24"/>
          <w:szCs w:val="24"/>
        </w:rPr>
      </w:pPr>
      <w:r w:rsidRPr="00AB6F7B">
        <w:rPr>
          <w:rFonts w:ascii="Arial" w:hAnsi="Arial" w:cs="Arial"/>
          <w:b/>
          <w:bCs/>
          <w:color w:val="FFFFFF" w:themeColor="background1"/>
          <w:sz w:val="24"/>
          <w:szCs w:val="24"/>
        </w:rPr>
        <w:t>Student ID Number</w:t>
      </w:r>
      <w:r>
        <w:rPr>
          <w:rFonts w:ascii="Arial" w:hAnsi="Arial" w:cs="Arial"/>
          <w:b/>
          <w:bCs/>
          <w:color w:val="FFFFFF" w:themeColor="background1"/>
          <w:sz w:val="24"/>
          <w:szCs w:val="24"/>
        </w:rPr>
        <w:t>:</w:t>
      </w:r>
      <w:r w:rsidR="000463D3">
        <w:rPr>
          <w:rFonts w:ascii="Arial" w:hAnsi="Arial" w:cs="Arial"/>
          <w:b/>
          <w:bCs/>
          <w:color w:val="FFFFFF" w:themeColor="background1"/>
          <w:sz w:val="24"/>
          <w:szCs w:val="24"/>
        </w:rPr>
        <w:t xml:space="preserve"> </w:t>
      </w:r>
      <w:r>
        <w:rPr>
          <w:rFonts w:ascii="Arial" w:hAnsi="Arial" w:cs="Arial"/>
          <w:b/>
          <w:bCs/>
          <w:color w:val="FFFFFF" w:themeColor="background1"/>
          <w:sz w:val="24"/>
          <w:szCs w:val="24"/>
        </w:rPr>
        <w:t xml:space="preserve"> </w:t>
      </w:r>
      <w:r w:rsidR="000463D3" w:rsidRPr="000463D3">
        <w:rPr>
          <w:rFonts w:ascii="Arial" w:hAnsi="Arial" w:cs="Arial"/>
          <w:b/>
          <w:bCs/>
          <w:color w:val="FFFFFF" w:themeColor="background1"/>
          <w:sz w:val="24"/>
          <w:szCs w:val="24"/>
        </w:rPr>
        <w:t>2111529</w:t>
      </w:r>
    </w:p>
    <w:p w14:paraId="615A0674" w14:textId="3C0864B8" w:rsidR="00AB6F7B" w:rsidRPr="00AB6F7B" w:rsidRDefault="00987323" w:rsidP="00AB6F7B">
      <w:pPr>
        <w:rPr>
          <w:rFonts w:ascii="Arial" w:hAnsi="Arial" w:cs="Arial"/>
          <w:b/>
          <w:bCs/>
          <w:color w:val="FFFFFF" w:themeColor="background1"/>
          <w:sz w:val="24"/>
          <w:szCs w:val="24"/>
        </w:rPr>
      </w:pPr>
      <w:r w:rsidRPr="00987323">
        <w:rPr>
          <w:rFonts w:ascii="Arial" w:hAnsi="Arial" w:cs="Arial"/>
          <w:b/>
          <w:bCs/>
          <w:color w:val="FFFFFF" w:themeColor="background1"/>
          <w:sz w:val="24"/>
          <w:szCs w:val="24"/>
        </w:rPr>
        <w:t>Organisational Consultancy (BMIH6005</w:t>
      </w:r>
      <w:r>
        <w:rPr>
          <w:rFonts w:ascii="Arial" w:hAnsi="Arial" w:cs="Arial"/>
          <w:b/>
          <w:bCs/>
          <w:color w:val="FFFFFF" w:themeColor="background1"/>
          <w:sz w:val="24"/>
          <w:szCs w:val="24"/>
        </w:rPr>
        <w:t>)</w:t>
      </w:r>
    </w:p>
    <w:p w14:paraId="0379397D" w14:textId="6C88D206" w:rsidR="001E444B" w:rsidRPr="00AB6F7B" w:rsidRDefault="00987323" w:rsidP="00AB6F7B">
      <w:pPr>
        <w:rPr>
          <w:rFonts w:ascii="Arial" w:hAnsi="Arial" w:cs="Arial"/>
          <w:b/>
          <w:bCs/>
          <w:color w:val="FFFFFF" w:themeColor="background1"/>
          <w:sz w:val="24"/>
          <w:szCs w:val="24"/>
        </w:rPr>
      </w:pPr>
      <w:r>
        <w:rPr>
          <w:rFonts w:ascii="Arial" w:hAnsi="Arial" w:cs="Arial"/>
          <w:b/>
          <w:bCs/>
          <w:color w:val="FFFFFF" w:themeColor="background1"/>
          <w:sz w:val="24"/>
          <w:szCs w:val="24"/>
        </w:rPr>
        <w:t>Lecture</w:t>
      </w:r>
      <w:r w:rsidR="000F243A">
        <w:rPr>
          <w:rFonts w:ascii="Arial" w:hAnsi="Arial" w:cs="Arial"/>
          <w:b/>
          <w:bCs/>
          <w:color w:val="FFFFFF" w:themeColor="background1"/>
          <w:sz w:val="24"/>
          <w:szCs w:val="24"/>
        </w:rPr>
        <w:t xml:space="preserve">r: </w:t>
      </w:r>
      <w:r w:rsidR="009003E9" w:rsidRPr="009003E9">
        <w:rPr>
          <w:rFonts w:ascii="Arial" w:hAnsi="Arial" w:cs="Arial"/>
          <w:b/>
          <w:bCs/>
          <w:color w:val="FFFFFF" w:themeColor="background1"/>
          <w:sz w:val="24"/>
          <w:szCs w:val="24"/>
        </w:rPr>
        <w:t>Jaliya de Silva</w:t>
      </w:r>
    </w:p>
    <w:p w14:paraId="5F3C3821" w14:textId="77777777" w:rsidR="001E444B" w:rsidRDefault="001E444B" w:rsidP="00591B67">
      <w:pPr>
        <w:rPr>
          <w:rFonts w:ascii="Arial" w:hAnsi="Arial" w:cs="Arial"/>
          <w:b/>
          <w:bCs/>
          <w:sz w:val="24"/>
          <w:szCs w:val="24"/>
        </w:rPr>
      </w:pPr>
    </w:p>
    <w:p w14:paraId="1914A5CD" w14:textId="77777777" w:rsidR="001E444B" w:rsidRDefault="001E444B" w:rsidP="00591B67">
      <w:pPr>
        <w:rPr>
          <w:rFonts w:ascii="Arial" w:hAnsi="Arial" w:cs="Arial"/>
          <w:b/>
          <w:bCs/>
          <w:sz w:val="24"/>
          <w:szCs w:val="24"/>
        </w:rPr>
      </w:pPr>
    </w:p>
    <w:p w14:paraId="7860AB1B" w14:textId="77777777" w:rsidR="001E444B" w:rsidRDefault="001E444B" w:rsidP="00591B67">
      <w:pPr>
        <w:rPr>
          <w:rFonts w:ascii="Arial" w:hAnsi="Arial" w:cs="Arial"/>
          <w:b/>
          <w:bCs/>
          <w:sz w:val="24"/>
          <w:szCs w:val="24"/>
        </w:rPr>
      </w:pPr>
    </w:p>
    <w:p w14:paraId="6F5CC190" w14:textId="77777777" w:rsidR="001E444B" w:rsidRDefault="001E444B" w:rsidP="00591B67">
      <w:pPr>
        <w:rPr>
          <w:rFonts w:ascii="Arial" w:hAnsi="Arial" w:cs="Arial"/>
          <w:b/>
          <w:bCs/>
          <w:sz w:val="24"/>
          <w:szCs w:val="24"/>
        </w:rPr>
      </w:pPr>
    </w:p>
    <w:p w14:paraId="7D27BE41" w14:textId="77777777" w:rsidR="001E444B" w:rsidRDefault="001E444B" w:rsidP="00591B67">
      <w:pPr>
        <w:rPr>
          <w:rFonts w:ascii="Arial" w:hAnsi="Arial" w:cs="Arial"/>
          <w:b/>
          <w:bCs/>
          <w:sz w:val="24"/>
          <w:szCs w:val="24"/>
        </w:rPr>
      </w:pPr>
    </w:p>
    <w:p w14:paraId="2CB84020" w14:textId="77777777" w:rsidR="001E444B" w:rsidRDefault="001E444B" w:rsidP="00591B67">
      <w:pPr>
        <w:rPr>
          <w:rFonts w:ascii="Arial" w:hAnsi="Arial" w:cs="Arial"/>
          <w:b/>
          <w:bCs/>
          <w:sz w:val="24"/>
          <w:szCs w:val="24"/>
        </w:rPr>
      </w:pPr>
    </w:p>
    <w:p w14:paraId="79164BAD" w14:textId="77777777" w:rsidR="00591B67" w:rsidRDefault="00591B67" w:rsidP="00591B67">
      <w:pPr>
        <w:rPr>
          <w:rFonts w:ascii="Arial" w:hAnsi="Arial" w:cs="Arial"/>
          <w:b/>
          <w:bCs/>
          <w:sz w:val="24"/>
          <w:szCs w:val="24"/>
        </w:rPr>
      </w:pPr>
    </w:p>
    <w:p w14:paraId="4456B405" w14:textId="77777777" w:rsidR="00913F95" w:rsidRDefault="00913F95" w:rsidP="00311C60">
      <w:pPr>
        <w:rPr>
          <w:rFonts w:ascii="Arial" w:hAnsi="Arial" w:cs="Arial"/>
          <w:b/>
          <w:bCs/>
          <w:sz w:val="24"/>
          <w:szCs w:val="24"/>
        </w:rPr>
      </w:pPr>
    </w:p>
    <w:p w14:paraId="68798215" w14:textId="77777777" w:rsidR="00913F95" w:rsidRDefault="00913F95" w:rsidP="00A50CFD">
      <w:pPr>
        <w:jc w:val="center"/>
        <w:rPr>
          <w:rFonts w:ascii="Arial" w:hAnsi="Arial" w:cs="Arial"/>
          <w:b/>
          <w:bCs/>
          <w:sz w:val="24"/>
          <w:szCs w:val="24"/>
        </w:rPr>
      </w:pPr>
    </w:p>
    <w:p w14:paraId="08BC6E23" w14:textId="4D44EE5F" w:rsidR="00A50CFD" w:rsidRPr="000B7C26" w:rsidRDefault="00A50CFD" w:rsidP="00A50CFD">
      <w:pPr>
        <w:jc w:val="center"/>
        <w:rPr>
          <w:rFonts w:ascii="Arial" w:hAnsi="Arial" w:cs="Arial"/>
          <w:b/>
          <w:bCs/>
          <w:sz w:val="24"/>
          <w:szCs w:val="24"/>
        </w:rPr>
      </w:pPr>
      <w:r w:rsidRPr="000B7C26">
        <w:rPr>
          <w:rFonts w:ascii="Arial" w:hAnsi="Arial" w:cs="Arial"/>
          <w:b/>
          <w:bCs/>
          <w:sz w:val="24"/>
          <w:szCs w:val="24"/>
        </w:rPr>
        <w:t>Table of Contents</w:t>
      </w:r>
    </w:p>
    <w:p w14:paraId="3FD9E053" w14:textId="77777777" w:rsidR="00A50CFD" w:rsidRDefault="00A50CFD" w:rsidP="00A50CFD">
      <w:pPr>
        <w:tabs>
          <w:tab w:val="right" w:leader="dot" w:pos="9350"/>
        </w:tabs>
        <w:spacing w:after="100" w:line="276" w:lineRule="auto"/>
        <w:ind w:left="220"/>
        <w:rPr>
          <w:rFonts w:ascii="Arial" w:hAnsi="Arial" w:cs="Arial"/>
          <w:noProof/>
          <w:kern w:val="0"/>
          <w:sz w:val="24"/>
          <w:szCs w:val="24"/>
          <w:lang w:val="en-US"/>
          <w14:ligatures w14:val="none"/>
        </w:rPr>
      </w:pPr>
    </w:p>
    <w:bookmarkStart w:id="0" w:name="_Hlk150871678"/>
    <w:p w14:paraId="247F9F0E" w14:textId="5C5F63D8" w:rsidR="00A50CFD" w:rsidRPr="00591B67" w:rsidRDefault="00A50CFD" w:rsidP="00A50CFD">
      <w:pPr>
        <w:tabs>
          <w:tab w:val="right" w:leader="dot" w:pos="9350"/>
        </w:tabs>
        <w:spacing w:after="100" w:line="276" w:lineRule="auto"/>
        <w:rPr>
          <w:rFonts w:ascii="Arial" w:eastAsia="Times New Roman" w:hAnsi="Arial" w:cs="Arial"/>
          <w:b/>
          <w:bCs/>
          <w:noProof/>
          <w:kern w:val="0"/>
          <w:sz w:val="24"/>
          <w:szCs w:val="24"/>
          <w14:ligatures w14:val="none"/>
        </w:rPr>
      </w:pPr>
      <w:r w:rsidRPr="00591B67">
        <w:rPr>
          <w:rFonts w:ascii="Arial" w:eastAsia="Times New Roman" w:hAnsi="Arial" w:cs="Arial"/>
          <w:b/>
          <w:bCs/>
          <w:noProof/>
          <w:kern w:val="0"/>
          <w:sz w:val="24"/>
          <w:szCs w:val="24"/>
          <w14:ligatures w14:val="none"/>
        </w:rPr>
        <w:fldChar w:fldCharType="begin"/>
      </w:r>
      <w:r w:rsidRPr="00591B67">
        <w:rPr>
          <w:rFonts w:ascii="Arial" w:eastAsia="Times New Roman" w:hAnsi="Arial" w:cs="Arial"/>
          <w:b/>
          <w:bCs/>
          <w:noProof/>
          <w:kern w:val="0"/>
          <w:sz w:val="24"/>
          <w:szCs w:val="24"/>
          <w14:ligatures w14:val="none"/>
        </w:rPr>
        <w:instrText>HYPERLINK \l "_Toc150823184"</w:instrText>
      </w:r>
      <w:r w:rsidRPr="00591B67">
        <w:rPr>
          <w:rFonts w:ascii="Arial" w:eastAsia="Times New Roman" w:hAnsi="Arial" w:cs="Arial"/>
          <w:b/>
          <w:bCs/>
          <w:noProof/>
          <w:kern w:val="0"/>
          <w:sz w:val="24"/>
          <w:szCs w:val="24"/>
          <w14:ligatures w14:val="none"/>
        </w:rPr>
      </w:r>
      <w:r w:rsidRPr="00591B67">
        <w:rPr>
          <w:rFonts w:ascii="Arial" w:eastAsia="Times New Roman" w:hAnsi="Arial" w:cs="Arial"/>
          <w:b/>
          <w:bCs/>
          <w:noProof/>
          <w:kern w:val="0"/>
          <w:sz w:val="24"/>
          <w:szCs w:val="24"/>
          <w14:ligatures w14:val="none"/>
        </w:rPr>
        <w:fldChar w:fldCharType="separate"/>
      </w:r>
      <w:r w:rsidRPr="00591B67">
        <w:rPr>
          <w:rFonts w:ascii="Arial" w:eastAsia="Times New Roman" w:hAnsi="Arial" w:cs="Arial"/>
          <w:noProof/>
          <w:kern w:val="0"/>
          <w:sz w:val="24"/>
          <w:szCs w:val="24"/>
          <w:u w:val="single"/>
          <w14:ligatures w14:val="none"/>
        </w:rPr>
        <w:t>Executive Summary</w:t>
      </w:r>
      <w:r w:rsidRPr="00591B67">
        <w:rPr>
          <w:rFonts w:ascii="Arial" w:eastAsia="Times New Roman" w:hAnsi="Arial" w:cs="Arial"/>
          <w:b/>
          <w:bCs/>
          <w:noProof/>
          <w:webHidden/>
          <w:kern w:val="0"/>
          <w:sz w:val="24"/>
          <w:szCs w:val="24"/>
          <w14:ligatures w14:val="none"/>
        </w:rPr>
        <w:tab/>
      </w:r>
      <w:r w:rsidRPr="00591B67">
        <w:rPr>
          <w:rFonts w:ascii="Arial" w:eastAsia="Times New Roman" w:hAnsi="Arial" w:cs="Arial"/>
          <w:b/>
          <w:bCs/>
          <w:noProof/>
          <w:kern w:val="0"/>
          <w:sz w:val="24"/>
          <w:szCs w:val="24"/>
          <w14:ligatures w14:val="none"/>
        </w:rPr>
        <w:fldChar w:fldCharType="end"/>
      </w:r>
      <w:r w:rsidR="00B2055E">
        <w:rPr>
          <w:rFonts w:ascii="Arial" w:eastAsia="Times New Roman" w:hAnsi="Arial" w:cs="Arial"/>
          <w:b/>
          <w:bCs/>
          <w:noProof/>
          <w:kern w:val="0"/>
          <w:sz w:val="24"/>
          <w:szCs w:val="24"/>
          <w14:ligatures w14:val="none"/>
        </w:rPr>
        <w:t>3</w:t>
      </w:r>
    </w:p>
    <w:bookmarkEnd w:id="0"/>
    <w:p w14:paraId="4F0599D4" w14:textId="03895C14" w:rsidR="00A50CFD" w:rsidRPr="00591B67" w:rsidRDefault="00A50CFD" w:rsidP="00A50CFD">
      <w:pPr>
        <w:tabs>
          <w:tab w:val="right" w:leader="dot" w:pos="9350"/>
        </w:tabs>
        <w:spacing w:after="100" w:line="276" w:lineRule="auto"/>
        <w:rPr>
          <w:rFonts w:ascii="Arial" w:eastAsia="Times New Roman" w:hAnsi="Arial" w:cs="Arial"/>
          <w:b/>
          <w:bCs/>
          <w:noProof/>
          <w:kern w:val="0"/>
          <w:sz w:val="24"/>
          <w:szCs w:val="24"/>
          <w14:ligatures w14:val="none"/>
        </w:rPr>
      </w:pPr>
      <w:r w:rsidRPr="00591B67">
        <w:rPr>
          <w:rFonts w:ascii="Arial" w:eastAsia="Times New Roman" w:hAnsi="Arial" w:cs="Arial"/>
          <w:b/>
          <w:bCs/>
          <w:noProof/>
          <w:kern w:val="0"/>
          <w:sz w:val="24"/>
          <w:szCs w:val="24"/>
          <w14:ligatures w14:val="none"/>
        </w:rPr>
        <w:fldChar w:fldCharType="begin"/>
      </w:r>
      <w:r w:rsidRPr="00591B67">
        <w:rPr>
          <w:rFonts w:ascii="Arial" w:eastAsia="Times New Roman" w:hAnsi="Arial" w:cs="Arial"/>
          <w:b/>
          <w:bCs/>
          <w:noProof/>
          <w:kern w:val="0"/>
          <w:sz w:val="24"/>
          <w:szCs w:val="24"/>
          <w14:ligatures w14:val="none"/>
        </w:rPr>
        <w:instrText>HYPERLINK \l "_Toc150823185"</w:instrText>
      </w:r>
      <w:r w:rsidRPr="00591B67">
        <w:rPr>
          <w:rFonts w:ascii="Arial" w:eastAsia="Times New Roman" w:hAnsi="Arial" w:cs="Arial"/>
          <w:b/>
          <w:bCs/>
          <w:noProof/>
          <w:kern w:val="0"/>
          <w:sz w:val="24"/>
          <w:szCs w:val="24"/>
          <w14:ligatures w14:val="none"/>
        </w:rPr>
      </w:r>
      <w:r w:rsidRPr="00591B67">
        <w:rPr>
          <w:rFonts w:ascii="Arial" w:eastAsia="Times New Roman" w:hAnsi="Arial" w:cs="Arial"/>
          <w:b/>
          <w:bCs/>
          <w:noProof/>
          <w:kern w:val="0"/>
          <w:sz w:val="24"/>
          <w:szCs w:val="24"/>
          <w14:ligatures w14:val="none"/>
        </w:rPr>
        <w:fldChar w:fldCharType="separate"/>
      </w:r>
      <w:r w:rsidRPr="00591B67">
        <w:rPr>
          <w:rFonts w:ascii="Arial" w:eastAsia="Times New Roman" w:hAnsi="Arial" w:cs="Arial"/>
          <w:b/>
          <w:bCs/>
          <w:noProof/>
          <w:kern w:val="0"/>
          <w:sz w:val="24"/>
          <w:szCs w:val="24"/>
          <w:u w:val="single"/>
          <w14:ligatures w14:val="none"/>
        </w:rPr>
        <w:t>Introduction</w:t>
      </w:r>
      <w:r w:rsidRPr="00591B67">
        <w:rPr>
          <w:rFonts w:ascii="Arial" w:eastAsia="Times New Roman" w:hAnsi="Arial" w:cs="Arial"/>
          <w:b/>
          <w:bCs/>
          <w:noProof/>
          <w:webHidden/>
          <w:kern w:val="0"/>
          <w:sz w:val="24"/>
          <w:szCs w:val="24"/>
          <w14:ligatures w14:val="none"/>
        </w:rPr>
        <w:tab/>
      </w:r>
      <w:r w:rsidRPr="00591B67">
        <w:rPr>
          <w:rFonts w:ascii="Arial" w:eastAsia="Times New Roman" w:hAnsi="Arial" w:cs="Arial"/>
          <w:b/>
          <w:bCs/>
          <w:noProof/>
          <w:kern w:val="0"/>
          <w:sz w:val="24"/>
          <w:szCs w:val="24"/>
          <w14:ligatures w14:val="none"/>
        </w:rPr>
        <w:fldChar w:fldCharType="end"/>
      </w:r>
      <w:r w:rsidR="00B2055E">
        <w:rPr>
          <w:rFonts w:ascii="Arial" w:eastAsia="Times New Roman" w:hAnsi="Arial" w:cs="Arial"/>
          <w:b/>
          <w:bCs/>
          <w:noProof/>
          <w:kern w:val="0"/>
          <w:sz w:val="24"/>
          <w:szCs w:val="24"/>
          <w14:ligatures w14:val="none"/>
        </w:rPr>
        <w:t>5</w:t>
      </w:r>
    </w:p>
    <w:p w14:paraId="24EB2745" w14:textId="60B507B5" w:rsidR="00A50CFD" w:rsidRPr="000B7C26" w:rsidRDefault="003D0F1C" w:rsidP="00A50CFD">
      <w:pPr>
        <w:tabs>
          <w:tab w:val="right" w:leader="dot" w:pos="9350"/>
        </w:tabs>
        <w:spacing w:after="100" w:line="276" w:lineRule="auto"/>
        <w:rPr>
          <w:rFonts w:ascii="Arial" w:eastAsia="Times New Roman" w:hAnsi="Arial" w:cs="Arial"/>
          <w:b/>
          <w:bCs/>
          <w:noProof/>
          <w:kern w:val="0"/>
          <w:sz w:val="24"/>
          <w:szCs w:val="24"/>
          <w14:ligatures w14:val="none"/>
        </w:rPr>
      </w:pPr>
      <w:hyperlink w:anchor="_Toc150823186" w:history="1">
        <w:r w:rsidR="00A50CFD" w:rsidRPr="00591B67">
          <w:rPr>
            <w:rFonts w:ascii="Arial" w:eastAsia="Times New Roman" w:hAnsi="Arial" w:cs="Arial"/>
            <w:b/>
            <w:bCs/>
            <w:noProof/>
            <w:kern w:val="0"/>
            <w:sz w:val="24"/>
            <w:szCs w:val="24"/>
            <w:u w:val="single"/>
            <w14:ligatures w14:val="none"/>
          </w:rPr>
          <w:t>Analysis</w:t>
        </w:r>
        <w:r w:rsidR="00A50CFD" w:rsidRPr="00591B67">
          <w:rPr>
            <w:rFonts w:ascii="Arial" w:eastAsia="Times New Roman" w:hAnsi="Arial" w:cs="Arial"/>
            <w:b/>
            <w:bCs/>
            <w:noProof/>
            <w:webHidden/>
            <w:kern w:val="0"/>
            <w:sz w:val="24"/>
            <w:szCs w:val="24"/>
            <w14:ligatures w14:val="none"/>
          </w:rPr>
          <w:tab/>
        </w:r>
      </w:hyperlink>
      <w:r w:rsidR="00A12068">
        <w:rPr>
          <w:rFonts w:ascii="Arial" w:eastAsia="Times New Roman" w:hAnsi="Arial" w:cs="Arial"/>
          <w:b/>
          <w:bCs/>
          <w:noProof/>
          <w:kern w:val="0"/>
          <w:sz w:val="24"/>
          <w:szCs w:val="24"/>
          <w14:ligatures w14:val="none"/>
        </w:rPr>
        <w:t>7</w:t>
      </w:r>
    </w:p>
    <w:p w14:paraId="6C4E3FF4" w14:textId="733060C4" w:rsidR="00A50CFD" w:rsidRPr="00591B67" w:rsidRDefault="00A50CFD" w:rsidP="00A50CFD">
      <w:pPr>
        <w:tabs>
          <w:tab w:val="right" w:leader="dot" w:pos="9350"/>
        </w:tabs>
        <w:spacing w:after="100" w:line="276" w:lineRule="auto"/>
        <w:rPr>
          <w:rFonts w:ascii="Arial" w:hAnsi="Arial" w:cs="Arial"/>
          <w:noProof/>
          <w:kern w:val="0"/>
          <w:sz w:val="24"/>
          <w:szCs w:val="24"/>
          <w:lang w:val="en-US"/>
          <w14:ligatures w14:val="none"/>
        </w:rPr>
      </w:pPr>
      <w:r>
        <w:rPr>
          <w:rFonts w:ascii="Arial" w:hAnsi="Arial" w:cs="Arial"/>
          <w:noProof/>
          <w:kern w:val="0"/>
          <w:sz w:val="24"/>
          <w:szCs w:val="24"/>
          <w:lang w:val="en-US"/>
          <w14:ligatures w14:val="none"/>
        </w:rPr>
        <w:t xml:space="preserve">   </w:t>
      </w:r>
      <w:hyperlink w:anchor="_Toc150823187" w:history="1">
        <w:r w:rsidRPr="00591B67">
          <w:rPr>
            <w:rFonts w:ascii="Arial" w:hAnsi="Arial" w:cs="Arial"/>
            <w:noProof/>
            <w:kern w:val="0"/>
            <w:sz w:val="24"/>
            <w:szCs w:val="24"/>
            <w:u w:val="single"/>
            <w14:ligatures w14:val="none"/>
          </w:rPr>
          <w:t>Consequences of High Employee Turnover Rates</w:t>
        </w:r>
        <w:r w:rsidRPr="00591B67">
          <w:rPr>
            <w:rFonts w:ascii="Arial" w:hAnsi="Arial" w:cs="Arial"/>
            <w:noProof/>
            <w:webHidden/>
            <w:kern w:val="0"/>
            <w:sz w:val="24"/>
            <w:szCs w:val="24"/>
            <w:lang w:val="en-US"/>
            <w14:ligatures w14:val="none"/>
          </w:rPr>
          <w:tab/>
        </w:r>
      </w:hyperlink>
      <w:r w:rsidR="00385579">
        <w:rPr>
          <w:rFonts w:ascii="Arial" w:hAnsi="Arial" w:cs="Arial"/>
          <w:noProof/>
          <w:kern w:val="0"/>
          <w:sz w:val="24"/>
          <w:szCs w:val="24"/>
          <w:lang w:val="en-US"/>
          <w14:ligatures w14:val="none"/>
        </w:rPr>
        <w:t>8</w:t>
      </w:r>
    </w:p>
    <w:p w14:paraId="10F87532" w14:textId="43274E4F"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88" w:history="1">
        <w:r w:rsidR="00A50CFD" w:rsidRPr="00591B67">
          <w:rPr>
            <w:rFonts w:ascii="Arial" w:eastAsia="Times New Roman" w:hAnsi="Arial" w:cs="Arial"/>
            <w:noProof/>
            <w:kern w:val="0"/>
            <w:sz w:val="24"/>
            <w:szCs w:val="24"/>
            <w:u w:val="single"/>
            <w14:ligatures w14:val="none"/>
          </w:rPr>
          <w:t>Causes of High Employee Turnover Rates</w:t>
        </w:r>
        <w:r w:rsidR="00A50CFD" w:rsidRPr="00591B67">
          <w:rPr>
            <w:rFonts w:ascii="Arial" w:hAnsi="Arial" w:cs="Arial"/>
            <w:noProof/>
            <w:webHidden/>
            <w:kern w:val="0"/>
            <w:sz w:val="24"/>
            <w:szCs w:val="24"/>
            <w:lang w:val="en-US"/>
            <w14:ligatures w14:val="none"/>
          </w:rPr>
          <w:tab/>
        </w:r>
      </w:hyperlink>
      <w:r w:rsidR="00910B6D">
        <w:rPr>
          <w:rFonts w:ascii="Arial" w:hAnsi="Arial" w:cs="Arial"/>
          <w:noProof/>
          <w:kern w:val="0"/>
          <w:sz w:val="24"/>
          <w:szCs w:val="24"/>
          <w:lang w:val="en-US"/>
          <w14:ligatures w14:val="none"/>
        </w:rPr>
        <w:t>10</w:t>
      </w:r>
    </w:p>
    <w:p w14:paraId="26B4B4E4" w14:textId="1BE524FF"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89" w:history="1">
        <w:r w:rsidR="00A50CFD" w:rsidRPr="00591B67">
          <w:rPr>
            <w:rFonts w:ascii="Arial" w:eastAsia="Times New Roman" w:hAnsi="Arial" w:cs="Arial"/>
            <w:noProof/>
            <w:kern w:val="0"/>
            <w:sz w:val="24"/>
            <w:szCs w:val="24"/>
            <w:u w:val="single"/>
            <w14:ligatures w14:val="none"/>
          </w:rPr>
          <w:t>Stakeholder Feedback</w:t>
        </w:r>
        <w:r w:rsidR="00A50CFD" w:rsidRPr="00591B67">
          <w:rPr>
            <w:rFonts w:ascii="Arial" w:hAnsi="Arial" w:cs="Arial"/>
            <w:noProof/>
            <w:webHidden/>
            <w:kern w:val="0"/>
            <w:sz w:val="24"/>
            <w:szCs w:val="24"/>
            <w:lang w:val="en-US"/>
            <w14:ligatures w14:val="none"/>
          </w:rPr>
          <w:tab/>
        </w:r>
      </w:hyperlink>
      <w:r w:rsidR="00910B6D">
        <w:rPr>
          <w:rFonts w:ascii="Arial" w:hAnsi="Arial" w:cs="Arial"/>
          <w:noProof/>
          <w:kern w:val="0"/>
          <w:sz w:val="24"/>
          <w:szCs w:val="24"/>
          <w:lang w:val="en-US"/>
          <w14:ligatures w14:val="none"/>
        </w:rPr>
        <w:t>10</w:t>
      </w:r>
    </w:p>
    <w:p w14:paraId="7D8C4B5E" w14:textId="3FA4406E"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90" w:history="1">
        <w:r w:rsidR="00A50CFD" w:rsidRPr="00591B67">
          <w:rPr>
            <w:rFonts w:ascii="Arial" w:eastAsia="Times New Roman" w:hAnsi="Arial" w:cs="Arial"/>
            <w:noProof/>
            <w:kern w:val="0"/>
            <w:sz w:val="24"/>
            <w:szCs w:val="24"/>
            <w:u w:val="single"/>
            <w14:ligatures w14:val="none"/>
          </w:rPr>
          <w:t>Organisational Reputation</w:t>
        </w:r>
        <w:r w:rsidR="00A50CFD" w:rsidRPr="00591B67">
          <w:rPr>
            <w:rFonts w:ascii="Arial" w:hAnsi="Arial" w:cs="Arial"/>
            <w:noProof/>
            <w:webHidden/>
            <w:kern w:val="0"/>
            <w:sz w:val="24"/>
            <w:szCs w:val="24"/>
            <w:lang w:val="en-US"/>
            <w14:ligatures w14:val="none"/>
          </w:rPr>
          <w:tab/>
        </w:r>
      </w:hyperlink>
      <w:r w:rsidR="00910B6D">
        <w:rPr>
          <w:rFonts w:ascii="Arial" w:hAnsi="Arial" w:cs="Arial"/>
          <w:noProof/>
          <w:kern w:val="0"/>
          <w:sz w:val="24"/>
          <w:szCs w:val="24"/>
          <w:lang w:val="en-US"/>
          <w14:ligatures w14:val="none"/>
        </w:rPr>
        <w:t>10</w:t>
      </w:r>
    </w:p>
    <w:p w14:paraId="0A344C5D" w14:textId="54B61166"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91" w:history="1">
        <w:r w:rsidR="00A50CFD" w:rsidRPr="00591B67">
          <w:rPr>
            <w:rFonts w:ascii="Arial" w:eastAsia="Times New Roman" w:hAnsi="Arial" w:cs="Arial"/>
            <w:noProof/>
            <w:kern w:val="0"/>
            <w:sz w:val="24"/>
            <w:szCs w:val="24"/>
            <w:u w:val="single"/>
            <w14:ligatures w14:val="none"/>
          </w:rPr>
          <w:t>Scope</w:t>
        </w:r>
        <w:r w:rsidR="00A50CFD" w:rsidRPr="00591B67">
          <w:rPr>
            <w:rFonts w:ascii="Arial" w:hAnsi="Arial" w:cs="Arial"/>
            <w:noProof/>
            <w:webHidden/>
            <w:kern w:val="0"/>
            <w:sz w:val="24"/>
            <w:szCs w:val="24"/>
            <w:lang w:val="en-US"/>
            <w14:ligatures w14:val="none"/>
          </w:rPr>
          <w:tab/>
        </w:r>
      </w:hyperlink>
      <w:r w:rsidR="00546974">
        <w:rPr>
          <w:rFonts w:ascii="Arial" w:hAnsi="Arial" w:cs="Arial"/>
          <w:noProof/>
          <w:kern w:val="0"/>
          <w:sz w:val="24"/>
          <w:szCs w:val="24"/>
          <w:lang w:val="en-US"/>
          <w14:ligatures w14:val="none"/>
        </w:rPr>
        <w:t>10</w:t>
      </w:r>
    </w:p>
    <w:p w14:paraId="13623EF7" w14:textId="7D1DC02B"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92" w:history="1">
        <w:r w:rsidR="00A50CFD" w:rsidRPr="00591B67">
          <w:rPr>
            <w:rFonts w:ascii="Arial" w:eastAsia="Times New Roman" w:hAnsi="Arial" w:cs="Arial"/>
            <w:noProof/>
            <w:kern w:val="0"/>
            <w:sz w:val="24"/>
            <w:szCs w:val="24"/>
            <w:u w:val="single"/>
            <w14:ligatures w14:val="none"/>
          </w:rPr>
          <w:t>PESTEL Analysis</w:t>
        </w:r>
        <w:r w:rsidR="00A50CFD" w:rsidRPr="00591B67">
          <w:rPr>
            <w:rFonts w:ascii="Arial" w:hAnsi="Arial" w:cs="Arial"/>
            <w:noProof/>
            <w:webHidden/>
            <w:kern w:val="0"/>
            <w:sz w:val="24"/>
            <w:szCs w:val="24"/>
            <w:lang w:val="en-US"/>
            <w14:ligatures w14:val="none"/>
          </w:rPr>
          <w:tab/>
        </w:r>
      </w:hyperlink>
      <w:r w:rsidR="00546974">
        <w:rPr>
          <w:rFonts w:ascii="Arial" w:hAnsi="Arial" w:cs="Arial"/>
          <w:noProof/>
          <w:kern w:val="0"/>
          <w:sz w:val="24"/>
          <w:szCs w:val="24"/>
          <w:lang w:val="en-US"/>
          <w14:ligatures w14:val="none"/>
        </w:rPr>
        <w:t>11</w:t>
      </w:r>
    </w:p>
    <w:p w14:paraId="3B163F88" w14:textId="6CBBE2D9"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93" w:history="1">
        <w:r w:rsidR="00A50CFD" w:rsidRPr="00591B67">
          <w:rPr>
            <w:rFonts w:ascii="Arial" w:eastAsia="Times New Roman" w:hAnsi="Arial" w:cs="Arial"/>
            <w:noProof/>
            <w:kern w:val="0"/>
            <w:sz w:val="24"/>
            <w:szCs w:val="24"/>
            <w:u w:val="single"/>
            <w14:ligatures w14:val="none"/>
          </w:rPr>
          <w:t>SWOT Analysis</w:t>
        </w:r>
        <w:r w:rsidR="00A50CFD" w:rsidRPr="00591B67">
          <w:rPr>
            <w:rFonts w:ascii="Arial" w:hAnsi="Arial" w:cs="Arial"/>
            <w:noProof/>
            <w:webHidden/>
            <w:kern w:val="0"/>
            <w:sz w:val="24"/>
            <w:szCs w:val="24"/>
            <w:lang w:val="en-US"/>
            <w14:ligatures w14:val="none"/>
          </w:rPr>
          <w:tab/>
        </w:r>
      </w:hyperlink>
      <w:r w:rsidR="00546974">
        <w:rPr>
          <w:rFonts w:ascii="Arial" w:hAnsi="Arial" w:cs="Arial"/>
          <w:noProof/>
          <w:kern w:val="0"/>
          <w:sz w:val="24"/>
          <w:szCs w:val="24"/>
          <w:lang w:val="en-US"/>
          <w14:ligatures w14:val="none"/>
        </w:rPr>
        <w:t>12</w:t>
      </w:r>
    </w:p>
    <w:p w14:paraId="5F9007EA" w14:textId="1DFA946E"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94" w:history="1">
        <w:r w:rsidR="00A50CFD" w:rsidRPr="00591B67">
          <w:rPr>
            <w:rFonts w:ascii="Arial" w:eastAsia="Times New Roman" w:hAnsi="Arial" w:cs="Arial"/>
            <w:noProof/>
            <w:kern w:val="0"/>
            <w:sz w:val="24"/>
            <w:szCs w:val="24"/>
            <w:u w:val="single"/>
            <w14:ligatures w14:val="none"/>
          </w:rPr>
          <w:t>TOW Analysis</w:t>
        </w:r>
        <w:r w:rsidR="00A50CFD" w:rsidRPr="00591B67">
          <w:rPr>
            <w:rFonts w:ascii="Arial" w:hAnsi="Arial" w:cs="Arial"/>
            <w:noProof/>
            <w:webHidden/>
            <w:kern w:val="0"/>
            <w:sz w:val="24"/>
            <w:szCs w:val="24"/>
            <w:lang w:val="en-US"/>
            <w14:ligatures w14:val="none"/>
          </w:rPr>
          <w:tab/>
        </w:r>
      </w:hyperlink>
      <w:r w:rsidR="00546974">
        <w:rPr>
          <w:rFonts w:ascii="Arial" w:hAnsi="Arial" w:cs="Arial"/>
          <w:noProof/>
          <w:kern w:val="0"/>
          <w:sz w:val="24"/>
          <w:szCs w:val="24"/>
          <w:lang w:val="en-US"/>
          <w14:ligatures w14:val="none"/>
        </w:rPr>
        <w:t>14</w:t>
      </w:r>
    </w:p>
    <w:p w14:paraId="338C8F19" w14:textId="17C043E1" w:rsidR="00A50CFD" w:rsidRPr="00591B67" w:rsidRDefault="003D0F1C" w:rsidP="00A50CFD">
      <w:pPr>
        <w:tabs>
          <w:tab w:val="right" w:leader="dot" w:pos="9350"/>
        </w:tabs>
        <w:spacing w:after="100" w:line="276" w:lineRule="auto"/>
        <w:rPr>
          <w:rFonts w:ascii="Arial" w:eastAsia="Times New Roman" w:hAnsi="Arial" w:cs="Arial"/>
          <w:b/>
          <w:bCs/>
          <w:noProof/>
          <w:kern w:val="0"/>
          <w:sz w:val="24"/>
          <w:szCs w:val="24"/>
          <w14:ligatures w14:val="none"/>
        </w:rPr>
      </w:pPr>
      <w:hyperlink w:anchor="_Toc150823195" w:history="1">
        <w:r w:rsidR="00A50CFD" w:rsidRPr="00591B67">
          <w:rPr>
            <w:rFonts w:ascii="Arial" w:eastAsia="Times New Roman" w:hAnsi="Arial" w:cs="Arial"/>
            <w:b/>
            <w:bCs/>
            <w:noProof/>
            <w:kern w:val="0"/>
            <w:sz w:val="24"/>
            <w:szCs w:val="24"/>
            <w:u w:val="single"/>
            <w14:ligatures w14:val="none"/>
          </w:rPr>
          <w:t>Recommendation and Change Management</w:t>
        </w:r>
        <w:r w:rsidR="00A50CFD" w:rsidRPr="00591B67">
          <w:rPr>
            <w:rFonts w:ascii="Arial" w:eastAsia="Times New Roman" w:hAnsi="Arial" w:cs="Arial"/>
            <w:b/>
            <w:bCs/>
            <w:noProof/>
            <w:webHidden/>
            <w:kern w:val="0"/>
            <w:sz w:val="24"/>
            <w:szCs w:val="24"/>
            <w14:ligatures w14:val="none"/>
          </w:rPr>
          <w:tab/>
        </w:r>
      </w:hyperlink>
      <w:r w:rsidR="00546974">
        <w:rPr>
          <w:rFonts w:ascii="Arial" w:eastAsia="Times New Roman" w:hAnsi="Arial" w:cs="Arial"/>
          <w:b/>
          <w:bCs/>
          <w:noProof/>
          <w:kern w:val="0"/>
          <w:sz w:val="24"/>
          <w:szCs w:val="24"/>
          <w14:ligatures w14:val="none"/>
        </w:rPr>
        <w:t>16</w:t>
      </w:r>
    </w:p>
    <w:p w14:paraId="325A8BEC" w14:textId="70B80A21"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196" w:history="1">
        <w:r w:rsidR="00A50CFD" w:rsidRPr="00591B67">
          <w:rPr>
            <w:rFonts w:ascii="Arial" w:eastAsia="Times New Roman" w:hAnsi="Arial" w:cs="Arial"/>
            <w:noProof/>
            <w:kern w:val="0"/>
            <w:sz w:val="24"/>
            <w:szCs w:val="24"/>
            <w:u w:val="single"/>
            <w14:ligatures w14:val="none"/>
          </w:rPr>
          <w:t>Key Recommendations</w:t>
        </w:r>
        <w:r w:rsidR="00A50CFD" w:rsidRPr="00591B67">
          <w:rPr>
            <w:rFonts w:ascii="Arial" w:hAnsi="Arial" w:cs="Arial"/>
            <w:noProof/>
            <w:webHidden/>
            <w:kern w:val="0"/>
            <w:sz w:val="24"/>
            <w:szCs w:val="24"/>
            <w:lang w:val="en-US"/>
            <w14:ligatures w14:val="none"/>
          </w:rPr>
          <w:tab/>
        </w:r>
      </w:hyperlink>
      <w:r w:rsidR="00151243">
        <w:rPr>
          <w:rFonts w:ascii="Arial" w:hAnsi="Arial" w:cs="Arial"/>
          <w:noProof/>
          <w:kern w:val="0"/>
          <w:sz w:val="24"/>
          <w:szCs w:val="24"/>
          <w:lang w:val="en-US"/>
          <w14:ligatures w14:val="none"/>
        </w:rPr>
        <w:t>16</w:t>
      </w:r>
    </w:p>
    <w:p w14:paraId="56B6AE68" w14:textId="59BCB0CC" w:rsidR="00A50CFD" w:rsidRPr="00591B67" w:rsidRDefault="003D0F1C" w:rsidP="00A50CFD">
      <w:pPr>
        <w:tabs>
          <w:tab w:val="right" w:leader="dot" w:pos="9350"/>
        </w:tabs>
        <w:spacing w:after="100" w:line="276" w:lineRule="auto"/>
        <w:ind w:left="440"/>
        <w:rPr>
          <w:rFonts w:ascii="Arial" w:hAnsi="Arial" w:cs="Arial"/>
          <w:noProof/>
          <w:kern w:val="0"/>
          <w:sz w:val="24"/>
          <w:szCs w:val="24"/>
          <w:lang w:val="en-US"/>
          <w14:ligatures w14:val="none"/>
        </w:rPr>
      </w:pPr>
      <w:hyperlink w:anchor="_Toc150823197" w:history="1">
        <w:r w:rsidR="00A50CFD" w:rsidRPr="00591B67">
          <w:rPr>
            <w:rFonts w:ascii="Arial" w:eastAsia="Times New Roman" w:hAnsi="Arial" w:cs="Arial"/>
            <w:noProof/>
            <w:kern w:val="0"/>
            <w:sz w:val="24"/>
            <w:szCs w:val="24"/>
            <w:u w:val="single"/>
            <w14:ligatures w14:val="none"/>
          </w:rPr>
          <w:t>Comprehensive Staff Training</w:t>
        </w:r>
        <w:r w:rsidR="00A50CFD" w:rsidRPr="00591B67">
          <w:rPr>
            <w:rFonts w:ascii="Arial" w:hAnsi="Arial" w:cs="Arial"/>
            <w:noProof/>
            <w:webHidden/>
            <w:kern w:val="0"/>
            <w:sz w:val="24"/>
            <w:szCs w:val="24"/>
            <w:lang w:val="en-US"/>
            <w14:ligatures w14:val="none"/>
          </w:rPr>
          <w:tab/>
        </w:r>
      </w:hyperlink>
      <w:r w:rsidR="00151243">
        <w:rPr>
          <w:rFonts w:ascii="Arial" w:hAnsi="Arial" w:cs="Arial"/>
          <w:noProof/>
          <w:kern w:val="0"/>
          <w:sz w:val="24"/>
          <w:szCs w:val="24"/>
          <w:lang w:val="en-US"/>
          <w14:ligatures w14:val="none"/>
        </w:rPr>
        <w:t>16</w:t>
      </w:r>
    </w:p>
    <w:p w14:paraId="394DA52C" w14:textId="24D3179F" w:rsidR="00A50CFD" w:rsidRPr="00591B67" w:rsidRDefault="003D0F1C" w:rsidP="00A50CFD">
      <w:pPr>
        <w:tabs>
          <w:tab w:val="right" w:leader="dot" w:pos="9350"/>
        </w:tabs>
        <w:spacing w:after="100" w:line="276" w:lineRule="auto"/>
        <w:ind w:left="440"/>
        <w:rPr>
          <w:rFonts w:ascii="Arial" w:hAnsi="Arial" w:cs="Arial"/>
          <w:noProof/>
          <w:kern w:val="0"/>
          <w:sz w:val="24"/>
          <w:szCs w:val="24"/>
          <w:lang w:val="en-US"/>
          <w14:ligatures w14:val="none"/>
        </w:rPr>
      </w:pPr>
      <w:hyperlink w:anchor="_Toc150823198" w:history="1">
        <w:r w:rsidR="00A50CFD" w:rsidRPr="00591B67">
          <w:rPr>
            <w:rFonts w:ascii="Arial" w:eastAsia="Times New Roman" w:hAnsi="Arial" w:cs="Arial"/>
            <w:noProof/>
            <w:kern w:val="0"/>
            <w:sz w:val="24"/>
            <w:szCs w:val="24"/>
            <w:u w:val="single"/>
            <w14:ligatures w14:val="none"/>
          </w:rPr>
          <w:t>Improve Staff Engagement and Job Satisfaction</w:t>
        </w:r>
        <w:r w:rsidR="00A50CFD" w:rsidRPr="00591B67">
          <w:rPr>
            <w:rFonts w:ascii="Arial" w:hAnsi="Arial" w:cs="Arial"/>
            <w:noProof/>
            <w:webHidden/>
            <w:kern w:val="0"/>
            <w:sz w:val="24"/>
            <w:szCs w:val="24"/>
            <w:lang w:val="en-US"/>
            <w14:ligatures w14:val="none"/>
          </w:rPr>
          <w:tab/>
        </w:r>
      </w:hyperlink>
      <w:r w:rsidR="00151243">
        <w:rPr>
          <w:rFonts w:ascii="Arial" w:hAnsi="Arial" w:cs="Arial"/>
          <w:noProof/>
          <w:kern w:val="0"/>
          <w:sz w:val="24"/>
          <w:szCs w:val="24"/>
          <w:lang w:val="en-US"/>
          <w14:ligatures w14:val="none"/>
        </w:rPr>
        <w:t>17</w:t>
      </w:r>
    </w:p>
    <w:p w14:paraId="72C65735" w14:textId="20CBC112" w:rsidR="00A50CFD" w:rsidRPr="00591B67" w:rsidRDefault="003D0F1C" w:rsidP="00A50CFD">
      <w:pPr>
        <w:tabs>
          <w:tab w:val="right" w:leader="dot" w:pos="9350"/>
        </w:tabs>
        <w:spacing w:after="100" w:line="276" w:lineRule="auto"/>
        <w:ind w:left="440"/>
        <w:rPr>
          <w:rFonts w:ascii="Arial" w:hAnsi="Arial" w:cs="Arial"/>
          <w:noProof/>
          <w:kern w:val="0"/>
          <w:sz w:val="24"/>
          <w:szCs w:val="24"/>
          <w:lang w:val="en-US"/>
          <w14:ligatures w14:val="none"/>
        </w:rPr>
      </w:pPr>
      <w:hyperlink w:anchor="_Toc150823199" w:history="1">
        <w:r w:rsidR="00A50CFD" w:rsidRPr="00591B67">
          <w:rPr>
            <w:rFonts w:ascii="Arial" w:eastAsia="Times New Roman" w:hAnsi="Arial" w:cs="Arial"/>
            <w:noProof/>
            <w:kern w:val="0"/>
            <w:sz w:val="24"/>
            <w:szCs w:val="24"/>
            <w:u w:val="single"/>
            <w14:ligatures w14:val="none"/>
          </w:rPr>
          <w:t>Re-evaluate Corporate Culture</w:t>
        </w:r>
        <w:r w:rsidR="00A50CFD" w:rsidRPr="00591B67">
          <w:rPr>
            <w:rFonts w:ascii="Arial" w:hAnsi="Arial" w:cs="Arial"/>
            <w:noProof/>
            <w:webHidden/>
            <w:kern w:val="0"/>
            <w:sz w:val="24"/>
            <w:szCs w:val="24"/>
            <w:lang w:val="en-US"/>
            <w14:ligatures w14:val="none"/>
          </w:rPr>
          <w:tab/>
        </w:r>
      </w:hyperlink>
      <w:r w:rsidR="009E47D9">
        <w:rPr>
          <w:rFonts w:ascii="Arial" w:hAnsi="Arial" w:cs="Arial"/>
          <w:noProof/>
          <w:kern w:val="0"/>
          <w:sz w:val="24"/>
          <w:szCs w:val="24"/>
          <w:lang w:val="en-US"/>
          <w14:ligatures w14:val="none"/>
        </w:rPr>
        <w:t>17</w:t>
      </w:r>
    </w:p>
    <w:p w14:paraId="3E0C7E5F" w14:textId="5A25F18E" w:rsidR="00A50CFD" w:rsidRPr="00591B67" w:rsidRDefault="003D0F1C" w:rsidP="00A50CFD">
      <w:pPr>
        <w:tabs>
          <w:tab w:val="right" w:leader="dot" w:pos="9350"/>
        </w:tabs>
        <w:spacing w:after="100" w:line="276" w:lineRule="auto"/>
        <w:ind w:left="440"/>
        <w:rPr>
          <w:rFonts w:ascii="Arial" w:hAnsi="Arial" w:cs="Arial"/>
          <w:noProof/>
          <w:kern w:val="0"/>
          <w:sz w:val="24"/>
          <w:szCs w:val="24"/>
          <w:lang w:val="en-US"/>
          <w14:ligatures w14:val="none"/>
        </w:rPr>
      </w:pPr>
      <w:hyperlink w:anchor="_Toc150823200" w:history="1">
        <w:r w:rsidR="00A50CFD" w:rsidRPr="00591B67">
          <w:rPr>
            <w:rFonts w:ascii="Arial" w:eastAsia="Times New Roman" w:hAnsi="Arial" w:cs="Arial"/>
            <w:noProof/>
            <w:kern w:val="0"/>
            <w:sz w:val="24"/>
            <w:szCs w:val="24"/>
            <w:u w:val="single"/>
            <w14:ligatures w14:val="none"/>
          </w:rPr>
          <w:t>Improving Work Scheduling</w:t>
        </w:r>
        <w:r w:rsidR="00A50CFD" w:rsidRPr="00591B67">
          <w:rPr>
            <w:rFonts w:ascii="Arial" w:hAnsi="Arial" w:cs="Arial"/>
            <w:noProof/>
            <w:webHidden/>
            <w:kern w:val="0"/>
            <w:sz w:val="24"/>
            <w:szCs w:val="24"/>
            <w:lang w:val="en-US"/>
            <w14:ligatures w14:val="none"/>
          </w:rPr>
          <w:tab/>
        </w:r>
      </w:hyperlink>
      <w:r w:rsidR="009E47D9">
        <w:rPr>
          <w:rFonts w:ascii="Arial" w:hAnsi="Arial" w:cs="Arial"/>
          <w:noProof/>
          <w:kern w:val="0"/>
          <w:sz w:val="24"/>
          <w:szCs w:val="24"/>
          <w:lang w:val="en-US"/>
          <w14:ligatures w14:val="none"/>
        </w:rPr>
        <w:t>17</w:t>
      </w:r>
    </w:p>
    <w:p w14:paraId="0058CE91" w14:textId="24322928" w:rsidR="00A50CFD" w:rsidRPr="00591B67" w:rsidRDefault="003D0F1C" w:rsidP="00A50CFD">
      <w:pPr>
        <w:tabs>
          <w:tab w:val="right" w:leader="dot" w:pos="9350"/>
        </w:tabs>
        <w:spacing w:after="100" w:line="276" w:lineRule="auto"/>
        <w:ind w:left="440"/>
        <w:rPr>
          <w:rFonts w:ascii="Arial" w:hAnsi="Arial" w:cs="Arial"/>
          <w:noProof/>
          <w:kern w:val="0"/>
          <w:sz w:val="24"/>
          <w:szCs w:val="24"/>
          <w:lang w:val="en-US"/>
          <w14:ligatures w14:val="none"/>
        </w:rPr>
      </w:pPr>
      <w:hyperlink w:anchor="_Toc150823201" w:history="1">
        <w:r w:rsidR="00A50CFD" w:rsidRPr="00591B67">
          <w:rPr>
            <w:rFonts w:ascii="Arial" w:eastAsia="Times New Roman" w:hAnsi="Arial" w:cs="Arial"/>
            <w:noProof/>
            <w:kern w:val="0"/>
            <w:sz w:val="24"/>
            <w:szCs w:val="24"/>
            <w:u w:val="single"/>
            <w14:ligatures w14:val="none"/>
          </w:rPr>
          <w:t>Improve Pricing Strategies and Service Quality</w:t>
        </w:r>
        <w:r w:rsidR="00A50CFD" w:rsidRPr="00591B67">
          <w:rPr>
            <w:rFonts w:ascii="Arial" w:hAnsi="Arial" w:cs="Arial"/>
            <w:noProof/>
            <w:webHidden/>
            <w:kern w:val="0"/>
            <w:sz w:val="24"/>
            <w:szCs w:val="24"/>
            <w:lang w:val="en-US"/>
            <w14:ligatures w14:val="none"/>
          </w:rPr>
          <w:tab/>
        </w:r>
      </w:hyperlink>
      <w:r w:rsidR="009E47D9">
        <w:rPr>
          <w:rFonts w:ascii="Arial" w:hAnsi="Arial" w:cs="Arial"/>
          <w:noProof/>
          <w:kern w:val="0"/>
          <w:sz w:val="24"/>
          <w:szCs w:val="24"/>
          <w:lang w:val="en-US"/>
          <w14:ligatures w14:val="none"/>
        </w:rPr>
        <w:t>18</w:t>
      </w:r>
    </w:p>
    <w:p w14:paraId="69F95229" w14:textId="0F9D8848"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202" w:history="1">
        <w:r w:rsidR="00A50CFD" w:rsidRPr="00591B67">
          <w:rPr>
            <w:rFonts w:ascii="Arial" w:eastAsia="Times New Roman" w:hAnsi="Arial" w:cs="Arial"/>
            <w:noProof/>
            <w:kern w:val="0"/>
            <w:sz w:val="24"/>
            <w:szCs w:val="24"/>
            <w:u w:val="single"/>
            <w14:ligatures w14:val="none"/>
          </w:rPr>
          <w:t>Change Management</w:t>
        </w:r>
        <w:r w:rsidR="00A50CFD" w:rsidRPr="00591B67">
          <w:rPr>
            <w:rFonts w:ascii="Arial" w:hAnsi="Arial" w:cs="Arial"/>
            <w:noProof/>
            <w:webHidden/>
            <w:kern w:val="0"/>
            <w:sz w:val="24"/>
            <w:szCs w:val="24"/>
            <w:lang w:val="en-US"/>
            <w14:ligatures w14:val="none"/>
          </w:rPr>
          <w:tab/>
        </w:r>
      </w:hyperlink>
      <w:r w:rsidR="009E47D9">
        <w:rPr>
          <w:rFonts w:ascii="Arial" w:hAnsi="Arial" w:cs="Arial"/>
          <w:noProof/>
          <w:kern w:val="0"/>
          <w:sz w:val="24"/>
          <w:szCs w:val="24"/>
          <w:lang w:val="en-US"/>
          <w14:ligatures w14:val="none"/>
        </w:rPr>
        <w:t>18</w:t>
      </w:r>
    </w:p>
    <w:p w14:paraId="1CD1E5A9" w14:textId="1E12C4A7"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203" w:history="1">
        <w:r w:rsidR="00A50CFD" w:rsidRPr="00591B67">
          <w:rPr>
            <w:rFonts w:ascii="Arial" w:eastAsia="Times New Roman" w:hAnsi="Arial" w:cs="Arial"/>
            <w:noProof/>
            <w:kern w:val="0"/>
            <w:sz w:val="24"/>
            <w:szCs w:val="24"/>
            <w:u w:val="single"/>
            <w14:ligatures w14:val="none"/>
          </w:rPr>
          <w:t>Change Management Process</w:t>
        </w:r>
        <w:r w:rsidR="00A50CFD" w:rsidRPr="00591B67">
          <w:rPr>
            <w:rFonts w:ascii="Arial" w:hAnsi="Arial" w:cs="Arial"/>
            <w:noProof/>
            <w:webHidden/>
            <w:kern w:val="0"/>
            <w:sz w:val="24"/>
            <w:szCs w:val="24"/>
            <w:lang w:val="en-US"/>
            <w14:ligatures w14:val="none"/>
          </w:rPr>
          <w:tab/>
        </w:r>
      </w:hyperlink>
      <w:r w:rsidR="00EC2AF5">
        <w:rPr>
          <w:rFonts w:ascii="Arial" w:hAnsi="Arial" w:cs="Arial"/>
          <w:noProof/>
          <w:kern w:val="0"/>
          <w:sz w:val="24"/>
          <w:szCs w:val="24"/>
          <w:lang w:val="en-US"/>
          <w14:ligatures w14:val="none"/>
        </w:rPr>
        <w:t>19</w:t>
      </w:r>
    </w:p>
    <w:p w14:paraId="3B644270" w14:textId="1E2C9C6D"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204" w:history="1">
        <w:r w:rsidR="00A50CFD" w:rsidRPr="00591B67">
          <w:rPr>
            <w:rFonts w:ascii="Arial" w:eastAsia="Times New Roman" w:hAnsi="Arial" w:cs="Arial"/>
            <w:noProof/>
            <w:kern w:val="0"/>
            <w:sz w:val="24"/>
            <w:szCs w:val="24"/>
            <w:u w:val="single"/>
            <w14:ligatures w14:val="none"/>
          </w:rPr>
          <w:t>Potential Benefits</w:t>
        </w:r>
        <w:r w:rsidR="00A50CFD" w:rsidRPr="00591B67">
          <w:rPr>
            <w:rFonts w:ascii="Arial" w:hAnsi="Arial" w:cs="Arial"/>
            <w:noProof/>
            <w:webHidden/>
            <w:kern w:val="0"/>
            <w:sz w:val="24"/>
            <w:szCs w:val="24"/>
            <w:lang w:val="en-US"/>
            <w14:ligatures w14:val="none"/>
          </w:rPr>
          <w:tab/>
        </w:r>
      </w:hyperlink>
      <w:r w:rsidR="00EC2AF5">
        <w:rPr>
          <w:rFonts w:ascii="Arial" w:hAnsi="Arial" w:cs="Arial"/>
          <w:noProof/>
          <w:kern w:val="0"/>
          <w:sz w:val="24"/>
          <w:szCs w:val="24"/>
          <w:lang w:val="en-US"/>
          <w14:ligatures w14:val="none"/>
        </w:rPr>
        <w:t>20</w:t>
      </w:r>
    </w:p>
    <w:p w14:paraId="10558574" w14:textId="146F3C41" w:rsidR="00A50CFD" w:rsidRPr="00591B67"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205" w:history="1">
        <w:r w:rsidR="00A50CFD" w:rsidRPr="00591B67">
          <w:rPr>
            <w:rFonts w:ascii="Arial" w:eastAsia="Times New Roman" w:hAnsi="Arial" w:cs="Arial"/>
            <w:noProof/>
            <w:kern w:val="0"/>
            <w:sz w:val="24"/>
            <w:szCs w:val="24"/>
            <w:u w:val="single"/>
            <w14:ligatures w14:val="none"/>
          </w:rPr>
          <w:t>Cost Implications</w:t>
        </w:r>
        <w:r w:rsidR="00A50CFD" w:rsidRPr="00591B67">
          <w:rPr>
            <w:rFonts w:ascii="Arial" w:hAnsi="Arial" w:cs="Arial"/>
            <w:noProof/>
            <w:webHidden/>
            <w:kern w:val="0"/>
            <w:sz w:val="24"/>
            <w:szCs w:val="24"/>
            <w:lang w:val="en-US"/>
            <w14:ligatures w14:val="none"/>
          </w:rPr>
          <w:tab/>
        </w:r>
      </w:hyperlink>
      <w:r w:rsidR="00EC2AF5">
        <w:rPr>
          <w:rFonts w:ascii="Arial" w:hAnsi="Arial" w:cs="Arial"/>
          <w:noProof/>
          <w:kern w:val="0"/>
          <w:sz w:val="24"/>
          <w:szCs w:val="24"/>
          <w:lang w:val="en-US"/>
          <w14:ligatures w14:val="none"/>
        </w:rPr>
        <w:t>21</w:t>
      </w:r>
    </w:p>
    <w:p w14:paraId="3BED608C" w14:textId="3B9E082A" w:rsidR="00A50CFD" w:rsidRDefault="003D0F1C" w:rsidP="00A50CFD">
      <w:pPr>
        <w:tabs>
          <w:tab w:val="right" w:leader="dot" w:pos="9350"/>
        </w:tabs>
        <w:spacing w:after="100" w:line="276" w:lineRule="auto"/>
        <w:ind w:left="220"/>
        <w:rPr>
          <w:rFonts w:ascii="Arial" w:hAnsi="Arial" w:cs="Arial"/>
          <w:noProof/>
          <w:kern w:val="0"/>
          <w:sz w:val="24"/>
          <w:szCs w:val="24"/>
          <w:lang w:val="en-US"/>
          <w14:ligatures w14:val="none"/>
        </w:rPr>
      </w:pPr>
      <w:hyperlink w:anchor="_Toc150823206" w:history="1">
        <w:r w:rsidR="00A50CFD" w:rsidRPr="00591B67">
          <w:rPr>
            <w:rFonts w:ascii="Arial" w:eastAsia="Times New Roman" w:hAnsi="Arial" w:cs="Arial"/>
            <w:noProof/>
            <w:kern w:val="0"/>
            <w:sz w:val="24"/>
            <w:szCs w:val="24"/>
            <w:u w:val="single"/>
            <w14:ligatures w14:val="none"/>
          </w:rPr>
          <w:t>Success Evaluation Criteria</w:t>
        </w:r>
        <w:r w:rsidR="00A50CFD" w:rsidRPr="00591B67">
          <w:rPr>
            <w:rFonts w:ascii="Arial" w:hAnsi="Arial" w:cs="Arial"/>
            <w:noProof/>
            <w:webHidden/>
            <w:kern w:val="0"/>
            <w:sz w:val="24"/>
            <w:szCs w:val="24"/>
            <w:lang w:val="en-US"/>
            <w14:ligatures w14:val="none"/>
          </w:rPr>
          <w:tab/>
        </w:r>
      </w:hyperlink>
      <w:r w:rsidR="00EC2AF5">
        <w:rPr>
          <w:rFonts w:ascii="Arial" w:hAnsi="Arial" w:cs="Arial"/>
          <w:noProof/>
          <w:kern w:val="0"/>
          <w:sz w:val="24"/>
          <w:szCs w:val="24"/>
          <w:lang w:val="en-US"/>
          <w14:ligatures w14:val="none"/>
        </w:rPr>
        <w:t>22</w:t>
      </w:r>
    </w:p>
    <w:p w14:paraId="1C9DB78C" w14:textId="46B3F5FC" w:rsidR="00A50CFD" w:rsidRPr="00591B67" w:rsidRDefault="003D0F1C" w:rsidP="00A50CFD">
      <w:pPr>
        <w:tabs>
          <w:tab w:val="right" w:leader="dot" w:pos="9350"/>
        </w:tabs>
        <w:spacing w:after="100" w:line="276" w:lineRule="auto"/>
        <w:rPr>
          <w:rFonts w:ascii="Arial" w:eastAsia="Times New Roman" w:hAnsi="Arial" w:cs="Arial"/>
          <w:b/>
          <w:bCs/>
          <w:noProof/>
          <w:kern w:val="0"/>
          <w:sz w:val="24"/>
          <w:szCs w:val="24"/>
          <w14:ligatures w14:val="none"/>
        </w:rPr>
      </w:pPr>
      <w:hyperlink w:anchor="_Toc150823207" w:history="1">
        <w:r w:rsidR="00A50CFD" w:rsidRPr="00591B67">
          <w:rPr>
            <w:rFonts w:ascii="Arial" w:eastAsia="Times New Roman" w:hAnsi="Arial" w:cs="Arial"/>
            <w:b/>
            <w:bCs/>
            <w:noProof/>
            <w:kern w:val="0"/>
            <w:sz w:val="24"/>
            <w:szCs w:val="24"/>
            <w:u w:val="single"/>
            <w14:ligatures w14:val="none"/>
          </w:rPr>
          <w:t>Action Plan</w:t>
        </w:r>
        <w:r w:rsidR="00A50CFD" w:rsidRPr="00591B67">
          <w:rPr>
            <w:rFonts w:ascii="Arial" w:eastAsia="Times New Roman" w:hAnsi="Arial" w:cs="Arial"/>
            <w:b/>
            <w:bCs/>
            <w:noProof/>
            <w:webHidden/>
            <w:kern w:val="0"/>
            <w:sz w:val="24"/>
            <w:szCs w:val="24"/>
            <w14:ligatures w14:val="none"/>
          </w:rPr>
          <w:tab/>
        </w:r>
      </w:hyperlink>
      <w:r w:rsidR="008513D7">
        <w:rPr>
          <w:rFonts w:ascii="Arial" w:eastAsia="Times New Roman" w:hAnsi="Arial" w:cs="Arial"/>
          <w:b/>
          <w:bCs/>
          <w:noProof/>
          <w:kern w:val="0"/>
          <w:sz w:val="24"/>
          <w:szCs w:val="24"/>
          <w14:ligatures w14:val="none"/>
        </w:rPr>
        <w:t>23</w:t>
      </w:r>
    </w:p>
    <w:p w14:paraId="699743C8" w14:textId="317D2BE1" w:rsidR="00A50CFD" w:rsidRPr="00591B67" w:rsidRDefault="003D0F1C" w:rsidP="00A50CFD">
      <w:pPr>
        <w:tabs>
          <w:tab w:val="right" w:leader="dot" w:pos="9350"/>
        </w:tabs>
        <w:spacing w:after="100" w:line="276" w:lineRule="auto"/>
        <w:rPr>
          <w:rFonts w:ascii="Arial" w:eastAsia="Times New Roman" w:hAnsi="Arial" w:cs="Arial"/>
          <w:b/>
          <w:bCs/>
          <w:noProof/>
          <w:kern w:val="0"/>
          <w:sz w:val="24"/>
          <w:szCs w:val="24"/>
          <w14:ligatures w14:val="none"/>
        </w:rPr>
      </w:pPr>
      <w:hyperlink w:anchor="_Toc150823208" w:history="1">
        <w:r w:rsidR="00A50CFD" w:rsidRPr="00591B67">
          <w:rPr>
            <w:rFonts w:ascii="Arial" w:eastAsia="Times New Roman" w:hAnsi="Arial" w:cs="Arial"/>
            <w:b/>
            <w:bCs/>
            <w:noProof/>
            <w:kern w:val="0"/>
            <w:sz w:val="24"/>
            <w:szCs w:val="24"/>
            <w:u w:val="single"/>
            <w14:ligatures w14:val="none"/>
          </w:rPr>
          <w:t>Conclusio</w:t>
        </w:r>
        <w:r w:rsidR="007014AC">
          <w:rPr>
            <w:rFonts w:ascii="Arial" w:eastAsia="Times New Roman" w:hAnsi="Arial" w:cs="Arial"/>
            <w:b/>
            <w:bCs/>
            <w:noProof/>
            <w:kern w:val="0"/>
            <w:sz w:val="24"/>
            <w:szCs w:val="24"/>
            <w:u w:val="single"/>
            <w14:ligatures w14:val="none"/>
          </w:rPr>
          <w:t>n</w:t>
        </w:r>
        <w:r w:rsidR="00A50CFD" w:rsidRPr="00591B67">
          <w:rPr>
            <w:rFonts w:ascii="Arial" w:eastAsia="Times New Roman" w:hAnsi="Arial" w:cs="Arial"/>
            <w:b/>
            <w:bCs/>
            <w:noProof/>
            <w:webHidden/>
            <w:kern w:val="0"/>
            <w:sz w:val="24"/>
            <w:szCs w:val="24"/>
            <w14:ligatures w14:val="none"/>
          </w:rPr>
          <w:tab/>
        </w:r>
      </w:hyperlink>
      <w:r w:rsidR="008513D7">
        <w:rPr>
          <w:rFonts w:ascii="Arial" w:eastAsia="Times New Roman" w:hAnsi="Arial" w:cs="Arial"/>
          <w:b/>
          <w:bCs/>
          <w:noProof/>
          <w:kern w:val="0"/>
          <w:sz w:val="24"/>
          <w:szCs w:val="24"/>
          <w14:ligatures w14:val="none"/>
        </w:rPr>
        <w:t>24</w:t>
      </w:r>
    </w:p>
    <w:p w14:paraId="67A59BEF" w14:textId="2A0B8AD7" w:rsidR="00F23767" w:rsidRPr="007014AC" w:rsidRDefault="003D0F1C" w:rsidP="007014AC">
      <w:pPr>
        <w:rPr>
          <w:rFonts w:ascii="Arial" w:hAnsi="Arial" w:cs="Arial"/>
          <w:b/>
          <w:bCs/>
          <w:sz w:val="24"/>
          <w:szCs w:val="24"/>
        </w:rPr>
      </w:pPr>
      <w:hyperlink w:anchor="_Toc150823209" w:history="1">
        <w:r w:rsidR="00A50CFD" w:rsidRPr="00591B67">
          <w:rPr>
            <w:rFonts w:ascii="Arial" w:eastAsia="Times New Roman" w:hAnsi="Arial" w:cs="Arial"/>
            <w:b/>
            <w:bCs/>
            <w:noProof/>
            <w:kern w:val="0"/>
            <w:sz w:val="24"/>
            <w:szCs w:val="24"/>
            <w:u w:val="single"/>
            <w14:ligatures w14:val="none"/>
          </w:rPr>
          <w:t>References</w:t>
        </w:r>
        <w:r w:rsidR="00107166">
          <w:rPr>
            <w:rFonts w:ascii="Arial" w:eastAsia="Times New Roman" w:hAnsi="Arial" w:cs="Arial"/>
            <w:b/>
            <w:bCs/>
            <w:noProof/>
            <w:kern w:val="0"/>
            <w:sz w:val="24"/>
            <w:szCs w:val="24"/>
            <w14:ligatures w14:val="none"/>
          </w:rPr>
          <w:t>.</w:t>
        </w:r>
        <w:r w:rsidR="00A50CFD" w:rsidRPr="007014AC">
          <w:rPr>
            <w:rFonts w:ascii="Arial" w:eastAsia="Times New Roman" w:hAnsi="Arial" w:cs="Arial"/>
            <w:b/>
            <w:bCs/>
            <w:noProof/>
            <w:kern w:val="0"/>
            <w:sz w:val="24"/>
            <w:szCs w:val="24"/>
            <w14:ligatures w14:val="none"/>
          </w:rPr>
          <w:t>……………………………………………………………………………</w:t>
        </w:r>
        <w:r w:rsidR="00A50CFD" w:rsidRPr="007014AC">
          <w:rPr>
            <w:rFonts w:ascii="Arial" w:eastAsia="Times New Roman" w:hAnsi="Arial" w:cs="Arial"/>
            <w:b/>
            <w:bCs/>
            <w:noProof/>
            <w:webHidden/>
            <w:kern w:val="0"/>
            <w:sz w:val="24"/>
            <w:szCs w:val="24"/>
            <w14:ligatures w14:val="none"/>
          </w:rPr>
          <w:t>..</w:t>
        </w:r>
        <w:r w:rsidR="007014AC">
          <w:rPr>
            <w:rFonts w:ascii="Arial" w:eastAsia="Times New Roman" w:hAnsi="Arial" w:cs="Arial"/>
            <w:b/>
            <w:bCs/>
            <w:noProof/>
            <w:webHidden/>
            <w:kern w:val="0"/>
            <w:sz w:val="24"/>
            <w:szCs w:val="24"/>
            <w14:ligatures w14:val="none"/>
          </w:rPr>
          <w:t>.</w:t>
        </w:r>
        <w:r w:rsidR="00107166">
          <w:rPr>
            <w:rFonts w:ascii="Arial" w:eastAsia="Times New Roman" w:hAnsi="Arial" w:cs="Arial"/>
            <w:b/>
            <w:bCs/>
            <w:noProof/>
            <w:webHidden/>
            <w:kern w:val="0"/>
            <w:sz w:val="24"/>
            <w:szCs w:val="24"/>
            <w14:ligatures w14:val="none"/>
          </w:rPr>
          <w:t>...</w:t>
        </w:r>
      </w:hyperlink>
      <w:r w:rsidR="008513D7">
        <w:rPr>
          <w:rFonts w:ascii="Arial" w:eastAsia="Times New Roman" w:hAnsi="Arial" w:cs="Arial"/>
          <w:b/>
          <w:bCs/>
          <w:noProof/>
          <w:kern w:val="0"/>
          <w:sz w:val="24"/>
          <w:szCs w:val="24"/>
          <w14:ligatures w14:val="none"/>
        </w:rPr>
        <w:t>26</w:t>
      </w:r>
      <w:r w:rsidR="008513D7" w:rsidRPr="007014AC">
        <w:rPr>
          <w:rFonts w:ascii="Arial" w:hAnsi="Arial" w:cs="Arial"/>
          <w:b/>
          <w:bCs/>
          <w:sz w:val="24"/>
          <w:szCs w:val="24"/>
        </w:rPr>
        <w:t xml:space="preserve"> </w:t>
      </w:r>
    </w:p>
    <w:p w14:paraId="3FDA3C20" w14:textId="77777777" w:rsidR="00F23767" w:rsidRDefault="00F23767" w:rsidP="00591B67">
      <w:pPr>
        <w:rPr>
          <w:rFonts w:ascii="Arial" w:hAnsi="Arial" w:cs="Arial"/>
          <w:b/>
          <w:bCs/>
          <w:sz w:val="24"/>
          <w:szCs w:val="24"/>
        </w:rPr>
      </w:pPr>
    </w:p>
    <w:p w14:paraId="71F14351" w14:textId="77777777" w:rsidR="00F23767" w:rsidRDefault="00F23767" w:rsidP="00591B67">
      <w:pPr>
        <w:rPr>
          <w:rFonts w:ascii="Arial" w:hAnsi="Arial" w:cs="Arial"/>
          <w:b/>
          <w:bCs/>
          <w:sz w:val="24"/>
          <w:szCs w:val="24"/>
        </w:rPr>
      </w:pPr>
    </w:p>
    <w:p w14:paraId="0FD092D6" w14:textId="77777777" w:rsidR="00F23767" w:rsidRDefault="00F23767" w:rsidP="00591B67">
      <w:pPr>
        <w:rPr>
          <w:rFonts w:ascii="Arial" w:hAnsi="Arial" w:cs="Arial"/>
          <w:b/>
          <w:bCs/>
          <w:sz w:val="24"/>
          <w:szCs w:val="24"/>
        </w:rPr>
      </w:pPr>
    </w:p>
    <w:p w14:paraId="4692A549" w14:textId="77777777" w:rsidR="00311C60" w:rsidRPr="00311C60" w:rsidRDefault="00311C60" w:rsidP="00311C60">
      <w:pPr>
        <w:rPr>
          <w:rFonts w:ascii="Arial" w:hAnsi="Arial" w:cs="Arial"/>
          <w:b/>
          <w:bCs/>
          <w:sz w:val="24"/>
          <w:szCs w:val="24"/>
        </w:rPr>
      </w:pPr>
    </w:p>
    <w:p w14:paraId="02DBCBFF" w14:textId="77777777" w:rsidR="00311C60" w:rsidRPr="00311C60" w:rsidRDefault="00311C60" w:rsidP="00311C60">
      <w:pPr>
        <w:rPr>
          <w:rFonts w:ascii="Arial" w:hAnsi="Arial" w:cs="Arial"/>
          <w:b/>
          <w:bCs/>
          <w:sz w:val="24"/>
          <w:szCs w:val="24"/>
        </w:rPr>
      </w:pPr>
      <w:r w:rsidRPr="00311C60">
        <w:rPr>
          <w:rFonts w:ascii="Arial" w:hAnsi="Arial" w:cs="Arial"/>
          <w:b/>
          <w:bCs/>
          <w:sz w:val="24"/>
          <w:szCs w:val="24"/>
        </w:rPr>
        <w:lastRenderedPageBreak/>
        <w:t>Executive Summary</w:t>
      </w:r>
    </w:p>
    <w:p w14:paraId="452DAD62" w14:textId="4694276F" w:rsidR="00311C60" w:rsidRPr="00311C60" w:rsidRDefault="00311C60" w:rsidP="00311C60">
      <w:pPr>
        <w:spacing w:line="360" w:lineRule="auto"/>
        <w:jc w:val="both"/>
        <w:rPr>
          <w:rFonts w:ascii="Arial" w:hAnsi="Arial" w:cs="Arial"/>
          <w:sz w:val="24"/>
          <w:szCs w:val="24"/>
        </w:rPr>
      </w:pPr>
      <w:r w:rsidRPr="00311C60">
        <w:rPr>
          <w:rFonts w:ascii="Arial" w:hAnsi="Arial" w:cs="Arial"/>
          <w:b/>
          <w:bCs/>
          <w:sz w:val="24"/>
          <w:szCs w:val="24"/>
        </w:rPr>
        <w:t xml:space="preserve">        </w:t>
      </w:r>
      <w:r w:rsidRPr="00311C60">
        <w:rPr>
          <w:rFonts w:ascii="Arial" w:hAnsi="Arial" w:cs="Arial"/>
          <w:sz w:val="24"/>
          <w:szCs w:val="24"/>
        </w:rPr>
        <w:t xml:space="preserve">This report aims to evaluate the causes, implications, and solutions to the high employee turnover rate in Courtyard by Marriott hotels regarding the rising employee turnover rate. As a consultative company, HENRIQ Solutions Consultant Ltd is a professional consulting firm aiming to help organisations optimise their operations and performance by providing real-time business solutions to attain desired outcomes. As a professional consulting firm, HENRIQ Solutions Consultant Ltd offers various services, including assessing challenges and opportunities for improving workplace settings by conducting employee engagement surveys, </w:t>
      </w:r>
      <w:r w:rsidR="003722A0" w:rsidRPr="00311C60">
        <w:rPr>
          <w:rFonts w:ascii="Arial" w:hAnsi="Arial" w:cs="Arial"/>
          <w:sz w:val="24"/>
          <w:szCs w:val="24"/>
        </w:rPr>
        <w:t>training,</w:t>
      </w:r>
      <w:r w:rsidRPr="00311C60">
        <w:rPr>
          <w:rFonts w:ascii="Arial" w:hAnsi="Arial" w:cs="Arial"/>
          <w:sz w:val="24"/>
          <w:szCs w:val="24"/>
        </w:rPr>
        <w:t xml:space="preserve"> and development programs, and change management consultancy. The firm leverages the inputs from significant stakeholders and research studies in providing business organisations with the most appropriate business solutions</w:t>
      </w:r>
      <w:r w:rsidR="00012A4A">
        <w:rPr>
          <w:rFonts w:ascii="Arial" w:hAnsi="Arial" w:cs="Arial"/>
          <w:sz w:val="24"/>
          <w:szCs w:val="24"/>
        </w:rPr>
        <w:t>.</w:t>
      </w:r>
    </w:p>
    <w:p w14:paraId="046167D7" w14:textId="1BEDD2EA" w:rsidR="00311C60" w:rsidRPr="00311C60" w:rsidRDefault="00311C60" w:rsidP="00311C60">
      <w:pPr>
        <w:spacing w:line="360" w:lineRule="auto"/>
        <w:jc w:val="both"/>
        <w:rPr>
          <w:rFonts w:ascii="Arial" w:hAnsi="Arial" w:cs="Arial"/>
          <w:sz w:val="24"/>
          <w:szCs w:val="24"/>
        </w:rPr>
      </w:pPr>
      <w:r w:rsidRPr="00311C60">
        <w:rPr>
          <w:rFonts w:ascii="Arial" w:hAnsi="Arial" w:cs="Arial"/>
          <w:sz w:val="24"/>
          <w:szCs w:val="24"/>
        </w:rPr>
        <w:t xml:space="preserve">        High employee turnover rate</w:t>
      </w:r>
      <w:r w:rsidR="00D145EA">
        <w:rPr>
          <w:rFonts w:ascii="Arial" w:hAnsi="Arial" w:cs="Arial"/>
          <w:sz w:val="24"/>
          <w:szCs w:val="24"/>
        </w:rPr>
        <w:t>s</w:t>
      </w:r>
      <w:r w:rsidRPr="00311C60">
        <w:rPr>
          <w:rFonts w:ascii="Arial" w:hAnsi="Arial" w:cs="Arial"/>
          <w:sz w:val="24"/>
          <w:szCs w:val="24"/>
        </w:rPr>
        <w:t xml:space="preserve"> remain one of the critical challenges facing business organisations operating in the hospitality sector. The problem of high employee turnover rates is associated with numerous negative implications in the business organisation. For instance, the selected brand is incurring increased costs of managing human resources—recruiting, training, onboarding of new hires, and other human resource development programs. Secondly, frequent changes in the workforce are linked to deteriorating customer satisfaction scores. Low customer satisfaction scores result from being served by less experienced and knowledgeable staff. In other words, high employee turnover rates inadvertently affect the quality of customer services. More critically, Courtyard by Marriott risks tainting its organisational image due to negative reviews and a lack of sustainability in the quality of customer services. Such setbacks make it challenging for the business organisation to attract and retain highly qualified workers. Low retention rates affect the profit margin of the business organisation. It is essential to leverage research-based interventions in driving significant changes in successfully managing human resources.</w:t>
      </w:r>
    </w:p>
    <w:p w14:paraId="27D9686A" w14:textId="382D5AC3" w:rsidR="00311C60" w:rsidRPr="00311C60" w:rsidRDefault="00E3565E" w:rsidP="00311C60">
      <w:pPr>
        <w:spacing w:line="360" w:lineRule="auto"/>
        <w:jc w:val="both"/>
        <w:rPr>
          <w:rFonts w:ascii="Arial" w:hAnsi="Arial" w:cs="Arial"/>
          <w:sz w:val="24"/>
          <w:szCs w:val="24"/>
        </w:rPr>
      </w:pPr>
      <w:r>
        <w:rPr>
          <w:rFonts w:ascii="Arial" w:hAnsi="Arial" w:cs="Arial"/>
          <w:sz w:val="24"/>
          <w:szCs w:val="24"/>
        </w:rPr>
        <w:t xml:space="preserve">      </w:t>
      </w:r>
      <w:r w:rsidR="00311C60" w:rsidRPr="00311C60">
        <w:rPr>
          <w:rFonts w:ascii="Arial" w:hAnsi="Arial" w:cs="Arial"/>
          <w:sz w:val="24"/>
          <w:szCs w:val="24"/>
        </w:rPr>
        <w:t xml:space="preserve">The report highlighted some underlying causes of high employee turnover rates in Courtyard by Marriott hotels. Long working hours with low remunerations lead to increased frustrations and burnout. The minimum wages and bonuses are not commensurate with the labour provided. Secondly, the absence of opportunity for career advancement, especially for front-line employees, is associated with low employee engagement and job satisfaction—limited opportunities for employees to </w:t>
      </w:r>
      <w:r w:rsidR="00311C60" w:rsidRPr="00311C60">
        <w:rPr>
          <w:rFonts w:ascii="Arial" w:hAnsi="Arial" w:cs="Arial"/>
          <w:sz w:val="24"/>
          <w:szCs w:val="24"/>
        </w:rPr>
        <w:lastRenderedPageBreak/>
        <w:t>achieve desired growth and development are some of the primary concerns regarding a high employee turnover rate. In Courtyard by Marriott hotels, poor work scheduling and job matching are leading causes of increased burnout and frustrations among the employees. Ineffective management is another significant factor associated with increased employee burnout and turnover intention.</w:t>
      </w:r>
    </w:p>
    <w:p w14:paraId="5A878505" w14:textId="2CB0FFC7" w:rsidR="00311C60" w:rsidRPr="00311C60" w:rsidRDefault="00E3565E" w:rsidP="00311C60">
      <w:pPr>
        <w:spacing w:line="360" w:lineRule="auto"/>
        <w:jc w:val="both"/>
        <w:rPr>
          <w:rFonts w:ascii="Arial" w:hAnsi="Arial" w:cs="Arial"/>
          <w:sz w:val="24"/>
          <w:szCs w:val="24"/>
        </w:rPr>
      </w:pPr>
      <w:r>
        <w:rPr>
          <w:rFonts w:ascii="Arial" w:hAnsi="Arial" w:cs="Arial"/>
          <w:sz w:val="24"/>
          <w:szCs w:val="24"/>
        </w:rPr>
        <w:t xml:space="preserve">     </w:t>
      </w:r>
      <w:r w:rsidR="00311C60" w:rsidRPr="00311C60">
        <w:rPr>
          <w:rFonts w:ascii="Arial" w:hAnsi="Arial" w:cs="Arial"/>
          <w:sz w:val="24"/>
          <w:szCs w:val="24"/>
        </w:rPr>
        <w:t xml:space="preserve">Based on the insights on the actual assessment of the situation within the business organisation and review of credible sources, the outcomes of strategic analysis provide in-depth insights on the current challenges facing Courtyard by Marriott concerning dealing with human resources. Successful implementation of research-based interventions can transform human resources management within the business organisation. Rapid changes in the labour market and other dynamics in the business environment can inadvertently affect the sustainability of business growth and profitability. SWOT and PESTEL analyses provided in-depth insights into the external and internal factors affecting the business operations concerning the identified organisational issue. </w:t>
      </w:r>
    </w:p>
    <w:p w14:paraId="1C06FAD8" w14:textId="1A7F516C" w:rsidR="00311C60" w:rsidRPr="00311C60" w:rsidRDefault="00E3565E" w:rsidP="00311C60">
      <w:pPr>
        <w:spacing w:line="360" w:lineRule="auto"/>
        <w:jc w:val="both"/>
        <w:rPr>
          <w:rFonts w:ascii="Arial" w:hAnsi="Arial" w:cs="Arial"/>
          <w:sz w:val="24"/>
          <w:szCs w:val="24"/>
        </w:rPr>
      </w:pPr>
      <w:r>
        <w:rPr>
          <w:rFonts w:ascii="Arial" w:hAnsi="Arial" w:cs="Arial"/>
          <w:sz w:val="24"/>
          <w:szCs w:val="24"/>
        </w:rPr>
        <w:t xml:space="preserve">     </w:t>
      </w:r>
      <w:r w:rsidR="00311C60" w:rsidRPr="00311C60">
        <w:rPr>
          <w:rFonts w:ascii="Arial" w:hAnsi="Arial" w:cs="Arial"/>
          <w:sz w:val="24"/>
          <w:szCs w:val="24"/>
        </w:rPr>
        <w:t xml:space="preserve">The report provides specific and innovative recommendations that Courtyard by Marriott can consider implementing to address the high employee turnover rate at Courtyard by Marriott hotels. Successful implementation of the ongoing training and development programs for all the staff members, especially the front-desk employees, can be crucial in containing the high employee turnover rates. Establishing a corporate culture that promotes inclusion and cultural diversity within the workplace is essential. The management must address and prevent or reduce incidents of lawsuits and fines associated with violating the existing legal and ethical standards in managing human resources. The management should strive to keep a clear and consistent scheduling system for employees to understand the patterns of their leaves, including implementing work schedules that promote desired work-life balance within the business organisation. Successful implementation of enhancing pricing strategies can be crucial in improving the competitive edge of the business organisation. Data analytics and market research are central to understanding guest booking patterns, competitor pricing strategies, and demand fluctuations in the sector. </w:t>
      </w:r>
    </w:p>
    <w:p w14:paraId="778677CF" w14:textId="6A454446" w:rsidR="009E268D" w:rsidRPr="00311C60" w:rsidRDefault="00E3565E" w:rsidP="00311C60">
      <w:pPr>
        <w:spacing w:line="360" w:lineRule="auto"/>
        <w:jc w:val="both"/>
        <w:rPr>
          <w:rFonts w:ascii="Arial" w:hAnsi="Arial" w:cs="Arial"/>
          <w:sz w:val="24"/>
          <w:szCs w:val="24"/>
        </w:rPr>
      </w:pPr>
      <w:r>
        <w:rPr>
          <w:rFonts w:ascii="Arial" w:hAnsi="Arial" w:cs="Arial"/>
          <w:sz w:val="24"/>
          <w:szCs w:val="24"/>
        </w:rPr>
        <w:t xml:space="preserve">     </w:t>
      </w:r>
      <w:r w:rsidR="00311C60" w:rsidRPr="00311C60">
        <w:rPr>
          <w:rFonts w:ascii="Arial" w:hAnsi="Arial" w:cs="Arial"/>
          <w:sz w:val="24"/>
          <w:szCs w:val="24"/>
        </w:rPr>
        <w:t xml:space="preserve">Therefore, this report has explored the implications of the high employee turnover rate at Courtyard by Marriott hotels. The findings of this report established that the </w:t>
      </w:r>
      <w:r w:rsidR="00311C60" w:rsidRPr="00311C60">
        <w:rPr>
          <w:rFonts w:ascii="Arial" w:hAnsi="Arial" w:cs="Arial"/>
          <w:sz w:val="24"/>
          <w:szCs w:val="24"/>
        </w:rPr>
        <w:lastRenderedPageBreak/>
        <w:t>current employee turnover rate is higher than that in the entire hospitality sector. The cost implications of higher employee turnover rates include the rising expenses associated with recruiting and selecting new employees, including providing the necessary training programs to the new hires. The management can address the increasing employee turnover rate to create a competitive edge while optimising the operational efficiencies in the sector. The report has highlighted some factors contributing to the rising employee turnover rates at Courtyard by Marriott hotels---low remuneration, unpredictable work schedules depending on the season, and long working hours under strenuous work conditions. Other underlying causes include poor management and reduced industry professional advancement opportunities. We want to thank the management of Courtyard of Marriott for the opportunity to collaborate on this crucial business project. We are committed to providing businesses with research-based and creative solutions to address contemporary challenges.</w:t>
      </w:r>
    </w:p>
    <w:p w14:paraId="67A01FAF" w14:textId="77777777" w:rsidR="009E268D" w:rsidRPr="00311C60" w:rsidRDefault="009E268D" w:rsidP="00311C60">
      <w:pPr>
        <w:spacing w:line="360" w:lineRule="auto"/>
        <w:jc w:val="both"/>
        <w:rPr>
          <w:rFonts w:ascii="Arial" w:hAnsi="Arial" w:cs="Arial"/>
          <w:sz w:val="24"/>
          <w:szCs w:val="24"/>
        </w:rPr>
      </w:pPr>
    </w:p>
    <w:p w14:paraId="40699DCE" w14:textId="77777777" w:rsidR="00C12E2E" w:rsidRPr="00C12E2E" w:rsidRDefault="00C12E2E" w:rsidP="00C12E2E">
      <w:pPr>
        <w:rPr>
          <w:rFonts w:ascii="Arial" w:hAnsi="Arial" w:cs="Arial"/>
          <w:b/>
          <w:bCs/>
          <w:sz w:val="24"/>
          <w:szCs w:val="24"/>
        </w:rPr>
      </w:pPr>
      <w:r w:rsidRPr="00C12E2E">
        <w:rPr>
          <w:rFonts w:ascii="Arial" w:hAnsi="Arial" w:cs="Arial"/>
          <w:b/>
          <w:bCs/>
          <w:sz w:val="24"/>
          <w:szCs w:val="24"/>
        </w:rPr>
        <w:t>Introduction</w:t>
      </w:r>
    </w:p>
    <w:p w14:paraId="2ED7BD08" w14:textId="62267FCA" w:rsidR="00C12E2E" w:rsidRPr="00E82738" w:rsidRDefault="00E82738" w:rsidP="00E82738">
      <w:pPr>
        <w:spacing w:line="360" w:lineRule="auto"/>
        <w:jc w:val="both"/>
        <w:rPr>
          <w:rFonts w:ascii="Arial" w:hAnsi="Arial" w:cs="Arial"/>
          <w:sz w:val="24"/>
          <w:szCs w:val="24"/>
        </w:rPr>
      </w:pPr>
      <w:r>
        <w:rPr>
          <w:rFonts w:ascii="Arial" w:hAnsi="Arial" w:cs="Arial"/>
          <w:sz w:val="24"/>
          <w:szCs w:val="24"/>
        </w:rPr>
        <w:t xml:space="preserve">       </w:t>
      </w:r>
      <w:r w:rsidR="00C12E2E" w:rsidRPr="00E82738">
        <w:rPr>
          <w:rFonts w:ascii="Arial" w:hAnsi="Arial" w:cs="Arial"/>
          <w:sz w:val="24"/>
          <w:szCs w:val="24"/>
        </w:rPr>
        <w:t xml:space="preserve">According to Djajasinga et al. (2021), high employee turnover rates can be a critical concern to the success of any business organisation, especially in the hotel and hospitality industry. Marriott International, Inc. has continued to face strategic problems associated with frequent employee leave, creating operational challenges. Marriott International, Inc. is one of the largest American-based international hotels (Breda, et al., 2020). The business organisation has more than 7600 properties in about 140 counties. The company was established in 1927 by Willard Marriott and his wife, Alice Sheets Marriott. Courtyard by Marriott International is headquartered in Bethesda, Maryland, in the US. The business organisation provides a wide range of hotel brands—Marriott Hotels and Resorts, The Ritz-Carlton, Sheraton Hotel and Resorts, and Westin Hotels and Resorts, including Courtyard by Marriott. </w:t>
      </w:r>
    </w:p>
    <w:p w14:paraId="257BA38A" w14:textId="0C7F782E" w:rsidR="00C12E2E" w:rsidRPr="00E82738" w:rsidRDefault="00E82738" w:rsidP="00E82738">
      <w:pPr>
        <w:spacing w:line="360" w:lineRule="auto"/>
        <w:jc w:val="both"/>
        <w:rPr>
          <w:rFonts w:ascii="Arial" w:hAnsi="Arial" w:cs="Arial"/>
          <w:sz w:val="24"/>
          <w:szCs w:val="24"/>
        </w:rPr>
      </w:pPr>
      <w:r>
        <w:rPr>
          <w:rFonts w:ascii="Arial" w:hAnsi="Arial" w:cs="Arial"/>
          <w:sz w:val="24"/>
          <w:szCs w:val="24"/>
        </w:rPr>
        <w:t xml:space="preserve">      </w:t>
      </w:r>
      <w:r w:rsidR="00C12E2E" w:rsidRPr="00E82738">
        <w:rPr>
          <w:rFonts w:ascii="Arial" w:hAnsi="Arial" w:cs="Arial"/>
          <w:sz w:val="24"/>
          <w:szCs w:val="24"/>
        </w:rPr>
        <w:t xml:space="preserve">This report will mainly focus on Courtyard </w:t>
      </w:r>
      <w:r w:rsidR="00236088" w:rsidRPr="00E82738">
        <w:rPr>
          <w:rFonts w:ascii="Arial" w:hAnsi="Arial" w:cs="Arial"/>
          <w:sz w:val="24"/>
          <w:szCs w:val="24"/>
        </w:rPr>
        <w:t>as</w:t>
      </w:r>
      <w:r w:rsidR="00236088">
        <w:rPr>
          <w:rFonts w:ascii="Arial" w:hAnsi="Arial" w:cs="Arial"/>
          <w:sz w:val="24"/>
          <w:szCs w:val="24"/>
        </w:rPr>
        <w:t xml:space="preserve"> part</w:t>
      </w:r>
      <w:r w:rsidR="00C12E2E" w:rsidRPr="00E82738">
        <w:rPr>
          <w:rFonts w:ascii="Arial" w:hAnsi="Arial" w:cs="Arial"/>
          <w:sz w:val="24"/>
          <w:szCs w:val="24"/>
        </w:rPr>
        <w:t xml:space="preserve"> </w:t>
      </w:r>
      <w:r w:rsidR="002C2690">
        <w:rPr>
          <w:rFonts w:ascii="Arial" w:hAnsi="Arial" w:cs="Arial"/>
          <w:sz w:val="24"/>
          <w:szCs w:val="24"/>
        </w:rPr>
        <w:t>of the</w:t>
      </w:r>
      <w:r w:rsidR="00C12E2E" w:rsidRPr="00E82738">
        <w:rPr>
          <w:rFonts w:ascii="Arial" w:hAnsi="Arial" w:cs="Arial"/>
          <w:sz w:val="24"/>
          <w:szCs w:val="24"/>
        </w:rPr>
        <w:t xml:space="preserve"> brand</w:t>
      </w:r>
      <w:r w:rsidR="00236088">
        <w:rPr>
          <w:rFonts w:ascii="Arial" w:hAnsi="Arial" w:cs="Arial"/>
          <w:sz w:val="24"/>
          <w:szCs w:val="24"/>
        </w:rPr>
        <w:t xml:space="preserve"> Marriott</w:t>
      </w:r>
      <w:r w:rsidR="00C12E2E" w:rsidRPr="00E82738">
        <w:rPr>
          <w:rFonts w:ascii="Arial" w:hAnsi="Arial" w:cs="Arial"/>
          <w:sz w:val="24"/>
          <w:szCs w:val="24"/>
        </w:rPr>
        <w:t xml:space="preserve">. The Courtyard by Marriott is one of the most popular brands of mid- and upscale hotels owned by Marriott International. The brand was established in 1983; and has experienced exponential growth to more than 1200 hotels in about 60 countries and territories across the globe (Marriott.com, 2023).  The hotels are well-defined to meet the needs of the customers by providing improved experiences to the guests. The </w:t>
      </w:r>
      <w:r w:rsidR="00C12E2E" w:rsidRPr="00E82738">
        <w:rPr>
          <w:rFonts w:ascii="Arial" w:hAnsi="Arial" w:cs="Arial"/>
          <w:sz w:val="24"/>
          <w:szCs w:val="24"/>
        </w:rPr>
        <w:lastRenderedPageBreak/>
        <w:t>brand has remained a popular choice for business executives due to the convenient locations and efficient services rendered in these hotels (Marriott.com, 2023). However, Courtyard by Marriott is currently rocked with the problem of high employee turnover rates.</w:t>
      </w:r>
    </w:p>
    <w:p w14:paraId="69DF6E5F" w14:textId="465B320A" w:rsidR="003B38B6" w:rsidRPr="00E82738" w:rsidRDefault="00090B9B" w:rsidP="00E82738">
      <w:pPr>
        <w:spacing w:line="360" w:lineRule="auto"/>
        <w:jc w:val="both"/>
        <w:rPr>
          <w:rFonts w:ascii="Arial" w:hAnsi="Arial" w:cs="Arial"/>
          <w:sz w:val="24"/>
          <w:szCs w:val="24"/>
        </w:rPr>
      </w:pPr>
      <w:r>
        <w:rPr>
          <w:rFonts w:ascii="Arial" w:hAnsi="Arial" w:cs="Arial"/>
          <w:sz w:val="24"/>
          <w:szCs w:val="24"/>
        </w:rPr>
        <w:t xml:space="preserve">     </w:t>
      </w:r>
      <w:r w:rsidR="00C12E2E" w:rsidRPr="00E82738">
        <w:rPr>
          <w:rFonts w:ascii="Arial" w:hAnsi="Arial" w:cs="Arial"/>
          <w:sz w:val="24"/>
          <w:szCs w:val="24"/>
        </w:rPr>
        <w:t xml:space="preserve">HENRIQ Solutions Consultant Ltd is a professional organisational consulting firm whose primary focus is to help business organisations optimise their operations and performance by providing real-time business solutions to attain desired outcomes. As a professional consulting </w:t>
      </w:r>
      <w:r w:rsidR="003B38B6" w:rsidRPr="00E82738">
        <w:rPr>
          <w:rFonts w:ascii="Arial" w:hAnsi="Arial" w:cs="Arial"/>
          <w:sz w:val="24"/>
          <w:szCs w:val="24"/>
        </w:rPr>
        <w:t xml:space="preserve">firm, HENRIQ Solutions Consultant Ltd offers various services, including assessing challenges and opportunities for improving workplace settings by conducting employee engagement surveys, </w:t>
      </w:r>
      <w:r w:rsidR="003722A0" w:rsidRPr="00E82738">
        <w:rPr>
          <w:rFonts w:ascii="Arial" w:hAnsi="Arial" w:cs="Arial"/>
          <w:sz w:val="24"/>
          <w:szCs w:val="24"/>
        </w:rPr>
        <w:t>training,</w:t>
      </w:r>
      <w:r w:rsidR="003B38B6" w:rsidRPr="00E82738">
        <w:rPr>
          <w:rFonts w:ascii="Arial" w:hAnsi="Arial" w:cs="Arial"/>
          <w:sz w:val="24"/>
          <w:szCs w:val="24"/>
        </w:rPr>
        <w:t xml:space="preserve"> and development programs, and change management consultancy. The firm leverages the inputs from significant stakeholders and research studies in providing business organisations with the most appropriate business solutions. Operational and performance challenges can have far-reaching implications on business success and profitability. Courtyard by Marriott will benefit from customised solutions for its identified business problems. Failure to address the root causes of high employee turnover rates can inadvertently limit the business organisation's ability to optimise its operations in the different business segments. Excellent human resource management practice requires the management of business organisations to leverage research-based solutions to promote sustainability (Gebbels, et al., 2020). In other words, Courtyard by Marriott focuses on creating solutions to enable the affected business organisation to achieve improved sustainability in business growth and profitability. </w:t>
      </w:r>
    </w:p>
    <w:p w14:paraId="6FE8CDC6" w14:textId="7B22E428" w:rsidR="004750C5" w:rsidRPr="00E82738" w:rsidRDefault="00090B9B" w:rsidP="00E82738">
      <w:pPr>
        <w:spacing w:line="360" w:lineRule="auto"/>
        <w:jc w:val="both"/>
        <w:rPr>
          <w:rFonts w:ascii="Arial" w:hAnsi="Arial" w:cs="Arial"/>
          <w:sz w:val="24"/>
          <w:szCs w:val="24"/>
        </w:rPr>
      </w:pPr>
      <w:r>
        <w:rPr>
          <w:rFonts w:ascii="Arial" w:hAnsi="Arial" w:cs="Arial"/>
          <w:sz w:val="24"/>
          <w:szCs w:val="24"/>
        </w:rPr>
        <w:t xml:space="preserve">     </w:t>
      </w:r>
      <w:r w:rsidR="003B38B6" w:rsidRPr="00E82738">
        <w:rPr>
          <w:rFonts w:ascii="Arial" w:hAnsi="Arial" w:cs="Arial"/>
          <w:sz w:val="24"/>
          <w:szCs w:val="24"/>
        </w:rPr>
        <w:t xml:space="preserve">Strategic management entails scanning the operational and performance issues affecting the business organisation. HENRIQ Solutions Consultant Ltd is committed to providing data-driven solutions to facilitate optimised business operations. Misalignment in the corporate culture and values can inadvertently affect the success of the business organisation, especially in managing human resources. Employees are the most critical stakeholders in any business organisation. It is imperative to create policies and interventions to address employee issues within the business organisation (Mohsin et al., 2023). Strategic tools facilitate the successful analysis and implementation of the suggested business solutions. For instance, SWOT analysis (an abbreviation for strengths, weaknesses, opportunities, and threats) can be a game-changer in promoting the implementation of employee retention programs by allowing </w:t>
      </w:r>
      <w:r w:rsidR="003B38B6" w:rsidRPr="00E82738">
        <w:rPr>
          <w:rFonts w:ascii="Arial" w:hAnsi="Arial" w:cs="Arial"/>
          <w:sz w:val="24"/>
          <w:szCs w:val="24"/>
        </w:rPr>
        <w:lastRenderedPageBreak/>
        <w:t xml:space="preserve">Courtyard by </w:t>
      </w:r>
      <w:r w:rsidR="004750C5" w:rsidRPr="00E82738">
        <w:rPr>
          <w:rFonts w:ascii="Arial" w:hAnsi="Arial" w:cs="Arial"/>
          <w:sz w:val="24"/>
          <w:szCs w:val="24"/>
        </w:rPr>
        <w:t>Marriott to leverage its strengths in creating a positive workplace. A PESTLE analysis (an abbreviation for political, economic, social, technological, environmental, and legal factors) helps understand internal factors within the business organisation. This consultancy report will explore the high employee turnover rate in Courtyard by Marriott to promote sustainability in business growth and profitability.</w:t>
      </w:r>
    </w:p>
    <w:p w14:paraId="512B21D6" w14:textId="77777777" w:rsidR="004750C5" w:rsidRPr="00090B9B" w:rsidRDefault="004750C5" w:rsidP="00090B9B">
      <w:pPr>
        <w:spacing w:line="360" w:lineRule="auto"/>
        <w:jc w:val="center"/>
        <w:rPr>
          <w:rFonts w:ascii="Arial" w:hAnsi="Arial" w:cs="Arial"/>
          <w:b/>
          <w:bCs/>
          <w:sz w:val="24"/>
          <w:szCs w:val="24"/>
        </w:rPr>
      </w:pPr>
      <w:r w:rsidRPr="00090B9B">
        <w:rPr>
          <w:rFonts w:ascii="Arial" w:hAnsi="Arial" w:cs="Arial"/>
          <w:b/>
          <w:bCs/>
          <w:sz w:val="24"/>
          <w:szCs w:val="24"/>
        </w:rPr>
        <w:t>Analysis</w:t>
      </w:r>
    </w:p>
    <w:p w14:paraId="7EBDE0C9" w14:textId="788E6991" w:rsidR="004750C5" w:rsidRPr="00E82738" w:rsidRDefault="00090B9B" w:rsidP="00E82738">
      <w:pPr>
        <w:spacing w:line="360" w:lineRule="auto"/>
        <w:jc w:val="both"/>
        <w:rPr>
          <w:rFonts w:ascii="Arial" w:hAnsi="Arial" w:cs="Arial"/>
          <w:sz w:val="24"/>
          <w:szCs w:val="24"/>
        </w:rPr>
      </w:pPr>
      <w:r>
        <w:rPr>
          <w:rFonts w:ascii="Arial" w:hAnsi="Arial" w:cs="Arial"/>
          <w:sz w:val="24"/>
          <w:szCs w:val="24"/>
        </w:rPr>
        <w:t xml:space="preserve">     </w:t>
      </w:r>
      <w:r w:rsidR="004750C5" w:rsidRPr="00E82738">
        <w:rPr>
          <w:rFonts w:ascii="Arial" w:hAnsi="Arial" w:cs="Arial"/>
          <w:sz w:val="24"/>
          <w:szCs w:val="24"/>
        </w:rPr>
        <w:t>Kwok (2022) maintains that the worsening labour shortage problem will likely continue for decades due to the imbalance in labour demand and supply. The hotel and tourism sector should work closely with the relevant stakeholders in managing critical talents in the industry to ensure sustainability in the management of human resources. According to Liu-Lastres et al. (2023), the hotel sector faces acute labour shortages, especially in developed countries, including emerging markets. Globally, the employee turnover rate in the hotel and hospitality sector ranges from 30% to 70% (Michael &amp; Fotiadis, 2022). The average turnover rate in the hotel and hospitality sector remains significantly higher than in other industries. Excessive stress and burnout among employees are the major contributing factors to the higher employee turnover rate in the hotel and tourism sector (Yang, et al., 2019; Cuc, et al., 2022). The demanding and stressful work environment contributes to the decision to leave an organisation, leading to high turnover rates. Establishing and sustaining a supportive and conducive corporate culture is essential.</w:t>
      </w:r>
    </w:p>
    <w:p w14:paraId="69DA31D4" w14:textId="6B4FA02B" w:rsidR="00C94D1D" w:rsidRPr="00E82738" w:rsidRDefault="00090B9B" w:rsidP="00E82738">
      <w:pPr>
        <w:spacing w:line="360" w:lineRule="auto"/>
        <w:jc w:val="both"/>
        <w:rPr>
          <w:rFonts w:ascii="Arial" w:hAnsi="Arial" w:cs="Arial"/>
          <w:sz w:val="24"/>
          <w:szCs w:val="24"/>
        </w:rPr>
      </w:pPr>
      <w:r>
        <w:rPr>
          <w:rFonts w:ascii="Arial" w:hAnsi="Arial" w:cs="Arial"/>
          <w:sz w:val="24"/>
          <w:szCs w:val="24"/>
        </w:rPr>
        <w:t xml:space="preserve">     </w:t>
      </w:r>
      <w:r w:rsidR="004750C5" w:rsidRPr="00E82738">
        <w:rPr>
          <w:rFonts w:ascii="Arial" w:hAnsi="Arial" w:cs="Arial"/>
          <w:sz w:val="24"/>
          <w:szCs w:val="24"/>
        </w:rPr>
        <w:t xml:space="preserve">According to Edeh </w:t>
      </w:r>
      <w:r w:rsidR="00707A2F" w:rsidRPr="00E82738">
        <w:rPr>
          <w:rFonts w:ascii="Arial" w:hAnsi="Arial" w:cs="Arial"/>
          <w:sz w:val="24"/>
          <w:szCs w:val="24"/>
        </w:rPr>
        <w:t>et al. (</w:t>
      </w:r>
      <w:r w:rsidR="004750C5" w:rsidRPr="00E82738">
        <w:rPr>
          <w:rFonts w:ascii="Arial" w:hAnsi="Arial" w:cs="Arial"/>
          <w:sz w:val="24"/>
          <w:szCs w:val="24"/>
        </w:rPr>
        <w:t xml:space="preserve">2022), stress and burnout can have far-reaching implications on the performance and productivity of the team members. A Reasonable and tolerable stress level can positively impact employee productivity and engagement. Management of business organisations must strive to establish an effective and conducive work environment to facilitate </w:t>
      </w:r>
      <w:r w:rsidR="00304200" w:rsidRPr="00E82738">
        <w:rPr>
          <w:rFonts w:ascii="Arial" w:hAnsi="Arial" w:cs="Arial"/>
          <w:sz w:val="24"/>
          <w:szCs w:val="24"/>
        </w:rPr>
        <w:t xml:space="preserve">the attainment of desired outcomes as far as employee productivity is concerned. Employees are the most critical stakeholders in any business organisation; they perform crucial roles and activities to attain organisational goals and objectives (Tsaousoglou, et al., 2022). Cultural values and beliefs influence employees' tastes and preferences in a specific business organisation. Corporate cultures also influence the relationship between the business organisations, including the interactions among the employees. The nature of the workplace influences employee engagement and job satisfaction. The retail and </w:t>
      </w:r>
      <w:r w:rsidR="00304200" w:rsidRPr="00E82738">
        <w:rPr>
          <w:rFonts w:ascii="Arial" w:hAnsi="Arial" w:cs="Arial"/>
          <w:sz w:val="24"/>
          <w:szCs w:val="24"/>
        </w:rPr>
        <w:lastRenderedPageBreak/>
        <w:t>hospitality industries are the most affected by high employee turnover rates (Fig. 1 below).</w:t>
      </w:r>
    </w:p>
    <w:p w14:paraId="07662431" w14:textId="77777777" w:rsidR="00304200" w:rsidRPr="00E82738" w:rsidRDefault="00304200" w:rsidP="00E82738">
      <w:pPr>
        <w:spacing w:line="360" w:lineRule="auto"/>
        <w:jc w:val="both"/>
        <w:rPr>
          <w:rFonts w:ascii="Arial" w:hAnsi="Arial" w:cs="Arial"/>
          <w:sz w:val="24"/>
          <w:szCs w:val="24"/>
        </w:rPr>
      </w:pPr>
    </w:p>
    <w:p w14:paraId="7CBE4F84" w14:textId="707E4AC4" w:rsidR="009E268D" w:rsidRPr="00E82738" w:rsidRDefault="00483774" w:rsidP="00E82738">
      <w:pPr>
        <w:spacing w:line="360" w:lineRule="auto"/>
        <w:jc w:val="both"/>
        <w:rPr>
          <w:rFonts w:ascii="Arial" w:hAnsi="Arial" w:cs="Arial"/>
          <w:sz w:val="24"/>
          <w:szCs w:val="24"/>
        </w:rPr>
      </w:pPr>
      <w:r w:rsidRPr="00E82738">
        <w:rPr>
          <w:noProof/>
        </w:rPr>
        <w:drawing>
          <wp:inline distT="0" distB="0" distL="0" distR="0" wp14:anchorId="50BB3C63" wp14:editId="7BAE022A">
            <wp:extent cx="5731510" cy="2893060"/>
            <wp:effectExtent l="0" t="0" r="0" b="2540"/>
            <wp:docPr id="263294545" name="Picture 26329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93060"/>
                    </a:xfrm>
                    <a:prstGeom prst="rect">
                      <a:avLst/>
                    </a:prstGeom>
                    <a:noFill/>
                    <a:ln>
                      <a:noFill/>
                    </a:ln>
                  </pic:spPr>
                </pic:pic>
              </a:graphicData>
            </a:graphic>
          </wp:inline>
        </w:drawing>
      </w:r>
    </w:p>
    <w:p w14:paraId="5EEF1687" w14:textId="69BF8C80" w:rsidR="00483774" w:rsidRPr="00E82738" w:rsidRDefault="00025D06" w:rsidP="00E82738">
      <w:pPr>
        <w:spacing w:line="360" w:lineRule="auto"/>
        <w:jc w:val="both"/>
        <w:rPr>
          <w:rFonts w:ascii="Arial" w:hAnsi="Arial" w:cs="Arial"/>
          <w:sz w:val="24"/>
          <w:szCs w:val="24"/>
        </w:rPr>
      </w:pPr>
      <w:r w:rsidRPr="00E82738">
        <w:rPr>
          <w:rFonts w:ascii="Arial" w:hAnsi="Arial" w:cs="Arial"/>
          <w:sz w:val="24"/>
          <w:szCs w:val="24"/>
        </w:rPr>
        <w:t>(Dwesini, 2019)</w:t>
      </w:r>
    </w:p>
    <w:p w14:paraId="5C7ACE0F" w14:textId="77777777" w:rsidR="003A5E44" w:rsidRPr="00E82738" w:rsidRDefault="003A5E44" w:rsidP="00E82738">
      <w:pPr>
        <w:spacing w:line="360" w:lineRule="auto"/>
        <w:jc w:val="both"/>
        <w:rPr>
          <w:rFonts w:ascii="Arial" w:hAnsi="Arial" w:cs="Arial"/>
          <w:sz w:val="24"/>
          <w:szCs w:val="24"/>
        </w:rPr>
      </w:pPr>
    </w:p>
    <w:p w14:paraId="023744B1" w14:textId="77777777" w:rsidR="002F68BC" w:rsidRPr="00707A2F" w:rsidRDefault="003A5E44" w:rsidP="00E82738">
      <w:pPr>
        <w:spacing w:line="360" w:lineRule="auto"/>
        <w:jc w:val="both"/>
        <w:rPr>
          <w:rFonts w:ascii="Arial" w:hAnsi="Arial" w:cs="Arial"/>
          <w:b/>
          <w:bCs/>
          <w:sz w:val="24"/>
          <w:szCs w:val="24"/>
        </w:rPr>
      </w:pPr>
      <w:r w:rsidRPr="00707A2F">
        <w:rPr>
          <w:rFonts w:ascii="Arial" w:hAnsi="Arial" w:cs="Arial"/>
          <w:b/>
          <w:bCs/>
          <w:sz w:val="24"/>
          <w:szCs w:val="24"/>
        </w:rPr>
        <w:t>Fig. 1: Proportions of Employee Turnover Rates by Sector</w:t>
      </w:r>
    </w:p>
    <w:p w14:paraId="6BC3C3D2" w14:textId="32CD1F51" w:rsidR="003A5E44" w:rsidRPr="00E82738" w:rsidRDefault="003A5E44" w:rsidP="00E82738">
      <w:pPr>
        <w:spacing w:line="360" w:lineRule="auto"/>
        <w:jc w:val="both"/>
        <w:rPr>
          <w:rFonts w:ascii="Arial" w:hAnsi="Arial" w:cs="Arial"/>
          <w:sz w:val="24"/>
          <w:szCs w:val="24"/>
        </w:rPr>
      </w:pPr>
      <w:r w:rsidRPr="00E82738">
        <w:rPr>
          <w:rFonts w:ascii="Arial" w:hAnsi="Arial" w:cs="Arial"/>
          <w:sz w:val="24"/>
          <w:szCs w:val="24"/>
        </w:rPr>
        <w:t xml:space="preserve"> </w:t>
      </w:r>
    </w:p>
    <w:p w14:paraId="503C4E71" w14:textId="77777777" w:rsidR="003A5E44" w:rsidRPr="00707A2F" w:rsidRDefault="003A5E44" w:rsidP="00707A2F">
      <w:pPr>
        <w:spacing w:line="360" w:lineRule="auto"/>
        <w:jc w:val="center"/>
        <w:rPr>
          <w:rFonts w:ascii="Arial" w:hAnsi="Arial" w:cs="Arial"/>
          <w:b/>
          <w:bCs/>
          <w:sz w:val="24"/>
          <w:szCs w:val="24"/>
        </w:rPr>
      </w:pPr>
      <w:r w:rsidRPr="00707A2F">
        <w:rPr>
          <w:rFonts w:ascii="Arial" w:hAnsi="Arial" w:cs="Arial"/>
          <w:b/>
          <w:bCs/>
          <w:sz w:val="24"/>
          <w:szCs w:val="24"/>
        </w:rPr>
        <w:t>Consequences of High Employee Turnover Rates</w:t>
      </w:r>
    </w:p>
    <w:p w14:paraId="2AB1032C" w14:textId="35D63B2C" w:rsidR="003A5E44" w:rsidRPr="00E82738" w:rsidRDefault="00707A2F" w:rsidP="00E82738">
      <w:pPr>
        <w:spacing w:line="360" w:lineRule="auto"/>
        <w:jc w:val="both"/>
        <w:rPr>
          <w:rFonts w:ascii="Arial" w:hAnsi="Arial" w:cs="Arial"/>
          <w:sz w:val="24"/>
          <w:szCs w:val="24"/>
        </w:rPr>
      </w:pPr>
      <w:r>
        <w:rPr>
          <w:rFonts w:ascii="Arial" w:hAnsi="Arial" w:cs="Arial"/>
          <w:sz w:val="24"/>
          <w:szCs w:val="24"/>
        </w:rPr>
        <w:t xml:space="preserve">     </w:t>
      </w:r>
      <w:r w:rsidR="003A5E44" w:rsidRPr="00E82738">
        <w:rPr>
          <w:rFonts w:ascii="Arial" w:hAnsi="Arial" w:cs="Arial"/>
          <w:sz w:val="24"/>
          <w:szCs w:val="24"/>
        </w:rPr>
        <w:t>In Courtyard by Marriott, the rising employee turnover rates are associated with far-reaching implications in the management of the business organisation. The brand has a turnover</w:t>
      </w:r>
      <w:r w:rsidR="002F68BC" w:rsidRPr="00E82738">
        <w:rPr>
          <w:rFonts w:ascii="Arial" w:hAnsi="Arial" w:cs="Arial"/>
          <w:sz w:val="24"/>
          <w:szCs w:val="24"/>
        </w:rPr>
        <w:t xml:space="preserve"> </w:t>
      </w:r>
      <w:r w:rsidR="004871A2" w:rsidRPr="00E82738">
        <w:rPr>
          <w:rFonts w:ascii="Arial" w:hAnsi="Arial" w:cs="Arial"/>
          <w:sz w:val="24"/>
          <w:szCs w:val="24"/>
        </w:rPr>
        <w:t>rate of about 32%, higher than the average in the tourism and hospitality sector. The management. The high turnover rates are most prevalent among the front-line workers. The industry's seasonal nature renders some employees redundant during the off-peak seasons. The rising level of competition in the industry has been associated with some employees leaving the organisation in search of better terms of employment.</w:t>
      </w:r>
    </w:p>
    <w:p w14:paraId="50CA421B" w14:textId="6D1CC42C" w:rsidR="001D4FA3" w:rsidRPr="00E82738" w:rsidRDefault="001D4FA3" w:rsidP="00E82738">
      <w:pPr>
        <w:spacing w:line="360" w:lineRule="auto"/>
        <w:jc w:val="both"/>
        <w:rPr>
          <w:rFonts w:ascii="Arial" w:hAnsi="Arial" w:cs="Arial"/>
          <w:sz w:val="24"/>
          <w:szCs w:val="24"/>
        </w:rPr>
      </w:pPr>
    </w:p>
    <w:p w14:paraId="29E32FCB" w14:textId="5CB7614C" w:rsidR="004871A2" w:rsidRPr="00E82738" w:rsidRDefault="005173E8" w:rsidP="00E82738">
      <w:pPr>
        <w:spacing w:line="360" w:lineRule="auto"/>
        <w:jc w:val="both"/>
        <w:rPr>
          <w:rFonts w:ascii="Arial" w:hAnsi="Arial" w:cs="Arial"/>
          <w:sz w:val="24"/>
          <w:szCs w:val="24"/>
        </w:rPr>
      </w:pPr>
      <w:r w:rsidRPr="00E82738">
        <w:rPr>
          <w:rFonts w:ascii="Arial" w:hAnsi="Arial" w:cs="Arial"/>
          <w:noProof/>
          <w:sz w:val="24"/>
          <w:szCs w:val="24"/>
        </w:rPr>
        <w:lastRenderedPageBreak/>
        <w:drawing>
          <wp:inline distT="0" distB="0" distL="0" distR="0" wp14:anchorId="3FA15162" wp14:editId="25021A4A">
            <wp:extent cx="5499100" cy="3621405"/>
            <wp:effectExtent l="0" t="0" r="6350" b="0"/>
            <wp:docPr id="898746969" name="Picture 89874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9100" cy="3621405"/>
                    </a:xfrm>
                    <a:prstGeom prst="rect">
                      <a:avLst/>
                    </a:prstGeom>
                    <a:noFill/>
                  </pic:spPr>
                </pic:pic>
              </a:graphicData>
            </a:graphic>
          </wp:inline>
        </w:drawing>
      </w:r>
    </w:p>
    <w:p w14:paraId="2C12D87F" w14:textId="77777777" w:rsidR="006267B5" w:rsidRPr="006267B5" w:rsidRDefault="006267B5" w:rsidP="00E82738">
      <w:pPr>
        <w:spacing w:line="360" w:lineRule="auto"/>
        <w:jc w:val="both"/>
        <w:rPr>
          <w:rFonts w:ascii="Arial" w:hAnsi="Arial" w:cs="Arial"/>
          <w:sz w:val="24"/>
          <w:szCs w:val="24"/>
        </w:rPr>
      </w:pPr>
      <w:r w:rsidRPr="006267B5">
        <w:rPr>
          <w:rFonts w:ascii="Arial" w:hAnsi="Arial" w:cs="Arial"/>
          <w:b/>
          <w:bCs/>
          <w:sz w:val="24"/>
          <w:szCs w:val="24"/>
        </w:rPr>
        <w:t>Fig. 2: Cost Implications of High Employee Turnover Rates</w:t>
      </w:r>
      <w:sdt>
        <w:sdtPr>
          <w:rPr>
            <w:rFonts w:ascii="Arial" w:hAnsi="Arial" w:cs="Arial"/>
            <w:sz w:val="24"/>
            <w:szCs w:val="24"/>
          </w:rPr>
          <w:id w:val="1976943157"/>
          <w:citation/>
        </w:sdtPr>
        <w:sdtEndPr/>
        <w:sdtContent>
          <w:r w:rsidRPr="006267B5">
            <w:rPr>
              <w:rFonts w:ascii="Arial" w:hAnsi="Arial" w:cs="Arial"/>
              <w:sz w:val="24"/>
              <w:szCs w:val="24"/>
            </w:rPr>
            <w:fldChar w:fldCharType="begin"/>
          </w:r>
          <w:r w:rsidRPr="006267B5">
            <w:rPr>
              <w:rFonts w:ascii="Arial" w:hAnsi="Arial" w:cs="Arial"/>
              <w:sz w:val="24"/>
              <w:szCs w:val="24"/>
            </w:rPr>
            <w:instrText xml:space="preserve"> CITATION Kha21 \l 1033 </w:instrText>
          </w:r>
          <w:r w:rsidRPr="006267B5">
            <w:rPr>
              <w:rFonts w:ascii="Arial" w:hAnsi="Arial" w:cs="Arial"/>
              <w:sz w:val="24"/>
              <w:szCs w:val="24"/>
            </w:rPr>
            <w:fldChar w:fldCharType="separate"/>
          </w:r>
          <w:r w:rsidRPr="006267B5">
            <w:rPr>
              <w:rFonts w:ascii="Arial" w:hAnsi="Arial" w:cs="Arial"/>
              <w:sz w:val="24"/>
              <w:szCs w:val="24"/>
            </w:rPr>
            <w:t xml:space="preserve"> (Khan, Khan, &amp; Bodla, 2021)</w:t>
          </w:r>
          <w:r w:rsidRPr="006267B5">
            <w:rPr>
              <w:rFonts w:ascii="Arial" w:hAnsi="Arial" w:cs="Arial"/>
              <w:sz w:val="24"/>
              <w:szCs w:val="24"/>
            </w:rPr>
            <w:fldChar w:fldCharType="end"/>
          </w:r>
        </w:sdtContent>
      </w:sdt>
      <w:r w:rsidRPr="006267B5">
        <w:rPr>
          <w:rFonts w:ascii="Arial" w:hAnsi="Arial" w:cs="Arial"/>
          <w:sz w:val="24"/>
          <w:szCs w:val="24"/>
        </w:rPr>
        <w:t>.</w:t>
      </w:r>
    </w:p>
    <w:p w14:paraId="7D096AD2" w14:textId="77777777" w:rsidR="001D4FA3" w:rsidRPr="00E82738" w:rsidRDefault="001D4FA3" w:rsidP="00E82738">
      <w:pPr>
        <w:spacing w:line="360" w:lineRule="auto"/>
        <w:jc w:val="both"/>
        <w:rPr>
          <w:rFonts w:ascii="Arial" w:hAnsi="Arial" w:cs="Arial"/>
          <w:sz w:val="24"/>
          <w:szCs w:val="24"/>
        </w:rPr>
      </w:pPr>
    </w:p>
    <w:p w14:paraId="50DDD7AC" w14:textId="34B75A6A" w:rsidR="006E10F3" w:rsidRDefault="00707A2F" w:rsidP="00E82738">
      <w:pPr>
        <w:spacing w:line="360" w:lineRule="auto"/>
        <w:jc w:val="both"/>
        <w:rPr>
          <w:rFonts w:ascii="Arial" w:hAnsi="Arial" w:cs="Arial"/>
          <w:sz w:val="24"/>
          <w:szCs w:val="24"/>
        </w:rPr>
      </w:pPr>
      <w:r>
        <w:rPr>
          <w:rFonts w:ascii="Arial" w:hAnsi="Arial" w:cs="Arial"/>
          <w:sz w:val="24"/>
          <w:szCs w:val="24"/>
        </w:rPr>
        <w:t xml:space="preserve">     </w:t>
      </w:r>
      <w:r w:rsidR="006E10F3" w:rsidRPr="00E82738">
        <w:rPr>
          <w:rFonts w:ascii="Arial" w:hAnsi="Arial" w:cs="Arial"/>
          <w:sz w:val="24"/>
          <w:szCs w:val="24"/>
        </w:rPr>
        <w:t>High employee turnover rates are associated with numerous negative implications in the business organisation. For instance, the selected brand is incurring increased costs of managing human resources—recruiting, training, onboarding of new hires, and other human resource development programs. Secondly, frequent changes in the workforce are linked to deteriorating customer satisfaction scores. Customers have registered low satisfaction scores from being served by less experienced and knowledgeable staff. In other words, high employee turnover rates inadvertently affect the quality of customer services. More critically, Courtyard by Marriott risks tainting its organisational image due to negative reviews and a lack of sustainability in the quality of customer services. Such setbacks make it challenging for the business organisation to attract and retain highly qualified workers. Low retention rates affect the profit margin of the business organisation. It is essential to leverage research-based interventions in driving significant changes in the successful management of human resources.</w:t>
      </w:r>
    </w:p>
    <w:p w14:paraId="1EC90A4B" w14:textId="77777777" w:rsidR="00707A2F" w:rsidRPr="00E82738" w:rsidRDefault="00707A2F" w:rsidP="00E82738">
      <w:pPr>
        <w:spacing w:line="360" w:lineRule="auto"/>
        <w:jc w:val="both"/>
        <w:rPr>
          <w:rFonts w:ascii="Arial" w:hAnsi="Arial" w:cs="Arial"/>
          <w:sz w:val="24"/>
          <w:szCs w:val="24"/>
        </w:rPr>
      </w:pPr>
    </w:p>
    <w:p w14:paraId="1696EC5A" w14:textId="77777777" w:rsidR="007A1EE6" w:rsidRPr="00707A2F" w:rsidRDefault="007A1EE6" w:rsidP="00707A2F">
      <w:pPr>
        <w:spacing w:line="360" w:lineRule="auto"/>
        <w:jc w:val="center"/>
        <w:rPr>
          <w:rFonts w:ascii="Arial" w:hAnsi="Arial" w:cs="Arial"/>
          <w:b/>
          <w:bCs/>
          <w:sz w:val="24"/>
          <w:szCs w:val="24"/>
        </w:rPr>
      </w:pPr>
      <w:r w:rsidRPr="00707A2F">
        <w:rPr>
          <w:rFonts w:ascii="Arial" w:hAnsi="Arial" w:cs="Arial"/>
          <w:b/>
          <w:bCs/>
          <w:sz w:val="24"/>
          <w:szCs w:val="24"/>
        </w:rPr>
        <w:lastRenderedPageBreak/>
        <w:t>Causes of High Employee Turnover Rates</w:t>
      </w:r>
    </w:p>
    <w:p w14:paraId="454D667B" w14:textId="32A4A7A2" w:rsidR="006E10F3" w:rsidRPr="00E82738" w:rsidRDefault="00707A2F" w:rsidP="00E82738">
      <w:pPr>
        <w:spacing w:line="360" w:lineRule="auto"/>
        <w:jc w:val="both"/>
        <w:rPr>
          <w:rFonts w:ascii="Arial" w:hAnsi="Arial" w:cs="Arial"/>
          <w:sz w:val="24"/>
          <w:szCs w:val="24"/>
        </w:rPr>
      </w:pPr>
      <w:r>
        <w:rPr>
          <w:rFonts w:ascii="Arial" w:hAnsi="Arial" w:cs="Arial"/>
          <w:sz w:val="24"/>
          <w:szCs w:val="24"/>
        </w:rPr>
        <w:t xml:space="preserve">     </w:t>
      </w:r>
      <w:r w:rsidR="007A1EE6" w:rsidRPr="00E82738">
        <w:rPr>
          <w:rFonts w:ascii="Arial" w:hAnsi="Arial" w:cs="Arial"/>
          <w:sz w:val="24"/>
          <w:szCs w:val="24"/>
        </w:rPr>
        <w:t>Numerous factors account for the rising employee turnover rates in the hospitality sector, Courtyard by Marriott included. For instance, long working hours with low remunerations. The front-line workers tend to work for long hours, including weekends and holidays, leading to increased frustrations and burnout. The minimum wages and bonuses are not commensurate with the labour provided. Secondly, the absence of opportunities for career advancement, especially for front-line employees, associated with low employee engagement and job satisfaction—limited opportunities to advance employee career growth and development are some of the primary concerns regarding the high employee turnover rate. In Courtyard by Marriott, poor work scheduling and matching of jobs are some of the leading causes of increased burnout and frustration among employees (Ahmad et al., 2021). Ineffective management is another significant factor associated with increased employee burnout and turnover intention.</w:t>
      </w:r>
    </w:p>
    <w:p w14:paraId="77EDA757" w14:textId="77777777" w:rsidR="00D93525" w:rsidRPr="00707A2F" w:rsidRDefault="00D93525" w:rsidP="00707A2F">
      <w:pPr>
        <w:spacing w:line="360" w:lineRule="auto"/>
        <w:jc w:val="center"/>
        <w:rPr>
          <w:rFonts w:ascii="Arial" w:hAnsi="Arial" w:cs="Arial"/>
          <w:b/>
          <w:bCs/>
          <w:sz w:val="24"/>
          <w:szCs w:val="24"/>
        </w:rPr>
      </w:pPr>
      <w:r w:rsidRPr="00707A2F">
        <w:rPr>
          <w:rFonts w:ascii="Arial" w:hAnsi="Arial" w:cs="Arial"/>
          <w:b/>
          <w:bCs/>
          <w:sz w:val="24"/>
          <w:szCs w:val="24"/>
        </w:rPr>
        <w:t>Stakeholder Feedback</w:t>
      </w:r>
    </w:p>
    <w:p w14:paraId="1DBD1323" w14:textId="1AECC66E" w:rsidR="00D93525" w:rsidRPr="00E82738" w:rsidRDefault="00707A2F" w:rsidP="00E82738">
      <w:pPr>
        <w:spacing w:line="360" w:lineRule="auto"/>
        <w:jc w:val="both"/>
        <w:rPr>
          <w:rFonts w:ascii="Arial" w:hAnsi="Arial" w:cs="Arial"/>
          <w:sz w:val="24"/>
          <w:szCs w:val="24"/>
        </w:rPr>
      </w:pPr>
      <w:r>
        <w:rPr>
          <w:rFonts w:ascii="Arial" w:hAnsi="Arial" w:cs="Arial"/>
          <w:sz w:val="24"/>
          <w:szCs w:val="24"/>
        </w:rPr>
        <w:t xml:space="preserve">    </w:t>
      </w:r>
      <w:r w:rsidR="00D93525" w:rsidRPr="00E82738">
        <w:rPr>
          <w:rFonts w:ascii="Arial" w:hAnsi="Arial" w:cs="Arial"/>
          <w:sz w:val="24"/>
          <w:szCs w:val="24"/>
        </w:rPr>
        <w:t xml:space="preserve"> It is imperative to obtain feedback from the relevant stakeholders, especially the employees, on issues affecting the team members. In Courtyard by Marriott, employee feedback has been crucial in identifying the root causes of the current high turnover rates. However, the business organisation has continued to receive criticism associated with reduced commitment to addressing the employees' challenges (Tang &amp; Tang, 2019; Mansaray, 2019). The outcome of a recent survey of Marriott employees established that approximately 40% of respondents felt that the top management of the business organisation appreciated their feedback.</w:t>
      </w:r>
    </w:p>
    <w:p w14:paraId="1E8F36CC" w14:textId="77777777" w:rsidR="006436C8" w:rsidRPr="00685BB1" w:rsidRDefault="006436C8" w:rsidP="00685BB1">
      <w:pPr>
        <w:spacing w:line="360" w:lineRule="auto"/>
        <w:jc w:val="center"/>
        <w:rPr>
          <w:rFonts w:ascii="Arial" w:hAnsi="Arial" w:cs="Arial"/>
          <w:b/>
          <w:bCs/>
          <w:sz w:val="24"/>
          <w:szCs w:val="24"/>
        </w:rPr>
      </w:pPr>
      <w:r w:rsidRPr="00685BB1">
        <w:rPr>
          <w:rFonts w:ascii="Arial" w:hAnsi="Arial" w:cs="Arial"/>
          <w:b/>
          <w:bCs/>
          <w:sz w:val="24"/>
          <w:szCs w:val="24"/>
        </w:rPr>
        <w:t>Organisational Reputation</w:t>
      </w:r>
    </w:p>
    <w:p w14:paraId="303C3CF8" w14:textId="0574F6E3" w:rsidR="006436C8" w:rsidRPr="00E82738" w:rsidRDefault="00685BB1" w:rsidP="00E82738">
      <w:pPr>
        <w:spacing w:line="360" w:lineRule="auto"/>
        <w:jc w:val="both"/>
        <w:rPr>
          <w:rFonts w:ascii="Arial" w:hAnsi="Arial" w:cs="Arial"/>
          <w:sz w:val="24"/>
          <w:szCs w:val="24"/>
        </w:rPr>
      </w:pPr>
      <w:r>
        <w:rPr>
          <w:rFonts w:ascii="Arial" w:hAnsi="Arial" w:cs="Arial"/>
          <w:sz w:val="24"/>
          <w:szCs w:val="24"/>
        </w:rPr>
        <w:t xml:space="preserve">     </w:t>
      </w:r>
      <w:r w:rsidR="006436C8" w:rsidRPr="00E82738">
        <w:rPr>
          <w:rFonts w:ascii="Arial" w:hAnsi="Arial" w:cs="Arial"/>
          <w:sz w:val="24"/>
          <w:szCs w:val="24"/>
        </w:rPr>
        <w:t>The rising high employee turnover rates are associated with the deterioration and poor public relations at Courtyard by Marriott. According to Glassdoor's ranking, Marriott is one of the business organisations with the worst employee experiences. Employees are subjected to long working hours, and the remuneration needs to be commensurate with the assigned roles and responsibilities.</w:t>
      </w:r>
    </w:p>
    <w:p w14:paraId="06581A13" w14:textId="77777777" w:rsidR="003C2EDA" w:rsidRPr="00685BB1" w:rsidRDefault="003C2EDA" w:rsidP="00685BB1">
      <w:pPr>
        <w:spacing w:line="360" w:lineRule="auto"/>
        <w:jc w:val="center"/>
        <w:rPr>
          <w:rFonts w:ascii="Arial" w:hAnsi="Arial" w:cs="Arial"/>
          <w:b/>
          <w:bCs/>
          <w:sz w:val="24"/>
          <w:szCs w:val="24"/>
        </w:rPr>
      </w:pPr>
      <w:r w:rsidRPr="00685BB1">
        <w:rPr>
          <w:rFonts w:ascii="Arial" w:hAnsi="Arial" w:cs="Arial"/>
          <w:b/>
          <w:bCs/>
          <w:sz w:val="24"/>
          <w:szCs w:val="24"/>
        </w:rPr>
        <w:t>Scope</w:t>
      </w:r>
    </w:p>
    <w:p w14:paraId="6CE49DB4" w14:textId="43423423" w:rsidR="003C2EDA" w:rsidRPr="00E82738" w:rsidRDefault="00685BB1" w:rsidP="00E82738">
      <w:pPr>
        <w:spacing w:line="360" w:lineRule="auto"/>
        <w:jc w:val="both"/>
        <w:rPr>
          <w:rFonts w:ascii="Arial" w:hAnsi="Arial" w:cs="Arial"/>
          <w:sz w:val="24"/>
          <w:szCs w:val="24"/>
        </w:rPr>
      </w:pPr>
      <w:r>
        <w:rPr>
          <w:rFonts w:ascii="Arial" w:hAnsi="Arial" w:cs="Arial"/>
          <w:sz w:val="24"/>
          <w:szCs w:val="24"/>
        </w:rPr>
        <w:t xml:space="preserve">     </w:t>
      </w:r>
      <w:r w:rsidR="003C2EDA" w:rsidRPr="00E82738">
        <w:rPr>
          <w:rFonts w:ascii="Arial" w:hAnsi="Arial" w:cs="Arial"/>
          <w:sz w:val="24"/>
          <w:szCs w:val="24"/>
        </w:rPr>
        <w:t xml:space="preserve">The identified organisational issue is a global issue affecting different business organisations in the hotel and tourism industry. Excellent management of the problem </w:t>
      </w:r>
      <w:r w:rsidR="003C2EDA" w:rsidRPr="00E82738">
        <w:rPr>
          <w:rFonts w:ascii="Arial" w:hAnsi="Arial" w:cs="Arial"/>
          <w:sz w:val="24"/>
          <w:szCs w:val="24"/>
        </w:rPr>
        <w:lastRenderedPageBreak/>
        <w:t>requires the adoption of research-based interventions. The hotel and tourism industry tends to be labour intensive, where the management of the firms takes a keen interest in training their team members and providing them with excellent welfare programs to improve the level of motivation and commitment among the team members (Joshi &amp; Sathe, 2021). Successful implementation of the best practices in managing human resources can be crucial to the success of the business organisation.</w:t>
      </w:r>
    </w:p>
    <w:p w14:paraId="3EC1FF31" w14:textId="77777777" w:rsidR="00495279" w:rsidRPr="00685BB1" w:rsidRDefault="00495279" w:rsidP="00685BB1">
      <w:pPr>
        <w:spacing w:line="360" w:lineRule="auto"/>
        <w:jc w:val="center"/>
        <w:rPr>
          <w:rFonts w:ascii="Arial" w:hAnsi="Arial" w:cs="Arial"/>
          <w:b/>
          <w:bCs/>
          <w:sz w:val="24"/>
          <w:szCs w:val="24"/>
        </w:rPr>
      </w:pPr>
      <w:r w:rsidRPr="00685BB1">
        <w:rPr>
          <w:rFonts w:ascii="Arial" w:hAnsi="Arial" w:cs="Arial"/>
          <w:b/>
          <w:bCs/>
          <w:sz w:val="24"/>
          <w:szCs w:val="24"/>
        </w:rPr>
        <w:t>PESTEL Analysis</w:t>
      </w:r>
    </w:p>
    <w:p w14:paraId="7E33643C" w14:textId="011C8D07" w:rsidR="00495279" w:rsidRPr="00E82738" w:rsidRDefault="00685BB1" w:rsidP="00E82738">
      <w:pPr>
        <w:spacing w:line="360" w:lineRule="auto"/>
        <w:jc w:val="both"/>
        <w:rPr>
          <w:rFonts w:ascii="Arial" w:hAnsi="Arial" w:cs="Arial"/>
          <w:sz w:val="24"/>
          <w:szCs w:val="24"/>
        </w:rPr>
      </w:pPr>
      <w:r>
        <w:rPr>
          <w:rFonts w:ascii="Arial" w:hAnsi="Arial" w:cs="Arial"/>
          <w:sz w:val="24"/>
          <w:szCs w:val="24"/>
        </w:rPr>
        <w:t xml:space="preserve">      </w:t>
      </w:r>
      <w:r w:rsidR="00495279" w:rsidRPr="00E82738">
        <w:rPr>
          <w:rFonts w:ascii="Arial" w:hAnsi="Arial" w:cs="Arial"/>
          <w:sz w:val="24"/>
          <w:szCs w:val="24"/>
        </w:rPr>
        <w:t>PESTLE (an abbreviation for political, economic, social, technological, environmental, and legal factors) is an essential strategic tool for analysing the business environment (Bamidele-Sadiq, et al., 2022; Henry, 2021). Courtyard by Marriott continues to experience high employee turnover intention and burnout. The following is a PESTEL analysis for the brand.</w:t>
      </w:r>
    </w:p>
    <w:p w14:paraId="5A451D18" w14:textId="77777777" w:rsidR="00422AA2" w:rsidRPr="00685BB1" w:rsidRDefault="00422AA2" w:rsidP="009514B8">
      <w:pPr>
        <w:spacing w:line="360" w:lineRule="auto"/>
        <w:rPr>
          <w:rFonts w:ascii="Arial" w:hAnsi="Arial" w:cs="Arial"/>
          <w:b/>
          <w:bCs/>
          <w:sz w:val="24"/>
          <w:szCs w:val="24"/>
        </w:rPr>
      </w:pPr>
      <w:r w:rsidRPr="00685BB1">
        <w:rPr>
          <w:rFonts w:ascii="Arial" w:hAnsi="Arial" w:cs="Arial"/>
          <w:b/>
          <w:bCs/>
          <w:sz w:val="24"/>
          <w:szCs w:val="24"/>
        </w:rPr>
        <w:t>Political Factors</w:t>
      </w:r>
    </w:p>
    <w:p w14:paraId="2879F604" w14:textId="2E16A6FE" w:rsidR="00422AA2" w:rsidRPr="00E82738" w:rsidRDefault="00685BB1" w:rsidP="00E82738">
      <w:pPr>
        <w:spacing w:line="360" w:lineRule="auto"/>
        <w:jc w:val="both"/>
        <w:rPr>
          <w:rFonts w:ascii="Arial" w:hAnsi="Arial" w:cs="Arial"/>
          <w:sz w:val="24"/>
          <w:szCs w:val="24"/>
        </w:rPr>
      </w:pPr>
      <w:r>
        <w:rPr>
          <w:rFonts w:ascii="Arial" w:hAnsi="Arial" w:cs="Arial"/>
          <w:sz w:val="24"/>
          <w:szCs w:val="24"/>
        </w:rPr>
        <w:t xml:space="preserve">     </w:t>
      </w:r>
      <w:r w:rsidR="00422AA2" w:rsidRPr="00E82738">
        <w:rPr>
          <w:rFonts w:ascii="Arial" w:hAnsi="Arial" w:cs="Arial"/>
          <w:sz w:val="24"/>
          <w:szCs w:val="24"/>
        </w:rPr>
        <w:t>Numerous political factors affect the operations of the business organisation. Government regulations, taxation, and trade policies are some of the factors affecting the management of Courtyard by Marriott. Frequent protests and boycotts resulting from the unionisation of its employees are critical issues facing the management. Thousands of workers at Courtyard by Marriott are agitating for safer worker conditions and better protections.</w:t>
      </w:r>
    </w:p>
    <w:p w14:paraId="69DFB830" w14:textId="77777777" w:rsidR="00422AA2" w:rsidRPr="00685BB1" w:rsidRDefault="00422AA2" w:rsidP="009514B8">
      <w:pPr>
        <w:spacing w:line="360" w:lineRule="auto"/>
        <w:rPr>
          <w:rFonts w:ascii="Arial" w:hAnsi="Arial" w:cs="Arial"/>
          <w:b/>
          <w:bCs/>
          <w:sz w:val="24"/>
          <w:szCs w:val="24"/>
        </w:rPr>
      </w:pPr>
      <w:r w:rsidRPr="00685BB1">
        <w:rPr>
          <w:rFonts w:ascii="Arial" w:hAnsi="Arial" w:cs="Arial"/>
          <w:b/>
          <w:bCs/>
          <w:sz w:val="24"/>
          <w:szCs w:val="24"/>
        </w:rPr>
        <w:t>Economic Factors</w:t>
      </w:r>
    </w:p>
    <w:p w14:paraId="46AA073E" w14:textId="0DE94B7F" w:rsidR="00422AA2" w:rsidRPr="00E82738" w:rsidRDefault="00685BB1" w:rsidP="00E82738">
      <w:pPr>
        <w:spacing w:line="360" w:lineRule="auto"/>
        <w:jc w:val="both"/>
        <w:rPr>
          <w:rFonts w:ascii="Arial" w:hAnsi="Arial" w:cs="Arial"/>
          <w:sz w:val="24"/>
          <w:szCs w:val="24"/>
        </w:rPr>
      </w:pPr>
      <w:r>
        <w:rPr>
          <w:rFonts w:ascii="Arial" w:hAnsi="Arial" w:cs="Arial"/>
          <w:sz w:val="24"/>
          <w:szCs w:val="24"/>
        </w:rPr>
        <w:t xml:space="preserve">     </w:t>
      </w:r>
      <w:r w:rsidR="00422AA2" w:rsidRPr="00E82738">
        <w:rPr>
          <w:rFonts w:ascii="Arial" w:hAnsi="Arial" w:cs="Arial"/>
          <w:sz w:val="24"/>
          <w:szCs w:val="24"/>
        </w:rPr>
        <w:t xml:space="preserve">The Company is affected by various economic factors, including increased competition in the labour market, inflationary tendencies, and interest rates. The outbreak of the coronavirus pandemic had a significant impact on critical business operations (Jenkins &amp; Williamson, 2015). Temporary hotel closure, reduced travel and hotel demand, and COVID-19 restrictive measures. The issuance of long-term debt consisted of approximately 65.1% of inflows in 2020. </w:t>
      </w:r>
    </w:p>
    <w:p w14:paraId="03E4AE64" w14:textId="77777777" w:rsidR="00422AA2" w:rsidRPr="00685BB1" w:rsidRDefault="00422AA2" w:rsidP="009514B8">
      <w:pPr>
        <w:spacing w:line="360" w:lineRule="auto"/>
        <w:rPr>
          <w:rFonts w:ascii="Arial" w:hAnsi="Arial" w:cs="Arial"/>
          <w:b/>
          <w:bCs/>
          <w:sz w:val="24"/>
          <w:szCs w:val="24"/>
        </w:rPr>
      </w:pPr>
      <w:r w:rsidRPr="00685BB1">
        <w:rPr>
          <w:rFonts w:ascii="Arial" w:hAnsi="Arial" w:cs="Arial"/>
          <w:b/>
          <w:bCs/>
          <w:sz w:val="24"/>
          <w:szCs w:val="24"/>
        </w:rPr>
        <w:t>Social Factors</w:t>
      </w:r>
    </w:p>
    <w:p w14:paraId="7702F623" w14:textId="4DBD2E56" w:rsidR="00422AA2" w:rsidRPr="00E82738" w:rsidRDefault="00685BB1" w:rsidP="00E82738">
      <w:pPr>
        <w:spacing w:line="360" w:lineRule="auto"/>
        <w:jc w:val="both"/>
        <w:rPr>
          <w:rFonts w:ascii="Arial" w:hAnsi="Arial" w:cs="Arial"/>
          <w:sz w:val="24"/>
          <w:szCs w:val="24"/>
        </w:rPr>
      </w:pPr>
      <w:r>
        <w:rPr>
          <w:rFonts w:ascii="Arial" w:hAnsi="Arial" w:cs="Arial"/>
          <w:sz w:val="24"/>
          <w:szCs w:val="24"/>
        </w:rPr>
        <w:t xml:space="preserve">     </w:t>
      </w:r>
      <w:r w:rsidR="00422AA2" w:rsidRPr="00E82738">
        <w:rPr>
          <w:rFonts w:ascii="Arial" w:hAnsi="Arial" w:cs="Arial"/>
          <w:sz w:val="24"/>
          <w:szCs w:val="24"/>
        </w:rPr>
        <w:t xml:space="preserve">Various social factors, such as cultural values and beliefs, including demographic changes, impact Courtyard by Marriott. The management focuses on addressing the needs of the millennials—more health-conscious than the previous generation. The </w:t>
      </w:r>
      <w:r w:rsidR="00683C25">
        <w:rPr>
          <w:rFonts w:ascii="Arial" w:hAnsi="Arial" w:cs="Arial"/>
          <w:sz w:val="24"/>
          <w:szCs w:val="24"/>
        </w:rPr>
        <w:t xml:space="preserve">       </w:t>
      </w:r>
      <w:r w:rsidR="00422AA2" w:rsidRPr="00E82738">
        <w:rPr>
          <w:rFonts w:ascii="Arial" w:hAnsi="Arial" w:cs="Arial"/>
          <w:sz w:val="24"/>
          <w:szCs w:val="24"/>
        </w:rPr>
        <w:lastRenderedPageBreak/>
        <w:t xml:space="preserve">Company is pressured to improve its human resource management practices in conformity with international practices. The business has remained mindful of social attitudes and sensitives by implementing policies to establish an inclusive and conducive workplace for all employees irrespective of race, gender, </w:t>
      </w:r>
      <w:r w:rsidR="002A70ED" w:rsidRPr="00E82738">
        <w:rPr>
          <w:rFonts w:ascii="Arial" w:hAnsi="Arial" w:cs="Arial"/>
          <w:sz w:val="24"/>
          <w:szCs w:val="24"/>
        </w:rPr>
        <w:t>ethnicity,</w:t>
      </w:r>
      <w:r w:rsidR="00422AA2" w:rsidRPr="00E82738">
        <w:rPr>
          <w:rFonts w:ascii="Arial" w:hAnsi="Arial" w:cs="Arial"/>
          <w:sz w:val="24"/>
          <w:szCs w:val="24"/>
        </w:rPr>
        <w:t xml:space="preserve"> or sexual orientation. </w:t>
      </w:r>
    </w:p>
    <w:p w14:paraId="6B6CD8AA" w14:textId="47A98551" w:rsidR="00495279" w:rsidRPr="00683C25" w:rsidRDefault="00422AA2" w:rsidP="009514B8">
      <w:pPr>
        <w:spacing w:line="360" w:lineRule="auto"/>
        <w:rPr>
          <w:rFonts w:ascii="Arial" w:hAnsi="Arial" w:cs="Arial"/>
          <w:b/>
          <w:bCs/>
          <w:sz w:val="24"/>
          <w:szCs w:val="24"/>
        </w:rPr>
      </w:pPr>
      <w:r w:rsidRPr="00683C25">
        <w:rPr>
          <w:rFonts w:ascii="Arial" w:hAnsi="Arial" w:cs="Arial"/>
          <w:b/>
          <w:bCs/>
          <w:sz w:val="24"/>
          <w:szCs w:val="24"/>
        </w:rPr>
        <w:t>Technological Factors</w:t>
      </w:r>
    </w:p>
    <w:p w14:paraId="6BBEE52A" w14:textId="51E4310C" w:rsidR="00140BCF" w:rsidRPr="00E82738" w:rsidRDefault="009514B8" w:rsidP="00E82738">
      <w:pPr>
        <w:spacing w:line="360" w:lineRule="auto"/>
        <w:jc w:val="both"/>
        <w:rPr>
          <w:rFonts w:ascii="Arial" w:hAnsi="Arial" w:cs="Arial"/>
          <w:sz w:val="24"/>
          <w:szCs w:val="24"/>
        </w:rPr>
      </w:pPr>
      <w:r>
        <w:rPr>
          <w:rFonts w:ascii="Arial" w:hAnsi="Arial" w:cs="Arial"/>
          <w:sz w:val="24"/>
          <w:szCs w:val="24"/>
        </w:rPr>
        <w:t xml:space="preserve">     </w:t>
      </w:r>
      <w:r w:rsidR="00140BCF" w:rsidRPr="00E82738">
        <w:rPr>
          <w:rFonts w:ascii="Arial" w:hAnsi="Arial" w:cs="Arial"/>
          <w:sz w:val="24"/>
          <w:szCs w:val="24"/>
        </w:rPr>
        <w:t xml:space="preserve">Rapid technological advancement has far-reaching implications for the overall management of business organisations. The Company leverages modern technologies to improve customer experience and attain more personalised interventions. The business organisation has been focusing on implementing artificial intelligence and other digital transformations to improve the management of various operations significantly. </w:t>
      </w:r>
    </w:p>
    <w:p w14:paraId="156A7AAA" w14:textId="77777777" w:rsidR="00140BCF" w:rsidRPr="009514B8" w:rsidRDefault="00140BCF" w:rsidP="00E82738">
      <w:pPr>
        <w:spacing w:line="360" w:lineRule="auto"/>
        <w:jc w:val="both"/>
        <w:rPr>
          <w:rFonts w:ascii="Arial" w:hAnsi="Arial" w:cs="Arial"/>
          <w:b/>
          <w:bCs/>
          <w:sz w:val="24"/>
          <w:szCs w:val="24"/>
        </w:rPr>
      </w:pPr>
      <w:r w:rsidRPr="009514B8">
        <w:rPr>
          <w:rFonts w:ascii="Arial" w:hAnsi="Arial" w:cs="Arial"/>
          <w:b/>
          <w:bCs/>
          <w:sz w:val="24"/>
          <w:szCs w:val="24"/>
        </w:rPr>
        <w:t>Environmental Factors</w:t>
      </w:r>
    </w:p>
    <w:p w14:paraId="30F08FB8" w14:textId="0E20EF32" w:rsidR="00140BCF" w:rsidRPr="00E82738" w:rsidRDefault="009514B8" w:rsidP="00E82738">
      <w:pPr>
        <w:spacing w:line="360" w:lineRule="auto"/>
        <w:jc w:val="both"/>
        <w:rPr>
          <w:rFonts w:ascii="Arial" w:hAnsi="Arial" w:cs="Arial"/>
          <w:sz w:val="24"/>
          <w:szCs w:val="24"/>
        </w:rPr>
      </w:pPr>
      <w:r>
        <w:rPr>
          <w:rFonts w:ascii="Arial" w:hAnsi="Arial" w:cs="Arial"/>
          <w:sz w:val="24"/>
          <w:szCs w:val="24"/>
        </w:rPr>
        <w:t xml:space="preserve">      </w:t>
      </w:r>
      <w:r w:rsidR="00140BCF" w:rsidRPr="00E82738">
        <w:rPr>
          <w:rFonts w:ascii="Arial" w:hAnsi="Arial" w:cs="Arial"/>
          <w:sz w:val="24"/>
          <w:szCs w:val="24"/>
        </w:rPr>
        <w:t>Courtyard by Marriott is affected by various elements of environmental factors. Pollution, resource scarcity, and climate change are some of the critical environmental concerns. The business organisation faces increased pressure to address perceived environmental contamination from its production activities. However, the management of the Company released a detailed report on its plans to address the environmental impact associated with the production activities.</w:t>
      </w:r>
    </w:p>
    <w:p w14:paraId="17C65605" w14:textId="77777777" w:rsidR="00140BCF" w:rsidRPr="009514B8" w:rsidRDefault="00140BCF" w:rsidP="00E82738">
      <w:pPr>
        <w:spacing w:line="360" w:lineRule="auto"/>
        <w:jc w:val="both"/>
        <w:rPr>
          <w:rFonts w:ascii="Arial" w:hAnsi="Arial" w:cs="Arial"/>
          <w:b/>
          <w:bCs/>
          <w:sz w:val="24"/>
          <w:szCs w:val="24"/>
        </w:rPr>
      </w:pPr>
      <w:r w:rsidRPr="009514B8">
        <w:rPr>
          <w:rFonts w:ascii="Arial" w:hAnsi="Arial" w:cs="Arial"/>
          <w:b/>
          <w:bCs/>
          <w:sz w:val="24"/>
          <w:szCs w:val="24"/>
        </w:rPr>
        <w:t>Legal Issues</w:t>
      </w:r>
    </w:p>
    <w:p w14:paraId="2EDEBEEE" w14:textId="4472C6D2" w:rsidR="00140BCF" w:rsidRDefault="009514B8" w:rsidP="00E82738">
      <w:pPr>
        <w:spacing w:line="360" w:lineRule="auto"/>
        <w:jc w:val="both"/>
        <w:rPr>
          <w:rFonts w:ascii="Arial" w:hAnsi="Arial" w:cs="Arial"/>
          <w:sz w:val="24"/>
          <w:szCs w:val="24"/>
        </w:rPr>
      </w:pPr>
      <w:r>
        <w:rPr>
          <w:rFonts w:ascii="Arial" w:hAnsi="Arial" w:cs="Arial"/>
          <w:sz w:val="24"/>
          <w:szCs w:val="24"/>
        </w:rPr>
        <w:t xml:space="preserve">     </w:t>
      </w:r>
      <w:r w:rsidR="00140BCF" w:rsidRPr="00E82738">
        <w:rPr>
          <w:rFonts w:ascii="Arial" w:hAnsi="Arial" w:cs="Arial"/>
          <w:sz w:val="24"/>
          <w:szCs w:val="24"/>
        </w:rPr>
        <w:t xml:space="preserve">Legal factors have a significant impact on managing human resources. Labour regulations are some of the critical issues affecting the management of human resources (Statute &amp; Statute, 2023). Courtyard by Marriott has been sued in Pennsylvania Eastern District Court over perceived violations of the provisions of the Americans with Disability Act (ADA) in its dealing with people with physical disabilities (Madera et al., 2023). </w:t>
      </w:r>
    </w:p>
    <w:p w14:paraId="378A3911" w14:textId="77777777" w:rsidR="009514B8" w:rsidRPr="00E82738" w:rsidRDefault="009514B8" w:rsidP="00E82738">
      <w:pPr>
        <w:spacing w:line="360" w:lineRule="auto"/>
        <w:jc w:val="both"/>
        <w:rPr>
          <w:rFonts w:ascii="Arial" w:hAnsi="Arial" w:cs="Arial"/>
          <w:sz w:val="24"/>
          <w:szCs w:val="24"/>
        </w:rPr>
      </w:pPr>
    </w:p>
    <w:p w14:paraId="324F8462" w14:textId="02425137" w:rsidR="00140BCF" w:rsidRDefault="00140BCF" w:rsidP="009514B8">
      <w:pPr>
        <w:spacing w:line="360" w:lineRule="auto"/>
        <w:jc w:val="center"/>
        <w:rPr>
          <w:rFonts w:ascii="Arial" w:hAnsi="Arial" w:cs="Arial"/>
          <w:b/>
          <w:bCs/>
          <w:sz w:val="24"/>
          <w:szCs w:val="24"/>
        </w:rPr>
      </w:pPr>
      <w:r w:rsidRPr="009514B8">
        <w:rPr>
          <w:rFonts w:ascii="Arial" w:hAnsi="Arial" w:cs="Arial"/>
          <w:b/>
          <w:bCs/>
          <w:sz w:val="24"/>
          <w:szCs w:val="24"/>
        </w:rPr>
        <w:t>SWOT Analysis</w:t>
      </w:r>
    </w:p>
    <w:p w14:paraId="398692DC" w14:textId="77777777" w:rsidR="009514B8" w:rsidRPr="009514B8" w:rsidRDefault="009514B8" w:rsidP="009514B8">
      <w:pPr>
        <w:spacing w:line="360" w:lineRule="auto"/>
        <w:jc w:val="center"/>
        <w:rPr>
          <w:rFonts w:ascii="Arial" w:hAnsi="Arial" w:cs="Arial"/>
          <w:b/>
          <w:bCs/>
          <w:sz w:val="24"/>
          <w:szCs w:val="24"/>
        </w:rPr>
      </w:pPr>
    </w:p>
    <w:p w14:paraId="2F9667DD" w14:textId="77777777" w:rsidR="00140BCF" w:rsidRPr="009514B8" w:rsidRDefault="00140BCF" w:rsidP="00E82738">
      <w:pPr>
        <w:spacing w:line="360" w:lineRule="auto"/>
        <w:jc w:val="both"/>
        <w:rPr>
          <w:rFonts w:ascii="Arial" w:hAnsi="Arial" w:cs="Arial"/>
          <w:b/>
          <w:bCs/>
          <w:sz w:val="24"/>
          <w:szCs w:val="24"/>
        </w:rPr>
      </w:pPr>
      <w:r w:rsidRPr="009514B8">
        <w:rPr>
          <w:rFonts w:ascii="Arial" w:hAnsi="Arial" w:cs="Arial"/>
          <w:b/>
          <w:bCs/>
          <w:sz w:val="24"/>
          <w:szCs w:val="24"/>
        </w:rPr>
        <w:t xml:space="preserve">Strengths </w:t>
      </w:r>
    </w:p>
    <w:p w14:paraId="381B4EF8" w14:textId="7777777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lastRenderedPageBreak/>
        <w:t>•</w:t>
      </w:r>
      <w:r w:rsidRPr="00E82738">
        <w:rPr>
          <w:rFonts w:ascii="Arial" w:hAnsi="Arial" w:cs="Arial"/>
          <w:sz w:val="24"/>
          <w:szCs w:val="24"/>
        </w:rPr>
        <w:tab/>
        <w:t>Courtyard by Marriott enjoys a global presence with more than 7000 properties in different countries across the globe, giving the business organisation a competitive edge in brand recognition.</w:t>
      </w:r>
    </w:p>
    <w:p w14:paraId="0AB15717" w14:textId="7777777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business company has a loyalty program, dubbed Bonvoy, with more than 140 million members. The program has been instrumental in customer retention. </w:t>
      </w:r>
    </w:p>
    <w:p w14:paraId="5066BC69" w14:textId="7777777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Marriot International, Inc. also has an impressive track record of financial performance, with consistent growth in revenues and earnings. </w:t>
      </w:r>
    </w:p>
    <w:p w14:paraId="1056E4AF" w14:textId="77777777" w:rsidR="00140BCF"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business company has a strong portfolio of hotel brands—Ritz, Carlton, and Marriott. </w:t>
      </w:r>
    </w:p>
    <w:p w14:paraId="49284DC2" w14:textId="77777777" w:rsidR="009F5E8C" w:rsidRPr="00E82738" w:rsidRDefault="009F5E8C" w:rsidP="00E82738">
      <w:pPr>
        <w:spacing w:line="360" w:lineRule="auto"/>
        <w:jc w:val="both"/>
        <w:rPr>
          <w:rFonts w:ascii="Arial" w:hAnsi="Arial" w:cs="Arial"/>
          <w:sz w:val="24"/>
          <w:szCs w:val="24"/>
        </w:rPr>
      </w:pPr>
    </w:p>
    <w:p w14:paraId="708FCD8F" w14:textId="77777777" w:rsidR="00140BCF" w:rsidRPr="009F5E8C" w:rsidRDefault="00140BCF" w:rsidP="00E82738">
      <w:pPr>
        <w:spacing w:line="360" w:lineRule="auto"/>
        <w:jc w:val="both"/>
        <w:rPr>
          <w:rFonts w:ascii="Arial" w:hAnsi="Arial" w:cs="Arial"/>
          <w:b/>
          <w:bCs/>
          <w:sz w:val="24"/>
          <w:szCs w:val="24"/>
        </w:rPr>
      </w:pPr>
      <w:r w:rsidRPr="009F5E8C">
        <w:rPr>
          <w:rFonts w:ascii="Arial" w:hAnsi="Arial" w:cs="Arial"/>
          <w:b/>
          <w:bCs/>
          <w:sz w:val="24"/>
          <w:szCs w:val="24"/>
        </w:rPr>
        <w:t xml:space="preserve">Weaknesses </w:t>
      </w:r>
    </w:p>
    <w:p w14:paraId="57CDEBCC" w14:textId="7777777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Company's ineffective data protection exposes customers to potential data breaches. In 2018, the guest reservation database of Marriott's Starwood was hacked, exposing more than 500 million personal data. </w:t>
      </w:r>
    </w:p>
    <w:p w14:paraId="11DBCCE6" w14:textId="7777777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Courtyard by Marriott is positioned as a family-oriented business from market position to management, while the future of the hotel and tourism sector is focusing on young single millennials.</w:t>
      </w:r>
    </w:p>
    <w:p w14:paraId="38505A96" w14:textId="7777777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Company has been experiencing negative publicity due to alleged violations of labour laws, especially the ADA provisions. </w:t>
      </w:r>
    </w:p>
    <w:p w14:paraId="7DB00DD2" w14:textId="00839FF2"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Frequent civil lawsuits have always portrayed the Company in a negative light. The Company was fined </w:t>
      </w:r>
      <w:r w:rsidR="009F5E8C">
        <w:rPr>
          <w:rFonts w:ascii="Arial" w:hAnsi="Arial" w:cs="Arial"/>
          <w:sz w:val="24"/>
          <w:szCs w:val="24"/>
        </w:rPr>
        <w:t>£</w:t>
      </w:r>
      <w:r w:rsidRPr="00E82738">
        <w:rPr>
          <w:rFonts w:ascii="Arial" w:hAnsi="Arial" w:cs="Arial"/>
          <w:sz w:val="24"/>
          <w:szCs w:val="24"/>
        </w:rPr>
        <w:t xml:space="preserve">600000 in fine after blocking the customer's personal WI-FI, citing security concerns. </w:t>
      </w:r>
    </w:p>
    <w:p w14:paraId="660F2F9E" w14:textId="77777777" w:rsidR="00140BCF"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Lack of adequate staff training programs. </w:t>
      </w:r>
    </w:p>
    <w:p w14:paraId="023E849F" w14:textId="77777777" w:rsidR="009F5E8C" w:rsidRPr="00E82738" w:rsidRDefault="009F5E8C" w:rsidP="00E82738">
      <w:pPr>
        <w:spacing w:line="360" w:lineRule="auto"/>
        <w:jc w:val="both"/>
        <w:rPr>
          <w:rFonts w:ascii="Arial" w:hAnsi="Arial" w:cs="Arial"/>
          <w:sz w:val="24"/>
          <w:szCs w:val="24"/>
        </w:rPr>
      </w:pPr>
    </w:p>
    <w:p w14:paraId="6FA2A3D3" w14:textId="77777777" w:rsidR="00140BCF" w:rsidRPr="009F5E8C" w:rsidRDefault="00140BCF" w:rsidP="00E82738">
      <w:pPr>
        <w:spacing w:line="360" w:lineRule="auto"/>
        <w:jc w:val="both"/>
        <w:rPr>
          <w:rFonts w:ascii="Arial" w:hAnsi="Arial" w:cs="Arial"/>
          <w:b/>
          <w:bCs/>
          <w:sz w:val="24"/>
          <w:szCs w:val="24"/>
        </w:rPr>
      </w:pPr>
      <w:r w:rsidRPr="009F5E8C">
        <w:rPr>
          <w:rFonts w:ascii="Arial" w:hAnsi="Arial" w:cs="Arial"/>
          <w:b/>
          <w:bCs/>
          <w:sz w:val="24"/>
          <w:szCs w:val="24"/>
        </w:rPr>
        <w:t>Opportunities</w:t>
      </w:r>
    </w:p>
    <w:p w14:paraId="049ED035" w14:textId="4D73D747" w:rsidR="00140BCF" w:rsidRPr="00E82738" w:rsidRDefault="00140BCF"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Changes in demographics are forcing the business organisation to position itself as a youthful brand to align with the changes in millennials.</w:t>
      </w:r>
    </w:p>
    <w:p w14:paraId="2926A439" w14:textId="77777777" w:rsidR="000978B2"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lastRenderedPageBreak/>
        <w:t>•</w:t>
      </w:r>
      <w:r w:rsidRPr="00E82738">
        <w:rPr>
          <w:rFonts w:ascii="Arial" w:hAnsi="Arial" w:cs="Arial"/>
          <w:sz w:val="24"/>
          <w:szCs w:val="24"/>
        </w:rPr>
        <w:tab/>
        <w:t xml:space="preserve">The demand for hospitality services has grown in developing countries, presenting a lucrative opportunity for the hotel. </w:t>
      </w:r>
    </w:p>
    <w:p w14:paraId="4A76D88D" w14:textId="77777777" w:rsidR="000978B2"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management can expand the business service line by providing additional services, such as tourism and houses for hire, such as Airbnb. </w:t>
      </w:r>
    </w:p>
    <w:p w14:paraId="4C5E7BC1" w14:textId="77777777" w:rsidR="000978B2"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Healthy economic growth since 2010 due to the competitive advantage the Company enjoys based on its brand positioning. </w:t>
      </w:r>
    </w:p>
    <w:p w14:paraId="74E2E4A7" w14:textId="77777777" w:rsidR="009F5E8C" w:rsidRPr="00E82738" w:rsidRDefault="009F5E8C" w:rsidP="00E82738">
      <w:pPr>
        <w:spacing w:line="360" w:lineRule="auto"/>
        <w:jc w:val="both"/>
        <w:rPr>
          <w:rFonts w:ascii="Arial" w:hAnsi="Arial" w:cs="Arial"/>
          <w:sz w:val="24"/>
          <w:szCs w:val="24"/>
        </w:rPr>
      </w:pPr>
    </w:p>
    <w:p w14:paraId="5FBE6F7B" w14:textId="77777777" w:rsidR="000978B2" w:rsidRPr="009F5E8C" w:rsidRDefault="000978B2" w:rsidP="00E82738">
      <w:pPr>
        <w:spacing w:line="360" w:lineRule="auto"/>
        <w:jc w:val="both"/>
        <w:rPr>
          <w:rFonts w:ascii="Arial" w:hAnsi="Arial" w:cs="Arial"/>
          <w:b/>
          <w:bCs/>
          <w:sz w:val="24"/>
          <w:szCs w:val="24"/>
        </w:rPr>
      </w:pPr>
      <w:r w:rsidRPr="009F5E8C">
        <w:rPr>
          <w:rFonts w:ascii="Arial" w:hAnsi="Arial" w:cs="Arial"/>
          <w:b/>
          <w:bCs/>
          <w:sz w:val="24"/>
          <w:szCs w:val="24"/>
        </w:rPr>
        <w:t>Threats</w:t>
      </w:r>
    </w:p>
    <w:p w14:paraId="27C7AFC1" w14:textId="77777777" w:rsidR="000978B2"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Pressure from labour unions, especially on the adherence to existing legal frameworks such as ADA provisions. </w:t>
      </w:r>
    </w:p>
    <w:p w14:paraId="32AE526F" w14:textId="77777777" w:rsidR="000978B2"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hotel and tourism sectors are associated with stiff competition, especially from well-established brands such as Hilton and Novotel. </w:t>
      </w:r>
    </w:p>
    <w:p w14:paraId="649D4590" w14:textId="77777777" w:rsidR="000978B2"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Potential risks of terror activities as the business attracts customers from various nationalities, including terror groups. </w:t>
      </w:r>
    </w:p>
    <w:p w14:paraId="00828BF8" w14:textId="77777777" w:rsidR="000978B2"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global recession is a tremendous risk to the future industry's further growth due to many factors, such as the devasting impact of the COVID-19 pandemic. </w:t>
      </w:r>
    </w:p>
    <w:p w14:paraId="05F1152B" w14:textId="2B4056BA" w:rsidR="00140BCF" w:rsidRPr="00E82738" w:rsidRDefault="000978B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Rise in cost of technological investments.</w:t>
      </w:r>
    </w:p>
    <w:p w14:paraId="66B28579" w14:textId="3CA808F0" w:rsidR="000978B2" w:rsidRDefault="00027C25" w:rsidP="00027C25">
      <w:pPr>
        <w:spacing w:line="360" w:lineRule="auto"/>
        <w:jc w:val="center"/>
        <w:rPr>
          <w:rFonts w:ascii="Arial" w:hAnsi="Arial" w:cs="Arial"/>
          <w:b/>
          <w:bCs/>
          <w:sz w:val="24"/>
          <w:szCs w:val="24"/>
        </w:rPr>
      </w:pPr>
      <w:r w:rsidRPr="00027C25">
        <w:rPr>
          <w:rFonts w:ascii="Arial" w:hAnsi="Arial" w:cs="Arial"/>
          <w:b/>
          <w:bCs/>
          <w:sz w:val="24"/>
          <w:szCs w:val="24"/>
        </w:rPr>
        <w:t>TOW Analysis</w:t>
      </w:r>
    </w:p>
    <w:p w14:paraId="5DEE7283" w14:textId="7D098FC2" w:rsidR="00027C25" w:rsidRDefault="003059D8" w:rsidP="003059D8">
      <w:pPr>
        <w:spacing w:line="360" w:lineRule="auto"/>
        <w:rPr>
          <w:rFonts w:ascii="Arial" w:hAnsi="Arial" w:cs="Arial"/>
          <w:b/>
          <w:bCs/>
          <w:sz w:val="24"/>
          <w:szCs w:val="24"/>
        </w:rPr>
      </w:pPr>
      <w:r w:rsidRPr="003059D8">
        <w:rPr>
          <w:rFonts w:ascii="Arial" w:hAnsi="Arial" w:cs="Arial"/>
          <w:b/>
          <w:bCs/>
          <w:sz w:val="24"/>
          <w:szCs w:val="24"/>
        </w:rPr>
        <w:t>Table 2: TOW Analysis</w:t>
      </w:r>
    </w:p>
    <w:tbl>
      <w:tblPr>
        <w:tblStyle w:val="TableGrid"/>
        <w:tblW w:w="5000" w:type="pct"/>
        <w:tblLook w:val="04A0" w:firstRow="1" w:lastRow="0" w:firstColumn="1" w:lastColumn="0" w:noHBand="0" w:noVBand="1"/>
      </w:tblPr>
      <w:tblGrid>
        <w:gridCol w:w="2793"/>
        <w:gridCol w:w="2921"/>
        <w:gridCol w:w="3302"/>
      </w:tblGrid>
      <w:tr w:rsidR="007765A1" w:rsidRPr="007765A1" w14:paraId="094924EA" w14:textId="77777777" w:rsidTr="00DD54C5">
        <w:tc>
          <w:tcPr>
            <w:tcW w:w="1549" w:type="pct"/>
            <w:tcBorders>
              <w:tl2br w:val="single" w:sz="4" w:space="0" w:color="auto"/>
            </w:tcBorders>
            <w:shd w:val="clear" w:color="auto" w:fill="9CC2E5" w:themeFill="accent5" w:themeFillTint="99"/>
          </w:tcPr>
          <w:p w14:paraId="311196FF" w14:textId="77777777" w:rsidR="007765A1" w:rsidRPr="007765A1" w:rsidRDefault="007765A1" w:rsidP="007765A1">
            <w:pPr>
              <w:spacing w:after="160" w:line="360" w:lineRule="auto"/>
              <w:jc w:val="both"/>
              <w:rPr>
                <w:rFonts w:ascii="Arial" w:hAnsi="Arial" w:cs="Arial"/>
                <w:sz w:val="24"/>
                <w:szCs w:val="24"/>
              </w:rPr>
            </w:pPr>
            <w:r w:rsidRPr="007765A1">
              <w:rPr>
                <w:rFonts w:ascii="Arial" w:hAnsi="Arial" w:cs="Arial"/>
                <w:sz w:val="24"/>
                <w:szCs w:val="24"/>
              </w:rPr>
              <w:t xml:space="preserve">                       Internal Factor</w:t>
            </w:r>
          </w:p>
          <w:p w14:paraId="0ADA90CD" w14:textId="77777777" w:rsidR="007765A1" w:rsidRPr="007765A1" w:rsidRDefault="007765A1" w:rsidP="007765A1">
            <w:pPr>
              <w:spacing w:after="160" w:line="360" w:lineRule="auto"/>
              <w:jc w:val="both"/>
              <w:rPr>
                <w:rFonts w:ascii="Arial" w:hAnsi="Arial" w:cs="Arial"/>
                <w:sz w:val="24"/>
                <w:szCs w:val="24"/>
              </w:rPr>
            </w:pPr>
          </w:p>
          <w:p w14:paraId="7DF1CBFB" w14:textId="77777777" w:rsidR="007765A1" w:rsidRPr="007765A1" w:rsidRDefault="007765A1" w:rsidP="007765A1">
            <w:pPr>
              <w:spacing w:after="160" w:line="360" w:lineRule="auto"/>
              <w:jc w:val="both"/>
              <w:rPr>
                <w:rFonts w:ascii="Arial" w:hAnsi="Arial" w:cs="Arial"/>
                <w:sz w:val="24"/>
                <w:szCs w:val="24"/>
              </w:rPr>
            </w:pPr>
          </w:p>
          <w:p w14:paraId="402B4F46" w14:textId="77777777" w:rsidR="007765A1" w:rsidRPr="007765A1" w:rsidRDefault="007765A1" w:rsidP="007765A1">
            <w:pPr>
              <w:spacing w:after="160" w:line="360" w:lineRule="auto"/>
              <w:jc w:val="both"/>
              <w:rPr>
                <w:rFonts w:ascii="Arial" w:hAnsi="Arial" w:cs="Arial"/>
                <w:sz w:val="24"/>
                <w:szCs w:val="24"/>
              </w:rPr>
            </w:pPr>
          </w:p>
          <w:p w14:paraId="588D0A44" w14:textId="77777777" w:rsidR="007765A1" w:rsidRPr="007765A1" w:rsidRDefault="007765A1" w:rsidP="007765A1">
            <w:pPr>
              <w:spacing w:after="160" w:line="360" w:lineRule="auto"/>
              <w:jc w:val="both"/>
              <w:rPr>
                <w:rFonts w:ascii="Arial" w:hAnsi="Arial" w:cs="Arial"/>
                <w:sz w:val="24"/>
                <w:szCs w:val="24"/>
              </w:rPr>
            </w:pPr>
          </w:p>
          <w:p w14:paraId="35CFCABD" w14:textId="77777777" w:rsidR="007765A1" w:rsidRPr="007765A1" w:rsidRDefault="007765A1" w:rsidP="007765A1">
            <w:pPr>
              <w:spacing w:after="160" w:line="360" w:lineRule="auto"/>
              <w:jc w:val="both"/>
              <w:rPr>
                <w:rFonts w:ascii="Arial" w:hAnsi="Arial" w:cs="Arial"/>
                <w:sz w:val="24"/>
                <w:szCs w:val="24"/>
              </w:rPr>
            </w:pPr>
          </w:p>
          <w:p w14:paraId="7FA18E0C" w14:textId="77777777" w:rsidR="007765A1" w:rsidRPr="007765A1" w:rsidRDefault="007765A1" w:rsidP="007765A1">
            <w:pPr>
              <w:spacing w:after="160" w:line="360" w:lineRule="auto"/>
              <w:jc w:val="both"/>
              <w:rPr>
                <w:rFonts w:ascii="Arial" w:hAnsi="Arial" w:cs="Arial"/>
                <w:sz w:val="24"/>
                <w:szCs w:val="24"/>
              </w:rPr>
            </w:pPr>
          </w:p>
          <w:p w14:paraId="73D356F2" w14:textId="77777777" w:rsidR="007765A1" w:rsidRPr="007765A1" w:rsidRDefault="007765A1" w:rsidP="007765A1">
            <w:pPr>
              <w:spacing w:after="160" w:line="360" w:lineRule="auto"/>
              <w:jc w:val="both"/>
              <w:rPr>
                <w:rFonts w:ascii="Arial" w:hAnsi="Arial" w:cs="Arial"/>
                <w:sz w:val="24"/>
                <w:szCs w:val="24"/>
              </w:rPr>
            </w:pPr>
          </w:p>
          <w:p w14:paraId="0DBB7409" w14:textId="77777777" w:rsidR="007765A1" w:rsidRPr="007765A1" w:rsidRDefault="007765A1" w:rsidP="007765A1">
            <w:pPr>
              <w:spacing w:after="160" w:line="360" w:lineRule="auto"/>
              <w:jc w:val="both"/>
              <w:rPr>
                <w:rFonts w:ascii="Arial" w:hAnsi="Arial" w:cs="Arial"/>
                <w:sz w:val="24"/>
                <w:szCs w:val="24"/>
              </w:rPr>
            </w:pPr>
          </w:p>
          <w:p w14:paraId="6B5F22F5" w14:textId="77777777" w:rsidR="007765A1" w:rsidRPr="007765A1" w:rsidRDefault="007765A1" w:rsidP="007765A1">
            <w:pPr>
              <w:spacing w:after="160" w:line="360" w:lineRule="auto"/>
              <w:jc w:val="both"/>
              <w:rPr>
                <w:rFonts w:ascii="Arial" w:hAnsi="Arial" w:cs="Arial"/>
                <w:sz w:val="24"/>
                <w:szCs w:val="24"/>
              </w:rPr>
            </w:pPr>
            <w:r w:rsidRPr="007765A1">
              <w:rPr>
                <w:rFonts w:ascii="Arial" w:hAnsi="Arial" w:cs="Arial"/>
                <w:sz w:val="24"/>
                <w:szCs w:val="24"/>
              </w:rPr>
              <w:t xml:space="preserve">External Factors </w:t>
            </w:r>
          </w:p>
        </w:tc>
        <w:tc>
          <w:tcPr>
            <w:tcW w:w="1620" w:type="pct"/>
            <w:shd w:val="clear" w:color="auto" w:fill="92D050"/>
          </w:tcPr>
          <w:p w14:paraId="3BCCF8DB" w14:textId="77777777" w:rsidR="007765A1" w:rsidRPr="007765A1" w:rsidRDefault="007765A1" w:rsidP="007765A1">
            <w:pPr>
              <w:spacing w:after="160" w:line="360" w:lineRule="auto"/>
              <w:rPr>
                <w:rFonts w:ascii="Arial" w:hAnsi="Arial" w:cs="Arial"/>
                <w:sz w:val="24"/>
                <w:szCs w:val="24"/>
              </w:rPr>
            </w:pPr>
            <w:r w:rsidRPr="007765A1">
              <w:rPr>
                <w:rFonts w:ascii="Arial" w:hAnsi="Arial" w:cs="Arial"/>
                <w:sz w:val="24"/>
                <w:szCs w:val="24"/>
              </w:rPr>
              <w:lastRenderedPageBreak/>
              <w:t>Strengths (S)</w:t>
            </w:r>
          </w:p>
          <w:p w14:paraId="4173BA1B" w14:textId="77777777" w:rsidR="007765A1" w:rsidRPr="007765A1" w:rsidRDefault="007765A1" w:rsidP="007765A1">
            <w:pPr>
              <w:numPr>
                <w:ilvl w:val="0"/>
                <w:numId w:val="6"/>
              </w:numPr>
              <w:spacing w:after="160" w:line="360" w:lineRule="auto"/>
              <w:rPr>
                <w:rFonts w:ascii="Arial" w:hAnsi="Arial" w:cs="Arial"/>
                <w:sz w:val="24"/>
                <w:szCs w:val="24"/>
              </w:rPr>
            </w:pPr>
            <w:r w:rsidRPr="007765A1">
              <w:rPr>
                <w:rFonts w:ascii="Arial" w:hAnsi="Arial" w:cs="Arial"/>
                <w:sz w:val="24"/>
                <w:szCs w:val="24"/>
              </w:rPr>
              <w:t xml:space="preserve">Strong brand recognition due to global presence. </w:t>
            </w:r>
          </w:p>
          <w:p w14:paraId="0FB781C4" w14:textId="77777777" w:rsidR="007765A1" w:rsidRPr="007765A1" w:rsidRDefault="007765A1" w:rsidP="007765A1">
            <w:pPr>
              <w:numPr>
                <w:ilvl w:val="0"/>
                <w:numId w:val="6"/>
              </w:numPr>
              <w:spacing w:after="160" w:line="360" w:lineRule="auto"/>
              <w:rPr>
                <w:rFonts w:ascii="Arial" w:hAnsi="Arial" w:cs="Arial"/>
                <w:sz w:val="24"/>
                <w:szCs w:val="24"/>
              </w:rPr>
            </w:pPr>
            <w:r w:rsidRPr="007765A1">
              <w:rPr>
                <w:rFonts w:ascii="Arial" w:hAnsi="Arial" w:cs="Arial"/>
                <w:sz w:val="24"/>
                <w:szCs w:val="24"/>
              </w:rPr>
              <w:t>Impressive track of financial performance</w:t>
            </w:r>
          </w:p>
          <w:p w14:paraId="0DF9FB85" w14:textId="77777777" w:rsidR="007765A1" w:rsidRPr="007765A1" w:rsidRDefault="007765A1" w:rsidP="007765A1">
            <w:pPr>
              <w:numPr>
                <w:ilvl w:val="0"/>
                <w:numId w:val="6"/>
              </w:numPr>
              <w:spacing w:after="160" w:line="360" w:lineRule="auto"/>
              <w:rPr>
                <w:rFonts w:ascii="Arial" w:hAnsi="Arial" w:cs="Arial"/>
                <w:sz w:val="24"/>
                <w:szCs w:val="24"/>
              </w:rPr>
            </w:pPr>
            <w:r w:rsidRPr="007765A1">
              <w:rPr>
                <w:rFonts w:ascii="Arial" w:hAnsi="Arial" w:cs="Arial"/>
                <w:sz w:val="24"/>
                <w:szCs w:val="24"/>
              </w:rPr>
              <w:lastRenderedPageBreak/>
              <w:t>Strong brand portfolios.</w:t>
            </w:r>
          </w:p>
          <w:p w14:paraId="4A32E373" w14:textId="2784DC25" w:rsidR="007765A1" w:rsidRPr="007765A1" w:rsidRDefault="007765A1" w:rsidP="007765A1">
            <w:pPr>
              <w:numPr>
                <w:ilvl w:val="0"/>
                <w:numId w:val="6"/>
              </w:numPr>
              <w:spacing w:after="160" w:line="360" w:lineRule="auto"/>
              <w:rPr>
                <w:rFonts w:ascii="Arial" w:hAnsi="Arial" w:cs="Arial"/>
                <w:sz w:val="24"/>
                <w:szCs w:val="24"/>
              </w:rPr>
            </w:pPr>
            <w:r w:rsidRPr="007765A1">
              <w:rPr>
                <w:rFonts w:ascii="Arial" w:hAnsi="Arial" w:cs="Arial"/>
                <w:sz w:val="24"/>
                <w:szCs w:val="24"/>
              </w:rPr>
              <w:t>Loyalty programs enhanc</w:t>
            </w:r>
            <w:r w:rsidR="007C6432">
              <w:rPr>
                <w:rFonts w:ascii="Arial" w:hAnsi="Arial" w:cs="Arial"/>
                <w:sz w:val="24"/>
                <w:szCs w:val="24"/>
              </w:rPr>
              <w:t>e</w:t>
            </w:r>
            <w:r w:rsidRPr="007765A1">
              <w:rPr>
                <w:rFonts w:ascii="Arial" w:hAnsi="Arial" w:cs="Arial"/>
                <w:sz w:val="24"/>
                <w:szCs w:val="24"/>
              </w:rPr>
              <w:t xml:space="preserve"> customer retention. </w:t>
            </w:r>
          </w:p>
        </w:tc>
        <w:tc>
          <w:tcPr>
            <w:tcW w:w="1831" w:type="pct"/>
            <w:shd w:val="clear" w:color="auto" w:fill="92D050"/>
          </w:tcPr>
          <w:p w14:paraId="1D4C8D38" w14:textId="77777777" w:rsidR="007765A1" w:rsidRPr="007765A1" w:rsidRDefault="007765A1" w:rsidP="007765A1">
            <w:pPr>
              <w:spacing w:after="160" w:line="360" w:lineRule="auto"/>
              <w:rPr>
                <w:rFonts w:ascii="Arial" w:hAnsi="Arial" w:cs="Arial"/>
                <w:sz w:val="24"/>
                <w:szCs w:val="24"/>
              </w:rPr>
            </w:pPr>
            <w:r w:rsidRPr="007765A1">
              <w:rPr>
                <w:rFonts w:ascii="Arial" w:hAnsi="Arial" w:cs="Arial"/>
                <w:sz w:val="24"/>
                <w:szCs w:val="24"/>
              </w:rPr>
              <w:lastRenderedPageBreak/>
              <w:t>Weaknesses (W)</w:t>
            </w:r>
          </w:p>
          <w:p w14:paraId="1CD25A0A" w14:textId="6C2DD816" w:rsidR="007765A1" w:rsidRPr="007765A1" w:rsidRDefault="007765A1" w:rsidP="007765A1">
            <w:pPr>
              <w:numPr>
                <w:ilvl w:val="0"/>
                <w:numId w:val="7"/>
              </w:numPr>
              <w:spacing w:after="160" w:line="360" w:lineRule="auto"/>
              <w:rPr>
                <w:rFonts w:ascii="Arial" w:hAnsi="Arial" w:cs="Arial"/>
                <w:sz w:val="24"/>
                <w:szCs w:val="24"/>
              </w:rPr>
            </w:pPr>
            <w:r w:rsidRPr="007765A1">
              <w:rPr>
                <w:rFonts w:ascii="Arial" w:hAnsi="Arial" w:cs="Arial"/>
                <w:sz w:val="24"/>
                <w:szCs w:val="24"/>
              </w:rPr>
              <w:t>Ineffective data protections expos</w:t>
            </w:r>
            <w:r w:rsidR="007C6432">
              <w:rPr>
                <w:rFonts w:ascii="Arial" w:hAnsi="Arial" w:cs="Arial"/>
                <w:sz w:val="24"/>
                <w:szCs w:val="24"/>
              </w:rPr>
              <w:t>e</w:t>
            </w:r>
            <w:r w:rsidRPr="007765A1">
              <w:rPr>
                <w:rFonts w:ascii="Arial" w:hAnsi="Arial" w:cs="Arial"/>
                <w:sz w:val="24"/>
                <w:szCs w:val="24"/>
              </w:rPr>
              <w:t xml:space="preserve"> customers to data breaches.</w:t>
            </w:r>
          </w:p>
          <w:p w14:paraId="4CD4EA0E" w14:textId="77777777" w:rsidR="007765A1" w:rsidRPr="007765A1" w:rsidRDefault="007765A1" w:rsidP="007765A1">
            <w:pPr>
              <w:numPr>
                <w:ilvl w:val="0"/>
                <w:numId w:val="7"/>
              </w:numPr>
              <w:spacing w:after="160" w:line="360" w:lineRule="auto"/>
              <w:rPr>
                <w:rFonts w:ascii="Arial" w:hAnsi="Arial" w:cs="Arial"/>
                <w:sz w:val="24"/>
                <w:szCs w:val="24"/>
              </w:rPr>
            </w:pPr>
            <w:r w:rsidRPr="007765A1">
              <w:rPr>
                <w:rFonts w:ascii="Arial" w:hAnsi="Arial" w:cs="Arial"/>
                <w:sz w:val="24"/>
                <w:szCs w:val="24"/>
              </w:rPr>
              <w:t>Lack of effective staff training programs.</w:t>
            </w:r>
          </w:p>
          <w:p w14:paraId="1F23EC4F" w14:textId="77777777" w:rsidR="007765A1" w:rsidRPr="007765A1" w:rsidRDefault="007765A1" w:rsidP="007765A1">
            <w:pPr>
              <w:numPr>
                <w:ilvl w:val="0"/>
                <w:numId w:val="7"/>
              </w:numPr>
              <w:spacing w:after="160" w:line="360" w:lineRule="auto"/>
              <w:rPr>
                <w:rFonts w:ascii="Arial" w:hAnsi="Arial" w:cs="Arial"/>
                <w:sz w:val="24"/>
                <w:szCs w:val="24"/>
              </w:rPr>
            </w:pPr>
            <w:r w:rsidRPr="007765A1">
              <w:rPr>
                <w:rFonts w:ascii="Arial" w:hAnsi="Arial" w:cs="Arial"/>
                <w:sz w:val="24"/>
                <w:szCs w:val="24"/>
              </w:rPr>
              <w:t xml:space="preserve">Frequent civil lawsuits. </w:t>
            </w:r>
          </w:p>
          <w:p w14:paraId="402D68A4" w14:textId="77777777" w:rsidR="007765A1" w:rsidRPr="007765A1" w:rsidRDefault="007765A1" w:rsidP="007765A1">
            <w:pPr>
              <w:numPr>
                <w:ilvl w:val="0"/>
                <w:numId w:val="7"/>
              </w:numPr>
              <w:spacing w:after="160" w:line="360" w:lineRule="auto"/>
              <w:rPr>
                <w:rFonts w:ascii="Arial" w:hAnsi="Arial" w:cs="Arial"/>
                <w:sz w:val="24"/>
                <w:szCs w:val="24"/>
              </w:rPr>
            </w:pPr>
            <w:r w:rsidRPr="007765A1">
              <w:rPr>
                <w:rFonts w:ascii="Arial" w:hAnsi="Arial" w:cs="Arial"/>
                <w:sz w:val="24"/>
                <w:szCs w:val="24"/>
              </w:rPr>
              <w:lastRenderedPageBreak/>
              <w:t>Negative publicity due to alleged violation of laws</w:t>
            </w:r>
          </w:p>
          <w:p w14:paraId="29144288" w14:textId="77777777" w:rsidR="007765A1" w:rsidRPr="007765A1" w:rsidRDefault="007765A1" w:rsidP="007765A1">
            <w:pPr>
              <w:numPr>
                <w:ilvl w:val="0"/>
                <w:numId w:val="7"/>
              </w:numPr>
              <w:spacing w:after="160" w:line="360" w:lineRule="auto"/>
              <w:rPr>
                <w:rFonts w:ascii="Arial" w:hAnsi="Arial" w:cs="Arial"/>
                <w:sz w:val="24"/>
                <w:szCs w:val="24"/>
              </w:rPr>
            </w:pPr>
            <w:r w:rsidRPr="007765A1">
              <w:rPr>
                <w:rFonts w:ascii="Arial" w:hAnsi="Arial" w:cs="Arial"/>
                <w:sz w:val="24"/>
                <w:szCs w:val="24"/>
              </w:rPr>
              <w:t>The business is positioned as a family-oriented business.</w:t>
            </w:r>
          </w:p>
        </w:tc>
      </w:tr>
      <w:tr w:rsidR="007765A1" w:rsidRPr="007765A1" w14:paraId="5A2B5388" w14:textId="77777777" w:rsidTr="00DD54C5">
        <w:tc>
          <w:tcPr>
            <w:tcW w:w="1549" w:type="pct"/>
            <w:shd w:val="clear" w:color="auto" w:fill="92D050"/>
          </w:tcPr>
          <w:p w14:paraId="5619DFC0" w14:textId="77777777" w:rsidR="007765A1" w:rsidRPr="007765A1" w:rsidRDefault="007765A1" w:rsidP="007765A1">
            <w:pPr>
              <w:spacing w:after="160" w:line="360" w:lineRule="auto"/>
              <w:jc w:val="both"/>
              <w:rPr>
                <w:rFonts w:ascii="Arial" w:hAnsi="Arial" w:cs="Arial"/>
                <w:sz w:val="24"/>
                <w:szCs w:val="24"/>
              </w:rPr>
            </w:pPr>
            <w:r w:rsidRPr="007765A1">
              <w:rPr>
                <w:rFonts w:ascii="Arial" w:hAnsi="Arial" w:cs="Arial"/>
                <w:sz w:val="24"/>
                <w:szCs w:val="24"/>
              </w:rPr>
              <w:lastRenderedPageBreak/>
              <w:t>Opportunities O)</w:t>
            </w:r>
          </w:p>
          <w:p w14:paraId="39A9B22D" w14:textId="77777777" w:rsidR="007765A1" w:rsidRPr="007765A1" w:rsidRDefault="007765A1" w:rsidP="007765A1">
            <w:pPr>
              <w:numPr>
                <w:ilvl w:val="0"/>
                <w:numId w:val="4"/>
              </w:numPr>
              <w:spacing w:after="160" w:line="360" w:lineRule="auto"/>
              <w:jc w:val="both"/>
              <w:rPr>
                <w:rFonts w:ascii="Arial" w:hAnsi="Arial" w:cs="Arial"/>
                <w:sz w:val="24"/>
                <w:szCs w:val="24"/>
              </w:rPr>
            </w:pPr>
            <w:r w:rsidRPr="007765A1">
              <w:rPr>
                <w:rFonts w:ascii="Arial" w:hAnsi="Arial" w:cs="Arial"/>
                <w:sz w:val="24"/>
                <w:szCs w:val="24"/>
              </w:rPr>
              <w:t xml:space="preserve">Rapid changes in demographics </w:t>
            </w:r>
          </w:p>
          <w:p w14:paraId="3E2531A1" w14:textId="77777777" w:rsidR="007765A1" w:rsidRPr="007765A1" w:rsidRDefault="007765A1" w:rsidP="007765A1">
            <w:pPr>
              <w:numPr>
                <w:ilvl w:val="0"/>
                <w:numId w:val="4"/>
              </w:numPr>
              <w:spacing w:after="160" w:line="360" w:lineRule="auto"/>
              <w:jc w:val="both"/>
              <w:rPr>
                <w:rFonts w:ascii="Arial" w:hAnsi="Arial" w:cs="Arial"/>
                <w:sz w:val="24"/>
                <w:szCs w:val="24"/>
              </w:rPr>
            </w:pPr>
            <w:r w:rsidRPr="007765A1">
              <w:rPr>
                <w:rFonts w:ascii="Arial" w:hAnsi="Arial" w:cs="Arial"/>
                <w:sz w:val="24"/>
                <w:szCs w:val="24"/>
              </w:rPr>
              <w:t>Rising demand for hospitality services.</w:t>
            </w:r>
          </w:p>
          <w:p w14:paraId="33EDB9B1" w14:textId="36836608" w:rsidR="007765A1" w:rsidRPr="007765A1" w:rsidRDefault="007765A1" w:rsidP="007765A1">
            <w:pPr>
              <w:numPr>
                <w:ilvl w:val="0"/>
                <w:numId w:val="4"/>
              </w:numPr>
              <w:spacing w:after="160" w:line="360" w:lineRule="auto"/>
              <w:jc w:val="both"/>
              <w:rPr>
                <w:rFonts w:ascii="Arial" w:hAnsi="Arial" w:cs="Arial"/>
                <w:sz w:val="24"/>
                <w:szCs w:val="24"/>
              </w:rPr>
            </w:pPr>
            <w:r w:rsidRPr="007765A1">
              <w:rPr>
                <w:rFonts w:ascii="Arial" w:hAnsi="Arial" w:cs="Arial"/>
                <w:sz w:val="24"/>
                <w:szCs w:val="24"/>
              </w:rPr>
              <w:t xml:space="preserve">Opportunity to expand the service line to hiring of houses such as </w:t>
            </w:r>
            <w:r w:rsidR="007027DD" w:rsidRPr="007765A1">
              <w:rPr>
                <w:rFonts w:ascii="Arial" w:hAnsi="Arial" w:cs="Arial"/>
                <w:sz w:val="24"/>
                <w:szCs w:val="24"/>
              </w:rPr>
              <w:t>Airbnb.</w:t>
            </w:r>
          </w:p>
          <w:p w14:paraId="41F98ABA" w14:textId="77777777" w:rsidR="007765A1" w:rsidRPr="007765A1" w:rsidRDefault="007765A1" w:rsidP="007765A1">
            <w:pPr>
              <w:numPr>
                <w:ilvl w:val="0"/>
                <w:numId w:val="4"/>
              </w:numPr>
              <w:spacing w:after="160" w:line="360" w:lineRule="auto"/>
              <w:jc w:val="both"/>
              <w:rPr>
                <w:rFonts w:ascii="Arial" w:hAnsi="Arial" w:cs="Arial"/>
                <w:sz w:val="24"/>
                <w:szCs w:val="24"/>
              </w:rPr>
            </w:pPr>
            <w:r w:rsidRPr="007765A1">
              <w:rPr>
                <w:rFonts w:ascii="Arial" w:hAnsi="Arial" w:cs="Arial"/>
                <w:sz w:val="24"/>
                <w:szCs w:val="24"/>
              </w:rPr>
              <w:t>Healthy economic growth since 2010.</w:t>
            </w:r>
          </w:p>
        </w:tc>
        <w:tc>
          <w:tcPr>
            <w:tcW w:w="1620" w:type="pct"/>
            <w:shd w:val="clear" w:color="auto" w:fill="FFC000" w:themeFill="accent4"/>
          </w:tcPr>
          <w:p w14:paraId="1D4BC9BB" w14:textId="77777777" w:rsidR="007765A1" w:rsidRPr="007765A1" w:rsidRDefault="007765A1" w:rsidP="007765A1">
            <w:pPr>
              <w:spacing w:after="160" w:line="360" w:lineRule="auto"/>
              <w:rPr>
                <w:rFonts w:ascii="Arial" w:hAnsi="Arial" w:cs="Arial"/>
                <w:sz w:val="24"/>
                <w:szCs w:val="24"/>
              </w:rPr>
            </w:pPr>
            <w:r w:rsidRPr="007765A1">
              <w:rPr>
                <w:rFonts w:ascii="Arial" w:hAnsi="Arial" w:cs="Arial"/>
                <w:sz w:val="24"/>
                <w:szCs w:val="24"/>
              </w:rPr>
              <w:t>(SO)</w:t>
            </w:r>
          </w:p>
          <w:p w14:paraId="7F86BB55" w14:textId="3D0413F2" w:rsidR="007765A1" w:rsidRPr="007765A1" w:rsidRDefault="007765A1" w:rsidP="007765A1">
            <w:pPr>
              <w:numPr>
                <w:ilvl w:val="0"/>
                <w:numId w:val="8"/>
              </w:numPr>
              <w:spacing w:after="160" w:line="360" w:lineRule="auto"/>
              <w:rPr>
                <w:rFonts w:ascii="Arial" w:hAnsi="Arial" w:cs="Arial"/>
                <w:sz w:val="24"/>
                <w:szCs w:val="24"/>
              </w:rPr>
            </w:pPr>
            <w:r w:rsidRPr="007765A1">
              <w:rPr>
                <w:rFonts w:ascii="Arial" w:hAnsi="Arial" w:cs="Arial"/>
                <w:sz w:val="24"/>
                <w:szCs w:val="24"/>
              </w:rPr>
              <w:t xml:space="preserve">Position the business to appeal to the millennial market segment. </w:t>
            </w:r>
          </w:p>
          <w:p w14:paraId="6ECDB91E" w14:textId="77777777" w:rsidR="007765A1" w:rsidRPr="007765A1" w:rsidRDefault="007765A1" w:rsidP="007765A1">
            <w:pPr>
              <w:numPr>
                <w:ilvl w:val="0"/>
                <w:numId w:val="8"/>
              </w:numPr>
              <w:spacing w:after="160" w:line="360" w:lineRule="auto"/>
              <w:rPr>
                <w:rFonts w:ascii="Arial" w:hAnsi="Arial" w:cs="Arial"/>
                <w:sz w:val="24"/>
                <w:szCs w:val="24"/>
              </w:rPr>
            </w:pPr>
            <w:r w:rsidRPr="007765A1">
              <w:rPr>
                <w:rFonts w:ascii="Arial" w:hAnsi="Arial" w:cs="Arial"/>
                <w:sz w:val="24"/>
                <w:szCs w:val="24"/>
              </w:rPr>
              <w:t xml:space="preserve">Expand the business operations in emerging markets. </w:t>
            </w:r>
          </w:p>
          <w:p w14:paraId="65439CDF" w14:textId="607DF936" w:rsidR="007765A1" w:rsidRPr="007765A1" w:rsidRDefault="007765A1" w:rsidP="007765A1">
            <w:pPr>
              <w:numPr>
                <w:ilvl w:val="0"/>
                <w:numId w:val="8"/>
              </w:numPr>
              <w:spacing w:after="160" w:line="360" w:lineRule="auto"/>
              <w:rPr>
                <w:rFonts w:ascii="Arial" w:hAnsi="Arial" w:cs="Arial"/>
                <w:sz w:val="24"/>
                <w:szCs w:val="24"/>
              </w:rPr>
            </w:pPr>
            <w:r w:rsidRPr="007765A1">
              <w:rPr>
                <w:rFonts w:ascii="Arial" w:hAnsi="Arial" w:cs="Arial"/>
                <w:sz w:val="24"/>
                <w:szCs w:val="24"/>
              </w:rPr>
              <w:t xml:space="preserve">Provide </w:t>
            </w:r>
            <w:r w:rsidR="007C6432">
              <w:rPr>
                <w:rFonts w:ascii="Arial" w:hAnsi="Arial" w:cs="Arial"/>
                <w:sz w:val="24"/>
                <w:szCs w:val="24"/>
              </w:rPr>
              <w:t xml:space="preserve">a </w:t>
            </w:r>
            <w:r w:rsidRPr="007765A1">
              <w:rPr>
                <w:rFonts w:ascii="Arial" w:hAnsi="Arial" w:cs="Arial"/>
                <w:sz w:val="24"/>
                <w:szCs w:val="24"/>
              </w:rPr>
              <w:t xml:space="preserve">conducive workplace to employees. </w:t>
            </w:r>
          </w:p>
          <w:p w14:paraId="6DE60348" w14:textId="77777777" w:rsidR="007765A1" w:rsidRPr="007765A1" w:rsidRDefault="007765A1" w:rsidP="007765A1">
            <w:pPr>
              <w:spacing w:after="160" w:line="360" w:lineRule="auto"/>
              <w:rPr>
                <w:rFonts w:ascii="Arial" w:hAnsi="Arial" w:cs="Arial"/>
                <w:sz w:val="24"/>
                <w:szCs w:val="24"/>
              </w:rPr>
            </w:pPr>
          </w:p>
        </w:tc>
        <w:tc>
          <w:tcPr>
            <w:tcW w:w="1831" w:type="pct"/>
            <w:shd w:val="clear" w:color="auto" w:fill="FFC000" w:themeFill="accent4"/>
          </w:tcPr>
          <w:p w14:paraId="2C18CD0E" w14:textId="77777777" w:rsidR="007765A1" w:rsidRPr="007765A1" w:rsidRDefault="007765A1" w:rsidP="007765A1">
            <w:pPr>
              <w:spacing w:after="160" w:line="360" w:lineRule="auto"/>
              <w:rPr>
                <w:rFonts w:ascii="Arial" w:hAnsi="Arial" w:cs="Arial"/>
                <w:sz w:val="24"/>
                <w:szCs w:val="24"/>
              </w:rPr>
            </w:pPr>
            <w:r w:rsidRPr="007765A1">
              <w:rPr>
                <w:rFonts w:ascii="Arial" w:hAnsi="Arial" w:cs="Arial"/>
                <w:sz w:val="24"/>
                <w:szCs w:val="24"/>
              </w:rPr>
              <w:t>(WO)</w:t>
            </w:r>
          </w:p>
          <w:p w14:paraId="4E7F5B24" w14:textId="77777777" w:rsidR="007765A1" w:rsidRPr="007765A1" w:rsidRDefault="007765A1" w:rsidP="007765A1">
            <w:pPr>
              <w:numPr>
                <w:ilvl w:val="0"/>
                <w:numId w:val="9"/>
              </w:numPr>
              <w:spacing w:after="160" w:line="360" w:lineRule="auto"/>
              <w:rPr>
                <w:rFonts w:ascii="Arial" w:hAnsi="Arial" w:cs="Arial"/>
                <w:sz w:val="24"/>
                <w:szCs w:val="24"/>
              </w:rPr>
            </w:pPr>
            <w:r w:rsidRPr="007765A1">
              <w:rPr>
                <w:rFonts w:ascii="Arial" w:hAnsi="Arial" w:cs="Arial"/>
                <w:sz w:val="24"/>
                <w:szCs w:val="24"/>
              </w:rPr>
              <w:t xml:space="preserve">Implement staff training programs. </w:t>
            </w:r>
          </w:p>
          <w:p w14:paraId="06D851BE" w14:textId="77777777" w:rsidR="007765A1" w:rsidRPr="007765A1" w:rsidRDefault="007765A1" w:rsidP="007765A1">
            <w:pPr>
              <w:numPr>
                <w:ilvl w:val="0"/>
                <w:numId w:val="9"/>
              </w:numPr>
              <w:spacing w:after="160" w:line="360" w:lineRule="auto"/>
              <w:rPr>
                <w:rFonts w:ascii="Arial" w:hAnsi="Arial" w:cs="Arial"/>
                <w:sz w:val="24"/>
                <w:szCs w:val="24"/>
              </w:rPr>
            </w:pPr>
            <w:r w:rsidRPr="007765A1">
              <w:rPr>
                <w:rFonts w:ascii="Arial" w:hAnsi="Arial" w:cs="Arial"/>
                <w:sz w:val="24"/>
                <w:szCs w:val="24"/>
              </w:rPr>
              <w:t xml:space="preserve">Improve compliance with the existing legal and ethical frameworks. </w:t>
            </w:r>
          </w:p>
          <w:p w14:paraId="33C49B73" w14:textId="77777777" w:rsidR="007765A1" w:rsidRPr="007765A1" w:rsidRDefault="007765A1" w:rsidP="007765A1">
            <w:pPr>
              <w:numPr>
                <w:ilvl w:val="0"/>
                <w:numId w:val="9"/>
              </w:numPr>
              <w:spacing w:after="160" w:line="360" w:lineRule="auto"/>
              <w:rPr>
                <w:rFonts w:ascii="Arial" w:hAnsi="Arial" w:cs="Arial"/>
                <w:sz w:val="24"/>
                <w:szCs w:val="24"/>
              </w:rPr>
            </w:pPr>
            <w:r w:rsidRPr="007765A1">
              <w:rPr>
                <w:rFonts w:ascii="Arial" w:hAnsi="Arial" w:cs="Arial"/>
                <w:sz w:val="24"/>
                <w:szCs w:val="24"/>
              </w:rPr>
              <w:t xml:space="preserve">Align the business branding to appeal to millennials. </w:t>
            </w:r>
          </w:p>
          <w:p w14:paraId="188C51D0" w14:textId="5BCE85B3" w:rsidR="007765A1" w:rsidRPr="007765A1" w:rsidRDefault="007765A1" w:rsidP="007765A1">
            <w:pPr>
              <w:numPr>
                <w:ilvl w:val="0"/>
                <w:numId w:val="9"/>
              </w:numPr>
              <w:spacing w:after="160" w:line="360" w:lineRule="auto"/>
              <w:rPr>
                <w:rFonts w:ascii="Arial" w:hAnsi="Arial" w:cs="Arial"/>
                <w:sz w:val="24"/>
                <w:szCs w:val="24"/>
              </w:rPr>
            </w:pPr>
            <w:r w:rsidRPr="007765A1">
              <w:rPr>
                <w:rFonts w:ascii="Arial" w:hAnsi="Arial" w:cs="Arial"/>
                <w:sz w:val="24"/>
                <w:szCs w:val="24"/>
              </w:rPr>
              <w:t xml:space="preserve">Improve data protection strategies. </w:t>
            </w:r>
          </w:p>
        </w:tc>
      </w:tr>
      <w:tr w:rsidR="007765A1" w:rsidRPr="007765A1" w14:paraId="522C314E" w14:textId="77777777" w:rsidTr="00DD54C5">
        <w:trPr>
          <w:trHeight w:val="1692"/>
        </w:trPr>
        <w:tc>
          <w:tcPr>
            <w:tcW w:w="1549" w:type="pct"/>
            <w:shd w:val="clear" w:color="auto" w:fill="92D050"/>
          </w:tcPr>
          <w:p w14:paraId="4B30605F" w14:textId="77777777" w:rsidR="007765A1" w:rsidRPr="007765A1" w:rsidRDefault="007765A1" w:rsidP="007765A1">
            <w:pPr>
              <w:spacing w:after="160" w:line="360" w:lineRule="auto"/>
              <w:jc w:val="both"/>
              <w:rPr>
                <w:rFonts w:ascii="Arial" w:hAnsi="Arial" w:cs="Arial"/>
                <w:sz w:val="24"/>
                <w:szCs w:val="24"/>
              </w:rPr>
            </w:pPr>
            <w:r w:rsidRPr="007765A1">
              <w:rPr>
                <w:rFonts w:ascii="Arial" w:hAnsi="Arial" w:cs="Arial"/>
                <w:sz w:val="24"/>
                <w:szCs w:val="24"/>
              </w:rPr>
              <w:t>Threats (S)</w:t>
            </w:r>
          </w:p>
          <w:p w14:paraId="19EDFFCB" w14:textId="77777777" w:rsidR="007765A1" w:rsidRPr="007765A1" w:rsidRDefault="007765A1" w:rsidP="007765A1">
            <w:pPr>
              <w:numPr>
                <w:ilvl w:val="0"/>
                <w:numId w:val="5"/>
              </w:numPr>
              <w:spacing w:after="160" w:line="360" w:lineRule="auto"/>
              <w:jc w:val="both"/>
              <w:rPr>
                <w:rFonts w:ascii="Arial" w:hAnsi="Arial" w:cs="Arial"/>
                <w:sz w:val="24"/>
                <w:szCs w:val="24"/>
              </w:rPr>
            </w:pPr>
            <w:r w:rsidRPr="007765A1">
              <w:rPr>
                <w:rFonts w:ascii="Arial" w:hAnsi="Arial" w:cs="Arial"/>
                <w:sz w:val="24"/>
                <w:szCs w:val="24"/>
              </w:rPr>
              <w:t xml:space="preserve">Pressure from labour unions to adhere to ADA provisions. </w:t>
            </w:r>
          </w:p>
          <w:p w14:paraId="5A7ADC12" w14:textId="77777777" w:rsidR="007765A1" w:rsidRPr="007765A1" w:rsidRDefault="007765A1" w:rsidP="007765A1">
            <w:pPr>
              <w:numPr>
                <w:ilvl w:val="0"/>
                <w:numId w:val="5"/>
              </w:numPr>
              <w:spacing w:after="160" w:line="360" w:lineRule="auto"/>
              <w:jc w:val="both"/>
              <w:rPr>
                <w:rFonts w:ascii="Arial" w:hAnsi="Arial" w:cs="Arial"/>
                <w:sz w:val="24"/>
                <w:szCs w:val="24"/>
              </w:rPr>
            </w:pPr>
            <w:r w:rsidRPr="007765A1">
              <w:rPr>
                <w:rFonts w:ascii="Arial" w:hAnsi="Arial" w:cs="Arial"/>
                <w:sz w:val="24"/>
                <w:szCs w:val="24"/>
              </w:rPr>
              <w:t xml:space="preserve">Stiff competition from well-established businesses—Hilton and Novotel. </w:t>
            </w:r>
          </w:p>
          <w:p w14:paraId="365989C3" w14:textId="77777777" w:rsidR="007765A1" w:rsidRPr="007765A1" w:rsidRDefault="007765A1" w:rsidP="007765A1">
            <w:pPr>
              <w:numPr>
                <w:ilvl w:val="0"/>
                <w:numId w:val="5"/>
              </w:numPr>
              <w:spacing w:after="160" w:line="360" w:lineRule="auto"/>
              <w:jc w:val="both"/>
              <w:rPr>
                <w:rFonts w:ascii="Arial" w:hAnsi="Arial" w:cs="Arial"/>
                <w:sz w:val="24"/>
                <w:szCs w:val="24"/>
              </w:rPr>
            </w:pPr>
            <w:r w:rsidRPr="007765A1">
              <w:rPr>
                <w:rFonts w:ascii="Arial" w:hAnsi="Arial" w:cs="Arial"/>
                <w:sz w:val="24"/>
                <w:szCs w:val="24"/>
              </w:rPr>
              <w:lastRenderedPageBreak/>
              <w:t xml:space="preserve">Rise in cost of technological investments. </w:t>
            </w:r>
          </w:p>
          <w:p w14:paraId="2406D4E9" w14:textId="77777777" w:rsidR="007765A1" w:rsidRPr="007765A1" w:rsidRDefault="007765A1" w:rsidP="007765A1">
            <w:pPr>
              <w:numPr>
                <w:ilvl w:val="0"/>
                <w:numId w:val="5"/>
              </w:numPr>
              <w:spacing w:after="160" w:line="360" w:lineRule="auto"/>
              <w:jc w:val="both"/>
              <w:rPr>
                <w:rFonts w:ascii="Arial" w:hAnsi="Arial" w:cs="Arial"/>
                <w:sz w:val="24"/>
                <w:szCs w:val="24"/>
              </w:rPr>
            </w:pPr>
            <w:r w:rsidRPr="007765A1">
              <w:rPr>
                <w:rFonts w:ascii="Arial" w:hAnsi="Arial" w:cs="Arial"/>
                <w:sz w:val="24"/>
                <w:szCs w:val="24"/>
              </w:rPr>
              <w:t xml:space="preserve">Risk of terror attacks. </w:t>
            </w:r>
          </w:p>
          <w:p w14:paraId="3522A4AB" w14:textId="77777777" w:rsidR="007765A1" w:rsidRPr="007765A1" w:rsidRDefault="007765A1" w:rsidP="007765A1">
            <w:pPr>
              <w:numPr>
                <w:ilvl w:val="0"/>
                <w:numId w:val="5"/>
              </w:numPr>
              <w:spacing w:after="160" w:line="360" w:lineRule="auto"/>
              <w:jc w:val="both"/>
              <w:rPr>
                <w:rFonts w:ascii="Arial" w:hAnsi="Arial" w:cs="Arial"/>
                <w:sz w:val="24"/>
                <w:szCs w:val="24"/>
              </w:rPr>
            </w:pPr>
            <w:r w:rsidRPr="007765A1">
              <w:rPr>
                <w:rFonts w:ascii="Arial" w:hAnsi="Arial" w:cs="Arial"/>
                <w:sz w:val="24"/>
                <w:szCs w:val="24"/>
              </w:rPr>
              <w:t>Global recession.</w:t>
            </w:r>
          </w:p>
        </w:tc>
        <w:tc>
          <w:tcPr>
            <w:tcW w:w="1620" w:type="pct"/>
            <w:shd w:val="clear" w:color="auto" w:fill="FFC000"/>
          </w:tcPr>
          <w:p w14:paraId="0D140C8A" w14:textId="77777777" w:rsidR="007765A1" w:rsidRPr="007765A1" w:rsidRDefault="007765A1" w:rsidP="007765A1">
            <w:pPr>
              <w:spacing w:after="160" w:line="360" w:lineRule="auto"/>
              <w:rPr>
                <w:rFonts w:ascii="Arial" w:hAnsi="Arial" w:cs="Arial"/>
                <w:sz w:val="24"/>
                <w:szCs w:val="24"/>
              </w:rPr>
            </w:pPr>
            <w:r w:rsidRPr="007765A1">
              <w:rPr>
                <w:rFonts w:ascii="Arial" w:hAnsi="Arial" w:cs="Arial"/>
                <w:sz w:val="24"/>
                <w:szCs w:val="24"/>
              </w:rPr>
              <w:lastRenderedPageBreak/>
              <w:t>(ST)</w:t>
            </w:r>
          </w:p>
          <w:p w14:paraId="5531CA7F" w14:textId="77777777" w:rsidR="007765A1" w:rsidRPr="007765A1" w:rsidRDefault="007765A1" w:rsidP="007765A1">
            <w:pPr>
              <w:numPr>
                <w:ilvl w:val="0"/>
                <w:numId w:val="10"/>
              </w:numPr>
              <w:spacing w:after="160" w:line="360" w:lineRule="auto"/>
              <w:rPr>
                <w:rFonts w:ascii="Arial" w:hAnsi="Arial" w:cs="Arial"/>
                <w:sz w:val="24"/>
                <w:szCs w:val="24"/>
              </w:rPr>
            </w:pPr>
            <w:r w:rsidRPr="007765A1">
              <w:rPr>
                <w:rFonts w:ascii="Arial" w:hAnsi="Arial" w:cs="Arial"/>
                <w:sz w:val="24"/>
                <w:szCs w:val="24"/>
              </w:rPr>
              <w:t>Create highly differentiated products and services.</w:t>
            </w:r>
          </w:p>
          <w:p w14:paraId="72324519" w14:textId="77777777" w:rsidR="007765A1" w:rsidRPr="007765A1" w:rsidRDefault="007765A1" w:rsidP="007765A1">
            <w:pPr>
              <w:numPr>
                <w:ilvl w:val="0"/>
                <w:numId w:val="10"/>
              </w:numPr>
              <w:spacing w:after="160" w:line="360" w:lineRule="auto"/>
              <w:rPr>
                <w:rFonts w:ascii="Arial" w:hAnsi="Arial" w:cs="Arial"/>
                <w:sz w:val="24"/>
                <w:szCs w:val="24"/>
              </w:rPr>
            </w:pPr>
            <w:r w:rsidRPr="007765A1">
              <w:rPr>
                <w:rFonts w:ascii="Arial" w:hAnsi="Arial" w:cs="Arial"/>
                <w:sz w:val="24"/>
                <w:szCs w:val="24"/>
              </w:rPr>
              <w:t>Strengthen cooperation.</w:t>
            </w:r>
          </w:p>
          <w:p w14:paraId="0D91BD8E" w14:textId="074411BD" w:rsidR="007765A1" w:rsidRPr="007765A1" w:rsidRDefault="007765A1" w:rsidP="007765A1">
            <w:pPr>
              <w:numPr>
                <w:ilvl w:val="0"/>
                <w:numId w:val="10"/>
              </w:numPr>
              <w:spacing w:after="160" w:line="360" w:lineRule="auto"/>
              <w:rPr>
                <w:rFonts w:ascii="Arial" w:hAnsi="Arial" w:cs="Arial"/>
                <w:sz w:val="24"/>
                <w:szCs w:val="24"/>
              </w:rPr>
            </w:pPr>
            <w:r w:rsidRPr="007765A1">
              <w:rPr>
                <w:rFonts w:ascii="Arial" w:hAnsi="Arial" w:cs="Arial"/>
                <w:sz w:val="24"/>
                <w:szCs w:val="24"/>
              </w:rPr>
              <w:t xml:space="preserve">Improve </w:t>
            </w:r>
            <w:r w:rsidR="005B309D" w:rsidRPr="007765A1">
              <w:rPr>
                <w:rFonts w:ascii="Arial" w:hAnsi="Arial" w:cs="Arial"/>
                <w:sz w:val="24"/>
                <w:szCs w:val="24"/>
              </w:rPr>
              <w:t>promotion.</w:t>
            </w:r>
            <w:r w:rsidRPr="007765A1">
              <w:rPr>
                <w:rFonts w:ascii="Arial" w:hAnsi="Arial" w:cs="Arial"/>
                <w:sz w:val="24"/>
                <w:szCs w:val="24"/>
              </w:rPr>
              <w:t xml:space="preserve"> </w:t>
            </w:r>
          </w:p>
          <w:p w14:paraId="2B21B299" w14:textId="77777777" w:rsidR="007765A1" w:rsidRPr="007765A1" w:rsidRDefault="007765A1" w:rsidP="007765A1">
            <w:pPr>
              <w:spacing w:after="160" w:line="360" w:lineRule="auto"/>
              <w:rPr>
                <w:rFonts w:ascii="Arial" w:hAnsi="Arial" w:cs="Arial"/>
                <w:sz w:val="24"/>
                <w:szCs w:val="24"/>
              </w:rPr>
            </w:pPr>
          </w:p>
          <w:p w14:paraId="46CD7265" w14:textId="77777777" w:rsidR="007765A1" w:rsidRPr="007765A1" w:rsidRDefault="007765A1" w:rsidP="007765A1">
            <w:pPr>
              <w:spacing w:after="160" w:line="360" w:lineRule="auto"/>
              <w:rPr>
                <w:rFonts w:ascii="Arial" w:hAnsi="Arial" w:cs="Arial"/>
                <w:sz w:val="24"/>
                <w:szCs w:val="24"/>
              </w:rPr>
            </w:pPr>
          </w:p>
          <w:p w14:paraId="52AA6C39" w14:textId="77777777" w:rsidR="007765A1" w:rsidRPr="007765A1" w:rsidRDefault="007765A1" w:rsidP="007765A1">
            <w:pPr>
              <w:spacing w:after="160" w:line="360" w:lineRule="auto"/>
              <w:rPr>
                <w:rFonts w:ascii="Arial" w:hAnsi="Arial" w:cs="Arial"/>
                <w:sz w:val="24"/>
                <w:szCs w:val="24"/>
              </w:rPr>
            </w:pPr>
          </w:p>
        </w:tc>
        <w:tc>
          <w:tcPr>
            <w:tcW w:w="1831" w:type="pct"/>
            <w:shd w:val="clear" w:color="auto" w:fill="FFC000"/>
          </w:tcPr>
          <w:p w14:paraId="6F06B73F" w14:textId="77777777" w:rsidR="007765A1" w:rsidRPr="007765A1" w:rsidRDefault="007765A1" w:rsidP="007765A1">
            <w:pPr>
              <w:spacing w:after="160" w:line="360" w:lineRule="auto"/>
              <w:rPr>
                <w:rFonts w:ascii="Arial" w:hAnsi="Arial" w:cs="Arial"/>
                <w:sz w:val="24"/>
                <w:szCs w:val="24"/>
              </w:rPr>
            </w:pPr>
            <w:r w:rsidRPr="007765A1">
              <w:rPr>
                <w:rFonts w:ascii="Arial" w:hAnsi="Arial" w:cs="Arial"/>
                <w:sz w:val="24"/>
                <w:szCs w:val="24"/>
              </w:rPr>
              <w:lastRenderedPageBreak/>
              <w:t>(WT)</w:t>
            </w:r>
          </w:p>
          <w:p w14:paraId="6FB0E558" w14:textId="77777777" w:rsidR="007765A1" w:rsidRPr="007765A1" w:rsidRDefault="007765A1" w:rsidP="007765A1">
            <w:pPr>
              <w:numPr>
                <w:ilvl w:val="0"/>
                <w:numId w:val="11"/>
              </w:numPr>
              <w:spacing w:after="160" w:line="360" w:lineRule="auto"/>
              <w:rPr>
                <w:rFonts w:ascii="Arial" w:hAnsi="Arial" w:cs="Arial"/>
                <w:sz w:val="24"/>
                <w:szCs w:val="24"/>
              </w:rPr>
            </w:pPr>
            <w:r w:rsidRPr="007765A1">
              <w:rPr>
                <w:rFonts w:ascii="Arial" w:hAnsi="Arial" w:cs="Arial"/>
                <w:sz w:val="24"/>
                <w:szCs w:val="24"/>
              </w:rPr>
              <w:t xml:space="preserve">Improve adherence to labour laws to continue pressure from the labour unions. </w:t>
            </w:r>
          </w:p>
          <w:p w14:paraId="705B4BBD" w14:textId="77777777" w:rsidR="007765A1" w:rsidRPr="007765A1" w:rsidRDefault="007765A1" w:rsidP="007765A1">
            <w:pPr>
              <w:numPr>
                <w:ilvl w:val="0"/>
                <w:numId w:val="11"/>
              </w:numPr>
              <w:spacing w:after="160" w:line="360" w:lineRule="auto"/>
              <w:rPr>
                <w:rFonts w:ascii="Arial" w:hAnsi="Arial" w:cs="Arial"/>
                <w:sz w:val="24"/>
                <w:szCs w:val="24"/>
              </w:rPr>
            </w:pPr>
            <w:r w:rsidRPr="007765A1">
              <w:rPr>
                <w:rFonts w:ascii="Arial" w:hAnsi="Arial" w:cs="Arial"/>
                <w:sz w:val="24"/>
                <w:szCs w:val="24"/>
              </w:rPr>
              <w:t xml:space="preserve">Provide quality staff training and welfare programs. </w:t>
            </w:r>
          </w:p>
          <w:p w14:paraId="79758BB7" w14:textId="6E73EE63" w:rsidR="007765A1" w:rsidRPr="007765A1" w:rsidRDefault="007765A1" w:rsidP="007765A1">
            <w:pPr>
              <w:numPr>
                <w:ilvl w:val="0"/>
                <w:numId w:val="11"/>
              </w:numPr>
              <w:spacing w:after="160" w:line="360" w:lineRule="auto"/>
              <w:rPr>
                <w:rFonts w:ascii="Arial" w:hAnsi="Arial" w:cs="Arial"/>
                <w:sz w:val="24"/>
                <w:szCs w:val="24"/>
              </w:rPr>
            </w:pPr>
            <w:r w:rsidRPr="007765A1">
              <w:rPr>
                <w:rFonts w:ascii="Arial" w:hAnsi="Arial" w:cs="Arial"/>
                <w:sz w:val="24"/>
                <w:szCs w:val="24"/>
              </w:rPr>
              <w:t xml:space="preserve">Improve </w:t>
            </w:r>
            <w:r w:rsidR="005B309D" w:rsidRPr="007765A1">
              <w:rPr>
                <w:rFonts w:ascii="Arial" w:hAnsi="Arial" w:cs="Arial"/>
                <w:sz w:val="24"/>
                <w:szCs w:val="24"/>
              </w:rPr>
              <w:t>cooperation.</w:t>
            </w:r>
            <w:r w:rsidRPr="007765A1">
              <w:rPr>
                <w:rFonts w:ascii="Arial" w:hAnsi="Arial" w:cs="Arial"/>
                <w:sz w:val="24"/>
                <w:szCs w:val="24"/>
              </w:rPr>
              <w:t xml:space="preserve"> </w:t>
            </w:r>
          </w:p>
          <w:p w14:paraId="2D7DE7A3" w14:textId="77777777" w:rsidR="007765A1" w:rsidRPr="007765A1" w:rsidRDefault="007765A1" w:rsidP="007765A1">
            <w:pPr>
              <w:numPr>
                <w:ilvl w:val="0"/>
                <w:numId w:val="11"/>
              </w:numPr>
              <w:spacing w:after="160" w:line="360" w:lineRule="auto"/>
              <w:rPr>
                <w:rFonts w:ascii="Arial" w:hAnsi="Arial" w:cs="Arial"/>
                <w:sz w:val="24"/>
                <w:szCs w:val="24"/>
              </w:rPr>
            </w:pPr>
            <w:r w:rsidRPr="007765A1">
              <w:rPr>
                <w:rFonts w:ascii="Arial" w:hAnsi="Arial" w:cs="Arial"/>
                <w:sz w:val="24"/>
                <w:szCs w:val="24"/>
              </w:rPr>
              <w:t xml:space="preserve">Strengthen marketing campaigns. </w:t>
            </w:r>
          </w:p>
        </w:tc>
      </w:tr>
    </w:tbl>
    <w:p w14:paraId="046C560E" w14:textId="77777777" w:rsidR="007765A1" w:rsidRPr="007765A1" w:rsidRDefault="007765A1" w:rsidP="007765A1">
      <w:pPr>
        <w:spacing w:line="360" w:lineRule="auto"/>
        <w:rPr>
          <w:rFonts w:ascii="Arial" w:hAnsi="Arial" w:cs="Arial"/>
          <w:b/>
          <w:bCs/>
          <w:sz w:val="24"/>
          <w:szCs w:val="24"/>
        </w:rPr>
      </w:pPr>
    </w:p>
    <w:p w14:paraId="229EB7F7" w14:textId="77777777" w:rsidR="003059D8" w:rsidRPr="00027C25" w:rsidRDefault="003059D8" w:rsidP="003059D8">
      <w:pPr>
        <w:spacing w:line="360" w:lineRule="auto"/>
        <w:rPr>
          <w:rFonts w:ascii="Arial" w:hAnsi="Arial" w:cs="Arial"/>
          <w:b/>
          <w:bCs/>
          <w:sz w:val="24"/>
          <w:szCs w:val="24"/>
        </w:rPr>
      </w:pPr>
    </w:p>
    <w:p w14:paraId="5AADCB8C" w14:textId="77777777" w:rsidR="00F60DAC" w:rsidRPr="003B3D76" w:rsidRDefault="00F60DAC" w:rsidP="00E82738">
      <w:pPr>
        <w:spacing w:line="360" w:lineRule="auto"/>
        <w:jc w:val="both"/>
        <w:rPr>
          <w:rFonts w:ascii="Arial" w:hAnsi="Arial" w:cs="Arial"/>
          <w:b/>
          <w:bCs/>
          <w:sz w:val="24"/>
          <w:szCs w:val="24"/>
        </w:rPr>
      </w:pPr>
      <w:r w:rsidRPr="003B3D76">
        <w:rPr>
          <w:rFonts w:ascii="Arial" w:hAnsi="Arial" w:cs="Arial"/>
          <w:b/>
          <w:bCs/>
          <w:sz w:val="24"/>
          <w:szCs w:val="24"/>
        </w:rPr>
        <w:t>Recommendation and Change Management</w:t>
      </w:r>
    </w:p>
    <w:p w14:paraId="5866B2DE" w14:textId="7B4F5DC2" w:rsidR="00F60DAC" w:rsidRPr="00E82738" w:rsidRDefault="003B3D76"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 xml:space="preserve">The outcomes of strategic analysis provide in-depth insights into the challenges facing the Courtyard of Marriott hotels concerning human resources. Successful implementation of research-based interventions can transform human resources management within the business organisation. Rapid changes in the labour market and other dynamics in the business environment can inadvertently affect the sustainability of business growth and profitability. </w:t>
      </w:r>
    </w:p>
    <w:p w14:paraId="76E8D5E6" w14:textId="263216B5" w:rsidR="00F60DAC" w:rsidRPr="003B3D76" w:rsidRDefault="003B3D76" w:rsidP="00E82738">
      <w:pPr>
        <w:spacing w:line="360" w:lineRule="auto"/>
        <w:jc w:val="both"/>
        <w:rPr>
          <w:rFonts w:ascii="Arial" w:hAnsi="Arial" w:cs="Arial"/>
          <w:b/>
          <w:bCs/>
          <w:sz w:val="24"/>
          <w:szCs w:val="24"/>
        </w:rPr>
      </w:pPr>
      <w:r>
        <w:rPr>
          <w:rFonts w:ascii="Arial" w:hAnsi="Arial" w:cs="Arial"/>
          <w:b/>
          <w:bCs/>
          <w:sz w:val="24"/>
          <w:szCs w:val="24"/>
        </w:rPr>
        <w:t xml:space="preserve">    </w:t>
      </w:r>
      <w:r w:rsidR="00F60DAC" w:rsidRPr="003B3D76">
        <w:rPr>
          <w:rFonts w:ascii="Arial" w:hAnsi="Arial" w:cs="Arial"/>
          <w:b/>
          <w:bCs/>
          <w:sz w:val="24"/>
          <w:szCs w:val="24"/>
        </w:rPr>
        <w:t>Key Recommendations</w:t>
      </w:r>
    </w:p>
    <w:p w14:paraId="5D62BDEE" w14:textId="7F052CC7" w:rsidR="00F60DAC" w:rsidRPr="00E82738" w:rsidRDefault="003B3D76"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 xml:space="preserve">Based on the comprehensive analysis conducted on Courtyard by Marriott the following strategic actions are highly recommended to enhance the overall performance of the business organisation. </w:t>
      </w:r>
    </w:p>
    <w:p w14:paraId="301D4A86" w14:textId="77777777" w:rsidR="00F60DAC" w:rsidRPr="003B3D76" w:rsidRDefault="00F60DAC" w:rsidP="00E82738">
      <w:pPr>
        <w:spacing w:line="360" w:lineRule="auto"/>
        <w:jc w:val="both"/>
        <w:rPr>
          <w:rFonts w:ascii="Arial" w:hAnsi="Arial" w:cs="Arial"/>
          <w:b/>
          <w:bCs/>
          <w:sz w:val="24"/>
          <w:szCs w:val="24"/>
        </w:rPr>
      </w:pPr>
      <w:r w:rsidRPr="003B3D76">
        <w:rPr>
          <w:rFonts w:ascii="Arial" w:hAnsi="Arial" w:cs="Arial"/>
          <w:b/>
          <w:bCs/>
          <w:sz w:val="24"/>
          <w:szCs w:val="24"/>
        </w:rPr>
        <w:t xml:space="preserve">Comprehensive Staff Training </w:t>
      </w:r>
    </w:p>
    <w:p w14:paraId="6EC0C234" w14:textId="0493D6D1" w:rsidR="00F60DAC" w:rsidRPr="00E82738" w:rsidRDefault="003B3D76"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Successful implementation of the ongoing training and development programs for all the staff members, especially the front-desk employees, can be crucial in containing the high employee turnover rates. Creating a comprehensive reward system for employees displaying exceptional organisational citizenry with exceptional performance. Integration of regular refresher courses can enable the employees to stay current with the industry trends, including how to leverage technology to improve the efficiency of service provision. Continuous training of employees is crucial in optimising their efforts in achieving the set organisational goals and objectives (Dominioni, 2023). Cross-training helps the employees to understand different levels within the business organisation.</w:t>
      </w:r>
    </w:p>
    <w:p w14:paraId="73E748B0" w14:textId="77777777" w:rsidR="00F60DAC" w:rsidRPr="008B4061" w:rsidRDefault="00F60DAC" w:rsidP="00E82738">
      <w:pPr>
        <w:spacing w:line="360" w:lineRule="auto"/>
        <w:jc w:val="both"/>
        <w:rPr>
          <w:rFonts w:ascii="Arial" w:hAnsi="Arial" w:cs="Arial"/>
          <w:b/>
          <w:bCs/>
          <w:sz w:val="24"/>
          <w:szCs w:val="24"/>
        </w:rPr>
      </w:pPr>
      <w:r w:rsidRPr="008B4061">
        <w:rPr>
          <w:rFonts w:ascii="Arial" w:hAnsi="Arial" w:cs="Arial"/>
          <w:b/>
          <w:bCs/>
          <w:sz w:val="24"/>
          <w:szCs w:val="24"/>
        </w:rPr>
        <w:lastRenderedPageBreak/>
        <w:t>Improve Staff Engagement and Job Satisfaction</w:t>
      </w:r>
    </w:p>
    <w:p w14:paraId="0ADC7543" w14:textId="1043630F" w:rsidR="00F60DAC" w:rsidRPr="00E82738" w:rsidRDefault="008B4061"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 xml:space="preserve">According to Anggoro KR, et al. (2023), an increase in workload is associated with increased frustrations and burnout among the affected employees. In this case, the management of Marriot International, Inc. must adopt a positive and conducive workplace by encouraging the employees to report or communicate challenges facing them regarding their roles and responsibilities (Rabiul et al., 2023; Rasool et al., 2021). It entails providing promotional and educational opportunities for employees to achieve desired career growth and development. Active involvement of employees in the decision-making process can be instrumental in creating a sense of belongingness (Stamolampros et al., 2019). The management should appreciate recognising and rewarding employees with significant improvement. Highly engaged and motivated employees are more productive and helpful in enabling the business organisation to achieve the set business goals and objectives. </w:t>
      </w:r>
    </w:p>
    <w:p w14:paraId="468B3F6A" w14:textId="77777777" w:rsidR="00F60DAC" w:rsidRPr="008B4061" w:rsidRDefault="00F60DAC" w:rsidP="00E82738">
      <w:pPr>
        <w:spacing w:line="360" w:lineRule="auto"/>
        <w:jc w:val="both"/>
        <w:rPr>
          <w:rFonts w:ascii="Arial" w:hAnsi="Arial" w:cs="Arial"/>
          <w:b/>
          <w:bCs/>
          <w:sz w:val="24"/>
          <w:szCs w:val="24"/>
        </w:rPr>
      </w:pPr>
      <w:r w:rsidRPr="008B4061">
        <w:rPr>
          <w:rFonts w:ascii="Arial" w:hAnsi="Arial" w:cs="Arial"/>
          <w:b/>
          <w:bCs/>
          <w:sz w:val="24"/>
          <w:szCs w:val="24"/>
        </w:rPr>
        <w:t xml:space="preserve">Re-evaluate Corporate Culture </w:t>
      </w:r>
    </w:p>
    <w:p w14:paraId="670CA890" w14:textId="4AE287C5" w:rsidR="00F60DAC" w:rsidRPr="00E82738" w:rsidRDefault="008B4061"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Organisational culture defines human resource management practices. Corporate values have far-reaching implications on employee retention programs. It entails promoting and establishing communication pathways to enable the employees to raise concerns regarding pressing issues within the business organisation (Basnyat &amp; Clarence Lao, 2020). Organisational values and beliefs influence task delegation and other critical organisational roles and responsibilities. Establishing a corporate culture that promotes inclusion and cultural diversity within the workplace is essential (Rizki, et al., 2019). The management must address and prevent or reduce incidents of lawsuits and fines associated with violating the existing legal and ethical standards in managing human resources. A supportive and positive culture is central to managing the high employee turnover rate (Markiz, et al., 2017). Less conductive and supportive corporate cultures significantly increase employees’ frustrations and turnover intentions.</w:t>
      </w:r>
    </w:p>
    <w:p w14:paraId="6BAB7B18" w14:textId="77777777" w:rsidR="00F60DAC" w:rsidRPr="00D32900" w:rsidRDefault="00F60DAC" w:rsidP="00E82738">
      <w:pPr>
        <w:spacing w:line="360" w:lineRule="auto"/>
        <w:jc w:val="both"/>
        <w:rPr>
          <w:rFonts w:ascii="Arial" w:hAnsi="Arial" w:cs="Arial"/>
          <w:b/>
          <w:bCs/>
          <w:sz w:val="24"/>
          <w:szCs w:val="24"/>
        </w:rPr>
      </w:pPr>
      <w:r w:rsidRPr="00D32900">
        <w:rPr>
          <w:rFonts w:ascii="Arial" w:hAnsi="Arial" w:cs="Arial"/>
          <w:b/>
          <w:bCs/>
          <w:sz w:val="24"/>
          <w:szCs w:val="24"/>
        </w:rPr>
        <w:t xml:space="preserve">Improving Work Scheduling </w:t>
      </w:r>
    </w:p>
    <w:p w14:paraId="2C9E3F4E" w14:textId="386B3FF2" w:rsidR="00F60DAC" w:rsidRPr="00E82738" w:rsidRDefault="00D32900"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 xml:space="preserve">The hotel and tourism sectors are associated with unavoidable unpredictability affecting work scheduling. Courtyard by Marriott employees rarely work on set schedules or consistent leaves. The irregularity and non-standard hours can have negative implications on the employees (Fox, et al., 2021). The management should </w:t>
      </w:r>
      <w:r w:rsidR="00F60DAC" w:rsidRPr="00E82738">
        <w:rPr>
          <w:rFonts w:ascii="Arial" w:hAnsi="Arial" w:cs="Arial"/>
          <w:sz w:val="24"/>
          <w:szCs w:val="24"/>
        </w:rPr>
        <w:lastRenderedPageBreak/>
        <w:t xml:space="preserve">strive to keep a clear and consistent scheduling system for employees to understand the patterns of their leaves, including the implementation of work schedules that promote desired work-life balance within the business organisation. Scheduling changes can be instrumental in improving transparency regarding overtime needs and giving the employees adequate time to adjust to scheduling changes (Roberson, 2019). The management of Courtyard by Marriott can leverage advanced technologies to implement flexible schedules to enable team members to work remotely without undermining individual and collective performance. </w:t>
      </w:r>
    </w:p>
    <w:p w14:paraId="0C4ADD2E" w14:textId="77777777" w:rsidR="00AB1E61" w:rsidRPr="00E82738" w:rsidRDefault="00AB1E61" w:rsidP="00E82738">
      <w:pPr>
        <w:spacing w:line="360" w:lineRule="auto"/>
        <w:jc w:val="both"/>
        <w:rPr>
          <w:rFonts w:ascii="Arial" w:hAnsi="Arial" w:cs="Arial"/>
          <w:sz w:val="24"/>
          <w:szCs w:val="24"/>
        </w:rPr>
      </w:pPr>
    </w:p>
    <w:p w14:paraId="4DEF6947" w14:textId="77777777" w:rsidR="00F60DAC" w:rsidRPr="00D32900" w:rsidRDefault="00F60DAC" w:rsidP="00E82738">
      <w:pPr>
        <w:spacing w:line="360" w:lineRule="auto"/>
        <w:jc w:val="both"/>
        <w:rPr>
          <w:rFonts w:ascii="Arial" w:hAnsi="Arial" w:cs="Arial"/>
          <w:b/>
          <w:bCs/>
          <w:sz w:val="24"/>
          <w:szCs w:val="24"/>
        </w:rPr>
      </w:pPr>
      <w:r w:rsidRPr="00D32900">
        <w:rPr>
          <w:rFonts w:ascii="Arial" w:hAnsi="Arial" w:cs="Arial"/>
          <w:b/>
          <w:bCs/>
          <w:sz w:val="24"/>
          <w:szCs w:val="24"/>
        </w:rPr>
        <w:t>Improve Pricing Strategies and Service Quality</w:t>
      </w:r>
    </w:p>
    <w:p w14:paraId="39B0FBE4" w14:textId="35F1FFD3" w:rsidR="00F60DAC" w:rsidRPr="00E82738" w:rsidRDefault="00AB1E61" w:rsidP="00E82738">
      <w:pPr>
        <w:spacing w:line="360" w:lineRule="auto"/>
        <w:jc w:val="both"/>
        <w:rPr>
          <w:rFonts w:ascii="Arial" w:hAnsi="Arial" w:cs="Arial"/>
          <w:sz w:val="24"/>
          <w:szCs w:val="24"/>
        </w:rPr>
      </w:pPr>
      <w:r w:rsidRPr="00E82738">
        <w:rPr>
          <w:rFonts w:ascii="Arial" w:hAnsi="Arial" w:cs="Arial"/>
          <w:sz w:val="24"/>
          <w:szCs w:val="24"/>
        </w:rPr>
        <w:t xml:space="preserve">    </w:t>
      </w:r>
      <w:r w:rsidR="00F60DAC" w:rsidRPr="00E82738">
        <w:rPr>
          <w:rFonts w:ascii="Arial" w:hAnsi="Arial" w:cs="Arial"/>
          <w:sz w:val="24"/>
          <w:szCs w:val="24"/>
        </w:rPr>
        <w:t xml:space="preserve">The overall performance of the business organisation is a significant factor determining the ability of the business organisation to provide competitive remunerations to their employees. Courtyard by Marriott is facing stiff competition from other well-established business organisations. Successful implementation of enhancing pricing strategies can be crucial in improving the competitive edge of the business organisation. Data analytics and market research are central to understanding guest booking patterns, competitor pricing strategies, and demand fluctuations in the sector (Pandey, et al., 2021). The rates should reflect the seasonality, real-time demand, and other special events. Transparency in the pricing of the products provided by the business organisation will be crucial in improving the overall profitability of the business organisation to enable the management to provide competitive remunerations. </w:t>
      </w:r>
    </w:p>
    <w:p w14:paraId="55BC3B02" w14:textId="77777777" w:rsidR="00F60DAC" w:rsidRPr="00D32900" w:rsidRDefault="00F60DAC" w:rsidP="00E82738">
      <w:pPr>
        <w:spacing w:line="360" w:lineRule="auto"/>
        <w:jc w:val="both"/>
        <w:rPr>
          <w:rFonts w:ascii="Arial" w:hAnsi="Arial" w:cs="Arial"/>
          <w:b/>
          <w:bCs/>
          <w:sz w:val="24"/>
          <w:szCs w:val="24"/>
        </w:rPr>
      </w:pPr>
      <w:r w:rsidRPr="00D32900">
        <w:rPr>
          <w:rFonts w:ascii="Arial" w:hAnsi="Arial" w:cs="Arial"/>
          <w:b/>
          <w:bCs/>
          <w:sz w:val="24"/>
          <w:szCs w:val="24"/>
        </w:rPr>
        <w:t>Change Management</w:t>
      </w:r>
    </w:p>
    <w:p w14:paraId="0174A093" w14:textId="77777777" w:rsidR="00AB1E61" w:rsidRPr="00E82738" w:rsidRDefault="00AB1E61" w:rsidP="00E82738">
      <w:pPr>
        <w:spacing w:line="360" w:lineRule="auto"/>
        <w:jc w:val="both"/>
        <w:rPr>
          <w:rFonts w:ascii="Arial" w:hAnsi="Arial" w:cs="Arial"/>
          <w:sz w:val="24"/>
          <w:szCs w:val="24"/>
        </w:rPr>
      </w:pPr>
      <w:r w:rsidRPr="00E82738">
        <w:rPr>
          <w:rFonts w:ascii="Arial" w:hAnsi="Arial" w:cs="Arial"/>
          <w:sz w:val="24"/>
          <w:szCs w:val="24"/>
        </w:rPr>
        <w:t xml:space="preserve">     </w:t>
      </w:r>
      <w:r w:rsidR="00F60DAC" w:rsidRPr="00E82738">
        <w:rPr>
          <w:rFonts w:ascii="Arial" w:hAnsi="Arial" w:cs="Arial"/>
          <w:sz w:val="24"/>
          <w:szCs w:val="24"/>
        </w:rPr>
        <w:t xml:space="preserve">Practice changes are inevitable in managing business organisations. Theoretical perspectives are available to ensure a seamless change implementation process. Lewin’s change management model provides frameworks for ensuring seamless processes when introducing critical changes in managing the business organisation (Tang &amp; Tang, 2019). It is imperative to leverage the theoretical perspective to make the process of introducing significant changes in managing human resources more seamless (Burnes, 2020). Active involvement of the relevant stakeholders, especially the employees, can be critical in ensuring the suggested organisational changes are implemented. Hussain et.al. (2018) state that corporate changes are crucial for </w:t>
      </w:r>
      <w:r w:rsidR="00F60DAC" w:rsidRPr="00E82738">
        <w:rPr>
          <w:rFonts w:ascii="Arial" w:hAnsi="Arial" w:cs="Arial"/>
          <w:sz w:val="24"/>
          <w:szCs w:val="24"/>
        </w:rPr>
        <w:lastRenderedPageBreak/>
        <w:t>organisations in dynamic business environments associated with stiff competition (Kwok, 2022). Excellent change management entails planning, designing, and implementing measures to manage the implications of the proposed changes. High employee turnover rates affect various elements of business operations.</w:t>
      </w:r>
    </w:p>
    <w:p w14:paraId="3130AC1F" w14:textId="65C2E914"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 xml:space="preserve"> </w:t>
      </w:r>
    </w:p>
    <w:p w14:paraId="3347E66C" w14:textId="77777777" w:rsidR="00F60DAC" w:rsidRPr="00D32900" w:rsidRDefault="00F60DAC" w:rsidP="00E82738">
      <w:pPr>
        <w:spacing w:line="360" w:lineRule="auto"/>
        <w:jc w:val="both"/>
        <w:rPr>
          <w:rFonts w:ascii="Arial" w:hAnsi="Arial" w:cs="Arial"/>
          <w:b/>
          <w:bCs/>
          <w:sz w:val="24"/>
          <w:szCs w:val="24"/>
        </w:rPr>
      </w:pPr>
      <w:r w:rsidRPr="00D32900">
        <w:rPr>
          <w:rFonts w:ascii="Arial" w:hAnsi="Arial" w:cs="Arial"/>
          <w:b/>
          <w:bCs/>
          <w:sz w:val="24"/>
          <w:szCs w:val="24"/>
        </w:rPr>
        <w:t>Change Management Process</w:t>
      </w:r>
    </w:p>
    <w:p w14:paraId="685F89CF" w14:textId="308CDE05" w:rsidR="00F60DAC" w:rsidRPr="00E82738" w:rsidRDefault="00AB1E61" w:rsidP="00E82738">
      <w:pPr>
        <w:spacing w:line="360" w:lineRule="auto"/>
        <w:jc w:val="both"/>
        <w:rPr>
          <w:rFonts w:ascii="Arial" w:hAnsi="Arial" w:cs="Arial"/>
          <w:sz w:val="24"/>
          <w:szCs w:val="24"/>
        </w:rPr>
      </w:pPr>
      <w:r w:rsidRPr="00E82738">
        <w:rPr>
          <w:rFonts w:ascii="Arial" w:hAnsi="Arial" w:cs="Arial"/>
          <w:sz w:val="24"/>
          <w:szCs w:val="24"/>
        </w:rPr>
        <w:t xml:space="preserve">     </w:t>
      </w:r>
      <w:r w:rsidR="00F60DAC" w:rsidRPr="00E82738">
        <w:rPr>
          <w:rFonts w:ascii="Arial" w:hAnsi="Arial" w:cs="Arial"/>
          <w:sz w:val="24"/>
          <w:szCs w:val="24"/>
        </w:rPr>
        <w:t xml:space="preserve">In implementing the suggested approaches to managing human resources at Courtyard by Marriott, the following three stages for successful change implementation are imperative unfreezing, changing, and refreezing (fig. 1 below). The individual phases serve specific roles in the entire change implementation process. In this case, the suggested changes are made to feel like a campaign rather than the corporate decisions emanating from the top leadership (Marriott.Com, 2023). In the unfreezing stage, the management of the Courtyard by Marriott needs to create awareness among the employees on implementing the suggested changes, including the work reschedules, to enable the employees to achieve a work-life balance (Hee et al., 2019). Effective communication ensures that employees understand the relationship between the proposed changes and the organisational mission. The HR manager can create short-term goals to sustain the change momentum, including long-term goals to integrate the new changes into the organisational culture. </w:t>
      </w:r>
    </w:p>
    <w:p w14:paraId="674545E2" w14:textId="77777777" w:rsidR="00E67C96" w:rsidRPr="00E82738" w:rsidRDefault="00E67C96" w:rsidP="00E82738">
      <w:pPr>
        <w:spacing w:line="360" w:lineRule="auto"/>
        <w:jc w:val="both"/>
        <w:rPr>
          <w:rFonts w:ascii="Arial" w:hAnsi="Arial" w:cs="Arial"/>
          <w:sz w:val="24"/>
          <w:szCs w:val="24"/>
        </w:rPr>
      </w:pPr>
    </w:p>
    <w:p w14:paraId="23E5FAD4" w14:textId="66C7D47A" w:rsidR="00E67C96" w:rsidRPr="00E82738" w:rsidRDefault="00E67C96" w:rsidP="00E82738">
      <w:pPr>
        <w:spacing w:line="360" w:lineRule="auto"/>
        <w:jc w:val="both"/>
        <w:rPr>
          <w:rFonts w:ascii="Arial" w:hAnsi="Arial" w:cs="Arial"/>
          <w:sz w:val="24"/>
          <w:szCs w:val="24"/>
        </w:rPr>
      </w:pPr>
      <w:r w:rsidRPr="00E82738">
        <w:rPr>
          <w:rFonts w:ascii="Arial" w:hAnsi="Arial" w:cs="Arial"/>
          <w:sz w:val="24"/>
          <w:szCs w:val="24"/>
        </w:rPr>
        <w:t xml:space="preserve">                      </w:t>
      </w:r>
      <w:r w:rsidRPr="00E82738">
        <w:rPr>
          <w:rFonts w:ascii="Arial" w:hAnsi="Arial" w:cs="Arial"/>
          <w:noProof/>
          <w:sz w:val="24"/>
          <w:szCs w:val="24"/>
        </w:rPr>
        <w:drawing>
          <wp:inline distT="0" distB="0" distL="0" distR="0" wp14:anchorId="25FEE852" wp14:editId="35BCE17D">
            <wp:extent cx="3676015" cy="1237615"/>
            <wp:effectExtent l="0" t="0" r="635" b="635"/>
            <wp:docPr id="175938275" name="Picture 17593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6015" cy="1237615"/>
                    </a:xfrm>
                    <a:prstGeom prst="rect">
                      <a:avLst/>
                    </a:prstGeom>
                    <a:noFill/>
                  </pic:spPr>
                </pic:pic>
              </a:graphicData>
            </a:graphic>
          </wp:inline>
        </w:drawing>
      </w:r>
    </w:p>
    <w:p w14:paraId="3436BC77"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 xml:space="preserve">                                </w:t>
      </w:r>
    </w:p>
    <w:p w14:paraId="32E8FB25" w14:textId="77777777" w:rsidR="00F60DAC" w:rsidRPr="00D32900" w:rsidRDefault="00F60DAC" w:rsidP="00E82738">
      <w:pPr>
        <w:spacing w:line="360" w:lineRule="auto"/>
        <w:jc w:val="both"/>
        <w:rPr>
          <w:rFonts w:ascii="Arial" w:hAnsi="Arial" w:cs="Arial"/>
          <w:b/>
          <w:bCs/>
          <w:sz w:val="24"/>
          <w:szCs w:val="24"/>
        </w:rPr>
      </w:pPr>
      <w:r w:rsidRPr="00D32900">
        <w:rPr>
          <w:rFonts w:ascii="Arial" w:hAnsi="Arial" w:cs="Arial"/>
          <w:b/>
          <w:bCs/>
          <w:sz w:val="24"/>
          <w:szCs w:val="24"/>
        </w:rPr>
        <w:t xml:space="preserve">Fig. 1: Lewin’s Change Model </w:t>
      </w:r>
    </w:p>
    <w:p w14:paraId="7EB777F2" w14:textId="77777777" w:rsidR="00E67C96" w:rsidRPr="00E82738" w:rsidRDefault="00E67C96" w:rsidP="00E82738">
      <w:pPr>
        <w:spacing w:line="360" w:lineRule="auto"/>
        <w:jc w:val="both"/>
        <w:rPr>
          <w:rFonts w:ascii="Arial" w:hAnsi="Arial" w:cs="Arial"/>
          <w:sz w:val="24"/>
          <w:szCs w:val="24"/>
        </w:rPr>
      </w:pPr>
    </w:p>
    <w:p w14:paraId="2EF79315" w14:textId="48325033" w:rsidR="00F60DAC" w:rsidRPr="00E82738" w:rsidRDefault="00D32900"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 xml:space="preserve">Changing (or transitioning) is the second stage in change implementation. At this point, employees are unfrozen, and the management can implement the suggested </w:t>
      </w:r>
      <w:r w:rsidR="00F60DAC" w:rsidRPr="00E82738">
        <w:rPr>
          <w:rFonts w:ascii="Arial" w:hAnsi="Arial" w:cs="Arial"/>
          <w:sz w:val="24"/>
          <w:szCs w:val="24"/>
        </w:rPr>
        <w:lastRenderedPageBreak/>
        <w:t xml:space="preserve">changes in managing human resources (Ahmad, et al., 2021). At this point, Courtyard by Marriott employees are ready to accept the proposed changes (Rad &amp; Rad, 2021). The key employees and stakeholders are unfrozen. The proposed changes in managing human resources are implemented to address the identified organisational issue—frustrations and high turnover intentions among the frontline workers. The transition stage creates momentum to sustain the change implementation. </w:t>
      </w:r>
    </w:p>
    <w:p w14:paraId="6AD261E5" w14:textId="6650F35F" w:rsidR="00F60DAC" w:rsidRPr="00E82738" w:rsidRDefault="00D36EC8"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Finally, refreezing is the last step in introducing crucial organisational changes. At this point, people move from the transition to an equilibrium stage. Practical leadership skills can be instrumental in providing the necessary support to employees to cope with the proposed changes (El-Amin &amp; George, 2020). The management must develop a mechanism for recognising and rewarding employees displaying desired behaviours towards the proposed changes. Immediate supervisors are trained in implementing the suggested approaches to dealing with human resources. Support from the top leadership can be critical in integrating the suggested changes to become part of the corporate culture (Bose, 2020). The proposed changes form the new values, norms, and values guiding the human resources management at Courtyard by Marriott.</w:t>
      </w:r>
    </w:p>
    <w:p w14:paraId="24028328" w14:textId="77777777" w:rsidR="00F60DAC" w:rsidRPr="00D36EC8" w:rsidRDefault="00F60DAC" w:rsidP="00E82738">
      <w:pPr>
        <w:spacing w:line="360" w:lineRule="auto"/>
        <w:jc w:val="both"/>
        <w:rPr>
          <w:rFonts w:ascii="Arial" w:hAnsi="Arial" w:cs="Arial"/>
          <w:b/>
          <w:bCs/>
          <w:sz w:val="24"/>
          <w:szCs w:val="24"/>
        </w:rPr>
      </w:pPr>
      <w:r w:rsidRPr="00D36EC8">
        <w:rPr>
          <w:rFonts w:ascii="Arial" w:hAnsi="Arial" w:cs="Arial"/>
          <w:b/>
          <w:bCs/>
          <w:sz w:val="24"/>
          <w:szCs w:val="24"/>
        </w:rPr>
        <w:t>Potential Benefits</w:t>
      </w:r>
    </w:p>
    <w:p w14:paraId="0F6E5DD7" w14:textId="1A1B7621" w:rsidR="00F60DAC" w:rsidRPr="00E82738" w:rsidRDefault="00D36EC8" w:rsidP="00E82738">
      <w:pPr>
        <w:spacing w:line="360" w:lineRule="auto"/>
        <w:jc w:val="both"/>
        <w:rPr>
          <w:rFonts w:ascii="Arial" w:hAnsi="Arial" w:cs="Arial"/>
          <w:sz w:val="24"/>
          <w:szCs w:val="24"/>
        </w:rPr>
      </w:pPr>
      <w:r>
        <w:rPr>
          <w:rFonts w:ascii="Arial" w:hAnsi="Arial" w:cs="Arial"/>
          <w:sz w:val="24"/>
          <w:szCs w:val="24"/>
        </w:rPr>
        <w:t xml:space="preserve">     </w:t>
      </w:r>
      <w:r w:rsidR="00F60DAC" w:rsidRPr="00E82738">
        <w:rPr>
          <w:rFonts w:ascii="Arial" w:hAnsi="Arial" w:cs="Arial"/>
          <w:sz w:val="24"/>
          <w:szCs w:val="24"/>
        </w:rPr>
        <w:t>Courtyard by Marriott continues to need help dealing with the frontline workers' frustrations and high turnover intent. According to Melián-Alzola et al. (2020), unpredictability in the tourism and hotel industry is associated with increasing high employee turnover rates. The proposed recommendations will enable the business organisation to accrue the following benefits:</w:t>
      </w:r>
    </w:p>
    <w:p w14:paraId="1812BF73"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Improved human resources management will enable the business organisation to improve guest satisfaction scores and favourable reviews significantly (Ming &amp; Liu, 2021). The increased booking rates can exponentially increase revenue collection and profitability. </w:t>
      </w:r>
    </w:p>
    <w:p w14:paraId="2247570D"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Implementing the suggested interventions will enable the management to improve staff morale, employee engagement, and productivity (Fallucchi, Coladangelo, Giuliano, &amp; William De Luca, 2020). Recognition can make employees feel more engaged and productive due to the created sense of belongingness (Ghani et al., 2022). </w:t>
      </w:r>
    </w:p>
    <w:p w14:paraId="25E35103"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lastRenderedPageBreak/>
        <w:t>•</w:t>
      </w:r>
      <w:r w:rsidRPr="00E82738">
        <w:rPr>
          <w:rFonts w:ascii="Arial" w:hAnsi="Arial" w:cs="Arial"/>
          <w:sz w:val="24"/>
          <w:szCs w:val="24"/>
        </w:rPr>
        <w:tab/>
        <w:t xml:space="preserve">The employees in the decision-making process leverage their inputs to improve the overall workforce productivity. </w:t>
      </w:r>
    </w:p>
    <w:p w14:paraId="1CA797EA"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Better dealing with the employees is linked to improved corporate image and brand reputation. Cases of alleged trade union laws and ADA violations have damaged the organisation's reputation (Ertac &amp; Cankan, 2021). However, adopting the recommended changes will enable Courtyard by Marriott to improve its tainted image regarding managing human resources. </w:t>
      </w:r>
    </w:p>
    <w:p w14:paraId="647BABD8"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The success of technological processes to improve the management of human resources for remote working options can improve cost-saving (Basnyat &amp; Clarence Lao, 2020). Reduced incidents of lawsuits and fines will enable the management to save on overall operating costs. </w:t>
      </w:r>
    </w:p>
    <w:p w14:paraId="777C7460" w14:textId="77777777" w:rsidR="00F60DAC" w:rsidRPr="00E82738" w:rsidRDefault="00F60DAC"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Marriott will benefit from reduced employee turnover rates and expenses linked to the recruitment of employees (Dwesini, 2019). A high employee turnover rate is associated with the increased costs of recruiting and selecting new hires to replace the employees leaving the business organisation. </w:t>
      </w:r>
    </w:p>
    <w:p w14:paraId="7C899130" w14:textId="77777777" w:rsidR="00F60DAC" w:rsidRPr="00D36EC8" w:rsidRDefault="00F60DAC" w:rsidP="00E82738">
      <w:pPr>
        <w:spacing w:line="360" w:lineRule="auto"/>
        <w:jc w:val="both"/>
        <w:rPr>
          <w:rFonts w:ascii="Arial" w:hAnsi="Arial" w:cs="Arial"/>
          <w:b/>
          <w:bCs/>
          <w:sz w:val="24"/>
          <w:szCs w:val="24"/>
        </w:rPr>
      </w:pPr>
      <w:r w:rsidRPr="00D36EC8">
        <w:rPr>
          <w:rFonts w:ascii="Arial" w:hAnsi="Arial" w:cs="Arial"/>
          <w:b/>
          <w:bCs/>
          <w:sz w:val="24"/>
          <w:szCs w:val="24"/>
        </w:rPr>
        <w:t xml:space="preserve">Cost Implications </w:t>
      </w:r>
    </w:p>
    <w:p w14:paraId="4493EAA1" w14:textId="1C4AAD04" w:rsidR="00F60DAC" w:rsidRPr="00E82738" w:rsidRDefault="00AB1E61" w:rsidP="00E82738">
      <w:pPr>
        <w:spacing w:line="360" w:lineRule="auto"/>
        <w:jc w:val="both"/>
        <w:rPr>
          <w:rFonts w:ascii="Arial" w:hAnsi="Arial" w:cs="Arial"/>
          <w:sz w:val="24"/>
          <w:szCs w:val="24"/>
        </w:rPr>
      </w:pPr>
      <w:r w:rsidRPr="00E82738">
        <w:rPr>
          <w:rFonts w:ascii="Arial" w:hAnsi="Arial" w:cs="Arial"/>
          <w:sz w:val="24"/>
          <w:szCs w:val="24"/>
        </w:rPr>
        <w:t xml:space="preserve">     </w:t>
      </w:r>
      <w:r w:rsidR="00F60DAC" w:rsidRPr="00E82738">
        <w:rPr>
          <w:rFonts w:ascii="Arial" w:hAnsi="Arial" w:cs="Arial"/>
          <w:sz w:val="24"/>
          <w:szCs w:val="24"/>
        </w:rPr>
        <w:t xml:space="preserve">Successful completion of the proposed project will require increased financial allocation to address the critical project milestones. The expenses of implementing the recommendation depend primarily on the initiative's scope. Successful implementation of the project will take approximately six months. Key areas requiring funding include staff training, employee engagement activities, and reward systems to motivate the team members, including the scheduling programs, as summarised in Table 2 below. </w:t>
      </w:r>
    </w:p>
    <w:p w14:paraId="41BC0DE4" w14:textId="78B8393F" w:rsidR="00BC7FED" w:rsidRPr="00E82738" w:rsidRDefault="00AB1E61" w:rsidP="00E82738">
      <w:pPr>
        <w:spacing w:line="360" w:lineRule="auto"/>
        <w:jc w:val="both"/>
        <w:rPr>
          <w:rFonts w:ascii="Arial" w:hAnsi="Arial" w:cs="Arial"/>
          <w:sz w:val="24"/>
          <w:szCs w:val="24"/>
        </w:rPr>
      </w:pPr>
      <w:r w:rsidRPr="00E82738">
        <w:rPr>
          <w:rFonts w:ascii="Arial" w:hAnsi="Arial" w:cs="Arial"/>
          <w:sz w:val="24"/>
          <w:szCs w:val="24"/>
        </w:rPr>
        <w:t xml:space="preserve">      </w:t>
      </w:r>
      <w:r w:rsidR="00F60DAC" w:rsidRPr="00E82738">
        <w:rPr>
          <w:rFonts w:ascii="Arial" w:hAnsi="Arial" w:cs="Arial"/>
          <w:sz w:val="24"/>
          <w:szCs w:val="24"/>
        </w:rPr>
        <w:t xml:space="preserve">Successfully implemented solutions will take approximately £1 million to address the overarching requirements or high deliverables. For instance, the management must acquire the relevant hardware and software applications and overall technological upgrades within the affected departments. Employee scheduling software programs will make it easier to improve the scheduling process. Connecteam will be helpful to software to optimise the management of human resources. The employee software scheduling will enhance communication between HR managers and employees to facilitate rapid communication of changes in schedule and standard </w:t>
      </w:r>
      <w:r w:rsidR="00F60DAC" w:rsidRPr="00E82738">
        <w:rPr>
          <w:rFonts w:ascii="Arial" w:hAnsi="Arial" w:cs="Arial"/>
          <w:sz w:val="24"/>
          <w:szCs w:val="24"/>
        </w:rPr>
        <w:lastRenderedPageBreak/>
        <w:t>updates (Ghani et al., 2022). Secondly, training the employees on the proposed changes, including using the suggested software, will require resource allocation.</w:t>
      </w:r>
    </w:p>
    <w:p w14:paraId="079D862A" w14:textId="77777777" w:rsidR="007838CC" w:rsidRPr="007838CC" w:rsidRDefault="007838CC" w:rsidP="00E82738">
      <w:pPr>
        <w:spacing w:line="360" w:lineRule="auto"/>
        <w:jc w:val="both"/>
        <w:rPr>
          <w:rFonts w:ascii="Arial" w:hAnsi="Arial" w:cs="Arial"/>
          <w:sz w:val="24"/>
          <w:szCs w:val="24"/>
        </w:rPr>
      </w:pPr>
    </w:p>
    <w:p w14:paraId="6BD01C25" w14:textId="77777777" w:rsidR="005B4098" w:rsidRPr="005B4098" w:rsidRDefault="005B4098" w:rsidP="00E82738">
      <w:pPr>
        <w:spacing w:line="360" w:lineRule="auto"/>
        <w:jc w:val="both"/>
        <w:rPr>
          <w:rFonts w:ascii="Arial" w:hAnsi="Arial" w:cs="Arial"/>
          <w:sz w:val="24"/>
          <w:szCs w:val="24"/>
        </w:rPr>
      </w:pPr>
    </w:p>
    <w:tbl>
      <w:tblPr>
        <w:tblStyle w:val="TableGrid"/>
        <w:tblW w:w="5000" w:type="pct"/>
        <w:tblLook w:val="04A0" w:firstRow="1" w:lastRow="0" w:firstColumn="1" w:lastColumn="0" w:noHBand="0" w:noVBand="1"/>
      </w:tblPr>
      <w:tblGrid>
        <w:gridCol w:w="669"/>
        <w:gridCol w:w="5337"/>
        <w:gridCol w:w="3010"/>
      </w:tblGrid>
      <w:tr w:rsidR="005B4098" w:rsidRPr="005B4098" w14:paraId="31820CBD" w14:textId="77777777" w:rsidTr="00DD54C5">
        <w:tc>
          <w:tcPr>
            <w:tcW w:w="371" w:type="pct"/>
            <w:shd w:val="clear" w:color="auto" w:fill="9CC2E5" w:themeFill="accent5" w:themeFillTint="99"/>
          </w:tcPr>
          <w:p w14:paraId="29D4A596" w14:textId="77777777" w:rsidR="005B4098" w:rsidRPr="005B4098" w:rsidRDefault="005B4098" w:rsidP="00E82738">
            <w:pPr>
              <w:spacing w:after="160" w:line="360" w:lineRule="auto"/>
              <w:jc w:val="both"/>
              <w:rPr>
                <w:rFonts w:ascii="Arial" w:hAnsi="Arial" w:cs="Arial"/>
                <w:sz w:val="24"/>
                <w:szCs w:val="24"/>
              </w:rPr>
            </w:pPr>
          </w:p>
        </w:tc>
        <w:tc>
          <w:tcPr>
            <w:tcW w:w="2960" w:type="pct"/>
            <w:shd w:val="clear" w:color="auto" w:fill="9CC2E5" w:themeFill="accent5" w:themeFillTint="99"/>
          </w:tcPr>
          <w:p w14:paraId="5DE145EE"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Key Requirements and Items </w:t>
            </w:r>
          </w:p>
        </w:tc>
        <w:tc>
          <w:tcPr>
            <w:tcW w:w="1669" w:type="pct"/>
            <w:shd w:val="clear" w:color="auto" w:fill="9CC2E5" w:themeFill="accent5" w:themeFillTint="99"/>
          </w:tcPr>
          <w:p w14:paraId="26449E85"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Estimated Costs (£)</w:t>
            </w:r>
          </w:p>
        </w:tc>
      </w:tr>
      <w:tr w:rsidR="005B4098" w:rsidRPr="005B4098" w14:paraId="78F6DEC7" w14:textId="77777777" w:rsidTr="00DD54C5">
        <w:tc>
          <w:tcPr>
            <w:tcW w:w="371" w:type="pct"/>
          </w:tcPr>
          <w:p w14:paraId="652F7FE1"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6A49D70B"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Training stationaries </w:t>
            </w:r>
          </w:p>
        </w:tc>
        <w:tc>
          <w:tcPr>
            <w:tcW w:w="1669" w:type="pct"/>
          </w:tcPr>
          <w:p w14:paraId="2DCBA7F3"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60,000</w:t>
            </w:r>
          </w:p>
        </w:tc>
      </w:tr>
      <w:tr w:rsidR="005B4098" w:rsidRPr="005B4098" w14:paraId="59EB31BF" w14:textId="77777777" w:rsidTr="00DD54C5">
        <w:tc>
          <w:tcPr>
            <w:tcW w:w="371" w:type="pct"/>
          </w:tcPr>
          <w:p w14:paraId="31CD7FC4"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33AB4544"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Trainer fees </w:t>
            </w:r>
          </w:p>
        </w:tc>
        <w:tc>
          <w:tcPr>
            <w:tcW w:w="1669" w:type="pct"/>
          </w:tcPr>
          <w:p w14:paraId="4C8D0AFC"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150,000</w:t>
            </w:r>
          </w:p>
        </w:tc>
      </w:tr>
      <w:tr w:rsidR="005B4098" w:rsidRPr="005B4098" w14:paraId="5F6AC683" w14:textId="77777777" w:rsidTr="00DD54C5">
        <w:tc>
          <w:tcPr>
            <w:tcW w:w="371" w:type="pct"/>
          </w:tcPr>
          <w:p w14:paraId="2EE0622D"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71232080"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Technological upgrade </w:t>
            </w:r>
          </w:p>
        </w:tc>
        <w:tc>
          <w:tcPr>
            <w:tcW w:w="1669" w:type="pct"/>
          </w:tcPr>
          <w:p w14:paraId="6BA2CBA1"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125,000</w:t>
            </w:r>
          </w:p>
        </w:tc>
      </w:tr>
      <w:tr w:rsidR="005B4098" w:rsidRPr="005B4098" w14:paraId="3D66C96C" w14:textId="77777777" w:rsidTr="00DD54C5">
        <w:tc>
          <w:tcPr>
            <w:tcW w:w="371" w:type="pct"/>
          </w:tcPr>
          <w:p w14:paraId="1E4E8681"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458AC074"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Employee wellness programs </w:t>
            </w:r>
          </w:p>
        </w:tc>
        <w:tc>
          <w:tcPr>
            <w:tcW w:w="1669" w:type="pct"/>
          </w:tcPr>
          <w:p w14:paraId="770607D1"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250,000</w:t>
            </w:r>
          </w:p>
        </w:tc>
      </w:tr>
      <w:tr w:rsidR="005B4098" w:rsidRPr="005B4098" w14:paraId="21A9DB98" w14:textId="77777777" w:rsidTr="00DD54C5">
        <w:tc>
          <w:tcPr>
            <w:tcW w:w="371" w:type="pct"/>
          </w:tcPr>
          <w:p w14:paraId="2B4A0EAD"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5321BF8A"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Conducting surveys</w:t>
            </w:r>
          </w:p>
        </w:tc>
        <w:tc>
          <w:tcPr>
            <w:tcW w:w="1669" w:type="pct"/>
          </w:tcPr>
          <w:p w14:paraId="50BDEFEB"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285,000</w:t>
            </w:r>
          </w:p>
        </w:tc>
      </w:tr>
      <w:tr w:rsidR="005B4098" w:rsidRPr="005B4098" w14:paraId="2E58996D" w14:textId="77777777" w:rsidTr="00DD54C5">
        <w:tc>
          <w:tcPr>
            <w:tcW w:w="371" w:type="pct"/>
          </w:tcPr>
          <w:p w14:paraId="0C5A2C2A"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7A5D07D8"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Travel and Accommodation </w:t>
            </w:r>
          </w:p>
        </w:tc>
        <w:tc>
          <w:tcPr>
            <w:tcW w:w="1669" w:type="pct"/>
          </w:tcPr>
          <w:p w14:paraId="5E02D956"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85,000</w:t>
            </w:r>
          </w:p>
        </w:tc>
      </w:tr>
      <w:tr w:rsidR="005B4098" w:rsidRPr="005B4098" w14:paraId="681C7700" w14:textId="77777777" w:rsidTr="00DD54C5">
        <w:trPr>
          <w:trHeight w:val="427"/>
        </w:trPr>
        <w:tc>
          <w:tcPr>
            <w:tcW w:w="371" w:type="pct"/>
          </w:tcPr>
          <w:p w14:paraId="1802B4A1"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3AD849A6"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Miscellaneous </w:t>
            </w:r>
          </w:p>
        </w:tc>
        <w:tc>
          <w:tcPr>
            <w:tcW w:w="1669" w:type="pct"/>
          </w:tcPr>
          <w:p w14:paraId="168E31E2"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45,000</w:t>
            </w:r>
          </w:p>
        </w:tc>
      </w:tr>
      <w:tr w:rsidR="005B4098" w:rsidRPr="005B4098" w14:paraId="76DD53D1" w14:textId="77777777" w:rsidTr="00DD54C5">
        <w:tc>
          <w:tcPr>
            <w:tcW w:w="371" w:type="pct"/>
          </w:tcPr>
          <w:p w14:paraId="270E3B47" w14:textId="77777777" w:rsidR="005B4098" w:rsidRPr="005B4098" w:rsidRDefault="005B4098" w:rsidP="00E82738">
            <w:pPr>
              <w:numPr>
                <w:ilvl w:val="0"/>
                <w:numId w:val="2"/>
              </w:numPr>
              <w:spacing w:after="160" w:line="360" w:lineRule="auto"/>
              <w:jc w:val="both"/>
              <w:rPr>
                <w:rFonts w:ascii="Arial" w:hAnsi="Arial" w:cs="Arial"/>
                <w:sz w:val="24"/>
                <w:szCs w:val="24"/>
              </w:rPr>
            </w:pPr>
          </w:p>
        </w:tc>
        <w:tc>
          <w:tcPr>
            <w:tcW w:w="2960" w:type="pct"/>
          </w:tcPr>
          <w:p w14:paraId="6804EB6E"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 xml:space="preserve">TOTAL </w:t>
            </w:r>
          </w:p>
        </w:tc>
        <w:tc>
          <w:tcPr>
            <w:tcW w:w="1669" w:type="pct"/>
          </w:tcPr>
          <w:p w14:paraId="1FC8D698" w14:textId="77777777" w:rsidR="005B4098" w:rsidRPr="005B4098" w:rsidRDefault="005B4098" w:rsidP="00E82738">
            <w:pPr>
              <w:spacing w:after="160" w:line="360" w:lineRule="auto"/>
              <w:jc w:val="both"/>
              <w:rPr>
                <w:rFonts w:ascii="Arial" w:hAnsi="Arial" w:cs="Arial"/>
                <w:sz w:val="24"/>
                <w:szCs w:val="24"/>
              </w:rPr>
            </w:pPr>
            <w:r w:rsidRPr="005B4098">
              <w:rPr>
                <w:rFonts w:ascii="Arial" w:hAnsi="Arial" w:cs="Arial"/>
                <w:sz w:val="24"/>
                <w:szCs w:val="24"/>
              </w:rPr>
              <w:t>1,010,000</w:t>
            </w:r>
          </w:p>
        </w:tc>
      </w:tr>
    </w:tbl>
    <w:p w14:paraId="23E56786" w14:textId="77777777" w:rsidR="005B4098" w:rsidRPr="00E82738" w:rsidRDefault="005B4098" w:rsidP="00E82738">
      <w:pPr>
        <w:spacing w:line="360" w:lineRule="auto"/>
        <w:jc w:val="both"/>
        <w:rPr>
          <w:rFonts w:ascii="Arial" w:hAnsi="Arial" w:cs="Arial"/>
          <w:sz w:val="24"/>
          <w:szCs w:val="24"/>
        </w:rPr>
      </w:pPr>
      <w:r w:rsidRPr="005B4098">
        <w:rPr>
          <w:rFonts w:ascii="Arial" w:hAnsi="Arial" w:cs="Arial"/>
          <w:sz w:val="24"/>
          <w:szCs w:val="24"/>
        </w:rPr>
        <w:t xml:space="preserve">Table 2 </w:t>
      </w:r>
    </w:p>
    <w:p w14:paraId="13CCFA76" w14:textId="77777777" w:rsidR="00E91BAE" w:rsidRPr="005B4098" w:rsidRDefault="00E91BAE" w:rsidP="00E82738">
      <w:pPr>
        <w:spacing w:line="360" w:lineRule="auto"/>
        <w:jc w:val="both"/>
        <w:rPr>
          <w:rFonts w:ascii="Arial" w:hAnsi="Arial" w:cs="Arial"/>
          <w:sz w:val="24"/>
          <w:szCs w:val="24"/>
        </w:rPr>
      </w:pPr>
    </w:p>
    <w:p w14:paraId="4EEE476D" w14:textId="77777777" w:rsidR="00CE42F2" w:rsidRPr="00D36EC8" w:rsidRDefault="00CE42F2" w:rsidP="00E82738">
      <w:pPr>
        <w:spacing w:line="360" w:lineRule="auto"/>
        <w:jc w:val="both"/>
        <w:rPr>
          <w:rFonts w:ascii="Arial" w:hAnsi="Arial" w:cs="Arial"/>
          <w:b/>
          <w:bCs/>
          <w:sz w:val="24"/>
          <w:szCs w:val="24"/>
        </w:rPr>
      </w:pPr>
      <w:r w:rsidRPr="00D36EC8">
        <w:rPr>
          <w:rFonts w:ascii="Arial" w:hAnsi="Arial" w:cs="Arial"/>
          <w:b/>
          <w:bCs/>
          <w:sz w:val="24"/>
          <w:szCs w:val="24"/>
        </w:rPr>
        <w:t>Success Evaluation Criteria</w:t>
      </w:r>
    </w:p>
    <w:p w14:paraId="26370E85" w14:textId="76EE72D1" w:rsidR="00CE42F2" w:rsidRPr="00E82738" w:rsidRDefault="00AB1E61" w:rsidP="00E82738">
      <w:pPr>
        <w:spacing w:line="360" w:lineRule="auto"/>
        <w:jc w:val="both"/>
        <w:rPr>
          <w:rFonts w:ascii="Arial" w:hAnsi="Arial" w:cs="Arial"/>
          <w:sz w:val="24"/>
          <w:szCs w:val="24"/>
        </w:rPr>
      </w:pPr>
      <w:r w:rsidRPr="00E82738">
        <w:rPr>
          <w:rFonts w:ascii="Arial" w:hAnsi="Arial" w:cs="Arial"/>
          <w:sz w:val="24"/>
          <w:szCs w:val="24"/>
        </w:rPr>
        <w:t xml:space="preserve">     </w:t>
      </w:r>
      <w:r w:rsidR="00CE42F2" w:rsidRPr="00E82738">
        <w:rPr>
          <w:rFonts w:ascii="Arial" w:hAnsi="Arial" w:cs="Arial"/>
          <w:sz w:val="24"/>
          <w:szCs w:val="24"/>
        </w:rPr>
        <w:t xml:space="preserve">It is imperative to develop success evaluation criteria to determine the efficacy of the suggested recommendations in addressing high employee turnover rates at Courtyard by Marriott (Chakraborty &amp; Biswas, 2019). The following key indicators will be crucial in determining the success of the project: </w:t>
      </w:r>
    </w:p>
    <w:p w14:paraId="2934C9B4" w14:textId="77777777" w:rsidR="00CE42F2" w:rsidRPr="00E82738" w:rsidRDefault="00CE42F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Attainment of a 60% improvement in guest satisfaction scores at the end of the successful implementation of the proposed interventions. Guest satisfaction scores reflect the level of commitment and productivity of the team members. Surveys and feedback forms can be used in collecting such data.</w:t>
      </w:r>
    </w:p>
    <w:p w14:paraId="692AB982" w14:textId="77777777" w:rsidR="00CE42F2" w:rsidRPr="00E82738" w:rsidRDefault="00CE42F2" w:rsidP="00E82738">
      <w:pPr>
        <w:spacing w:line="360" w:lineRule="auto"/>
        <w:jc w:val="both"/>
        <w:rPr>
          <w:rFonts w:ascii="Arial" w:hAnsi="Arial" w:cs="Arial"/>
          <w:sz w:val="24"/>
          <w:szCs w:val="24"/>
        </w:rPr>
      </w:pPr>
      <w:r w:rsidRPr="00E82738">
        <w:rPr>
          <w:rFonts w:ascii="Arial" w:hAnsi="Arial" w:cs="Arial"/>
          <w:sz w:val="24"/>
          <w:szCs w:val="24"/>
        </w:rPr>
        <w:t>•</w:t>
      </w:r>
      <w:r w:rsidRPr="00E82738">
        <w:rPr>
          <w:rFonts w:ascii="Arial" w:hAnsi="Arial" w:cs="Arial"/>
          <w:sz w:val="24"/>
          <w:szCs w:val="24"/>
        </w:rPr>
        <w:tab/>
        <w:t xml:space="preserve">Achieving significant improvement in employee engagement scores after successfully implementing the suggested interventions can be an essential indicator of improving the workplace setting (Jain et al., 2023). </w:t>
      </w:r>
    </w:p>
    <w:p w14:paraId="271B9622" w14:textId="77777777" w:rsidR="00CE42F2" w:rsidRPr="00E82738" w:rsidRDefault="00CE42F2" w:rsidP="00E82738">
      <w:pPr>
        <w:spacing w:line="360" w:lineRule="auto"/>
        <w:jc w:val="both"/>
        <w:rPr>
          <w:rFonts w:ascii="Arial" w:hAnsi="Arial" w:cs="Arial"/>
          <w:sz w:val="24"/>
          <w:szCs w:val="24"/>
        </w:rPr>
      </w:pPr>
      <w:r w:rsidRPr="00E82738">
        <w:rPr>
          <w:rFonts w:ascii="Arial" w:hAnsi="Arial" w:cs="Arial"/>
          <w:sz w:val="24"/>
          <w:szCs w:val="24"/>
        </w:rPr>
        <w:lastRenderedPageBreak/>
        <w:t>•</w:t>
      </w:r>
      <w:r w:rsidRPr="00E82738">
        <w:rPr>
          <w:rFonts w:ascii="Arial" w:hAnsi="Arial" w:cs="Arial"/>
          <w:sz w:val="24"/>
          <w:szCs w:val="24"/>
        </w:rPr>
        <w:tab/>
        <w:t xml:space="preserve">Attaining improvement in favourable guest reviews can be essential to determine critical areas for further improvement. </w:t>
      </w:r>
    </w:p>
    <w:p w14:paraId="685B4B06" w14:textId="77777777" w:rsidR="00CE42F2" w:rsidRPr="00D36EC8" w:rsidRDefault="00CE42F2" w:rsidP="00E82738">
      <w:pPr>
        <w:spacing w:line="360" w:lineRule="auto"/>
        <w:jc w:val="both"/>
        <w:rPr>
          <w:rFonts w:ascii="Arial" w:hAnsi="Arial" w:cs="Arial"/>
          <w:b/>
          <w:bCs/>
          <w:sz w:val="24"/>
          <w:szCs w:val="24"/>
        </w:rPr>
      </w:pPr>
      <w:r w:rsidRPr="00D36EC8">
        <w:rPr>
          <w:rFonts w:ascii="Arial" w:hAnsi="Arial" w:cs="Arial"/>
          <w:b/>
          <w:bCs/>
          <w:sz w:val="24"/>
          <w:szCs w:val="24"/>
        </w:rPr>
        <w:t>Action Plan</w:t>
      </w:r>
    </w:p>
    <w:p w14:paraId="378FB216" w14:textId="77B6BD7F" w:rsidR="009E268D" w:rsidRPr="00E82738" w:rsidRDefault="00D36EC8" w:rsidP="00E82738">
      <w:pPr>
        <w:spacing w:line="360" w:lineRule="auto"/>
        <w:jc w:val="both"/>
        <w:rPr>
          <w:rFonts w:ascii="Arial" w:hAnsi="Arial" w:cs="Arial"/>
          <w:sz w:val="24"/>
          <w:szCs w:val="24"/>
        </w:rPr>
      </w:pPr>
      <w:r>
        <w:rPr>
          <w:rFonts w:ascii="Arial" w:hAnsi="Arial" w:cs="Arial"/>
          <w:sz w:val="24"/>
          <w:szCs w:val="24"/>
        </w:rPr>
        <w:t xml:space="preserve">     </w:t>
      </w:r>
      <w:r w:rsidR="00CE42F2" w:rsidRPr="00E82738">
        <w:rPr>
          <w:rFonts w:ascii="Arial" w:hAnsi="Arial" w:cs="Arial"/>
          <w:sz w:val="24"/>
          <w:szCs w:val="24"/>
        </w:rPr>
        <w:t>The suggested solutions will enable Courtyard by Marriott to achieve its short-term and long-term solutions with the identified business program. The recommendations entail conducting employee training programs, employee engagement activities and evaluating the efficacies of the recommendations.</w:t>
      </w:r>
    </w:p>
    <w:p w14:paraId="12798927" w14:textId="77777777" w:rsidR="003927CA" w:rsidRPr="00E82738" w:rsidRDefault="003927CA" w:rsidP="00E82738">
      <w:pPr>
        <w:spacing w:line="360" w:lineRule="auto"/>
        <w:jc w:val="both"/>
        <w:rPr>
          <w:rFonts w:ascii="Arial" w:hAnsi="Arial" w:cs="Arial"/>
          <w:sz w:val="24"/>
          <w:szCs w:val="24"/>
        </w:rPr>
      </w:pPr>
    </w:p>
    <w:tbl>
      <w:tblPr>
        <w:tblStyle w:val="TableGrid"/>
        <w:tblW w:w="0" w:type="auto"/>
        <w:tblInd w:w="-289" w:type="dxa"/>
        <w:tblLook w:val="04A0" w:firstRow="1" w:lastRow="0" w:firstColumn="1" w:lastColumn="0" w:noHBand="0" w:noVBand="1"/>
      </w:tblPr>
      <w:tblGrid>
        <w:gridCol w:w="579"/>
        <w:gridCol w:w="1463"/>
        <w:gridCol w:w="1575"/>
        <w:gridCol w:w="1737"/>
        <w:gridCol w:w="1351"/>
        <w:gridCol w:w="1449"/>
        <w:gridCol w:w="1151"/>
      </w:tblGrid>
      <w:tr w:rsidR="00E82738" w:rsidRPr="00165D0D" w14:paraId="6793AEAC" w14:textId="77777777" w:rsidTr="00813EF6">
        <w:tc>
          <w:tcPr>
            <w:tcW w:w="579" w:type="dxa"/>
            <w:shd w:val="clear" w:color="auto" w:fill="8EAADB" w:themeFill="accent1" w:themeFillTint="99"/>
          </w:tcPr>
          <w:p w14:paraId="4D93EEBC"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No.</w:t>
            </w:r>
          </w:p>
        </w:tc>
        <w:tc>
          <w:tcPr>
            <w:tcW w:w="1463" w:type="dxa"/>
            <w:shd w:val="clear" w:color="auto" w:fill="8EAADB" w:themeFill="accent1" w:themeFillTint="99"/>
          </w:tcPr>
          <w:p w14:paraId="3F3A873A"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 xml:space="preserve">Problem </w:t>
            </w:r>
          </w:p>
        </w:tc>
        <w:tc>
          <w:tcPr>
            <w:tcW w:w="1575" w:type="dxa"/>
            <w:shd w:val="clear" w:color="auto" w:fill="8EAADB" w:themeFill="accent1" w:themeFillTint="99"/>
          </w:tcPr>
          <w:p w14:paraId="4362893F"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 xml:space="preserve">Solution </w:t>
            </w:r>
          </w:p>
        </w:tc>
        <w:tc>
          <w:tcPr>
            <w:tcW w:w="1737" w:type="dxa"/>
            <w:shd w:val="clear" w:color="auto" w:fill="8EAADB" w:themeFill="accent1" w:themeFillTint="99"/>
          </w:tcPr>
          <w:p w14:paraId="3638132C"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Desired Outcomes</w:t>
            </w:r>
          </w:p>
        </w:tc>
        <w:tc>
          <w:tcPr>
            <w:tcW w:w="1451" w:type="dxa"/>
            <w:shd w:val="clear" w:color="auto" w:fill="8EAADB" w:themeFill="accent1" w:themeFillTint="99"/>
          </w:tcPr>
          <w:p w14:paraId="20445E4C"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Time Scale (months)</w:t>
            </w:r>
          </w:p>
        </w:tc>
        <w:tc>
          <w:tcPr>
            <w:tcW w:w="1349" w:type="dxa"/>
            <w:shd w:val="clear" w:color="auto" w:fill="8EAADB" w:themeFill="accent1" w:themeFillTint="99"/>
          </w:tcPr>
          <w:p w14:paraId="79E23EE1"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 xml:space="preserve">Completion date </w:t>
            </w:r>
          </w:p>
        </w:tc>
        <w:tc>
          <w:tcPr>
            <w:tcW w:w="1151" w:type="dxa"/>
            <w:shd w:val="clear" w:color="auto" w:fill="8EAADB" w:themeFill="accent1" w:themeFillTint="99"/>
          </w:tcPr>
          <w:p w14:paraId="7793438F" w14:textId="77777777" w:rsidR="003927CA" w:rsidRPr="00165D0D" w:rsidRDefault="003927CA" w:rsidP="00E82738">
            <w:pPr>
              <w:spacing w:after="160" w:line="360" w:lineRule="auto"/>
              <w:jc w:val="both"/>
              <w:rPr>
                <w:rFonts w:ascii="Arial" w:hAnsi="Arial" w:cs="Arial"/>
                <w:b/>
                <w:bCs/>
                <w:sz w:val="24"/>
                <w:szCs w:val="24"/>
              </w:rPr>
            </w:pPr>
            <w:r w:rsidRPr="00165D0D">
              <w:rPr>
                <w:rFonts w:ascii="Arial" w:hAnsi="Arial" w:cs="Arial"/>
                <w:b/>
                <w:bCs/>
                <w:sz w:val="24"/>
                <w:szCs w:val="24"/>
              </w:rPr>
              <w:t>Budget Estimate (£)</w:t>
            </w:r>
          </w:p>
        </w:tc>
      </w:tr>
      <w:tr w:rsidR="00CF262D" w:rsidRPr="003927CA" w14:paraId="42140B87" w14:textId="77777777" w:rsidTr="00813EF6">
        <w:trPr>
          <w:trHeight w:val="1908"/>
        </w:trPr>
        <w:tc>
          <w:tcPr>
            <w:tcW w:w="579" w:type="dxa"/>
          </w:tcPr>
          <w:p w14:paraId="27A0E1B7" w14:textId="77777777" w:rsidR="003927CA" w:rsidRPr="003927CA" w:rsidRDefault="003927CA" w:rsidP="00E82738">
            <w:pPr>
              <w:numPr>
                <w:ilvl w:val="0"/>
                <w:numId w:val="3"/>
              </w:numPr>
              <w:spacing w:after="160" w:line="360" w:lineRule="auto"/>
              <w:jc w:val="both"/>
              <w:rPr>
                <w:rFonts w:ascii="Arial" w:hAnsi="Arial" w:cs="Arial"/>
                <w:sz w:val="24"/>
                <w:szCs w:val="24"/>
              </w:rPr>
            </w:pPr>
          </w:p>
        </w:tc>
        <w:tc>
          <w:tcPr>
            <w:tcW w:w="1463" w:type="dxa"/>
          </w:tcPr>
          <w:p w14:paraId="61FFEC2A"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Lack of effective staff training programs</w:t>
            </w:r>
          </w:p>
        </w:tc>
        <w:tc>
          <w:tcPr>
            <w:tcW w:w="1575" w:type="dxa"/>
          </w:tcPr>
          <w:p w14:paraId="3213FA6C" w14:textId="131F90D6"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Introduce </w:t>
            </w:r>
            <w:r w:rsidR="007C6432">
              <w:rPr>
                <w:rFonts w:ascii="Arial" w:hAnsi="Arial" w:cs="Arial"/>
                <w:sz w:val="24"/>
                <w:szCs w:val="24"/>
              </w:rPr>
              <w:t xml:space="preserve">an </w:t>
            </w:r>
            <w:r w:rsidRPr="003927CA">
              <w:rPr>
                <w:rFonts w:ascii="Arial" w:hAnsi="Arial" w:cs="Arial"/>
                <w:sz w:val="24"/>
                <w:szCs w:val="24"/>
              </w:rPr>
              <w:t xml:space="preserve">improved employee training program </w:t>
            </w:r>
          </w:p>
        </w:tc>
        <w:tc>
          <w:tcPr>
            <w:tcW w:w="1737" w:type="dxa"/>
          </w:tcPr>
          <w:p w14:paraId="437AE20B"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Improved skills and competencies in delivering high-quality services. </w:t>
            </w:r>
          </w:p>
        </w:tc>
        <w:tc>
          <w:tcPr>
            <w:tcW w:w="1451" w:type="dxa"/>
          </w:tcPr>
          <w:p w14:paraId="5C3E8D8C"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1</w:t>
            </w:r>
          </w:p>
        </w:tc>
        <w:tc>
          <w:tcPr>
            <w:tcW w:w="1349" w:type="dxa"/>
          </w:tcPr>
          <w:p w14:paraId="66C90D9F"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10/12/2023</w:t>
            </w:r>
          </w:p>
        </w:tc>
        <w:tc>
          <w:tcPr>
            <w:tcW w:w="1151" w:type="dxa"/>
          </w:tcPr>
          <w:p w14:paraId="4A1C7DD4"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150,000</w:t>
            </w:r>
          </w:p>
        </w:tc>
      </w:tr>
      <w:tr w:rsidR="00CF262D" w:rsidRPr="003927CA" w14:paraId="314B55E8" w14:textId="77777777" w:rsidTr="00813EF6">
        <w:trPr>
          <w:trHeight w:val="1938"/>
        </w:trPr>
        <w:tc>
          <w:tcPr>
            <w:tcW w:w="579" w:type="dxa"/>
          </w:tcPr>
          <w:p w14:paraId="160B07E5" w14:textId="77777777" w:rsidR="003927CA" w:rsidRPr="003927CA" w:rsidRDefault="003927CA" w:rsidP="00E82738">
            <w:pPr>
              <w:numPr>
                <w:ilvl w:val="0"/>
                <w:numId w:val="3"/>
              </w:numPr>
              <w:spacing w:after="160" w:line="360" w:lineRule="auto"/>
              <w:jc w:val="both"/>
              <w:rPr>
                <w:rFonts w:ascii="Arial" w:hAnsi="Arial" w:cs="Arial"/>
                <w:sz w:val="24"/>
                <w:szCs w:val="24"/>
              </w:rPr>
            </w:pPr>
          </w:p>
        </w:tc>
        <w:tc>
          <w:tcPr>
            <w:tcW w:w="1463" w:type="dxa"/>
          </w:tcPr>
          <w:p w14:paraId="403AAB77"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Low level of employee engagement  </w:t>
            </w:r>
          </w:p>
        </w:tc>
        <w:tc>
          <w:tcPr>
            <w:tcW w:w="1575" w:type="dxa"/>
          </w:tcPr>
          <w:p w14:paraId="25D0D4D1" w14:textId="6295ED7D"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Introduce employee engagement </w:t>
            </w:r>
            <w:r w:rsidR="00CF262D" w:rsidRPr="003927CA">
              <w:rPr>
                <w:rFonts w:ascii="Arial" w:hAnsi="Arial" w:cs="Arial"/>
                <w:sz w:val="24"/>
                <w:szCs w:val="24"/>
              </w:rPr>
              <w:t>activities.</w:t>
            </w:r>
            <w:r w:rsidRPr="003927CA">
              <w:rPr>
                <w:rFonts w:ascii="Arial" w:hAnsi="Arial" w:cs="Arial"/>
                <w:sz w:val="24"/>
                <w:szCs w:val="24"/>
              </w:rPr>
              <w:t xml:space="preserve"> </w:t>
            </w:r>
          </w:p>
          <w:p w14:paraId="57810E92" w14:textId="77777777" w:rsidR="003927CA" w:rsidRPr="003927CA" w:rsidRDefault="003927CA" w:rsidP="00E82738">
            <w:pPr>
              <w:spacing w:after="160" w:line="360" w:lineRule="auto"/>
              <w:jc w:val="both"/>
              <w:rPr>
                <w:rFonts w:ascii="Arial" w:hAnsi="Arial" w:cs="Arial"/>
                <w:sz w:val="24"/>
                <w:szCs w:val="24"/>
              </w:rPr>
            </w:pPr>
          </w:p>
        </w:tc>
        <w:tc>
          <w:tcPr>
            <w:tcW w:w="1737" w:type="dxa"/>
          </w:tcPr>
          <w:p w14:paraId="0D18DD2B"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Significant improvement in employee engagement and job satisfaction </w:t>
            </w:r>
          </w:p>
        </w:tc>
        <w:tc>
          <w:tcPr>
            <w:tcW w:w="1451" w:type="dxa"/>
          </w:tcPr>
          <w:p w14:paraId="0DE98434"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2</w:t>
            </w:r>
          </w:p>
        </w:tc>
        <w:tc>
          <w:tcPr>
            <w:tcW w:w="1349" w:type="dxa"/>
          </w:tcPr>
          <w:p w14:paraId="5281809A"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11/02/2024</w:t>
            </w:r>
          </w:p>
        </w:tc>
        <w:tc>
          <w:tcPr>
            <w:tcW w:w="1151" w:type="dxa"/>
          </w:tcPr>
          <w:p w14:paraId="4D2F793F"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250,000</w:t>
            </w:r>
          </w:p>
        </w:tc>
      </w:tr>
      <w:tr w:rsidR="00CF262D" w:rsidRPr="003927CA" w14:paraId="56554F37" w14:textId="77777777" w:rsidTr="00813EF6">
        <w:tc>
          <w:tcPr>
            <w:tcW w:w="579" w:type="dxa"/>
          </w:tcPr>
          <w:p w14:paraId="322B6DF6" w14:textId="77777777" w:rsidR="003927CA" w:rsidRPr="003927CA" w:rsidRDefault="003927CA" w:rsidP="00E82738">
            <w:pPr>
              <w:numPr>
                <w:ilvl w:val="0"/>
                <w:numId w:val="3"/>
              </w:numPr>
              <w:spacing w:after="160" w:line="360" w:lineRule="auto"/>
              <w:jc w:val="both"/>
              <w:rPr>
                <w:rFonts w:ascii="Arial" w:hAnsi="Arial" w:cs="Arial"/>
                <w:sz w:val="24"/>
                <w:szCs w:val="24"/>
              </w:rPr>
            </w:pPr>
          </w:p>
        </w:tc>
        <w:tc>
          <w:tcPr>
            <w:tcW w:w="1463" w:type="dxa"/>
          </w:tcPr>
          <w:p w14:paraId="4726578D"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Inefficiency in evaluating practice changes </w:t>
            </w:r>
          </w:p>
        </w:tc>
        <w:tc>
          <w:tcPr>
            <w:tcW w:w="1575" w:type="dxa"/>
          </w:tcPr>
          <w:p w14:paraId="24F98641" w14:textId="4E78C243"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Adopts success evaluation </w:t>
            </w:r>
            <w:r w:rsidR="00CF262D" w:rsidRPr="003927CA">
              <w:rPr>
                <w:rFonts w:ascii="Arial" w:hAnsi="Arial" w:cs="Arial"/>
                <w:sz w:val="24"/>
                <w:szCs w:val="24"/>
              </w:rPr>
              <w:t>criteria.</w:t>
            </w:r>
          </w:p>
          <w:p w14:paraId="13A030C6" w14:textId="77777777" w:rsidR="003927CA" w:rsidRPr="003927CA" w:rsidRDefault="003927CA" w:rsidP="00E82738">
            <w:pPr>
              <w:spacing w:after="160" w:line="360" w:lineRule="auto"/>
              <w:jc w:val="both"/>
              <w:rPr>
                <w:rFonts w:ascii="Arial" w:hAnsi="Arial" w:cs="Arial"/>
                <w:sz w:val="24"/>
                <w:szCs w:val="24"/>
              </w:rPr>
            </w:pPr>
          </w:p>
        </w:tc>
        <w:tc>
          <w:tcPr>
            <w:tcW w:w="1737" w:type="dxa"/>
          </w:tcPr>
          <w:p w14:paraId="037BE883"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Evaluate the efficacies of the proposed interventions to influence the implementatio</w:t>
            </w:r>
            <w:r w:rsidRPr="003927CA">
              <w:rPr>
                <w:rFonts w:ascii="Arial" w:hAnsi="Arial" w:cs="Arial"/>
                <w:sz w:val="24"/>
                <w:szCs w:val="24"/>
              </w:rPr>
              <w:lastRenderedPageBreak/>
              <w:t xml:space="preserve">n of the necessary adjustments. </w:t>
            </w:r>
          </w:p>
        </w:tc>
        <w:tc>
          <w:tcPr>
            <w:tcW w:w="1451" w:type="dxa"/>
          </w:tcPr>
          <w:p w14:paraId="43938F21"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lastRenderedPageBreak/>
              <w:t xml:space="preserve">Continuous </w:t>
            </w:r>
          </w:p>
        </w:tc>
        <w:tc>
          <w:tcPr>
            <w:tcW w:w="1349" w:type="dxa"/>
          </w:tcPr>
          <w:p w14:paraId="0EE6BEE8"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n/a</w:t>
            </w:r>
          </w:p>
        </w:tc>
        <w:tc>
          <w:tcPr>
            <w:tcW w:w="1151" w:type="dxa"/>
          </w:tcPr>
          <w:p w14:paraId="45367C8F"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45000</w:t>
            </w:r>
          </w:p>
        </w:tc>
      </w:tr>
      <w:tr w:rsidR="00CF262D" w:rsidRPr="003927CA" w14:paraId="081C84F2" w14:textId="77777777" w:rsidTr="00813EF6">
        <w:tc>
          <w:tcPr>
            <w:tcW w:w="579" w:type="dxa"/>
          </w:tcPr>
          <w:p w14:paraId="21CCE5F2" w14:textId="77777777" w:rsidR="003927CA" w:rsidRPr="003927CA" w:rsidRDefault="003927CA" w:rsidP="00E82738">
            <w:pPr>
              <w:numPr>
                <w:ilvl w:val="0"/>
                <w:numId w:val="3"/>
              </w:numPr>
              <w:spacing w:after="160" w:line="360" w:lineRule="auto"/>
              <w:jc w:val="both"/>
              <w:rPr>
                <w:rFonts w:ascii="Arial" w:hAnsi="Arial" w:cs="Arial"/>
                <w:sz w:val="24"/>
                <w:szCs w:val="24"/>
              </w:rPr>
            </w:pPr>
          </w:p>
        </w:tc>
        <w:tc>
          <w:tcPr>
            <w:tcW w:w="1463" w:type="dxa"/>
          </w:tcPr>
          <w:p w14:paraId="4C9E3D25"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Absence of effective work scheduling </w:t>
            </w:r>
          </w:p>
        </w:tc>
        <w:tc>
          <w:tcPr>
            <w:tcW w:w="1575" w:type="dxa"/>
          </w:tcPr>
          <w:p w14:paraId="6D9C922D"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Technological upgrade to improve remote scheduling. </w:t>
            </w:r>
          </w:p>
        </w:tc>
        <w:tc>
          <w:tcPr>
            <w:tcW w:w="1737" w:type="dxa"/>
          </w:tcPr>
          <w:p w14:paraId="2AA0AB1B"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 xml:space="preserve">Improved efficiency of remote working options. </w:t>
            </w:r>
          </w:p>
        </w:tc>
        <w:tc>
          <w:tcPr>
            <w:tcW w:w="1451" w:type="dxa"/>
          </w:tcPr>
          <w:p w14:paraId="70D0EDDE"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2</w:t>
            </w:r>
          </w:p>
        </w:tc>
        <w:tc>
          <w:tcPr>
            <w:tcW w:w="1349" w:type="dxa"/>
          </w:tcPr>
          <w:p w14:paraId="1A424D4B" w14:textId="77777777" w:rsidR="003927CA" w:rsidRPr="003927CA" w:rsidRDefault="003927CA" w:rsidP="00E82738">
            <w:pPr>
              <w:spacing w:after="160" w:line="360" w:lineRule="auto"/>
              <w:jc w:val="both"/>
              <w:rPr>
                <w:rFonts w:ascii="Arial" w:hAnsi="Arial" w:cs="Arial"/>
                <w:sz w:val="24"/>
                <w:szCs w:val="24"/>
              </w:rPr>
            </w:pPr>
            <w:r w:rsidRPr="003927CA">
              <w:rPr>
                <w:rFonts w:ascii="Arial" w:hAnsi="Arial" w:cs="Arial"/>
                <w:sz w:val="24"/>
                <w:szCs w:val="24"/>
              </w:rPr>
              <w:t>12/04/2024</w:t>
            </w:r>
          </w:p>
        </w:tc>
        <w:tc>
          <w:tcPr>
            <w:tcW w:w="1151" w:type="dxa"/>
          </w:tcPr>
          <w:p w14:paraId="7C9C0298" w14:textId="77777777" w:rsidR="003927CA" w:rsidRPr="003927CA" w:rsidRDefault="003927CA" w:rsidP="00E82738">
            <w:pPr>
              <w:spacing w:after="160" w:line="360" w:lineRule="auto"/>
              <w:jc w:val="both"/>
              <w:rPr>
                <w:rFonts w:ascii="Arial" w:hAnsi="Arial" w:cs="Arial"/>
                <w:sz w:val="24"/>
                <w:szCs w:val="24"/>
              </w:rPr>
            </w:pPr>
          </w:p>
        </w:tc>
      </w:tr>
    </w:tbl>
    <w:p w14:paraId="59797B52" w14:textId="77777777" w:rsidR="003927CA" w:rsidRPr="00E82738" w:rsidRDefault="003927CA" w:rsidP="00E82738">
      <w:pPr>
        <w:spacing w:line="360" w:lineRule="auto"/>
        <w:jc w:val="both"/>
        <w:rPr>
          <w:rFonts w:ascii="Arial" w:hAnsi="Arial" w:cs="Arial"/>
          <w:sz w:val="24"/>
          <w:szCs w:val="24"/>
        </w:rPr>
      </w:pPr>
    </w:p>
    <w:p w14:paraId="640DACB9" w14:textId="77777777" w:rsidR="00380577" w:rsidRDefault="00380577" w:rsidP="00380577">
      <w:pPr>
        <w:spacing w:line="360" w:lineRule="auto"/>
        <w:jc w:val="center"/>
        <w:rPr>
          <w:rFonts w:ascii="Arial" w:hAnsi="Arial" w:cs="Arial"/>
          <w:b/>
          <w:bCs/>
          <w:sz w:val="24"/>
          <w:szCs w:val="24"/>
        </w:rPr>
      </w:pPr>
    </w:p>
    <w:p w14:paraId="76CFFE93" w14:textId="445DF85C" w:rsidR="00F87926" w:rsidRDefault="00F87926" w:rsidP="00380577">
      <w:pPr>
        <w:spacing w:line="360" w:lineRule="auto"/>
        <w:jc w:val="center"/>
        <w:rPr>
          <w:rFonts w:ascii="Arial" w:hAnsi="Arial" w:cs="Arial"/>
          <w:b/>
          <w:bCs/>
          <w:sz w:val="24"/>
          <w:szCs w:val="24"/>
        </w:rPr>
      </w:pPr>
      <w:r w:rsidRPr="00380577">
        <w:rPr>
          <w:rFonts w:ascii="Arial" w:hAnsi="Arial" w:cs="Arial"/>
          <w:b/>
          <w:bCs/>
          <w:sz w:val="24"/>
          <w:szCs w:val="24"/>
        </w:rPr>
        <w:t>Conclusion</w:t>
      </w:r>
    </w:p>
    <w:p w14:paraId="7C7DCCB0" w14:textId="77777777" w:rsidR="00380577" w:rsidRPr="00380577" w:rsidRDefault="00380577" w:rsidP="00380577">
      <w:pPr>
        <w:spacing w:line="360" w:lineRule="auto"/>
        <w:jc w:val="center"/>
        <w:rPr>
          <w:rFonts w:ascii="Arial" w:hAnsi="Arial" w:cs="Arial"/>
          <w:b/>
          <w:bCs/>
          <w:sz w:val="24"/>
          <w:szCs w:val="24"/>
        </w:rPr>
      </w:pPr>
    </w:p>
    <w:p w14:paraId="24663E06" w14:textId="57E119F4" w:rsidR="00F87926" w:rsidRPr="00E82738" w:rsidRDefault="004D0FF0" w:rsidP="00E82738">
      <w:pPr>
        <w:spacing w:line="360" w:lineRule="auto"/>
        <w:jc w:val="both"/>
        <w:rPr>
          <w:rFonts w:ascii="Arial" w:hAnsi="Arial" w:cs="Arial"/>
          <w:sz w:val="24"/>
          <w:szCs w:val="24"/>
        </w:rPr>
      </w:pPr>
      <w:r w:rsidRPr="00E82738">
        <w:rPr>
          <w:rFonts w:ascii="Arial" w:hAnsi="Arial" w:cs="Arial"/>
          <w:sz w:val="24"/>
          <w:szCs w:val="24"/>
        </w:rPr>
        <w:t xml:space="preserve">     </w:t>
      </w:r>
      <w:r w:rsidR="00F87926" w:rsidRPr="00E82738">
        <w:rPr>
          <w:rFonts w:ascii="Arial" w:hAnsi="Arial" w:cs="Arial"/>
          <w:sz w:val="24"/>
          <w:szCs w:val="24"/>
        </w:rPr>
        <w:t>In conclusion, this report has explored the implications of the high employee turnover rate at Courtyard by Marriott hotels. The findings of this report established that the current employee turnover rate is higher than that in the entire hospitality sector. The cost implications of higher employee turnover rates include the rising expenses associated with recruiting and selecting new employees, including providing the necessary training programs to the new hires. The management can address the rising employee turnover rate to create a competitive edge while optimising the operational efficiencies in the sector. The report has highlighted some factors contributing to the rising employee turnover rates at Courtyard by Marriott hotels---low remuneration, unpredictable work schedules depending on the season, and long working hours under demanding work conditions. Other underlying causes include poor management and reduced opportunities for professional advancement in the industry.</w:t>
      </w:r>
    </w:p>
    <w:p w14:paraId="01661FF6" w14:textId="4A5EB95F" w:rsidR="00F87926" w:rsidRPr="00E82738" w:rsidRDefault="004D0FF0" w:rsidP="00E82738">
      <w:pPr>
        <w:spacing w:line="360" w:lineRule="auto"/>
        <w:jc w:val="both"/>
        <w:rPr>
          <w:rFonts w:ascii="Arial" w:hAnsi="Arial" w:cs="Arial"/>
          <w:sz w:val="24"/>
          <w:szCs w:val="24"/>
        </w:rPr>
      </w:pPr>
      <w:r w:rsidRPr="00E82738">
        <w:rPr>
          <w:rFonts w:ascii="Arial" w:hAnsi="Arial" w:cs="Arial"/>
          <w:sz w:val="24"/>
          <w:szCs w:val="24"/>
        </w:rPr>
        <w:t xml:space="preserve">      </w:t>
      </w:r>
      <w:r w:rsidR="00F87926" w:rsidRPr="00E82738">
        <w:rPr>
          <w:rFonts w:ascii="Arial" w:hAnsi="Arial" w:cs="Arial"/>
          <w:sz w:val="24"/>
          <w:szCs w:val="24"/>
        </w:rPr>
        <w:t xml:space="preserve">More importantly, the report has identified specific research-based interventions for addressing the organisational problem. Active involvement of the stakeholders, especially employees, when implementing the suggested changes is crucial in facilitating a seamless process of change implementation. The management can implement some of the interventions to achieve improved employee engagement and overall productivity by reassessing the existing corporate culture, improving the work </w:t>
      </w:r>
      <w:r w:rsidR="00F87926" w:rsidRPr="00E82738">
        <w:rPr>
          <w:rFonts w:ascii="Arial" w:hAnsi="Arial" w:cs="Arial"/>
          <w:sz w:val="24"/>
          <w:szCs w:val="24"/>
        </w:rPr>
        <w:lastRenderedPageBreak/>
        <w:t xml:space="preserve">schedule, and improving the current pricing strategies and overall quality of services. Top management can provide the necessary support and resources to implement the suggested interventions successfully. The commitment of the management of Courtyard by Marriott is a crucial step in transforming human resources management. </w:t>
      </w:r>
    </w:p>
    <w:p w14:paraId="45E4C130" w14:textId="10C46F3E" w:rsidR="00F87926" w:rsidRPr="00E82738" w:rsidRDefault="004D0FF0" w:rsidP="00E82738">
      <w:pPr>
        <w:spacing w:line="360" w:lineRule="auto"/>
        <w:jc w:val="both"/>
        <w:rPr>
          <w:rFonts w:ascii="Arial" w:hAnsi="Arial" w:cs="Arial"/>
          <w:sz w:val="24"/>
          <w:szCs w:val="24"/>
        </w:rPr>
      </w:pPr>
      <w:r w:rsidRPr="00E82738">
        <w:rPr>
          <w:rFonts w:ascii="Arial" w:hAnsi="Arial" w:cs="Arial"/>
          <w:sz w:val="24"/>
          <w:szCs w:val="24"/>
        </w:rPr>
        <w:t xml:space="preserve">      </w:t>
      </w:r>
      <w:r w:rsidR="00F87926" w:rsidRPr="00E82738">
        <w:rPr>
          <w:rFonts w:ascii="Arial" w:hAnsi="Arial" w:cs="Arial"/>
          <w:sz w:val="24"/>
          <w:szCs w:val="24"/>
        </w:rPr>
        <w:t xml:space="preserve">The report also uses a theoretical perspective to ensure successful change implementation. Lewin's change management model provides a stepwise approach to ensuring successful change implementation. Under this theoretical framework, the management can follow three main processes when introducing the changes to avoid or limit passive and active resistance from stakeholders—unfreezing, changing, and refreezing. </w:t>
      </w:r>
    </w:p>
    <w:p w14:paraId="73D41757" w14:textId="21569FEF" w:rsidR="00F87926" w:rsidRPr="00E82738" w:rsidRDefault="009F4904" w:rsidP="00E82738">
      <w:pPr>
        <w:spacing w:line="360" w:lineRule="auto"/>
        <w:jc w:val="both"/>
        <w:rPr>
          <w:rFonts w:ascii="Arial" w:hAnsi="Arial" w:cs="Arial"/>
          <w:sz w:val="24"/>
          <w:szCs w:val="24"/>
        </w:rPr>
      </w:pPr>
      <w:r w:rsidRPr="00E82738">
        <w:rPr>
          <w:rFonts w:ascii="Arial" w:hAnsi="Arial" w:cs="Arial"/>
          <w:sz w:val="24"/>
          <w:szCs w:val="24"/>
        </w:rPr>
        <w:t xml:space="preserve">   </w:t>
      </w:r>
      <w:r w:rsidR="004D0FF0" w:rsidRPr="00E82738">
        <w:rPr>
          <w:rFonts w:ascii="Arial" w:hAnsi="Arial" w:cs="Arial"/>
          <w:sz w:val="24"/>
          <w:szCs w:val="24"/>
        </w:rPr>
        <w:t xml:space="preserve">   </w:t>
      </w:r>
      <w:r w:rsidR="00F87926" w:rsidRPr="00E82738">
        <w:rPr>
          <w:rFonts w:ascii="Arial" w:hAnsi="Arial" w:cs="Arial"/>
          <w:sz w:val="24"/>
          <w:szCs w:val="24"/>
        </w:rPr>
        <w:t xml:space="preserve">Although implementing the suggested changes has cost implications, Courtyard by Marriott will accrue numerous benefits. Improved guest satisfaction as highly engaged and motivated employees tend to provide improved services. Better treatment of employees can help the business to improve its organisational reputation and brand reputation. Remote working options will enable the management to achieve improved job satisfaction among the employees who prefer to work from home. The report also suggests success evaluation criteria to enable the organisation's management to track the relevance and efficacy of the proposed changes in addressing the identified organisational issues. </w:t>
      </w:r>
    </w:p>
    <w:p w14:paraId="5AFE41F4" w14:textId="0A932019" w:rsidR="009E268D" w:rsidRDefault="009F4904" w:rsidP="00E82738">
      <w:pPr>
        <w:spacing w:line="360" w:lineRule="auto"/>
        <w:jc w:val="both"/>
        <w:rPr>
          <w:rFonts w:ascii="Arial" w:hAnsi="Arial" w:cs="Arial"/>
          <w:sz w:val="24"/>
          <w:szCs w:val="24"/>
        </w:rPr>
      </w:pPr>
      <w:r w:rsidRPr="00E82738">
        <w:rPr>
          <w:rFonts w:ascii="Arial" w:hAnsi="Arial" w:cs="Arial"/>
          <w:sz w:val="24"/>
          <w:szCs w:val="24"/>
        </w:rPr>
        <w:t xml:space="preserve">  </w:t>
      </w:r>
      <w:r w:rsidR="004D0FF0" w:rsidRPr="00E82738">
        <w:rPr>
          <w:rFonts w:ascii="Arial" w:hAnsi="Arial" w:cs="Arial"/>
          <w:sz w:val="24"/>
          <w:szCs w:val="24"/>
        </w:rPr>
        <w:t xml:space="preserve">   </w:t>
      </w:r>
      <w:r w:rsidRPr="00E82738">
        <w:rPr>
          <w:rFonts w:ascii="Arial" w:hAnsi="Arial" w:cs="Arial"/>
          <w:sz w:val="24"/>
          <w:szCs w:val="24"/>
        </w:rPr>
        <w:t xml:space="preserve"> </w:t>
      </w:r>
      <w:r w:rsidR="00F87926" w:rsidRPr="00E82738">
        <w:rPr>
          <w:rFonts w:ascii="Arial" w:hAnsi="Arial" w:cs="Arial"/>
          <w:sz w:val="24"/>
          <w:szCs w:val="24"/>
        </w:rPr>
        <w:t>We want to thank the management of Courtyard of Marriott Hotels for the opportunity to collaborate on this crucial business project. We remain committed to providing businesses with research-based and creative solutions to address contemporary challenges in the business milieu, such as the problem of high employee turnover rates. Our greatest hope is that the suggested solutions will help the management of Courtyard by Marriott hotels to navigate the current challenge to improve sustainability in business growth and profitability.</w:t>
      </w:r>
    </w:p>
    <w:p w14:paraId="21E1CFC2" w14:textId="77777777" w:rsidR="00380577" w:rsidRDefault="00380577" w:rsidP="00E82738">
      <w:pPr>
        <w:spacing w:line="360" w:lineRule="auto"/>
        <w:jc w:val="both"/>
        <w:rPr>
          <w:rFonts w:ascii="Arial" w:hAnsi="Arial" w:cs="Arial"/>
          <w:sz w:val="24"/>
          <w:szCs w:val="24"/>
        </w:rPr>
      </w:pPr>
    </w:p>
    <w:p w14:paraId="72F8E96A" w14:textId="77777777" w:rsidR="00380577" w:rsidRPr="00E82738" w:rsidRDefault="00380577" w:rsidP="00E82738">
      <w:pPr>
        <w:spacing w:line="360" w:lineRule="auto"/>
        <w:jc w:val="both"/>
        <w:rPr>
          <w:rFonts w:ascii="Arial" w:hAnsi="Arial" w:cs="Arial"/>
          <w:sz w:val="24"/>
          <w:szCs w:val="24"/>
        </w:rPr>
      </w:pPr>
    </w:p>
    <w:p w14:paraId="6774B318" w14:textId="77777777" w:rsidR="00F23767" w:rsidRPr="00E82738" w:rsidRDefault="00F23767" w:rsidP="00E82738">
      <w:pPr>
        <w:spacing w:line="360" w:lineRule="auto"/>
        <w:jc w:val="both"/>
        <w:rPr>
          <w:rFonts w:ascii="Arial" w:hAnsi="Arial" w:cs="Arial"/>
          <w:sz w:val="24"/>
          <w:szCs w:val="24"/>
        </w:rPr>
      </w:pPr>
    </w:p>
    <w:sdt>
      <w:sdtPr>
        <w:rPr>
          <w:rFonts w:cstheme="minorHAnsi"/>
          <w:b/>
          <w:bCs/>
          <w:kern w:val="0"/>
          <w:sz w:val="24"/>
          <w:szCs w:val="24"/>
          <w:lang w:val="en-US"/>
          <w14:ligatures w14:val="none"/>
        </w:rPr>
        <w:id w:val="1771890153"/>
        <w:docPartObj>
          <w:docPartGallery w:val="Bibliographies"/>
          <w:docPartUnique/>
        </w:docPartObj>
      </w:sdtPr>
      <w:sdtEndPr>
        <w:rPr>
          <w:rFonts w:ascii="Arial" w:hAnsi="Arial" w:cs="Arial"/>
          <w:b w:val="0"/>
          <w:bCs w:val="0"/>
        </w:rPr>
      </w:sdtEndPr>
      <w:sdtContent>
        <w:p w14:paraId="3274B41C" w14:textId="77777777" w:rsidR="008748BF" w:rsidRPr="008748BF" w:rsidRDefault="008748BF" w:rsidP="001A4122">
          <w:pPr>
            <w:keepNext/>
            <w:keepLines/>
            <w:spacing w:before="240" w:after="0" w:line="360" w:lineRule="auto"/>
            <w:jc w:val="center"/>
            <w:outlineLvl w:val="0"/>
            <w:rPr>
              <w:rFonts w:ascii="Arial" w:eastAsiaTheme="majorEastAsia" w:hAnsi="Arial" w:cs="Arial"/>
              <w:b/>
              <w:bCs/>
              <w:kern w:val="0"/>
              <w:sz w:val="24"/>
              <w:szCs w:val="24"/>
              <w:lang w:val="en-US"/>
              <w14:ligatures w14:val="none"/>
            </w:rPr>
          </w:pPr>
          <w:r w:rsidRPr="008748BF">
            <w:rPr>
              <w:rFonts w:ascii="Arial" w:eastAsiaTheme="majorEastAsia" w:hAnsi="Arial" w:cs="Arial"/>
              <w:b/>
              <w:bCs/>
              <w:kern w:val="0"/>
              <w:sz w:val="24"/>
              <w:szCs w:val="24"/>
              <w:lang w:val="en-US"/>
              <w14:ligatures w14:val="none"/>
            </w:rPr>
            <w:t>References</w:t>
          </w:r>
        </w:p>
        <w:sdt>
          <w:sdtPr>
            <w:rPr>
              <w:rFonts w:cstheme="minorHAnsi"/>
              <w:kern w:val="0"/>
              <w:sz w:val="24"/>
              <w:szCs w:val="24"/>
              <w:lang w:val="en-US"/>
              <w14:ligatures w14:val="none"/>
            </w:rPr>
            <w:id w:val="-573587230"/>
            <w:bibliography/>
          </w:sdtPr>
          <w:sdtEndPr>
            <w:rPr>
              <w:rFonts w:ascii="Arial" w:hAnsi="Arial" w:cs="Arial"/>
            </w:rPr>
          </w:sdtEndPr>
          <w:sdtContent>
            <w:p w14:paraId="422E5928"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kern w:val="0"/>
                  <w:sz w:val="24"/>
                  <w:szCs w:val="24"/>
                  <w:lang w:val="en-US"/>
                  <w14:ligatures w14:val="none"/>
                </w:rPr>
                <w:fldChar w:fldCharType="begin"/>
              </w:r>
              <w:r w:rsidRPr="00060E1F">
                <w:rPr>
                  <w:rFonts w:ascii="Arial" w:hAnsi="Arial" w:cs="Arial"/>
                  <w:kern w:val="0"/>
                  <w:sz w:val="24"/>
                  <w:szCs w:val="24"/>
                  <w:lang w:val="en-US"/>
                  <w14:ligatures w14:val="none"/>
                </w:rPr>
                <w:instrText xml:space="preserve"> BIBLIOGRAPHY </w:instrText>
              </w:r>
              <w:r w:rsidRPr="00060E1F">
                <w:rPr>
                  <w:rFonts w:ascii="Arial" w:hAnsi="Arial" w:cs="Arial"/>
                  <w:kern w:val="0"/>
                  <w:sz w:val="24"/>
                  <w:szCs w:val="24"/>
                  <w:lang w:val="en-US"/>
                  <w14:ligatures w14:val="none"/>
                </w:rPr>
                <w:fldChar w:fldCharType="separate"/>
              </w:r>
              <w:r w:rsidRPr="00060E1F">
                <w:rPr>
                  <w:rFonts w:ascii="Arial" w:hAnsi="Arial" w:cs="Arial"/>
                  <w:noProof/>
                  <w:kern w:val="0"/>
                  <w:sz w:val="24"/>
                  <w:szCs w:val="24"/>
                  <w:lang w:val="en-US"/>
                  <w14:ligatures w14:val="none"/>
                </w:rPr>
                <w:t xml:space="preserve">Ahmad, A., Barakbah, S. M., &amp; Majdi, A. A. (2021). </w:t>
              </w:r>
              <w:r w:rsidRPr="00060E1F">
                <w:rPr>
                  <w:rFonts w:ascii="Arial" w:hAnsi="Arial" w:cs="Arial"/>
                  <w:i/>
                  <w:iCs/>
                  <w:noProof/>
                  <w:kern w:val="0"/>
                  <w:sz w:val="24"/>
                  <w:szCs w:val="24"/>
                  <w:lang w:val="en-US"/>
                  <w14:ligatures w14:val="none"/>
                </w:rPr>
                <w:t>Hotel Employees’ Burnout and Turnover Intentions.</w:t>
              </w:r>
              <w:r w:rsidRPr="00060E1F">
                <w:rPr>
                  <w:rFonts w:ascii="Arial" w:hAnsi="Arial" w:cs="Arial"/>
                  <w:noProof/>
                  <w:kern w:val="0"/>
                  <w:sz w:val="24"/>
                  <w:szCs w:val="24"/>
                  <w:lang w:val="en-US"/>
                  <w14:ligatures w14:val="none"/>
                </w:rPr>
                <w:t xml:space="preserve"> Management. Available at:</w:t>
              </w:r>
              <w:hyperlink r:id="rId13" w:history="1">
                <w:r w:rsidRPr="00060E1F">
                  <w:rPr>
                    <w:rFonts w:ascii="Arial" w:hAnsi="Arial" w:cs="Arial"/>
                    <w:noProof/>
                    <w:color w:val="0000FF"/>
                    <w:kern w:val="0"/>
                    <w:sz w:val="24"/>
                    <w:szCs w:val="24"/>
                    <w:lang w:val="en-US"/>
                    <w14:ligatures w14:val="none"/>
                  </w:rPr>
                  <w:t>https://www.webology.org/data-cms/articles/20211101114219amWEB18115.pdf</w:t>
                </w:r>
              </w:hyperlink>
              <w:r w:rsidRPr="00060E1F">
                <w:rPr>
                  <w:rFonts w:ascii="Arial" w:hAnsi="Arial" w:cs="Arial"/>
                  <w:noProof/>
                  <w:kern w:val="0"/>
                  <w:sz w:val="24"/>
                  <w:szCs w:val="24"/>
                  <w:lang w:val="en-US"/>
                  <w14:ligatures w14:val="none"/>
                </w:rPr>
                <w:t>[Accessed: 14 Nov. 23]</w:t>
              </w:r>
            </w:p>
            <w:p w14:paraId="071F3C36"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Ahsan, M. J., &amp; Khalid, M. H. (2023). </w:t>
              </w:r>
              <w:r w:rsidRPr="00060E1F">
                <w:rPr>
                  <w:rFonts w:ascii="Arial" w:hAnsi="Arial" w:cs="Arial"/>
                  <w:i/>
                  <w:iCs/>
                  <w:noProof/>
                  <w:kern w:val="0"/>
                  <w:sz w:val="24"/>
                  <w:szCs w:val="24"/>
                  <w:lang w:val="en-US"/>
                  <w14:ligatures w14:val="none"/>
                </w:rPr>
                <w:t>Laissez-Faire Leadership. In Leadership Approaches in Global Hospitality and Tourism (pp. 61-72).</w:t>
              </w:r>
              <w:r w:rsidRPr="00060E1F">
                <w:rPr>
                  <w:rFonts w:ascii="Arial" w:hAnsi="Arial" w:cs="Arial"/>
                  <w:noProof/>
                  <w:kern w:val="0"/>
                  <w:sz w:val="24"/>
                  <w:szCs w:val="24"/>
                  <w:lang w:val="en-US"/>
                  <w14:ligatures w14:val="none"/>
                </w:rPr>
                <w:t xml:space="preserve"> IGI Global. Available at:</w:t>
              </w:r>
              <w:hyperlink r:id="rId14" w:history="1">
                <w:r w:rsidRPr="00060E1F">
                  <w:rPr>
                    <w:rFonts w:ascii="Arial" w:hAnsi="Arial" w:cs="Arial"/>
                    <w:noProof/>
                    <w:color w:val="0000FF"/>
                    <w:kern w:val="0"/>
                    <w:sz w:val="24"/>
                    <w:szCs w:val="24"/>
                    <w:lang w:val="en-US"/>
                    <w14:ligatures w14:val="none"/>
                  </w:rPr>
                  <w:t>DOI: 10.4018/978-1-6684-6713-8.ch004</w:t>
                </w:r>
              </w:hyperlink>
              <w:r w:rsidRPr="00060E1F">
                <w:rPr>
                  <w:rFonts w:ascii="Arial" w:hAnsi="Arial" w:cs="Arial"/>
                  <w:noProof/>
                  <w:kern w:val="0"/>
                  <w:sz w:val="24"/>
                  <w:szCs w:val="24"/>
                  <w:lang w:val="en-US"/>
                  <w14:ligatures w14:val="none"/>
                </w:rPr>
                <w:t>[Accessed: 14 Nov. 23]</w:t>
              </w:r>
            </w:p>
            <w:p w14:paraId="54558D93"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Anggoro KR, M. Y., Saputra, E. K., Nafisa, L., &amp; Nainggolan, H. (2023). The Role of Transactional Leadership, Compensation and Working Environment on Employee Job Satisfaction in Fertilizer Industry. </w:t>
              </w:r>
              <w:r w:rsidRPr="00060E1F">
                <w:rPr>
                  <w:rFonts w:ascii="Arial" w:hAnsi="Arial" w:cs="Arial"/>
                  <w:i/>
                  <w:iCs/>
                  <w:noProof/>
                  <w:kern w:val="0"/>
                  <w:sz w:val="24"/>
                  <w:szCs w:val="24"/>
                  <w:lang w:val="en-US"/>
                  <w14:ligatures w14:val="none"/>
                </w:rPr>
                <w:t>JEMSI (Jurnal Ekonomi, Manajemen, dan Akuntansi), 9</w:t>
              </w:r>
              <w:r w:rsidRPr="00060E1F">
                <w:rPr>
                  <w:rFonts w:ascii="Arial" w:hAnsi="Arial" w:cs="Arial"/>
                  <w:noProof/>
                  <w:kern w:val="0"/>
                  <w:sz w:val="24"/>
                  <w:szCs w:val="24"/>
                  <w:lang w:val="en-US"/>
                  <w14:ligatures w14:val="none"/>
                </w:rPr>
                <w:t xml:space="preserve">(2). Available </w:t>
              </w:r>
              <w:hyperlink r:id="rId15" w:history="1">
                <w:r w:rsidRPr="00060E1F">
                  <w:rPr>
                    <w:rFonts w:ascii="Arial" w:hAnsi="Arial" w:cs="Arial"/>
                    <w:noProof/>
                    <w:color w:val="0000FF"/>
                    <w:kern w:val="0"/>
                    <w:sz w:val="24"/>
                    <w:szCs w:val="24"/>
                    <w:lang w:val="en-US"/>
                    <w14:ligatures w14:val="none"/>
                  </w:rPr>
                  <w:t>at:http://journal.lembagakita.org/index.php/jemsi/article/view/1015</w:t>
                </w:r>
              </w:hyperlink>
              <w:r w:rsidRPr="00060E1F">
                <w:rPr>
                  <w:rFonts w:ascii="Arial" w:hAnsi="Arial" w:cs="Arial"/>
                  <w:noProof/>
                  <w:kern w:val="0"/>
                  <w:sz w:val="24"/>
                  <w:szCs w:val="24"/>
                  <w:lang w:val="en-US"/>
                  <w14:ligatures w14:val="none"/>
                </w:rPr>
                <w:t>[Accessed: 14 Nov. 23]</w:t>
              </w:r>
            </w:p>
            <w:p w14:paraId="712535D0"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Bamidele-Sadiq, M., Popoola, O., Lawal, G. O., &amp; Awodiji, T. O. (2022). The importance of decision tree analysis on strategic management practice: Evidence from retail industries in the US. </w:t>
              </w:r>
              <w:r w:rsidRPr="00060E1F">
                <w:rPr>
                  <w:rFonts w:ascii="Arial" w:hAnsi="Arial" w:cs="Arial"/>
                  <w:i/>
                  <w:iCs/>
                  <w:noProof/>
                  <w:kern w:val="0"/>
                  <w:sz w:val="24"/>
                  <w:szCs w:val="24"/>
                  <w:lang w:val="en-US"/>
                  <w14:ligatures w14:val="none"/>
                </w:rPr>
                <w:t>Journal of Marketing and Consumer Research, 87</w:t>
              </w:r>
              <w:r w:rsidRPr="00060E1F">
                <w:rPr>
                  <w:rFonts w:ascii="Arial" w:hAnsi="Arial" w:cs="Arial"/>
                  <w:noProof/>
                  <w:kern w:val="0"/>
                  <w:sz w:val="24"/>
                  <w:szCs w:val="24"/>
                  <w:lang w:val="en-US"/>
                  <w14:ligatures w14:val="none"/>
                </w:rPr>
                <w:t>, 87-04.</w:t>
              </w:r>
              <w:r w:rsidRPr="00060E1F">
                <w:rPr>
                  <w:rFonts w:ascii="Arial" w:hAnsi="Arial" w:cs="Arial"/>
                  <w:kern w:val="0"/>
                  <w:sz w:val="24"/>
                  <w:szCs w:val="24"/>
                  <w:lang w:val="en-US"/>
                  <w14:ligatures w14:val="none"/>
                </w:rPr>
                <w:t xml:space="preserve"> </w:t>
              </w:r>
              <w:r w:rsidRPr="00060E1F">
                <w:rPr>
                  <w:rFonts w:ascii="Arial" w:hAnsi="Arial" w:cs="Arial"/>
                  <w:noProof/>
                  <w:kern w:val="0"/>
                  <w:sz w:val="24"/>
                  <w:szCs w:val="24"/>
                  <w:lang w:val="en-US"/>
                  <w14:ligatures w14:val="none"/>
                </w:rPr>
                <w:t>Available at</w:t>
              </w:r>
              <w:hyperlink r:id="rId16" w:history="1">
                <w:r w:rsidRPr="00060E1F">
                  <w:rPr>
                    <w:rFonts w:ascii="Arial" w:hAnsi="Arial" w:cs="Arial"/>
                    <w:noProof/>
                    <w:color w:val="0000FF"/>
                    <w:kern w:val="0"/>
                    <w:sz w:val="24"/>
                    <w:szCs w:val="24"/>
                    <w:lang w:val="en-US"/>
                    <w14:ligatures w14:val="none"/>
                  </w:rPr>
                  <w:t>:DOI: 10.7176/JMCR/87-04</w:t>
                </w:r>
              </w:hyperlink>
              <w:r w:rsidRPr="00060E1F">
                <w:rPr>
                  <w:rFonts w:ascii="Arial" w:hAnsi="Arial" w:cs="Arial"/>
                  <w:noProof/>
                  <w:kern w:val="0"/>
                  <w:sz w:val="24"/>
                  <w:szCs w:val="24"/>
                  <w:lang w:val="en-US"/>
                  <w14:ligatures w14:val="none"/>
                </w:rPr>
                <w:t>[Accessed: 14 Nov. 23]</w:t>
              </w:r>
            </w:p>
            <w:p w14:paraId="3B8E5E9B"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Barrett, A. M., &amp; Baum, S. D. (2017). A model of pathways to artificial superintelligence catastrophe for risk and decision analysis. </w:t>
              </w:r>
              <w:r w:rsidRPr="00060E1F">
                <w:rPr>
                  <w:rFonts w:ascii="Arial" w:hAnsi="Arial" w:cs="Arial"/>
                  <w:i/>
                  <w:iCs/>
                  <w:noProof/>
                  <w:kern w:val="0"/>
                  <w:sz w:val="24"/>
                  <w:szCs w:val="24"/>
                  <w:lang w:val="en-US"/>
                  <w14:ligatures w14:val="none"/>
                </w:rPr>
                <w:t>Journal of Experimental &amp; Theoretical Artificial Intelligence, 29</w:t>
              </w:r>
              <w:r w:rsidRPr="00060E1F">
                <w:rPr>
                  <w:rFonts w:ascii="Arial" w:hAnsi="Arial" w:cs="Arial"/>
                  <w:noProof/>
                  <w:kern w:val="0"/>
                  <w:sz w:val="24"/>
                  <w:szCs w:val="24"/>
                  <w:lang w:val="en-US"/>
                  <w14:ligatures w14:val="none"/>
                </w:rPr>
                <w:t xml:space="preserve">(2), 397-414. Available at </w:t>
              </w:r>
              <w:hyperlink r:id="rId17" w:history="1">
                <w:r w:rsidRPr="00060E1F">
                  <w:rPr>
                    <w:rFonts w:ascii="Arial" w:hAnsi="Arial" w:cs="Arial"/>
                    <w:noProof/>
                    <w:color w:val="0000FF"/>
                    <w:kern w:val="0"/>
                    <w:sz w:val="24"/>
                    <w:szCs w:val="24"/>
                    <w:lang w:val="en-US"/>
                    <w14:ligatures w14:val="none"/>
                  </w:rPr>
                  <w:t>:https://doi.org/10.1080/0952813X.2016.1186228</w:t>
                </w:r>
              </w:hyperlink>
              <w:r w:rsidRPr="00060E1F">
                <w:rPr>
                  <w:rFonts w:ascii="Arial" w:hAnsi="Arial" w:cs="Arial"/>
                  <w:noProof/>
                  <w:kern w:val="0"/>
                  <w:sz w:val="24"/>
                  <w:szCs w:val="24"/>
                  <w:lang w:val="en-US"/>
                  <w14:ligatures w14:val="none"/>
                </w:rPr>
                <w:t>[Accessed: 14 Nov. 23]</w:t>
              </w:r>
            </w:p>
            <w:p w14:paraId="5FD02577"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Basnyat, S., &amp; Clarence Lao, C. S. (2020). Employees’ perceptions on the relationship between human resource management practices and employee turnover: A qualitative study. Employee Relations. </w:t>
              </w:r>
              <w:r w:rsidRPr="00060E1F">
                <w:rPr>
                  <w:rFonts w:ascii="Arial" w:hAnsi="Arial" w:cs="Arial"/>
                  <w:i/>
                  <w:iCs/>
                  <w:noProof/>
                  <w:kern w:val="0"/>
                  <w:sz w:val="24"/>
                  <w:szCs w:val="24"/>
                  <w:lang w:val="en-US"/>
                  <w14:ligatures w14:val="none"/>
                </w:rPr>
                <w:t>The International Journal, 42</w:t>
              </w:r>
              <w:r w:rsidRPr="00060E1F">
                <w:rPr>
                  <w:rFonts w:ascii="Arial" w:hAnsi="Arial" w:cs="Arial"/>
                  <w:noProof/>
                  <w:kern w:val="0"/>
                  <w:sz w:val="24"/>
                  <w:szCs w:val="24"/>
                  <w:lang w:val="en-US"/>
                  <w14:ligatures w14:val="none"/>
                </w:rPr>
                <w:t>(2), 453-470. Available at:</w:t>
              </w:r>
              <w:hyperlink r:id="rId18" w:history="1">
                <w:r w:rsidRPr="00060E1F">
                  <w:rPr>
                    <w:rFonts w:ascii="Arial" w:hAnsi="Arial" w:cs="Arial"/>
                    <w:noProof/>
                    <w:color w:val="0000FF"/>
                    <w:kern w:val="0"/>
                    <w:sz w:val="24"/>
                    <w:szCs w:val="24"/>
                    <w:lang w:val="en-US"/>
                    <w14:ligatures w14:val="none"/>
                  </w:rPr>
                  <w:t>https://doi.org/10.1108/ER-04-2019-0182</w:t>
                </w:r>
              </w:hyperlink>
              <w:r w:rsidRPr="00060E1F">
                <w:rPr>
                  <w:rFonts w:ascii="Arial" w:hAnsi="Arial" w:cs="Arial"/>
                  <w:noProof/>
                  <w:kern w:val="0"/>
                  <w:sz w:val="24"/>
                  <w:szCs w:val="24"/>
                  <w:lang w:val="en-US"/>
                  <w14:ligatures w14:val="none"/>
                </w:rPr>
                <w:t>[Accessed: 14 Nov. 23]</w:t>
              </w:r>
            </w:p>
            <w:p w14:paraId="4F3A392B"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Basnyat, S., &amp; Clarence Lao, C. S. (2020). Employees’ perceptions on the relationship between human resource management practices and employee turnover: A qualitative study. Employee Relations. </w:t>
              </w:r>
              <w:r w:rsidRPr="00060E1F">
                <w:rPr>
                  <w:rFonts w:ascii="Arial" w:hAnsi="Arial" w:cs="Arial"/>
                  <w:i/>
                  <w:iCs/>
                  <w:noProof/>
                  <w:kern w:val="0"/>
                  <w:sz w:val="24"/>
                  <w:szCs w:val="24"/>
                  <w:lang w:val="en-US"/>
                  <w14:ligatures w14:val="none"/>
                </w:rPr>
                <w:t>The International Journal, 42</w:t>
              </w:r>
              <w:r w:rsidRPr="00060E1F">
                <w:rPr>
                  <w:rFonts w:ascii="Arial" w:hAnsi="Arial" w:cs="Arial"/>
                  <w:noProof/>
                  <w:kern w:val="0"/>
                  <w:sz w:val="24"/>
                  <w:szCs w:val="24"/>
                  <w:lang w:val="en-US"/>
                  <w14:ligatures w14:val="none"/>
                </w:rPr>
                <w:t>(2), 453-</w:t>
              </w:r>
              <w:r w:rsidRPr="00060E1F">
                <w:rPr>
                  <w:rFonts w:ascii="Arial" w:hAnsi="Arial" w:cs="Arial"/>
                  <w:noProof/>
                  <w:kern w:val="0"/>
                  <w:sz w:val="24"/>
                  <w:szCs w:val="24"/>
                  <w:lang w:val="en-US"/>
                  <w14:ligatures w14:val="none"/>
                </w:rPr>
                <w:lastRenderedPageBreak/>
                <w:t>470. Available at:</w:t>
              </w:r>
              <w:hyperlink r:id="rId19" w:history="1">
                <w:r w:rsidRPr="00060E1F">
                  <w:rPr>
                    <w:rFonts w:ascii="Arial" w:hAnsi="Arial" w:cs="Arial"/>
                    <w:noProof/>
                    <w:color w:val="0000FF"/>
                    <w:kern w:val="0"/>
                    <w:sz w:val="24"/>
                    <w:szCs w:val="24"/>
                    <w:lang w:val="en-US"/>
                    <w14:ligatures w14:val="none"/>
                  </w:rPr>
                  <w:t>https://doi.org/10.1108/ER-04-2019-0182</w:t>
                </w:r>
              </w:hyperlink>
              <w:r w:rsidRPr="00060E1F">
                <w:rPr>
                  <w:rFonts w:ascii="Arial" w:hAnsi="Arial" w:cs="Arial"/>
                  <w:noProof/>
                  <w:kern w:val="0"/>
                  <w:sz w:val="24"/>
                  <w:szCs w:val="24"/>
                  <w:lang w:val="en-US"/>
                  <w14:ligatures w14:val="none"/>
                </w:rPr>
                <w:t>[Accessed: 14 Nov. 23]</w:t>
              </w:r>
            </w:p>
            <w:p w14:paraId="07B018E4" w14:textId="7F4515DB"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Bose, I. (2020). The journey of change at Corus Strip Products, UK: a theory-based case review. </w:t>
              </w:r>
              <w:r w:rsidRPr="00060E1F">
                <w:rPr>
                  <w:rFonts w:ascii="Arial" w:hAnsi="Arial" w:cs="Arial"/>
                  <w:i/>
                  <w:iCs/>
                  <w:noProof/>
                  <w:kern w:val="0"/>
                  <w:sz w:val="24"/>
                  <w:szCs w:val="24"/>
                  <w:lang w:val="en-US"/>
                  <w14:ligatures w14:val="none"/>
                </w:rPr>
                <w:t xml:space="preserve">IUP Journal of </w:t>
              </w:r>
              <w:r w:rsidR="00711D11" w:rsidRPr="00060E1F">
                <w:rPr>
                  <w:rFonts w:ascii="Arial" w:hAnsi="Arial" w:cs="Arial"/>
                  <w:i/>
                  <w:iCs/>
                  <w:noProof/>
                  <w:kern w:val="0"/>
                  <w:sz w:val="24"/>
                  <w:szCs w:val="24"/>
                  <w:lang w:val="en-US"/>
                  <w14:ligatures w14:val="none"/>
                </w:rPr>
                <w:t>Supply Chain Management</w:t>
              </w:r>
              <w:r w:rsidRPr="00060E1F">
                <w:rPr>
                  <w:rFonts w:ascii="Arial" w:hAnsi="Arial" w:cs="Arial"/>
                  <w:i/>
                  <w:iCs/>
                  <w:noProof/>
                  <w:kern w:val="0"/>
                  <w:sz w:val="24"/>
                  <w:szCs w:val="24"/>
                  <w:lang w:val="en-US"/>
                  <w14:ligatures w14:val="none"/>
                </w:rPr>
                <w:t>, 17</w:t>
              </w:r>
              <w:r w:rsidRPr="00060E1F">
                <w:rPr>
                  <w:rFonts w:ascii="Arial" w:hAnsi="Arial" w:cs="Arial"/>
                  <w:noProof/>
                  <w:kern w:val="0"/>
                  <w:sz w:val="24"/>
                  <w:szCs w:val="24"/>
                  <w:lang w:val="en-US"/>
                  <w14:ligatures w14:val="none"/>
                </w:rPr>
                <w:t>(1), 24-35. Available at:</w:t>
              </w:r>
              <w:hyperlink r:id="rId20" w:history="1">
                <w:r w:rsidRPr="00060E1F">
                  <w:rPr>
                    <w:rFonts w:ascii="Arial" w:hAnsi="Arial" w:cs="Arial"/>
                    <w:noProof/>
                    <w:color w:val="0000FF"/>
                    <w:kern w:val="0"/>
                    <w:sz w:val="24"/>
                    <w:szCs w:val="24"/>
                    <w:lang w:val="en-US"/>
                    <w14:ligatures w14:val="none"/>
                  </w:rPr>
                  <w:t>https://www.proquest.com/openview/9ae128eebbc84c0136afc52f2b7b6f3b/1?pq-origsite=gscholar&amp;cbl=2030007</w:t>
                </w:r>
              </w:hyperlink>
              <w:r w:rsidRPr="00060E1F">
                <w:rPr>
                  <w:rFonts w:ascii="Arial" w:hAnsi="Arial" w:cs="Arial"/>
                  <w:noProof/>
                  <w:kern w:val="0"/>
                  <w:sz w:val="24"/>
                  <w:szCs w:val="24"/>
                  <w:lang w:val="en-US"/>
                  <w14:ligatures w14:val="none"/>
                </w:rPr>
                <w:t>[Accessed: 14 Nov. 23]</w:t>
              </w:r>
            </w:p>
            <w:p w14:paraId="09B79662"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Breda, Z., Panyik, E., &amp; Costa, C. (2020). Internationalization of the hotel industry: evidence from Portugal. </w:t>
              </w:r>
              <w:r w:rsidRPr="00060E1F">
                <w:rPr>
                  <w:rFonts w:ascii="Arial" w:hAnsi="Arial" w:cs="Arial"/>
                  <w:i/>
                  <w:iCs/>
                  <w:noProof/>
                  <w:kern w:val="0"/>
                  <w:sz w:val="24"/>
                  <w:szCs w:val="24"/>
                  <w:lang w:val="en-US"/>
                  <w14:ligatures w14:val="none"/>
                </w:rPr>
                <w:t>Public Policy, 5</w:t>
              </w:r>
              <w:r w:rsidRPr="00060E1F">
                <w:rPr>
                  <w:rFonts w:ascii="Arial" w:hAnsi="Arial" w:cs="Arial"/>
                  <w:noProof/>
                  <w:kern w:val="0"/>
                  <w:sz w:val="24"/>
                  <w:szCs w:val="24"/>
                  <w:lang w:val="en-US"/>
                  <w14:ligatures w14:val="none"/>
                </w:rPr>
                <w:t>(2), 81-96. Available at:</w:t>
              </w:r>
              <w:hyperlink r:id="rId21" w:history="1">
                <w:r w:rsidRPr="00060E1F">
                  <w:rPr>
                    <w:rFonts w:ascii="Arial" w:hAnsi="Arial" w:cs="Arial"/>
                    <w:noProof/>
                    <w:color w:val="0000FF"/>
                    <w:kern w:val="0"/>
                    <w:sz w:val="24"/>
                    <w:szCs w:val="24"/>
                    <w:lang w:val="en-US"/>
                    <w14:ligatures w14:val="none"/>
                  </w:rPr>
                  <w:t>https://www.researchgate.net/profile/Zelia-Breda/publication/346519840_Internationalization_of_the_hotel_industry_evidence_from_Portugal/links/5fc5f1b8a6fdcce95269345b/Internationalization-of-the-hotel-industry-evidence-from-Portugal.pd</w:t>
                </w:r>
              </w:hyperlink>
              <w:r w:rsidRPr="00060E1F">
                <w:rPr>
                  <w:rFonts w:ascii="Arial" w:hAnsi="Arial" w:cs="Arial"/>
                  <w:noProof/>
                  <w:kern w:val="0"/>
                  <w:sz w:val="24"/>
                  <w:szCs w:val="24"/>
                  <w:lang w:val="en-US"/>
                  <w14:ligatures w14:val="none"/>
                </w:rPr>
                <w:t>f[Accessed: 14 Nov. 23]</w:t>
              </w:r>
            </w:p>
            <w:p w14:paraId="6310DFE0" w14:textId="4BE407F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Brereton, P. (2022). </w:t>
              </w:r>
              <w:r w:rsidRPr="00060E1F">
                <w:rPr>
                  <w:rFonts w:ascii="Arial" w:hAnsi="Arial" w:cs="Arial"/>
                  <w:i/>
                  <w:iCs/>
                  <w:noProof/>
                  <w:kern w:val="0"/>
                  <w:sz w:val="24"/>
                  <w:szCs w:val="24"/>
                  <w:lang w:val="en-US"/>
                  <w14:ligatures w14:val="none"/>
                </w:rPr>
                <w:t xml:space="preserve">Cinema, ecology, and environment. In The Routledge </w:t>
              </w:r>
              <w:r w:rsidR="001B3FE1" w:rsidRPr="00060E1F">
                <w:rPr>
                  <w:rFonts w:ascii="Arial" w:hAnsi="Arial" w:cs="Arial"/>
                  <w:i/>
                  <w:iCs/>
                  <w:noProof/>
                  <w:kern w:val="0"/>
                  <w:sz w:val="24"/>
                  <w:szCs w:val="24"/>
                  <w:lang w:val="en-US"/>
                  <w14:ligatures w14:val="none"/>
                </w:rPr>
                <w:t>Handbook</w:t>
              </w:r>
              <w:r w:rsidRPr="00060E1F">
                <w:rPr>
                  <w:rFonts w:ascii="Arial" w:hAnsi="Arial" w:cs="Arial"/>
                  <w:i/>
                  <w:iCs/>
                  <w:noProof/>
                  <w:kern w:val="0"/>
                  <w:sz w:val="24"/>
                  <w:szCs w:val="24"/>
                  <w:lang w:val="en-US"/>
                  <w14:ligatures w14:val="none"/>
                </w:rPr>
                <w:t xml:space="preserve"> of </w:t>
              </w:r>
              <w:r w:rsidR="001B3FE1" w:rsidRPr="00060E1F">
                <w:rPr>
                  <w:rFonts w:ascii="Arial" w:hAnsi="Arial" w:cs="Arial"/>
                  <w:i/>
                  <w:iCs/>
                  <w:noProof/>
                  <w:kern w:val="0"/>
                  <w:sz w:val="24"/>
                  <w:szCs w:val="24"/>
                  <w:lang w:val="en-US"/>
                  <w14:ligatures w14:val="none"/>
                </w:rPr>
                <w:t>Environment</w:t>
              </w:r>
              <w:r w:rsidRPr="00060E1F">
                <w:rPr>
                  <w:rFonts w:ascii="Arial" w:hAnsi="Arial" w:cs="Arial"/>
                  <w:i/>
                  <w:iCs/>
                  <w:noProof/>
                  <w:kern w:val="0"/>
                  <w:sz w:val="24"/>
                  <w:szCs w:val="24"/>
                  <w:lang w:val="en-US"/>
                  <w14:ligatures w14:val="none"/>
                </w:rPr>
                <w:t xml:space="preserve"> and </w:t>
              </w:r>
              <w:r w:rsidR="001B3FE1" w:rsidRPr="00060E1F">
                <w:rPr>
                  <w:rFonts w:ascii="Arial" w:hAnsi="Arial" w:cs="Arial"/>
                  <w:i/>
                  <w:iCs/>
                  <w:noProof/>
                  <w:kern w:val="0"/>
                  <w:sz w:val="24"/>
                  <w:szCs w:val="24"/>
                  <w:lang w:val="en-US"/>
                  <w14:ligatures w14:val="none"/>
                </w:rPr>
                <w:t>Communication</w:t>
              </w:r>
              <w:r w:rsidRPr="00060E1F">
                <w:rPr>
                  <w:rFonts w:ascii="Arial" w:hAnsi="Arial" w:cs="Arial"/>
                  <w:i/>
                  <w:iCs/>
                  <w:noProof/>
                  <w:kern w:val="0"/>
                  <w:sz w:val="24"/>
                  <w:szCs w:val="24"/>
                  <w:lang w:val="en-US"/>
                  <w14:ligatures w14:val="none"/>
                </w:rPr>
                <w:t xml:space="preserve"> (pp. 329-342).</w:t>
              </w:r>
              <w:r w:rsidRPr="00060E1F">
                <w:rPr>
                  <w:rFonts w:ascii="Arial" w:hAnsi="Arial" w:cs="Arial"/>
                  <w:noProof/>
                  <w:kern w:val="0"/>
                  <w:sz w:val="24"/>
                  <w:szCs w:val="24"/>
                  <w:lang w:val="en-US"/>
                  <w14:ligatures w14:val="none"/>
                </w:rPr>
                <w:t xml:space="preserve"> Routledge. Available at:</w:t>
              </w:r>
              <w:hyperlink r:id="rId22" w:history="1">
                <w:r w:rsidRPr="00060E1F">
                  <w:rPr>
                    <w:rFonts w:ascii="Arial" w:hAnsi="Arial" w:cs="Arial"/>
                    <w:noProof/>
                    <w:color w:val="0000FF"/>
                    <w:kern w:val="0"/>
                    <w:sz w:val="24"/>
                    <w:szCs w:val="24"/>
                    <w:lang w:val="en-US"/>
                    <w14:ligatures w14:val="none"/>
                  </w:rPr>
                  <w:t>https://www.taylorfrancis.com/chapters/edit/10.4324/9781003119234-26/cinema-ecology-environment-pat-brereton</w:t>
                </w:r>
              </w:hyperlink>
              <w:r w:rsidRPr="00060E1F">
                <w:rPr>
                  <w:rFonts w:ascii="Arial" w:hAnsi="Arial" w:cs="Arial"/>
                  <w:noProof/>
                  <w:kern w:val="0"/>
                  <w:sz w:val="24"/>
                  <w:szCs w:val="24"/>
                  <w:lang w:val="en-US"/>
                  <w14:ligatures w14:val="none"/>
                </w:rPr>
                <w:t>[Accessed: 14 Nov. 23]</w:t>
              </w:r>
            </w:p>
            <w:p w14:paraId="19699002"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Burnes, B. (2020). The origins of Lewin’s three-step model of change. </w:t>
              </w:r>
              <w:r w:rsidRPr="00060E1F">
                <w:rPr>
                  <w:rFonts w:ascii="Arial" w:hAnsi="Arial" w:cs="Arial"/>
                  <w:i/>
                  <w:iCs/>
                  <w:noProof/>
                  <w:kern w:val="0"/>
                  <w:sz w:val="24"/>
                  <w:szCs w:val="24"/>
                  <w:lang w:val="en-US"/>
                  <w14:ligatures w14:val="none"/>
                </w:rPr>
                <w:t>The Journal of Applied Behavioral Science, 56</w:t>
              </w:r>
              <w:r w:rsidRPr="00060E1F">
                <w:rPr>
                  <w:rFonts w:ascii="Arial" w:hAnsi="Arial" w:cs="Arial"/>
                  <w:noProof/>
                  <w:kern w:val="0"/>
                  <w:sz w:val="24"/>
                  <w:szCs w:val="24"/>
                  <w:lang w:val="en-US"/>
                  <w14:ligatures w14:val="none"/>
                </w:rPr>
                <w:t>(1), 32-59. Available at:</w:t>
              </w:r>
              <w:hyperlink r:id="rId23" w:history="1">
                <w:r w:rsidRPr="00060E1F">
                  <w:rPr>
                    <w:rFonts w:ascii="Arial" w:hAnsi="Arial" w:cs="Arial"/>
                    <w:noProof/>
                    <w:color w:val="0000FF"/>
                    <w:kern w:val="0"/>
                    <w:sz w:val="24"/>
                    <w:szCs w:val="24"/>
                    <w:lang w:val="en-US"/>
                    <w14:ligatures w14:val="none"/>
                  </w:rPr>
                  <w:t>https://doi.org/10.1177/0021886319892685</w:t>
                </w:r>
              </w:hyperlink>
              <w:r w:rsidRPr="00060E1F">
                <w:rPr>
                  <w:rFonts w:ascii="Arial" w:hAnsi="Arial" w:cs="Arial"/>
                  <w:noProof/>
                  <w:kern w:val="0"/>
                  <w:sz w:val="24"/>
                  <w:szCs w:val="24"/>
                  <w:lang w:val="en-US"/>
                  <w14:ligatures w14:val="none"/>
                </w:rPr>
                <w:t>[Accessed: 14 Nov. 23]</w:t>
              </w:r>
            </w:p>
            <w:p w14:paraId="01C66B55" w14:textId="51F9C01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Chakraborty, D., &amp; Biswas, W. (2019). Evaluating the impact of human resource planning programs in addressing the strategic goal of the firm: An organizational perspective. </w:t>
              </w:r>
              <w:r w:rsidRPr="00060E1F">
                <w:rPr>
                  <w:rFonts w:ascii="Arial" w:hAnsi="Arial" w:cs="Arial"/>
                  <w:i/>
                  <w:iCs/>
                  <w:noProof/>
                  <w:kern w:val="0"/>
                  <w:sz w:val="24"/>
                  <w:szCs w:val="24"/>
                  <w:lang w:val="en-US"/>
                  <w14:ligatures w14:val="none"/>
                </w:rPr>
                <w:t>Journal of advances in management research, 16</w:t>
              </w:r>
              <w:r w:rsidRPr="00060E1F">
                <w:rPr>
                  <w:rFonts w:ascii="Arial" w:hAnsi="Arial" w:cs="Arial"/>
                  <w:noProof/>
                  <w:kern w:val="0"/>
                  <w:sz w:val="24"/>
                  <w:szCs w:val="24"/>
                  <w:lang w:val="en-US"/>
                  <w14:ligatures w14:val="none"/>
                </w:rPr>
                <w:t>(5), 659-682. Available at:</w:t>
              </w:r>
              <w:hyperlink r:id="rId24" w:history="1">
                <w:r w:rsidRPr="00060E1F">
                  <w:rPr>
                    <w:rFonts w:ascii="Arial" w:hAnsi="Arial" w:cs="Arial"/>
                    <w:noProof/>
                    <w:color w:val="0000FF"/>
                    <w:kern w:val="0"/>
                    <w:sz w:val="24"/>
                    <w:szCs w:val="24"/>
                    <w:lang w:val="en-US"/>
                    <w14:ligatures w14:val="none"/>
                  </w:rPr>
                  <w:t>https://doi.org/10.1108/JAMR-01-2019-0007</w:t>
                </w:r>
              </w:hyperlink>
              <w:r w:rsidRPr="00060E1F">
                <w:rPr>
                  <w:rFonts w:ascii="Arial" w:hAnsi="Arial" w:cs="Arial"/>
                  <w:noProof/>
                  <w:kern w:val="0"/>
                  <w:sz w:val="24"/>
                  <w:szCs w:val="24"/>
                  <w:lang w:val="en-US"/>
                  <w14:ligatures w14:val="none"/>
                </w:rPr>
                <w:t>[Accessed: 1 Nov. 23]</w:t>
              </w:r>
            </w:p>
            <w:p w14:paraId="34103DBF" w14:textId="738BB709"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Cuc, L. D., Feher, A., Cuc, P. N., Szentesi, S. G., Rad, D., Rad, G., &amp; Joldes, C. S. (2022). A parallel mediation analysis on the Effects of Pandemic Accentuated Occupational stress on Hospitality Industry Staff turnover intentions in COVID-19 con. </w:t>
              </w:r>
              <w:r w:rsidRPr="00060E1F">
                <w:rPr>
                  <w:rFonts w:ascii="Arial" w:hAnsi="Arial" w:cs="Arial"/>
                  <w:i/>
                  <w:iCs/>
                  <w:noProof/>
                  <w:kern w:val="0"/>
                  <w:sz w:val="24"/>
                  <w:szCs w:val="24"/>
                  <w:lang w:val="en-US"/>
                  <w14:ligatures w14:val="none"/>
                </w:rPr>
                <w:t>International Journal of Environmental Research and Public Health, 19(19), 12050., 19</w:t>
              </w:r>
              <w:r w:rsidRPr="00060E1F">
                <w:rPr>
                  <w:rFonts w:ascii="Arial" w:hAnsi="Arial" w:cs="Arial"/>
                  <w:noProof/>
                  <w:kern w:val="0"/>
                  <w:sz w:val="24"/>
                  <w:szCs w:val="24"/>
                  <w:lang w:val="en-US"/>
                  <w14:ligatures w14:val="none"/>
                </w:rPr>
                <w:t>(19), 12050. Available at:</w:t>
              </w:r>
              <w:hyperlink r:id="rId25" w:history="1">
                <w:r w:rsidRPr="00060E1F">
                  <w:rPr>
                    <w:rFonts w:ascii="Arial" w:hAnsi="Arial" w:cs="Arial"/>
                    <w:noProof/>
                    <w:color w:val="0000FF"/>
                    <w:kern w:val="0"/>
                    <w:sz w:val="24"/>
                    <w:szCs w:val="24"/>
                    <w:lang w:val="en-US"/>
                    <w14:ligatures w14:val="none"/>
                  </w:rPr>
                  <w:t>https://doi.org/10.3390/ijerph19191205</w:t>
                </w:r>
              </w:hyperlink>
              <w:r w:rsidRPr="00060E1F">
                <w:rPr>
                  <w:rFonts w:ascii="Arial" w:hAnsi="Arial" w:cs="Arial"/>
                  <w:noProof/>
                  <w:kern w:val="0"/>
                  <w:sz w:val="24"/>
                  <w:szCs w:val="24"/>
                  <w:lang w:val="en-US"/>
                  <w14:ligatures w14:val="none"/>
                </w:rPr>
                <w:t>0[Accessed: 1 Nov. 23]</w:t>
              </w:r>
            </w:p>
            <w:p w14:paraId="6E1DA61F" w14:textId="457D50A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lastRenderedPageBreak/>
                <w:t xml:space="preserve">Djajasinga, N. D., Sulastri, L., Sudirman, A., Sari, A. L., &amp; Rihardi, E. L. (2021). </w:t>
              </w:r>
              <w:r w:rsidRPr="00060E1F">
                <w:rPr>
                  <w:rFonts w:ascii="Arial" w:hAnsi="Arial" w:cs="Arial"/>
                  <w:i/>
                  <w:iCs/>
                  <w:noProof/>
                  <w:kern w:val="0"/>
                  <w:sz w:val="24"/>
                  <w:szCs w:val="24"/>
                  <w:lang w:val="en-US"/>
                  <w14:ligatures w14:val="none"/>
                </w:rPr>
                <w:t>Practices in Human Resources and Employee Turnover in the Hospitality Industry. In 2nd Annual Conference on blended learning, educational technology and Innovation.</w:t>
              </w:r>
              <w:r w:rsidRPr="00060E1F">
                <w:rPr>
                  <w:rFonts w:ascii="Arial" w:hAnsi="Arial" w:cs="Arial"/>
                  <w:noProof/>
                  <w:kern w:val="0"/>
                  <w:sz w:val="24"/>
                  <w:szCs w:val="24"/>
                  <w:lang w:val="en-US"/>
                  <w14:ligatures w14:val="none"/>
                </w:rPr>
                <w:t xml:space="preserve"> Atlantis Press. Available at:</w:t>
              </w:r>
              <w:hyperlink r:id="rId26" w:history="1">
                <w:r w:rsidRPr="00060E1F">
                  <w:rPr>
                    <w:rFonts w:ascii="Arial" w:hAnsi="Arial" w:cs="Arial"/>
                    <w:noProof/>
                    <w:color w:val="0000FF"/>
                    <w:kern w:val="0"/>
                    <w:sz w:val="24"/>
                    <w:szCs w:val="24"/>
                    <w:lang w:val="en-US"/>
                    <w14:ligatures w14:val="none"/>
                  </w:rPr>
                  <w:t>https://doi.org/10.2991/assehr.k.210615.023</w:t>
                </w:r>
              </w:hyperlink>
              <w:r w:rsidRPr="00060E1F">
                <w:rPr>
                  <w:rFonts w:ascii="Arial" w:hAnsi="Arial" w:cs="Arial"/>
                  <w:noProof/>
                  <w:kern w:val="0"/>
                  <w:sz w:val="24"/>
                  <w:szCs w:val="24"/>
                  <w:lang w:val="en-US"/>
                  <w14:ligatures w14:val="none"/>
                </w:rPr>
                <w:t>[Accessed: 1 Nov. 23]</w:t>
              </w:r>
            </w:p>
            <w:p w14:paraId="027AED06" w14:textId="2F35FED0"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Dominioni, F. (2023). </w:t>
              </w:r>
              <w:r w:rsidRPr="00060E1F">
                <w:rPr>
                  <w:rFonts w:ascii="Arial" w:hAnsi="Arial" w:cs="Arial"/>
                  <w:i/>
                  <w:iCs/>
                  <w:noProof/>
                  <w:kern w:val="0"/>
                  <w:sz w:val="24"/>
                  <w:szCs w:val="24"/>
                  <w:lang w:val="en-US"/>
                  <w14:ligatures w14:val="none"/>
                </w:rPr>
                <w:t>Council post: 5 trends driving the hospitality industry and what they mean for property management</w:t>
              </w:r>
              <w:r w:rsidRPr="00060E1F">
                <w:rPr>
                  <w:rFonts w:ascii="Arial" w:hAnsi="Arial" w:cs="Arial"/>
                  <w:noProof/>
                  <w:kern w:val="0"/>
                  <w:sz w:val="24"/>
                  <w:szCs w:val="24"/>
                  <w:lang w:val="en-US"/>
                  <w14:ligatures w14:val="none"/>
                </w:rPr>
                <w:t>. Available at:</w:t>
              </w:r>
              <w:hyperlink r:id="rId27" w:history="1">
                <w:r w:rsidRPr="00060E1F">
                  <w:rPr>
                    <w:rFonts w:ascii="Arial" w:hAnsi="Arial" w:cs="Arial"/>
                    <w:noProof/>
                    <w:color w:val="0000FF"/>
                    <w:kern w:val="0"/>
                    <w:sz w:val="24"/>
                    <w:szCs w:val="24"/>
                    <w:lang w:val="en-US"/>
                    <w14:ligatures w14:val="none"/>
                  </w:rPr>
                  <w:t>https://www.forbes.com/sites/forbesbusinessdevelopmentcouncil/2023/04/12/5-trends-driving-the-hospitality-industry-and-what-they-mean-for-property-management/?sh=71dbbcbd7d7f</w:t>
                </w:r>
              </w:hyperlink>
              <w:r w:rsidRPr="00060E1F">
                <w:rPr>
                  <w:rFonts w:ascii="Arial" w:hAnsi="Arial" w:cs="Arial"/>
                  <w:noProof/>
                  <w:kern w:val="0"/>
                  <w:sz w:val="24"/>
                  <w:szCs w:val="24"/>
                  <w:lang w:val="en-US"/>
                  <w14:ligatures w14:val="none"/>
                </w:rPr>
                <w:t>[Accessed: 1 Nov. 23]</w:t>
              </w:r>
            </w:p>
            <w:p w14:paraId="40E3B919" w14:textId="7D4DDD7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Dwesini, N. F. (2019). Causes and prevention of high employee turnover within the hospitality industry: A literature review. </w:t>
              </w:r>
              <w:r w:rsidRPr="00060E1F">
                <w:rPr>
                  <w:rFonts w:ascii="Arial" w:hAnsi="Arial" w:cs="Arial"/>
                  <w:i/>
                  <w:iCs/>
                  <w:noProof/>
                  <w:kern w:val="0"/>
                  <w:sz w:val="24"/>
                  <w:szCs w:val="24"/>
                  <w:lang w:val="en-US"/>
                  <w14:ligatures w14:val="none"/>
                </w:rPr>
                <w:t>African Journal of Hospitality, Tourism and Leisure, 8</w:t>
              </w:r>
              <w:r w:rsidRPr="00060E1F">
                <w:rPr>
                  <w:rFonts w:ascii="Arial" w:hAnsi="Arial" w:cs="Arial"/>
                  <w:noProof/>
                  <w:kern w:val="0"/>
                  <w:sz w:val="24"/>
                  <w:szCs w:val="24"/>
                  <w:lang w:val="en-US"/>
                  <w14:ligatures w14:val="none"/>
                </w:rPr>
                <w:t>(3), 1-15. Available at:</w:t>
              </w:r>
              <w:hyperlink r:id="rId28" w:history="1">
                <w:r w:rsidRPr="00060E1F">
                  <w:rPr>
                    <w:rFonts w:ascii="Arial" w:hAnsi="Arial" w:cs="Arial"/>
                    <w:noProof/>
                    <w:color w:val="0000FF"/>
                    <w:kern w:val="0"/>
                    <w:sz w:val="24"/>
                    <w:szCs w:val="24"/>
                    <w:lang w:val="en-US"/>
                    <w14:ligatures w14:val="none"/>
                  </w:rPr>
                  <w:t>https://www.ajhtl.com/uploads/7/1/6/3/7163688/article_38_vol_8_3__2019.pdf</w:t>
                </w:r>
              </w:hyperlink>
              <w:r w:rsidRPr="00060E1F">
                <w:rPr>
                  <w:rFonts w:ascii="Arial" w:hAnsi="Arial" w:cs="Arial"/>
                  <w:noProof/>
                  <w:kern w:val="0"/>
                  <w:sz w:val="24"/>
                  <w:szCs w:val="24"/>
                  <w:lang w:val="en-US"/>
                  <w14:ligatures w14:val="none"/>
                </w:rPr>
                <w:t>[Accessed: 1 Nov. 23]</w:t>
              </w:r>
            </w:p>
            <w:p w14:paraId="7B40DD95" w14:textId="0D93E1E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Edeh, F. O., Zayed, N. M., Perevozova, I., Kryshtal, H., &amp; Nitsenko, V. (2022). Talent management in the hospitality sector: predicting discretionary work behaviour. </w:t>
              </w:r>
              <w:r w:rsidRPr="00060E1F">
                <w:rPr>
                  <w:rFonts w:ascii="Arial" w:hAnsi="Arial" w:cs="Arial"/>
                  <w:i/>
                  <w:iCs/>
                  <w:noProof/>
                  <w:kern w:val="0"/>
                  <w:sz w:val="24"/>
                  <w:szCs w:val="24"/>
                  <w:lang w:val="en-US"/>
                  <w14:ligatures w14:val="none"/>
                </w:rPr>
                <w:t>Administrative Sciences, 12</w:t>
              </w:r>
              <w:r w:rsidRPr="00060E1F">
                <w:rPr>
                  <w:rFonts w:ascii="Arial" w:hAnsi="Arial" w:cs="Arial"/>
                  <w:noProof/>
                  <w:kern w:val="0"/>
                  <w:sz w:val="24"/>
                  <w:szCs w:val="24"/>
                  <w:lang w:val="en-US"/>
                  <w14:ligatures w14:val="none"/>
                </w:rPr>
                <w:t>(4), 122. Available at:</w:t>
              </w:r>
              <w:hyperlink r:id="rId29" w:history="1">
                <w:r w:rsidRPr="00060E1F">
                  <w:rPr>
                    <w:rFonts w:ascii="Arial" w:hAnsi="Arial" w:cs="Arial"/>
                    <w:noProof/>
                    <w:color w:val="0000FF"/>
                    <w:kern w:val="0"/>
                    <w:sz w:val="24"/>
                    <w:szCs w:val="24"/>
                    <w:lang w:val="en-US"/>
                    <w14:ligatures w14:val="none"/>
                  </w:rPr>
                  <w:t>https://doi.org/10.3390/admsci12040122</w:t>
                </w:r>
              </w:hyperlink>
              <w:r w:rsidRPr="00060E1F">
                <w:rPr>
                  <w:rFonts w:ascii="Arial" w:hAnsi="Arial" w:cs="Arial"/>
                  <w:noProof/>
                  <w:kern w:val="0"/>
                  <w:sz w:val="24"/>
                  <w:szCs w:val="24"/>
                  <w:lang w:val="en-US"/>
                  <w14:ligatures w14:val="none"/>
                </w:rPr>
                <w:t>[Accessed: 1 Nov. 23]</w:t>
              </w:r>
            </w:p>
            <w:p w14:paraId="02818462" w14:textId="63CE20B1"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El-Amin, A., &amp; George, B. (2020). Towards a model and strategy for transformational change. </w:t>
              </w:r>
              <w:r w:rsidRPr="00060E1F">
                <w:rPr>
                  <w:rFonts w:ascii="Arial" w:hAnsi="Arial" w:cs="Arial"/>
                  <w:i/>
                  <w:iCs/>
                  <w:noProof/>
                  <w:kern w:val="0"/>
                  <w:sz w:val="24"/>
                  <w:szCs w:val="24"/>
                  <w:lang w:val="en-US"/>
                  <w14:ligatures w14:val="none"/>
                </w:rPr>
                <w:t>Economics, Management and Sustainability, 5</w:t>
              </w:r>
              <w:r w:rsidRPr="00060E1F">
                <w:rPr>
                  <w:rFonts w:ascii="Arial" w:hAnsi="Arial" w:cs="Arial"/>
                  <w:noProof/>
                  <w:kern w:val="0"/>
                  <w:sz w:val="24"/>
                  <w:szCs w:val="24"/>
                  <w:lang w:val="en-US"/>
                  <w14:ligatures w14:val="none"/>
                </w:rPr>
                <w:t>(2), 28-38.</w:t>
              </w:r>
              <w:r w:rsidRPr="00060E1F">
                <w:rPr>
                  <w:rFonts w:ascii="Arial" w:hAnsi="Arial" w:cs="Arial"/>
                  <w:kern w:val="0"/>
                  <w:sz w:val="24"/>
                  <w:szCs w:val="24"/>
                  <w:lang w:val="en-US"/>
                  <w14:ligatures w14:val="none"/>
                </w:rPr>
                <w:t xml:space="preserve"> </w:t>
              </w:r>
              <w:r w:rsidRPr="00060E1F">
                <w:rPr>
                  <w:rFonts w:ascii="Arial" w:hAnsi="Arial" w:cs="Arial"/>
                  <w:noProof/>
                  <w:kern w:val="0"/>
                  <w:sz w:val="24"/>
                  <w:szCs w:val="24"/>
                  <w:lang w:val="en-US"/>
                  <w14:ligatures w14:val="none"/>
                </w:rPr>
                <w:t xml:space="preserve">Available </w:t>
              </w:r>
              <w:hyperlink r:id="rId30" w:history="1">
                <w:r w:rsidRPr="00060E1F">
                  <w:rPr>
                    <w:rFonts w:ascii="Arial" w:hAnsi="Arial" w:cs="Arial"/>
                    <w:noProof/>
                    <w:color w:val="0000FF"/>
                    <w:kern w:val="0"/>
                    <w:sz w:val="24"/>
                    <w:szCs w:val="24"/>
                    <w:lang w:val="en-US"/>
                    <w14:ligatures w14:val="none"/>
                  </w:rPr>
                  <w:t>at:https://www.ceeol.com/search/article-detail?id=974844</w:t>
                </w:r>
              </w:hyperlink>
              <w:r w:rsidRPr="00060E1F">
                <w:rPr>
                  <w:rFonts w:ascii="Arial" w:hAnsi="Arial" w:cs="Arial"/>
                  <w:noProof/>
                  <w:kern w:val="0"/>
                  <w:sz w:val="24"/>
                  <w:szCs w:val="24"/>
                  <w:lang w:val="en-US"/>
                  <w14:ligatures w14:val="none"/>
                </w:rPr>
                <w:t>[Accessed: 1 Nov. 23]</w:t>
              </w:r>
            </w:p>
            <w:p w14:paraId="3DC062C4" w14:textId="663EAD8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Ertac, M., &amp; Cankan, E. (2021). Creating a sustainable tourism model in North Cyprus during the uncertainty of the Covid-19 pandemic. </w:t>
              </w:r>
              <w:r w:rsidRPr="00060E1F">
                <w:rPr>
                  <w:rFonts w:ascii="Arial" w:hAnsi="Arial" w:cs="Arial"/>
                  <w:i/>
                  <w:iCs/>
                  <w:noProof/>
                  <w:kern w:val="0"/>
                  <w:sz w:val="24"/>
                  <w:szCs w:val="24"/>
                  <w:lang w:val="en-US"/>
                  <w14:ligatures w14:val="none"/>
                </w:rPr>
                <w:t>Worldwide Hospitality and Tourism Themes, 13</w:t>
              </w:r>
              <w:r w:rsidRPr="00060E1F">
                <w:rPr>
                  <w:rFonts w:ascii="Arial" w:hAnsi="Arial" w:cs="Arial"/>
                  <w:noProof/>
                  <w:kern w:val="0"/>
                  <w:sz w:val="24"/>
                  <w:szCs w:val="24"/>
                  <w:lang w:val="en-US"/>
                  <w14:ligatures w14:val="none"/>
                </w:rPr>
                <w:t>(4), 488-497.</w:t>
              </w:r>
              <w:r w:rsidRPr="00060E1F">
                <w:rPr>
                  <w:rFonts w:ascii="Arial" w:hAnsi="Arial" w:cs="Arial"/>
                  <w:kern w:val="0"/>
                  <w:sz w:val="24"/>
                  <w:szCs w:val="24"/>
                  <w:lang w:val="en-US"/>
                  <w14:ligatures w14:val="none"/>
                </w:rPr>
                <w:t xml:space="preserve"> </w:t>
              </w:r>
              <w:r w:rsidRPr="00060E1F">
                <w:rPr>
                  <w:rFonts w:ascii="Arial" w:hAnsi="Arial" w:cs="Arial"/>
                  <w:noProof/>
                  <w:kern w:val="0"/>
                  <w:sz w:val="24"/>
                  <w:szCs w:val="24"/>
                  <w:lang w:val="en-US"/>
                  <w14:ligatures w14:val="none"/>
                </w:rPr>
                <w:t>Available at:</w:t>
              </w:r>
              <w:hyperlink r:id="rId31" w:history="1">
                <w:r w:rsidRPr="00060E1F">
                  <w:rPr>
                    <w:rFonts w:ascii="Arial" w:hAnsi="Arial" w:cs="Arial"/>
                    <w:noProof/>
                    <w:color w:val="0000FF"/>
                    <w:kern w:val="0"/>
                    <w:sz w:val="24"/>
                    <w:szCs w:val="24"/>
                    <w:lang w:val="en-US"/>
                    <w14:ligatures w14:val="none"/>
                  </w:rPr>
                  <w:t>https://doi.org/10.1108/WHATT-02-2021-0033</w:t>
                </w:r>
              </w:hyperlink>
              <w:r w:rsidRPr="00060E1F">
                <w:rPr>
                  <w:rFonts w:ascii="Arial" w:hAnsi="Arial" w:cs="Arial"/>
                  <w:noProof/>
                  <w:kern w:val="0"/>
                  <w:sz w:val="24"/>
                  <w:szCs w:val="24"/>
                  <w:lang w:val="en-US"/>
                  <w14:ligatures w14:val="none"/>
                </w:rPr>
                <w:t>[Accessed: 1 Nov. 23]</w:t>
              </w:r>
            </w:p>
            <w:p w14:paraId="1899D7C5" w14:textId="26656263"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Fallucchi, F., Coladangelo, M., Giuliano, R., &amp; William De Luca, E. (2020). Predicting employee attrition using machine learning techniques. </w:t>
              </w:r>
              <w:r w:rsidRPr="00060E1F">
                <w:rPr>
                  <w:rFonts w:ascii="Arial" w:hAnsi="Arial" w:cs="Arial"/>
                  <w:i/>
                  <w:iCs/>
                  <w:noProof/>
                  <w:kern w:val="0"/>
                  <w:sz w:val="24"/>
                  <w:szCs w:val="24"/>
                  <w:lang w:val="en-US"/>
                  <w14:ligatures w14:val="none"/>
                </w:rPr>
                <w:t>Computers, 9</w:t>
              </w:r>
              <w:r w:rsidRPr="00060E1F">
                <w:rPr>
                  <w:rFonts w:ascii="Arial" w:hAnsi="Arial" w:cs="Arial"/>
                  <w:noProof/>
                  <w:kern w:val="0"/>
                  <w:sz w:val="24"/>
                  <w:szCs w:val="24"/>
                  <w:lang w:val="en-US"/>
                  <w14:ligatures w14:val="none"/>
                </w:rPr>
                <w:t>(4), 86. Available at:</w:t>
              </w:r>
              <w:hyperlink r:id="rId32" w:history="1">
                <w:r w:rsidRPr="00060E1F">
                  <w:rPr>
                    <w:rFonts w:ascii="Arial" w:hAnsi="Arial" w:cs="Arial"/>
                    <w:noProof/>
                    <w:color w:val="0000FF"/>
                    <w:kern w:val="0"/>
                    <w:sz w:val="24"/>
                    <w:szCs w:val="24"/>
                    <w:lang w:val="en-US"/>
                    <w14:ligatures w14:val="none"/>
                  </w:rPr>
                  <w:t>https://doi.org/10.3390/computers9040086</w:t>
                </w:r>
              </w:hyperlink>
              <w:r w:rsidRPr="00060E1F">
                <w:rPr>
                  <w:rFonts w:ascii="Arial" w:hAnsi="Arial" w:cs="Arial"/>
                  <w:noProof/>
                  <w:kern w:val="0"/>
                  <w:sz w:val="24"/>
                  <w:szCs w:val="24"/>
                  <w:lang w:val="en-US"/>
                  <w14:ligatures w14:val="none"/>
                </w:rPr>
                <w:t>[Accessed: 1 Nov. 23]</w:t>
              </w:r>
            </w:p>
            <w:p w14:paraId="60F74D86" w14:textId="154FDA73"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lastRenderedPageBreak/>
                <w:t xml:space="preserve">Fox, K. E., Johnson, S. T., Berkman, L. F., Sianoja, M., Soh, Y., Kubzansky, L. D., &amp; Kelly, E. L. (2021). Organisational-and group-level workplace interventions and their effect on multiple domains of worker well-being: A systematic review. </w:t>
              </w:r>
              <w:r w:rsidRPr="00060E1F">
                <w:rPr>
                  <w:rFonts w:ascii="Arial" w:hAnsi="Arial" w:cs="Arial"/>
                  <w:i/>
                  <w:iCs/>
                  <w:noProof/>
                  <w:kern w:val="0"/>
                  <w:sz w:val="24"/>
                  <w:szCs w:val="24"/>
                  <w:lang w:val="en-US"/>
                  <w14:ligatures w14:val="none"/>
                </w:rPr>
                <w:t>Work &amp; Stress</w:t>
              </w:r>
              <w:r w:rsidRPr="00060E1F">
                <w:rPr>
                  <w:rFonts w:ascii="Arial" w:hAnsi="Arial" w:cs="Arial"/>
                  <w:noProof/>
                  <w:kern w:val="0"/>
                  <w:sz w:val="24"/>
                  <w:szCs w:val="24"/>
                  <w:lang w:val="en-US"/>
                  <w14:ligatures w14:val="none"/>
                </w:rPr>
                <w:t>, 30-59. Available at</w:t>
              </w:r>
              <w:hyperlink r:id="rId33" w:history="1">
                <w:r w:rsidRPr="00060E1F">
                  <w:rPr>
                    <w:rFonts w:ascii="Arial" w:hAnsi="Arial" w:cs="Arial"/>
                    <w:noProof/>
                    <w:color w:val="0000FF"/>
                    <w:kern w:val="0"/>
                    <w:sz w:val="24"/>
                    <w:szCs w:val="24"/>
                    <w:lang w:val="en-US"/>
                    <w14:ligatures w14:val="none"/>
                  </w:rPr>
                  <w:t>:https://doi.org/10.1080/02678373.2021.1969476[</w:t>
                </w:r>
              </w:hyperlink>
              <w:r w:rsidRPr="00060E1F">
                <w:rPr>
                  <w:rFonts w:ascii="Arial" w:hAnsi="Arial" w:cs="Arial"/>
                  <w:noProof/>
                  <w:kern w:val="0"/>
                  <w:sz w:val="24"/>
                  <w:szCs w:val="24"/>
                  <w:lang w:val="en-US"/>
                  <w14:ligatures w14:val="none"/>
                </w:rPr>
                <w:t>Accessed: 1 Nov. 23]</w:t>
              </w:r>
            </w:p>
            <w:p w14:paraId="0A65E6EC" w14:textId="3B8751B5"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Gebbels, M., Pantelidis, I. S., &amp; Goss-Turner, S. (2020). </w:t>
              </w:r>
              <w:r w:rsidR="001B3FE1" w:rsidRPr="00060E1F">
                <w:rPr>
                  <w:rFonts w:ascii="Arial" w:hAnsi="Arial" w:cs="Arial"/>
                  <w:noProof/>
                  <w:kern w:val="0"/>
                  <w:sz w:val="24"/>
                  <w:szCs w:val="24"/>
                  <w:lang w:val="en-US"/>
                  <w14:ligatures w14:val="none"/>
                </w:rPr>
                <w:t>Onceptualising</w:t>
              </w:r>
              <w:r w:rsidRPr="00060E1F">
                <w:rPr>
                  <w:rFonts w:ascii="Arial" w:hAnsi="Arial" w:cs="Arial"/>
                  <w:noProof/>
                  <w:kern w:val="0"/>
                  <w:sz w:val="24"/>
                  <w:szCs w:val="24"/>
                  <w:lang w:val="en-US"/>
                  <w14:ligatures w14:val="none"/>
                </w:rPr>
                <w:t xml:space="preserve"> patterns of career commitment: the leaving process in hospitality. </w:t>
              </w:r>
              <w:r w:rsidRPr="00060E1F">
                <w:rPr>
                  <w:rFonts w:ascii="Arial" w:hAnsi="Arial" w:cs="Arial"/>
                  <w:i/>
                  <w:iCs/>
                  <w:noProof/>
                  <w:kern w:val="0"/>
                  <w:sz w:val="24"/>
                  <w:szCs w:val="24"/>
                  <w:lang w:val="en-US"/>
                  <w14:ligatures w14:val="none"/>
                </w:rPr>
                <w:t>International Journal of Contemporary Hospitality Management, 32</w:t>
              </w:r>
              <w:r w:rsidRPr="00060E1F">
                <w:rPr>
                  <w:rFonts w:ascii="Arial" w:hAnsi="Arial" w:cs="Arial"/>
                  <w:noProof/>
                  <w:kern w:val="0"/>
                  <w:sz w:val="24"/>
                  <w:szCs w:val="24"/>
                  <w:lang w:val="en-US"/>
                  <w14:ligatures w14:val="none"/>
                </w:rPr>
                <w:t>(1), 126-147. Available at</w:t>
              </w:r>
              <w:hyperlink r:id="rId34" w:history="1">
                <w:r w:rsidRPr="00060E1F">
                  <w:rPr>
                    <w:rFonts w:ascii="Arial" w:hAnsi="Arial" w:cs="Arial"/>
                    <w:noProof/>
                    <w:color w:val="0000FF"/>
                    <w:kern w:val="0"/>
                    <w:sz w:val="24"/>
                    <w:szCs w:val="24"/>
                    <w:lang w:val="en-US"/>
                    <w14:ligatures w14:val="none"/>
                  </w:rPr>
                  <w:t>:https://doi.org/10.1108/IJCHM-04-2019-0338</w:t>
                </w:r>
              </w:hyperlink>
              <w:r w:rsidRPr="00060E1F">
                <w:rPr>
                  <w:rFonts w:ascii="Arial" w:hAnsi="Arial" w:cs="Arial"/>
                  <w:noProof/>
                  <w:kern w:val="0"/>
                  <w:sz w:val="24"/>
                  <w:szCs w:val="24"/>
                  <w:lang w:val="en-US"/>
                  <w14:ligatures w14:val="none"/>
                </w:rPr>
                <w:t>[Accessed: 11 Nov. 23]</w:t>
              </w:r>
            </w:p>
            <w:p w14:paraId="0258AC07" w14:textId="01AAD15E"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Ghani, B., Zada, M., Memon, K. R., Ullah, R., Khattak, A., Han, H., &amp; Araya-Castillo, L. (2022). Challenges and strategies for employee retention in the hospitality industry: A review. </w:t>
              </w:r>
              <w:r w:rsidRPr="00060E1F">
                <w:rPr>
                  <w:rFonts w:ascii="Arial" w:hAnsi="Arial" w:cs="Arial"/>
                  <w:i/>
                  <w:iCs/>
                  <w:noProof/>
                  <w:kern w:val="0"/>
                  <w:sz w:val="24"/>
                  <w:szCs w:val="24"/>
                  <w:lang w:val="en-US"/>
                  <w14:ligatures w14:val="none"/>
                </w:rPr>
                <w:t>Sustainability, 14</w:t>
              </w:r>
              <w:r w:rsidRPr="00060E1F">
                <w:rPr>
                  <w:rFonts w:ascii="Arial" w:hAnsi="Arial" w:cs="Arial"/>
                  <w:noProof/>
                  <w:kern w:val="0"/>
                  <w:sz w:val="24"/>
                  <w:szCs w:val="24"/>
                  <w:lang w:val="en-US"/>
                  <w14:ligatures w14:val="none"/>
                </w:rPr>
                <w:t>(5), 2885. Available at:</w:t>
              </w:r>
              <w:hyperlink r:id="rId35" w:history="1">
                <w:r w:rsidRPr="00060E1F">
                  <w:rPr>
                    <w:rFonts w:ascii="Arial" w:hAnsi="Arial" w:cs="Arial"/>
                    <w:noProof/>
                    <w:color w:val="0000FF"/>
                    <w:kern w:val="0"/>
                    <w:sz w:val="24"/>
                    <w:szCs w:val="24"/>
                    <w:lang w:val="en-US"/>
                    <w14:ligatures w14:val="none"/>
                  </w:rPr>
                  <w:t>https://doi.org/10.3390/su14052885</w:t>
                </w:r>
              </w:hyperlink>
              <w:r w:rsidRPr="00060E1F">
                <w:rPr>
                  <w:rFonts w:ascii="Arial" w:hAnsi="Arial" w:cs="Arial"/>
                  <w:noProof/>
                  <w:kern w:val="0"/>
                  <w:sz w:val="24"/>
                  <w:szCs w:val="24"/>
                  <w:lang w:val="en-US"/>
                  <w14:ligatures w14:val="none"/>
                </w:rPr>
                <w:t>[Accessed: 11 Nov. 23]</w:t>
              </w:r>
            </w:p>
            <w:p w14:paraId="1ECC362D" w14:textId="45A88640"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Ghani, B., Zada, M., Memon, K. R., Ullah, R., Khattak, A., Han, H., &amp; Araya-Castillo, L. (2022). Challenges and strategies for employee retention in the hospitality industry: A review. </w:t>
              </w:r>
              <w:r w:rsidRPr="00060E1F">
                <w:rPr>
                  <w:rFonts w:ascii="Arial" w:hAnsi="Arial" w:cs="Arial"/>
                  <w:i/>
                  <w:iCs/>
                  <w:noProof/>
                  <w:kern w:val="0"/>
                  <w:sz w:val="24"/>
                  <w:szCs w:val="24"/>
                  <w:lang w:val="en-US"/>
                  <w14:ligatures w14:val="none"/>
                </w:rPr>
                <w:t>Sustainability, 14</w:t>
              </w:r>
              <w:r w:rsidRPr="00060E1F">
                <w:rPr>
                  <w:rFonts w:ascii="Arial" w:hAnsi="Arial" w:cs="Arial"/>
                  <w:noProof/>
                  <w:kern w:val="0"/>
                  <w:sz w:val="24"/>
                  <w:szCs w:val="24"/>
                  <w:lang w:val="en-US"/>
                  <w14:ligatures w14:val="none"/>
                </w:rPr>
                <w:t>(5), 2885. Available at:</w:t>
              </w:r>
              <w:hyperlink r:id="rId36" w:history="1">
                <w:r w:rsidRPr="00060E1F">
                  <w:rPr>
                    <w:rFonts w:ascii="Arial" w:hAnsi="Arial" w:cs="Arial"/>
                    <w:noProof/>
                    <w:color w:val="0000FF"/>
                    <w:kern w:val="0"/>
                    <w:sz w:val="24"/>
                    <w:szCs w:val="24"/>
                    <w:lang w:val="en-US"/>
                    <w14:ligatures w14:val="none"/>
                  </w:rPr>
                  <w:t>https://doi.org/10.3390/su14052885</w:t>
                </w:r>
              </w:hyperlink>
              <w:r w:rsidRPr="00060E1F">
                <w:rPr>
                  <w:rFonts w:ascii="Arial" w:hAnsi="Arial" w:cs="Arial"/>
                  <w:noProof/>
                  <w:kern w:val="0"/>
                  <w:sz w:val="24"/>
                  <w:szCs w:val="24"/>
                  <w:lang w:val="en-US"/>
                  <w14:ligatures w14:val="none"/>
                </w:rPr>
                <w:t>[Accessed: 11 Nov. 23]</w:t>
              </w:r>
            </w:p>
            <w:p w14:paraId="1B472795" w14:textId="5E815869"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Goel, A., Ganesh, L. S., &amp; Kaur, A. (2020). Social sustainability considerations in construction project feasibility study: a stakeholder salience perspective. </w:t>
              </w:r>
              <w:r w:rsidRPr="00060E1F">
                <w:rPr>
                  <w:rFonts w:ascii="Arial" w:hAnsi="Arial" w:cs="Arial"/>
                  <w:i/>
                  <w:iCs/>
                  <w:noProof/>
                  <w:kern w:val="0"/>
                  <w:sz w:val="24"/>
                  <w:szCs w:val="24"/>
                  <w:lang w:val="en-US"/>
                  <w14:ligatures w14:val="none"/>
                </w:rPr>
                <w:t>Engineering, construction and architectural management</w:t>
              </w:r>
              <w:r w:rsidRPr="00060E1F">
                <w:rPr>
                  <w:rFonts w:ascii="Arial" w:hAnsi="Arial" w:cs="Arial"/>
                  <w:noProof/>
                  <w:kern w:val="0"/>
                  <w:sz w:val="24"/>
                  <w:szCs w:val="24"/>
                  <w:lang w:val="en-US"/>
                  <w14:ligatures w14:val="none"/>
                </w:rPr>
                <w:t>, 1429-1459. Available at:</w:t>
              </w:r>
              <w:hyperlink r:id="rId37" w:history="1">
                <w:r w:rsidRPr="00060E1F">
                  <w:rPr>
                    <w:rFonts w:ascii="Arial" w:hAnsi="Arial" w:cs="Arial"/>
                    <w:noProof/>
                    <w:color w:val="0000FF"/>
                    <w:kern w:val="0"/>
                    <w:sz w:val="24"/>
                    <w:szCs w:val="24"/>
                    <w:lang w:val="en-US"/>
                    <w14:ligatures w14:val="none"/>
                  </w:rPr>
                  <w:t>https://www.emerald.com/insight/content/doi/10.1108/ECAM-06-2019-0319/full/html</w:t>
                </w:r>
              </w:hyperlink>
              <w:r w:rsidRPr="00060E1F">
                <w:rPr>
                  <w:rFonts w:ascii="Arial" w:hAnsi="Arial" w:cs="Arial"/>
                  <w:noProof/>
                  <w:kern w:val="0"/>
                  <w:sz w:val="24"/>
                  <w:szCs w:val="24"/>
                  <w:lang w:val="en-US"/>
                  <w14:ligatures w14:val="none"/>
                </w:rPr>
                <w:t>[Accessed: 11 Nov. 23]</w:t>
              </w:r>
            </w:p>
            <w:p w14:paraId="13C63155" w14:textId="111E15D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Hee, O. C., Cheng, T. Y., Ping, L. L., Kowang, T. O., &amp; Fei, G. C. (2019). Embracing change management strategies in bedside shift report (BSR): A Review. </w:t>
              </w:r>
              <w:r w:rsidRPr="00060E1F">
                <w:rPr>
                  <w:rFonts w:ascii="Arial" w:hAnsi="Arial" w:cs="Arial"/>
                  <w:i/>
                  <w:iCs/>
                  <w:noProof/>
                  <w:kern w:val="0"/>
                  <w:sz w:val="24"/>
                  <w:szCs w:val="24"/>
                  <w:lang w:val="en-US"/>
                  <w14:ligatures w14:val="none"/>
                </w:rPr>
                <w:t>Int. j. acad. res. bus. soc. sci, 9</w:t>
              </w:r>
              <w:r w:rsidRPr="00060E1F">
                <w:rPr>
                  <w:rFonts w:ascii="Arial" w:hAnsi="Arial" w:cs="Arial"/>
                  <w:noProof/>
                  <w:kern w:val="0"/>
                  <w:sz w:val="24"/>
                  <w:szCs w:val="24"/>
                  <w:lang w:val="en-US"/>
                  <w14:ligatures w14:val="none"/>
                </w:rPr>
                <w:t>(1), 469-481. Available at:</w:t>
              </w:r>
              <w:hyperlink r:id="rId38" w:history="1">
                <w:r w:rsidRPr="00060E1F">
                  <w:rPr>
                    <w:rFonts w:ascii="Arial" w:hAnsi="Arial" w:cs="Arial"/>
                    <w:noProof/>
                    <w:color w:val="0000FF"/>
                    <w:kern w:val="0"/>
                    <w:sz w:val="24"/>
                    <w:szCs w:val="24"/>
                    <w:lang w:val="en-US"/>
                    <w14:ligatures w14:val="none"/>
                  </w:rPr>
                  <w:t>http://dx.doi.org/10.6007/IJARBSS/v9-i1/5422</w:t>
                </w:r>
              </w:hyperlink>
              <w:r w:rsidRPr="00060E1F">
                <w:rPr>
                  <w:rFonts w:ascii="Arial" w:hAnsi="Arial" w:cs="Arial"/>
                  <w:noProof/>
                  <w:kern w:val="0"/>
                  <w:sz w:val="24"/>
                  <w:szCs w:val="24"/>
                  <w:lang w:val="en-US"/>
                  <w14:ligatures w14:val="none"/>
                </w:rPr>
                <w:t>[Accessed: 11 Nov. 23]</w:t>
              </w:r>
            </w:p>
            <w:p w14:paraId="355F582E" w14:textId="5C36D5ED"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Henry, A. (2021). </w:t>
              </w:r>
              <w:r w:rsidRPr="00060E1F">
                <w:rPr>
                  <w:rFonts w:ascii="Arial" w:hAnsi="Arial" w:cs="Arial"/>
                  <w:i/>
                  <w:iCs/>
                  <w:noProof/>
                  <w:kern w:val="0"/>
                  <w:sz w:val="24"/>
                  <w:szCs w:val="24"/>
                  <w:lang w:val="en-US"/>
                  <w14:ligatures w14:val="none"/>
                </w:rPr>
                <w:t>Understanding strategic management.</w:t>
              </w:r>
              <w:r w:rsidRPr="00060E1F">
                <w:rPr>
                  <w:rFonts w:ascii="Arial" w:hAnsi="Arial" w:cs="Arial"/>
                  <w:noProof/>
                  <w:kern w:val="0"/>
                  <w:sz w:val="24"/>
                  <w:szCs w:val="24"/>
                  <w:lang w:val="en-US"/>
                  <w14:ligatures w14:val="none"/>
                </w:rPr>
                <w:t xml:space="preserve"> Oxford University Press. Available at:</w:t>
              </w:r>
              <w:hyperlink r:id="rId39" w:history="1">
                <w:r w:rsidRPr="00060E1F">
                  <w:rPr>
                    <w:rFonts w:ascii="Arial" w:hAnsi="Arial" w:cs="Arial"/>
                    <w:noProof/>
                    <w:color w:val="0000FF"/>
                    <w:kern w:val="0"/>
                    <w:sz w:val="24"/>
                    <w:szCs w:val="24"/>
                    <w:lang w:val="en-US"/>
                    <w14:ligatures w14:val="none"/>
                  </w:rPr>
                  <w:t>https://pdfkeys.com/download/1870765-Understanding_Strategic_Management_Henry.pdf</w:t>
                </w:r>
              </w:hyperlink>
              <w:r w:rsidRPr="00060E1F">
                <w:rPr>
                  <w:rFonts w:ascii="Arial" w:hAnsi="Arial" w:cs="Arial"/>
                  <w:noProof/>
                  <w:kern w:val="0"/>
                  <w:sz w:val="24"/>
                  <w:szCs w:val="24"/>
                  <w:lang w:val="en-US"/>
                  <w14:ligatures w14:val="none"/>
                </w:rPr>
                <w:t>[Accessed: 2 Nov. 23]</w:t>
              </w:r>
            </w:p>
            <w:p w14:paraId="25C6AF6F" w14:textId="2EFF42BF"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Hussain, S. T., Lei, S., Akram, T., Haider, M. J., Hussain, S. H., &amp; Ali, M. (2018). Kurt Lewin's change model: A critical review of the role of leadership and employee </w:t>
              </w:r>
              <w:r w:rsidRPr="00060E1F">
                <w:rPr>
                  <w:rFonts w:ascii="Arial" w:hAnsi="Arial" w:cs="Arial"/>
                  <w:noProof/>
                  <w:kern w:val="0"/>
                  <w:sz w:val="24"/>
                  <w:szCs w:val="24"/>
                  <w:lang w:val="en-US"/>
                  <w14:ligatures w14:val="none"/>
                </w:rPr>
                <w:lastRenderedPageBreak/>
                <w:t xml:space="preserve">involvement in organizational change. </w:t>
              </w:r>
              <w:r w:rsidRPr="00060E1F">
                <w:rPr>
                  <w:rFonts w:ascii="Arial" w:hAnsi="Arial" w:cs="Arial"/>
                  <w:i/>
                  <w:iCs/>
                  <w:noProof/>
                  <w:kern w:val="0"/>
                  <w:sz w:val="24"/>
                  <w:szCs w:val="24"/>
                  <w:lang w:val="en-US"/>
                  <w14:ligatures w14:val="none"/>
                </w:rPr>
                <w:t>Journal of Innovation &amp; Knowledge, 3</w:t>
              </w:r>
              <w:r w:rsidRPr="00060E1F">
                <w:rPr>
                  <w:rFonts w:ascii="Arial" w:hAnsi="Arial" w:cs="Arial"/>
                  <w:noProof/>
                  <w:kern w:val="0"/>
                  <w:sz w:val="24"/>
                  <w:szCs w:val="24"/>
                  <w:lang w:val="en-US"/>
                  <w14:ligatures w14:val="none"/>
                </w:rPr>
                <w:t>(3), 123-127.</w:t>
              </w:r>
              <w:bookmarkStart w:id="1" w:name="_Hlk150823862"/>
              <w:r w:rsidRPr="00060E1F">
                <w:rPr>
                  <w:rFonts w:ascii="Arial" w:hAnsi="Arial" w:cs="Arial"/>
                  <w:noProof/>
                  <w:kern w:val="0"/>
                  <w:sz w:val="24"/>
                  <w:szCs w:val="24"/>
                  <w:lang w:val="en-US"/>
                  <w14:ligatures w14:val="none"/>
                </w:rPr>
                <w:t>Available at:</w:t>
              </w:r>
              <w:bookmarkEnd w:id="1"/>
              <w:r w:rsidRPr="00060E1F">
                <w:rPr>
                  <w:rFonts w:ascii="Arial" w:hAnsi="Arial" w:cs="Arial"/>
                  <w:kern w:val="0"/>
                  <w:sz w:val="24"/>
                  <w:szCs w:val="24"/>
                  <w:lang w:val="en-US"/>
                  <w14:ligatures w14:val="none"/>
                </w:rPr>
                <w:t xml:space="preserve"> </w:t>
              </w:r>
              <w:hyperlink r:id="rId40" w:history="1">
                <w:r w:rsidRPr="00060E1F">
                  <w:rPr>
                    <w:rFonts w:ascii="Arial" w:hAnsi="Arial" w:cs="Arial"/>
                    <w:noProof/>
                    <w:color w:val="0000FF"/>
                    <w:kern w:val="0"/>
                    <w:sz w:val="24"/>
                    <w:szCs w:val="24"/>
                    <w:lang w:val="en-US"/>
                    <w14:ligatures w14:val="none"/>
                  </w:rPr>
                  <w:t>https://doi.org/10.1016/j.jik.2016.07.002</w:t>
                </w:r>
              </w:hyperlink>
              <w:r w:rsidRPr="00060E1F">
                <w:rPr>
                  <w:rFonts w:ascii="Arial" w:hAnsi="Arial" w:cs="Arial"/>
                  <w:noProof/>
                  <w:kern w:val="0"/>
                  <w:sz w:val="24"/>
                  <w:szCs w:val="24"/>
                  <w:lang w:val="en-US"/>
                  <w14:ligatures w14:val="none"/>
                </w:rPr>
                <w:t>[Accessed: 5 Nov. 23]</w:t>
              </w:r>
            </w:p>
            <w:p w14:paraId="5244FD2E" w14:textId="63E76C6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Jain, V., Wirtz, J., Salunke, P., Nunkoo, R., &amp; Sharma, A. (2023). Luxury hospitality: A systematic literature review and research agenda. </w:t>
              </w:r>
              <w:r w:rsidRPr="00060E1F">
                <w:rPr>
                  <w:rFonts w:ascii="Arial" w:hAnsi="Arial" w:cs="Arial"/>
                  <w:i/>
                  <w:iCs/>
                  <w:noProof/>
                  <w:kern w:val="0"/>
                  <w:sz w:val="24"/>
                  <w:szCs w:val="24"/>
                  <w:lang w:val="en-US"/>
                  <w14:ligatures w14:val="none"/>
                </w:rPr>
                <w:t>International Journal of Hospitality Management, 115</w:t>
              </w:r>
              <w:r w:rsidRPr="00060E1F">
                <w:rPr>
                  <w:rFonts w:ascii="Arial" w:hAnsi="Arial" w:cs="Arial"/>
                  <w:noProof/>
                  <w:kern w:val="0"/>
                  <w:sz w:val="24"/>
                  <w:szCs w:val="24"/>
                  <w:lang w:val="en-US"/>
                  <w14:ligatures w14:val="none"/>
                </w:rPr>
                <w:t>, 103597. Available at</w:t>
              </w:r>
              <w:hyperlink r:id="rId41" w:history="1">
                <w:r w:rsidRPr="00060E1F">
                  <w:rPr>
                    <w:rFonts w:ascii="Arial" w:hAnsi="Arial" w:cs="Arial"/>
                    <w:noProof/>
                    <w:color w:val="0000FF"/>
                    <w:kern w:val="0"/>
                    <w:sz w:val="24"/>
                    <w:szCs w:val="24"/>
                    <w:lang w:val="en-US"/>
                    <w14:ligatures w14:val="none"/>
                  </w:rPr>
                  <w:t>:https://doi.org/10.1016/j.ijhm.2023.103597</w:t>
                </w:r>
              </w:hyperlink>
              <w:r w:rsidRPr="00060E1F">
                <w:rPr>
                  <w:rFonts w:ascii="Arial" w:hAnsi="Arial" w:cs="Arial"/>
                  <w:noProof/>
                  <w:kern w:val="0"/>
                  <w:sz w:val="24"/>
                  <w:szCs w:val="24"/>
                  <w:lang w:val="en-US"/>
                  <w14:ligatures w14:val="none"/>
                </w:rPr>
                <w:t>[Accessed: 2 Nov. 23]</w:t>
              </w:r>
            </w:p>
            <w:p w14:paraId="3BB1AEF8" w14:textId="12548918"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Jenkins, W., &amp; Williamson, D. (2015). </w:t>
              </w:r>
              <w:r w:rsidRPr="00060E1F">
                <w:rPr>
                  <w:rFonts w:ascii="Arial" w:hAnsi="Arial" w:cs="Arial"/>
                  <w:i/>
                  <w:iCs/>
                  <w:noProof/>
                  <w:kern w:val="0"/>
                  <w:sz w:val="24"/>
                  <w:szCs w:val="24"/>
                  <w:lang w:val="en-US"/>
                  <w14:ligatures w14:val="none"/>
                </w:rPr>
                <w:t>Strategic management and business analysis.</w:t>
              </w:r>
              <w:r w:rsidRPr="00060E1F">
                <w:rPr>
                  <w:rFonts w:ascii="Arial" w:hAnsi="Arial" w:cs="Arial"/>
                  <w:noProof/>
                  <w:kern w:val="0"/>
                  <w:sz w:val="24"/>
                  <w:szCs w:val="24"/>
                  <w:lang w:val="en-US"/>
                  <w14:ligatures w14:val="none"/>
                </w:rPr>
                <w:t xml:space="preserve"> Routledge. Available at:</w:t>
              </w:r>
              <w:hyperlink r:id="rId42" w:history="1">
                <w:r w:rsidRPr="00060E1F">
                  <w:rPr>
                    <w:rFonts w:ascii="Arial" w:hAnsi="Arial" w:cs="Arial"/>
                    <w:noProof/>
                    <w:color w:val="0000FF"/>
                    <w:kern w:val="0"/>
                    <w:sz w:val="24"/>
                    <w:szCs w:val="24"/>
                    <w:lang w:val="en-US"/>
                    <w14:ligatures w14:val="none"/>
                  </w:rPr>
                  <w:t>https://doi.org/10.4324/9781315745565</w:t>
                </w:r>
              </w:hyperlink>
              <w:r w:rsidRPr="00060E1F">
                <w:rPr>
                  <w:rFonts w:ascii="Arial" w:hAnsi="Arial" w:cs="Arial"/>
                  <w:noProof/>
                  <w:kern w:val="0"/>
                  <w:sz w:val="24"/>
                  <w:szCs w:val="24"/>
                  <w:lang w:val="en-US"/>
                  <w14:ligatures w14:val="none"/>
                </w:rPr>
                <w:t>[Accessed: 7 Nov. 23]</w:t>
              </w:r>
            </w:p>
            <w:p w14:paraId="2A923118" w14:textId="79857414"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Joshi, A., &amp; Sathe, S. (2021). </w:t>
              </w:r>
              <w:r w:rsidRPr="00060E1F">
                <w:rPr>
                  <w:rFonts w:ascii="Arial" w:hAnsi="Arial" w:cs="Arial"/>
                  <w:i/>
                  <w:iCs/>
                  <w:noProof/>
                  <w:kern w:val="0"/>
                  <w:sz w:val="24"/>
                  <w:szCs w:val="24"/>
                  <w:lang w:val="en-US"/>
                  <w14:ligatures w14:val="none"/>
                </w:rPr>
                <w:t xml:space="preserve">A study on factors affecting staff turnover in </w:t>
              </w:r>
              <w:r w:rsidR="001B3FE1" w:rsidRPr="00060E1F">
                <w:rPr>
                  <w:rFonts w:ascii="Arial" w:hAnsi="Arial" w:cs="Arial"/>
                  <w:i/>
                  <w:iCs/>
                  <w:noProof/>
                  <w:kern w:val="0"/>
                  <w:sz w:val="24"/>
                  <w:szCs w:val="24"/>
                  <w:lang w:val="en-US"/>
                  <w14:ligatures w14:val="none"/>
                </w:rPr>
                <w:t>five-star</w:t>
              </w:r>
              <w:r w:rsidRPr="00060E1F">
                <w:rPr>
                  <w:rFonts w:ascii="Arial" w:hAnsi="Arial" w:cs="Arial"/>
                  <w:i/>
                  <w:iCs/>
                  <w:noProof/>
                  <w:kern w:val="0"/>
                  <w:sz w:val="24"/>
                  <w:szCs w:val="24"/>
                  <w:lang w:val="en-US"/>
                  <w14:ligatures w14:val="none"/>
                </w:rPr>
                <w:t xml:space="preserve"> Hotels.</w:t>
              </w:r>
              <w:r w:rsidRPr="00060E1F">
                <w:rPr>
                  <w:rFonts w:ascii="Arial" w:hAnsi="Arial" w:cs="Arial"/>
                  <w:noProof/>
                  <w:kern w:val="0"/>
                  <w:sz w:val="24"/>
                  <w:szCs w:val="24"/>
                  <w:lang w:val="en-US"/>
                  <w14:ligatures w14:val="none"/>
                </w:rPr>
                <w:t xml:space="preserve"> Available at:</w:t>
              </w:r>
              <w:hyperlink r:id="rId43" w:history="1">
                <w:r w:rsidRPr="00060E1F">
                  <w:rPr>
                    <w:rFonts w:ascii="Arial" w:hAnsi="Arial" w:cs="Arial"/>
                    <w:noProof/>
                    <w:color w:val="0000FF"/>
                    <w:kern w:val="0"/>
                    <w:sz w:val="24"/>
                    <w:szCs w:val="24"/>
                    <w:lang w:val="en-US"/>
                    <w14:ligatures w14:val="none"/>
                  </w:rPr>
                  <w:t>http://localhost:8080/xmlui/handle/123456789/9813</w:t>
                </w:r>
              </w:hyperlink>
              <w:r w:rsidRPr="00060E1F">
                <w:rPr>
                  <w:rFonts w:ascii="Arial" w:hAnsi="Arial" w:cs="Arial"/>
                  <w:noProof/>
                  <w:kern w:val="0"/>
                  <w:sz w:val="24"/>
                  <w:szCs w:val="24"/>
                  <w:lang w:val="en-US"/>
                  <w14:ligatures w14:val="none"/>
                </w:rPr>
                <w:t>[Accessed: 7 Nov. 23]</w:t>
              </w:r>
            </w:p>
            <w:p w14:paraId="457226C2" w14:textId="5E0DE7A8"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Khan, A. N., Khan, N. A., &amp; Bodla, A. A. (2021). The after-shock effects of high-performers turnover in </w:t>
              </w:r>
              <w:r w:rsidR="009B0E01" w:rsidRPr="00060E1F">
                <w:rPr>
                  <w:rFonts w:ascii="Arial" w:hAnsi="Arial" w:cs="Arial"/>
                  <w:noProof/>
                  <w:kern w:val="0"/>
                  <w:sz w:val="24"/>
                  <w:szCs w:val="24"/>
                  <w:lang w:val="en-US"/>
                  <w14:ligatures w14:val="none"/>
                </w:rPr>
                <w:t xml:space="preserve">the </w:t>
              </w:r>
              <w:r w:rsidRPr="00060E1F">
                <w:rPr>
                  <w:rFonts w:ascii="Arial" w:hAnsi="Arial" w:cs="Arial"/>
                  <w:noProof/>
                  <w:kern w:val="0"/>
                  <w:sz w:val="24"/>
                  <w:szCs w:val="24"/>
                  <w:lang w:val="en-US"/>
                  <w14:ligatures w14:val="none"/>
                </w:rPr>
                <w:t xml:space="preserve">hotel industry: a multi-level study. </w:t>
              </w:r>
              <w:r w:rsidRPr="00060E1F">
                <w:rPr>
                  <w:rFonts w:ascii="Arial" w:hAnsi="Arial" w:cs="Arial"/>
                  <w:i/>
                  <w:iCs/>
                  <w:noProof/>
                  <w:kern w:val="0"/>
                  <w:sz w:val="24"/>
                  <w:szCs w:val="24"/>
                  <w:lang w:val="en-US"/>
                  <w14:ligatures w14:val="none"/>
                </w:rPr>
                <w:t>International Journal of Contemporary Hospitality Management, 33</w:t>
              </w:r>
              <w:r w:rsidRPr="00060E1F">
                <w:rPr>
                  <w:rFonts w:ascii="Arial" w:hAnsi="Arial" w:cs="Arial"/>
                  <w:noProof/>
                  <w:kern w:val="0"/>
                  <w:sz w:val="24"/>
                  <w:szCs w:val="24"/>
                  <w:lang w:val="en-US"/>
                  <w14:ligatures w14:val="none"/>
                </w:rPr>
                <w:t>(10), 3277-3295.</w:t>
              </w:r>
              <w:r w:rsidRPr="00060E1F">
                <w:rPr>
                  <w:rFonts w:ascii="Arial" w:hAnsi="Arial" w:cs="Arial"/>
                  <w:kern w:val="0"/>
                  <w:sz w:val="24"/>
                  <w:szCs w:val="24"/>
                  <w:lang w:val="en-US"/>
                  <w14:ligatures w14:val="none"/>
                </w:rPr>
                <w:t xml:space="preserve"> </w:t>
              </w:r>
              <w:r w:rsidRPr="00060E1F">
                <w:rPr>
                  <w:rFonts w:ascii="Arial" w:hAnsi="Arial" w:cs="Arial"/>
                  <w:noProof/>
                  <w:kern w:val="0"/>
                  <w:sz w:val="24"/>
                  <w:szCs w:val="24"/>
                  <w:lang w:val="en-US"/>
                  <w14:ligatures w14:val="none"/>
                </w:rPr>
                <w:t>Available at:</w:t>
              </w:r>
              <w:hyperlink r:id="rId44" w:history="1">
                <w:r w:rsidRPr="00060E1F">
                  <w:rPr>
                    <w:rFonts w:ascii="Arial" w:hAnsi="Arial" w:cs="Arial"/>
                    <w:noProof/>
                    <w:color w:val="0000FF"/>
                    <w:kern w:val="0"/>
                    <w:sz w:val="24"/>
                    <w:szCs w:val="24"/>
                    <w:lang w:val="en-US"/>
                    <w14:ligatures w14:val="none"/>
                  </w:rPr>
                  <w:t>https://doi.org/10.1108/IJCHM-12-2020-1439</w:t>
                </w:r>
              </w:hyperlink>
              <w:r w:rsidRPr="00060E1F">
                <w:rPr>
                  <w:rFonts w:ascii="Arial" w:hAnsi="Arial" w:cs="Arial"/>
                  <w:noProof/>
                  <w:kern w:val="0"/>
                  <w:sz w:val="24"/>
                  <w:szCs w:val="24"/>
                  <w:lang w:val="en-US"/>
                  <w14:ligatures w14:val="none"/>
                </w:rPr>
                <w:t>[Accessed: 7 Nov. 23]</w:t>
              </w:r>
            </w:p>
            <w:p w14:paraId="4745AD6E"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Kita, C. (2012). Alone Together: Why We Expect More from Technology and Less from Each Other. </w:t>
              </w:r>
              <w:r w:rsidRPr="00060E1F">
                <w:rPr>
                  <w:rFonts w:ascii="Arial" w:hAnsi="Arial" w:cs="Arial"/>
                  <w:i/>
                  <w:iCs/>
                  <w:noProof/>
                  <w:kern w:val="0"/>
                  <w:sz w:val="24"/>
                  <w:szCs w:val="24"/>
                  <w:lang w:val="en-US"/>
                  <w14:ligatures w14:val="none"/>
                </w:rPr>
                <w:t>Technology and Culture, 53</w:t>
              </w:r>
              <w:r w:rsidRPr="00060E1F">
                <w:rPr>
                  <w:rFonts w:ascii="Arial" w:hAnsi="Arial" w:cs="Arial"/>
                  <w:noProof/>
                  <w:kern w:val="0"/>
                  <w:sz w:val="24"/>
                  <w:szCs w:val="24"/>
                  <w:lang w:val="en-US"/>
                  <w14:ligatures w14:val="none"/>
                </w:rPr>
                <w:t>(4), 960-961. Available at:</w:t>
              </w:r>
              <w:hyperlink r:id="rId45" w:history="1">
                <w:r w:rsidRPr="00060E1F">
                  <w:rPr>
                    <w:rFonts w:ascii="Arial" w:hAnsi="Arial" w:cs="Arial"/>
                    <w:noProof/>
                    <w:color w:val="0000FF"/>
                    <w:kern w:val="0"/>
                    <w:sz w:val="24"/>
                    <w:szCs w:val="24"/>
                    <w:lang w:val="en-US"/>
                    <w14:ligatures w14:val="none"/>
                  </w:rPr>
                  <w:t>https://doi.org/10.1353/tech.2012.0157</w:t>
                </w:r>
              </w:hyperlink>
              <w:r w:rsidRPr="00060E1F">
                <w:rPr>
                  <w:rFonts w:ascii="Arial" w:hAnsi="Arial" w:cs="Arial"/>
                  <w:noProof/>
                  <w:kern w:val="0"/>
                  <w:sz w:val="24"/>
                  <w:szCs w:val="24"/>
                  <w:lang w:val="en-US"/>
                  <w14:ligatures w14:val="none"/>
                </w:rPr>
                <w:t>[Accessed: 14 Nov. 23]</w:t>
              </w:r>
            </w:p>
            <w:p w14:paraId="571B1D57" w14:textId="12ED42F6"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Kristiansen, E., Solem, B. A., Dille, T., &amp; Houlihan, B. (2021). Stakeholder management of temporary </w:t>
              </w:r>
              <w:r w:rsidR="009B0E01" w:rsidRPr="00060E1F">
                <w:rPr>
                  <w:rFonts w:ascii="Arial" w:hAnsi="Arial" w:cs="Arial"/>
                  <w:noProof/>
                  <w:kern w:val="0"/>
                  <w:sz w:val="24"/>
                  <w:szCs w:val="24"/>
                  <w:lang w:val="en-US"/>
                  <w14:ligatures w14:val="none"/>
                </w:rPr>
                <w:t>sports</w:t>
              </w:r>
              <w:r w:rsidRPr="00060E1F">
                <w:rPr>
                  <w:rFonts w:ascii="Arial" w:hAnsi="Arial" w:cs="Arial"/>
                  <w:noProof/>
                  <w:kern w:val="0"/>
                  <w:sz w:val="24"/>
                  <w:szCs w:val="24"/>
                  <w:lang w:val="en-US"/>
                  <w14:ligatures w14:val="none"/>
                </w:rPr>
                <w:t xml:space="preserve"> event organizations. </w:t>
              </w:r>
              <w:r w:rsidRPr="00060E1F">
                <w:rPr>
                  <w:rFonts w:ascii="Arial" w:hAnsi="Arial" w:cs="Arial"/>
                  <w:i/>
                  <w:iCs/>
                  <w:noProof/>
                  <w:kern w:val="0"/>
                  <w:sz w:val="24"/>
                  <w:szCs w:val="24"/>
                  <w:lang w:val="en-US"/>
                  <w14:ligatures w14:val="none"/>
                </w:rPr>
                <w:t>Event Management, 25</w:t>
              </w:r>
              <w:r w:rsidRPr="00060E1F">
                <w:rPr>
                  <w:rFonts w:ascii="Arial" w:hAnsi="Arial" w:cs="Arial"/>
                  <w:noProof/>
                  <w:kern w:val="0"/>
                  <w:sz w:val="24"/>
                  <w:szCs w:val="24"/>
                  <w:lang w:val="en-US"/>
                  <w14:ligatures w14:val="none"/>
                </w:rPr>
                <w:t>(6), 619-639. Available at:</w:t>
              </w:r>
              <w:hyperlink r:id="rId46" w:history="1">
                <w:r w:rsidRPr="00060E1F">
                  <w:rPr>
                    <w:rFonts w:ascii="Arial" w:hAnsi="Arial" w:cs="Arial"/>
                    <w:noProof/>
                    <w:color w:val="0000FF"/>
                    <w:kern w:val="0"/>
                    <w:sz w:val="24"/>
                    <w:szCs w:val="24"/>
                    <w:lang w:val="en-US"/>
                    <w14:ligatures w14:val="none"/>
                  </w:rPr>
                  <w:t>https://doi.org/10.3727/152599521X16106577965080</w:t>
                </w:r>
              </w:hyperlink>
              <w:r w:rsidRPr="00060E1F">
                <w:rPr>
                  <w:rFonts w:ascii="Arial" w:hAnsi="Arial" w:cs="Arial"/>
                  <w:noProof/>
                  <w:kern w:val="0"/>
                  <w:sz w:val="24"/>
                  <w:szCs w:val="24"/>
                  <w:lang w:val="en-US"/>
                  <w14:ligatures w14:val="none"/>
                </w:rPr>
                <w:t>[Accessed: 9 Nov. 23]</w:t>
              </w:r>
            </w:p>
            <w:p w14:paraId="46417E47" w14:textId="1DE17780"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Kwok, L. (2022). </w:t>
              </w:r>
              <w:r w:rsidR="009B0E01" w:rsidRPr="00060E1F">
                <w:rPr>
                  <w:rFonts w:ascii="Arial" w:hAnsi="Arial" w:cs="Arial"/>
                  <w:noProof/>
                  <w:kern w:val="0"/>
                  <w:sz w:val="24"/>
                  <w:szCs w:val="24"/>
                  <w:lang w:val="en-US"/>
                  <w14:ligatures w14:val="none"/>
                </w:rPr>
                <w:t>Labour</w:t>
              </w:r>
              <w:r w:rsidRPr="00060E1F">
                <w:rPr>
                  <w:rFonts w:ascii="Arial" w:hAnsi="Arial" w:cs="Arial"/>
                  <w:noProof/>
                  <w:kern w:val="0"/>
                  <w:sz w:val="24"/>
                  <w:szCs w:val="24"/>
                  <w:lang w:val="en-US"/>
                  <w14:ligatures w14:val="none"/>
                </w:rPr>
                <w:t xml:space="preserve"> shortage: a critical reflection and a call for industry-academia collaboration. </w:t>
              </w:r>
              <w:r w:rsidRPr="00060E1F">
                <w:rPr>
                  <w:rFonts w:ascii="Arial" w:hAnsi="Arial" w:cs="Arial"/>
                  <w:i/>
                  <w:iCs/>
                  <w:noProof/>
                  <w:kern w:val="0"/>
                  <w:sz w:val="24"/>
                  <w:szCs w:val="24"/>
                  <w:lang w:val="en-US"/>
                  <w14:ligatures w14:val="none"/>
                </w:rPr>
                <w:t>International Journal of Contemporary Hospitality Management, 34</w:t>
              </w:r>
              <w:r w:rsidRPr="00060E1F">
                <w:rPr>
                  <w:rFonts w:ascii="Arial" w:hAnsi="Arial" w:cs="Arial"/>
                  <w:noProof/>
                  <w:kern w:val="0"/>
                  <w:sz w:val="24"/>
                  <w:szCs w:val="24"/>
                  <w:lang w:val="en-US"/>
                  <w14:ligatures w14:val="none"/>
                </w:rPr>
                <w:t>(11), 3929-3943. Available at:</w:t>
              </w:r>
              <w:hyperlink r:id="rId47" w:history="1">
                <w:r w:rsidRPr="00060E1F">
                  <w:rPr>
                    <w:rFonts w:ascii="Arial" w:hAnsi="Arial" w:cs="Arial"/>
                    <w:noProof/>
                    <w:color w:val="0000FF"/>
                    <w:kern w:val="0"/>
                    <w:sz w:val="24"/>
                    <w:szCs w:val="24"/>
                    <w:lang w:val="en-US"/>
                    <w14:ligatures w14:val="none"/>
                  </w:rPr>
                  <w:t>https://doi.org/10.1108/IJCHM-01-2022-0103</w:t>
                </w:r>
              </w:hyperlink>
              <w:r w:rsidRPr="00060E1F">
                <w:rPr>
                  <w:rFonts w:ascii="Arial" w:hAnsi="Arial" w:cs="Arial"/>
                  <w:noProof/>
                  <w:kern w:val="0"/>
                  <w:sz w:val="24"/>
                  <w:szCs w:val="24"/>
                  <w:lang w:val="en-US"/>
                  <w14:ligatures w14:val="none"/>
                </w:rPr>
                <w:t>[Accessed: 14 Nov. 23]</w:t>
              </w:r>
            </w:p>
            <w:p w14:paraId="5996444E" w14:textId="7F9DDF33"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lastRenderedPageBreak/>
                <w:t xml:space="preserve">Kwok, L. (2022). </w:t>
              </w:r>
              <w:r w:rsidR="009B0E01" w:rsidRPr="00060E1F">
                <w:rPr>
                  <w:rFonts w:ascii="Arial" w:hAnsi="Arial" w:cs="Arial"/>
                  <w:noProof/>
                  <w:kern w:val="0"/>
                  <w:sz w:val="24"/>
                  <w:szCs w:val="24"/>
                  <w:lang w:val="en-US"/>
                  <w14:ligatures w14:val="none"/>
                </w:rPr>
                <w:t>Labour</w:t>
              </w:r>
              <w:r w:rsidRPr="00060E1F">
                <w:rPr>
                  <w:rFonts w:ascii="Arial" w:hAnsi="Arial" w:cs="Arial"/>
                  <w:noProof/>
                  <w:kern w:val="0"/>
                  <w:sz w:val="24"/>
                  <w:szCs w:val="24"/>
                  <w:lang w:val="en-US"/>
                  <w14:ligatures w14:val="none"/>
                </w:rPr>
                <w:t xml:space="preserve"> shortage: a critical reflection and a call for industry-academia collaboration. </w:t>
              </w:r>
              <w:r w:rsidRPr="00060E1F">
                <w:rPr>
                  <w:rFonts w:ascii="Arial" w:hAnsi="Arial" w:cs="Arial"/>
                  <w:i/>
                  <w:iCs/>
                  <w:noProof/>
                  <w:kern w:val="0"/>
                  <w:sz w:val="24"/>
                  <w:szCs w:val="24"/>
                  <w:lang w:val="en-US"/>
                  <w14:ligatures w14:val="none"/>
                </w:rPr>
                <w:t>International Journal of Contemporary Hospitality Management, 34</w:t>
              </w:r>
              <w:r w:rsidRPr="00060E1F">
                <w:rPr>
                  <w:rFonts w:ascii="Arial" w:hAnsi="Arial" w:cs="Arial"/>
                  <w:noProof/>
                  <w:kern w:val="0"/>
                  <w:sz w:val="24"/>
                  <w:szCs w:val="24"/>
                  <w:lang w:val="en-US"/>
                  <w14:ligatures w14:val="none"/>
                </w:rPr>
                <w:t>(1), 3929-3943. Available at:</w:t>
              </w:r>
              <w:hyperlink r:id="rId48" w:history="1">
                <w:r w:rsidRPr="00060E1F">
                  <w:rPr>
                    <w:rFonts w:ascii="Arial" w:hAnsi="Arial" w:cs="Arial"/>
                    <w:noProof/>
                    <w:color w:val="0000FF"/>
                    <w:kern w:val="0"/>
                    <w:sz w:val="24"/>
                    <w:szCs w:val="24"/>
                    <w:lang w:val="en-US"/>
                    <w14:ligatures w14:val="none"/>
                  </w:rPr>
                  <w:t>https://doi.org/10.1108/IJCHM-01-2022-0103</w:t>
                </w:r>
              </w:hyperlink>
              <w:r w:rsidRPr="00060E1F">
                <w:rPr>
                  <w:rFonts w:ascii="Arial" w:hAnsi="Arial" w:cs="Arial"/>
                  <w:noProof/>
                  <w:kern w:val="0"/>
                  <w:sz w:val="24"/>
                  <w:szCs w:val="24"/>
                  <w:lang w:val="en-US"/>
                  <w14:ligatures w14:val="none"/>
                </w:rPr>
                <w:t>[Accessed: 9 Nov. 23]</w:t>
              </w:r>
            </w:p>
            <w:p w14:paraId="74C74E5B" w14:textId="082F06A2"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Liu-Lastres, B., Wen, H., &amp; Huang, W. J. (2023). A reflection on the Great Resignation in the hospitality and tourism industry. </w:t>
              </w:r>
              <w:r w:rsidRPr="00060E1F">
                <w:rPr>
                  <w:rFonts w:ascii="Arial" w:hAnsi="Arial" w:cs="Arial"/>
                  <w:i/>
                  <w:iCs/>
                  <w:noProof/>
                  <w:kern w:val="0"/>
                  <w:sz w:val="24"/>
                  <w:szCs w:val="24"/>
                  <w:lang w:val="en-US"/>
                  <w14:ligatures w14:val="none"/>
                </w:rPr>
                <w:t>International Journal of Contemporary Hospitality Management, 35</w:t>
              </w:r>
              <w:r w:rsidRPr="00060E1F">
                <w:rPr>
                  <w:rFonts w:ascii="Arial" w:hAnsi="Arial" w:cs="Arial"/>
                  <w:noProof/>
                  <w:kern w:val="0"/>
                  <w:sz w:val="24"/>
                  <w:szCs w:val="24"/>
                  <w:lang w:val="en-US"/>
                  <w14:ligatures w14:val="none"/>
                </w:rPr>
                <w:t>(1), 235-249. Available at:</w:t>
              </w:r>
              <w:hyperlink r:id="rId49" w:history="1">
                <w:r w:rsidRPr="00060E1F">
                  <w:rPr>
                    <w:rFonts w:ascii="Arial" w:hAnsi="Arial" w:cs="Arial"/>
                    <w:noProof/>
                    <w:color w:val="0000FF"/>
                    <w:kern w:val="0"/>
                    <w:sz w:val="24"/>
                    <w:szCs w:val="24"/>
                    <w:lang w:val="en-US"/>
                    <w14:ligatures w14:val="none"/>
                  </w:rPr>
                  <w:t>https://doi.org/10.1108/IJCHM-05-2022-0551</w:t>
                </w:r>
              </w:hyperlink>
              <w:r w:rsidRPr="00060E1F">
                <w:rPr>
                  <w:rFonts w:ascii="Arial" w:hAnsi="Arial" w:cs="Arial"/>
                  <w:noProof/>
                  <w:kern w:val="0"/>
                  <w:sz w:val="24"/>
                  <w:szCs w:val="24"/>
                  <w:lang w:val="en-US"/>
                  <w14:ligatures w14:val="none"/>
                </w:rPr>
                <w:t>[Accessed: 9 Nov. 23]</w:t>
              </w:r>
            </w:p>
            <w:p w14:paraId="1D15FA16"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Madera, J. M., Yang, W., Wu, L., Ma, E., &amp; Xu, S. (2023). Diversity and inclusion in hospitality and tourism: bridging the gap between employee and customer perspectives. </w:t>
              </w:r>
              <w:r w:rsidRPr="00060E1F">
                <w:rPr>
                  <w:rFonts w:ascii="Arial" w:hAnsi="Arial" w:cs="Arial"/>
                  <w:i/>
                  <w:iCs/>
                  <w:noProof/>
                  <w:kern w:val="0"/>
                  <w:sz w:val="24"/>
                  <w:szCs w:val="24"/>
                  <w:lang w:val="en-US"/>
                  <w14:ligatures w14:val="none"/>
                </w:rPr>
                <w:t>International Journal of Contemporary Hospitality Management, 35</w:t>
              </w:r>
              <w:r w:rsidRPr="00060E1F">
                <w:rPr>
                  <w:rFonts w:ascii="Arial" w:hAnsi="Arial" w:cs="Arial"/>
                  <w:noProof/>
                  <w:kern w:val="0"/>
                  <w:sz w:val="24"/>
                  <w:szCs w:val="24"/>
                  <w:lang w:val="en-US"/>
                  <w14:ligatures w14:val="none"/>
                </w:rPr>
                <w:t>(11), 3972-3989. Available at</w:t>
              </w:r>
              <w:hyperlink r:id="rId50" w:history="1">
                <w:r w:rsidRPr="00060E1F">
                  <w:rPr>
                    <w:rFonts w:ascii="Arial" w:hAnsi="Arial" w:cs="Arial"/>
                    <w:noProof/>
                    <w:color w:val="0000FF"/>
                    <w:kern w:val="0"/>
                    <w:sz w:val="24"/>
                    <w:szCs w:val="24"/>
                    <w:lang w:val="en-US"/>
                    <w14:ligatures w14:val="none"/>
                  </w:rPr>
                  <w:t>:https://doi.org/10.1108/IJCHM-04-2023-0450</w:t>
                </w:r>
              </w:hyperlink>
              <w:r w:rsidRPr="00060E1F">
                <w:rPr>
                  <w:rFonts w:ascii="Arial" w:hAnsi="Arial" w:cs="Arial"/>
                  <w:noProof/>
                  <w:kern w:val="0"/>
                  <w:sz w:val="24"/>
                  <w:szCs w:val="24"/>
                  <w:lang w:val="en-US"/>
                  <w14:ligatures w14:val="none"/>
                </w:rPr>
                <w:t>[Accessed: 14 Nov. 23]</w:t>
              </w:r>
            </w:p>
            <w:p w14:paraId="6F27EFBD" w14:textId="05306145"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Mansaray, H. E. (2019). The role of leadership style in organisational change management: a literature review. </w:t>
              </w:r>
              <w:r w:rsidRPr="00060E1F">
                <w:rPr>
                  <w:rFonts w:ascii="Arial" w:hAnsi="Arial" w:cs="Arial"/>
                  <w:i/>
                  <w:iCs/>
                  <w:noProof/>
                  <w:kern w:val="0"/>
                  <w:sz w:val="24"/>
                  <w:szCs w:val="24"/>
                  <w:lang w:val="en-US"/>
                  <w14:ligatures w14:val="none"/>
                </w:rPr>
                <w:t>Journal of Human Resource Management, 7</w:t>
              </w:r>
              <w:r w:rsidRPr="00060E1F">
                <w:rPr>
                  <w:rFonts w:ascii="Arial" w:hAnsi="Arial" w:cs="Arial"/>
                  <w:noProof/>
                  <w:kern w:val="0"/>
                  <w:sz w:val="24"/>
                  <w:szCs w:val="24"/>
                  <w:lang w:val="en-US"/>
                  <w14:ligatures w14:val="none"/>
                </w:rPr>
                <w:t>(1), 18-31. Available at:</w:t>
              </w:r>
              <w:hyperlink r:id="rId51" w:history="1">
                <w:r w:rsidRPr="00060E1F">
                  <w:rPr>
                    <w:rFonts w:ascii="Arial" w:hAnsi="Arial" w:cs="Arial"/>
                    <w:noProof/>
                    <w:color w:val="0000FF"/>
                    <w:kern w:val="0"/>
                    <w:sz w:val="24"/>
                    <w:szCs w:val="24"/>
                    <w:lang w:val="en-US"/>
                    <w14:ligatures w14:val="none"/>
                  </w:rPr>
                  <w:t>doi: 10.11648/j.jhrm.20190701.13</w:t>
                </w:r>
              </w:hyperlink>
              <w:r w:rsidRPr="00060E1F">
                <w:rPr>
                  <w:rFonts w:ascii="Arial" w:hAnsi="Arial" w:cs="Arial"/>
                  <w:noProof/>
                  <w:kern w:val="0"/>
                  <w:sz w:val="24"/>
                  <w:szCs w:val="24"/>
                  <w:lang w:val="en-US"/>
                  <w14:ligatures w14:val="none"/>
                </w:rPr>
                <w:t xml:space="preserve"> [Accessed: 9 Nov. 23]</w:t>
              </w:r>
            </w:p>
            <w:p w14:paraId="6A250604" w14:textId="46D9E8FE"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Markiz, Y., Margono, Wirawan, I. D., &amp; Ainur, R. (2017). The influences of leadership styles, organizational communication, and job satisfaction toward employees’ job performance in doing construction jobs: a study on three construction companies in Jakarta. </w:t>
              </w:r>
              <w:r w:rsidRPr="00060E1F">
                <w:rPr>
                  <w:rFonts w:ascii="Arial" w:hAnsi="Arial" w:cs="Arial"/>
                  <w:i/>
                  <w:iCs/>
                  <w:noProof/>
                  <w:kern w:val="0"/>
                  <w:sz w:val="24"/>
                  <w:szCs w:val="24"/>
                  <w:lang w:val="en-US"/>
                  <w14:ligatures w14:val="none"/>
                </w:rPr>
                <w:t>Russian Journal of Agricultural and Socio-Economic Sciences, 65</w:t>
              </w:r>
              <w:r w:rsidRPr="00060E1F">
                <w:rPr>
                  <w:rFonts w:ascii="Arial" w:hAnsi="Arial" w:cs="Arial"/>
                  <w:noProof/>
                  <w:kern w:val="0"/>
                  <w:sz w:val="24"/>
                  <w:szCs w:val="24"/>
                  <w:lang w:val="en-US"/>
                  <w14:ligatures w14:val="none"/>
                </w:rPr>
                <w:t>(5), 168-180. Available at:</w:t>
              </w:r>
              <w:hyperlink r:id="rId52" w:history="1">
                <w:r w:rsidRPr="00060E1F">
                  <w:rPr>
                    <w:rFonts w:ascii="Arial" w:hAnsi="Arial" w:cs="Arial"/>
                    <w:noProof/>
                    <w:color w:val="0000FF"/>
                    <w:kern w:val="0"/>
                    <w:sz w:val="24"/>
                    <w:szCs w:val="24"/>
                    <w:lang w:val="en-US"/>
                    <w14:ligatures w14:val="none"/>
                  </w:rPr>
                  <w:t>https://cyberleninka.ru/article/n/the-influences-of-leadership-styles-organizational-communication-and-job-satisfaction-toward-employees-job-performance-in-doing[</w:t>
                </w:r>
              </w:hyperlink>
              <w:r w:rsidRPr="00060E1F">
                <w:rPr>
                  <w:rFonts w:ascii="Arial" w:hAnsi="Arial" w:cs="Arial"/>
                  <w:noProof/>
                  <w:kern w:val="0"/>
                  <w:sz w:val="24"/>
                  <w:szCs w:val="24"/>
                  <w:lang w:val="en-US"/>
                  <w14:ligatures w14:val="none"/>
                </w:rPr>
                <w:t>Accessed: 10 Nov. 23]</w:t>
              </w:r>
            </w:p>
            <w:p w14:paraId="2964B812" w14:textId="6688B571"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Marriott.Com. (2023). </w:t>
              </w:r>
              <w:r w:rsidRPr="00060E1F">
                <w:rPr>
                  <w:rFonts w:ascii="Arial" w:hAnsi="Arial" w:cs="Arial"/>
                  <w:i/>
                  <w:iCs/>
                  <w:noProof/>
                  <w:kern w:val="0"/>
                  <w:sz w:val="24"/>
                  <w:szCs w:val="24"/>
                  <w:lang w:val="en-US"/>
                  <w14:ligatures w14:val="none"/>
                </w:rPr>
                <w:t>Marriott International</w:t>
              </w:r>
              <w:r w:rsidRPr="00060E1F">
                <w:rPr>
                  <w:rFonts w:ascii="Arial" w:hAnsi="Arial" w:cs="Arial"/>
                  <w:noProof/>
                  <w:kern w:val="0"/>
                  <w:sz w:val="24"/>
                  <w:szCs w:val="24"/>
                  <w:lang w:val="en-US"/>
                  <w14:ligatures w14:val="none"/>
                </w:rPr>
                <w:t>. Available at:</w:t>
              </w:r>
              <w:hyperlink r:id="rId53" w:history="1">
                <w:r w:rsidRPr="00060E1F">
                  <w:rPr>
                    <w:rFonts w:ascii="Arial" w:hAnsi="Arial" w:cs="Arial"/>
                    <w:noProof/>
                    <w:color w:val="0000FF"/>
                    <w:kern w:val="0"/>
                    <w:sz w:val="24"/>
                    <w:szCs w:val="24"/>
                    <w:lang w:val="en-US"/>
                    <w14:ligatures w14:val="none"/>
                  </w:rPr>
                  <w:t>https://www.marriott.com/marriott/aboutmarriott.mi</w:t>
                </w:r>
              </w:hyperlink>
              <w:r w:rsidRPr="00060E1F">
                <w:rPr>
                  <w:rFonts w:ascii="Arial" w:hAnsi="Arial" w:cs="Arial"/>
                  <w:noProof/>
                  <w:kern w:val="0"/>
                  <w:sz w:val="24"/>
                  <w:szCs w:val="24"/>
                  <w:lang w:val="en-US"/>
                  <w14:ligatures w14:val="none"/>
                </w:rPr>
                <w:t>[Accessed: 14 Nov. 23]</w:t>
              </w:r>
            </w:p>
            <w:p w14:paraId="17F6649B" w14:textId="25A58B1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Marriott.com. (2023). </w:t>
              </w:r>
              <w:r w:rsidRPr="00060E1F">
                <w:rPr>
                  <w:rFonts w:ascii="Arial" w:hAnsi="Arial" w:cs="Arial"/>
                  <w:i/>
                  <w:iCs/>
                  <w:noProof/>
                  <w:kern w:val="0"/>
                  <w:sz w:val="24"/>
                  <w:szCs w:val="24"/>
                  <w:lang w:val="en-US"/>
                  <w14:ligatures w14:val="none"/>
                </w:rPr>
                <w:t>Courtyard of Marriott</w:t>
              </w:r>
              <w:r w:rsidRPr="00060E1F">
                <w:rPr>
                  <w:rFonts w:ascii="Arial" w:hAnsi="Arial" w:cs="Arial"/>
                  <w:noProof/>
                  <w:kern w:val="0"/>
                  <w:sz w:val="24"/>
                  <w:szCs w:val="24"/>
                  <w:lang w:val="en-US"/>
                  <w14:ligatures w14:val="none"/>
                </w:rPr>
                <w:t>. Available at</w:t>
              </w:r>
              <w:hyperlink r:id="rId54" w:history="1">
                <w:r w:rsidRPr="00060E1F">
                  <w:rPr>
                    <w:rFonts w:ascii="Arial" w:hAnsi="Arial" w:cs="Arial"/>
                    <w:noProof/>
                    <w:color w:val="0000FF"/>
                    <w:kern w:val="0"/>
                    <w:sz w:val="24"/>
                    <w:szCs w:val="24"/>
                    <w:lang w:val="en-US"/>
                    <w14:ligatures w14:val="none"/>
                  </w:rPr>
                  <w:t>:https://news.marriott.com/brands/courtyard-by-marriott</w:t>
                </w:r>
              </w:hyperlink>
              <w:r w:rsidRPr="00060E1F">
                <w:rPr>
                  <w:rFonts w:ascii="Arial" w:hAnsi="Arial" w:cs="Arial"/>
                  <w:noProof/>
                  <w:kern w:val="0"/>
                  <w:sz w:val="24"/>
                  <w:szCs w:val="24"/>
                  <w:lang w:val="en-US"/>
                  <w14:ligatures w14:val="none"/>
                </w:rPr>
                <w:t>[Accessed: 14 Nov. 23]</w:t>
              </w:r>
            </w:p>
            <w:p w14:paraId="627E4E85" w14:textId="047195B0"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lastRenderedPageBreak/>
                <w:t xml:space="preserve">Melián-Alzola, L., Fernández-Monroy, M., &amp; Hidalgo-Peñate, M. (2020). Hotels in contexts of uncertainty: Measuring organisational resilience. </w:t>
              </w:r>
              <w:r w:rsidRPr="00060E1F">
                <w:rPr>
                  <w:rFonts w:ascii="Arial" w:hAnsi="Arial" w:cs="Arial"/>
                  <w:i/>
                  <w:iCs/>
                  <w:noProof/>
                  <w:kern w:val="0"/>
                  <w:sz w:val="24"/>
                  <w:szCs w:val="24"/>
                  <w:lang w:val="en-US"/>
                  <w14:ligatures w14:val="none"/>
                </w:rPr>
                <w:t>Tourism management perspectives, 36</w:t>
              </w:r>
              <w:r w:rsidRPr="00060E1F">
                <w:rPr>
                  <w:rFonts w:ascii="Arial" w:hAnsi="Arial" w:cs="Arial"/>
                  <w:noProof/>
                  <w:kern w:val="0"/>
                  <w:sz w:val="24"/>
                  <w:szCs w:val="24"/>
                  <w:lang w:val="en-US"/>
                  <w14:ligatures w14:val="none"/>
                </w:rPr>
                <w:t>, 100747. Available at:</w:t>
              </w:r>
              <w:hyperlink r:id="rId55" w:history="1">
                <w:r w:rsidRPr="00060E1F">
                  <w:rPr>
                    <w:rFonts w:ascii="Arial" w:hAnsi="Arial" w:cs="Arial"/>
                    <w:noProof/>
                    <w:color w:val="0000FF"/>
                    <w:kern w:val="0"/>
                    <w:sz w:val="24"/>
                    <w:szCs w:val="24"/>
                    <w:lang w:val="en-US"/>
                    <w14:ligatures w14:val="none"/>
                  </w:rPr>
                  <w:t>https://doi.org/10.1016/j.tmp.2020.100747</w:t>
                </w:r>
              </w:hyperlink>
              <w:r w:rsidRPr="00060E1F">
                <w:rPr>
                  <w:rFonts w:ascii="Arial" w:hAnsi="Arial" w:cs="Arial"/>
                  <w:noProof/>
                  <w:kern w:val="0"/>
                  <w:sz w:val="24"/>
                  <w:szCs w:val="24"/>
                  <w:lang w:val="en-US"/>
                  <w14:ligatures w14:val="none"/>
                </w:rPr>
                <w:t>[Accessed: 10 Nov. 23]</w:t>
              </w:r>
            </w:p>
            <w:p w14:paraId="229737B5" w14:textId="51835F5F"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Michael, N., &amp; Fotiadis, A. K. (2022). Employee turnover: The hotel industry perspective. </w:t>
              </w:r>
              <w:r w:rsidRPr="00060E1F">
                <w:rPr>
                  <w:rFonts w:ascii="Arial" w:hAnsi="Arial" w:cs="Arial"/>
                  <w:i/>
                  <w:iCs/>
                  <w:noProof/>
                  <w:kern w:val="0"/>
                  <w:sz w:val="24"/>
                  <w:szCs w:val="24"/>
                  <w:lang w:val="en-US"/>
                  <w14:ligatures w14:val="none"/>
                </w:rPr>
                <w:t>Journal of Tourism, Heritage &amp; Services Marketing (JTHSM), 8</w:t>
              </w:r>
              <w:r w:rsidRPr="00060E1F">
                <w:rPr>
                  <w:rFonts w:ascii="Arial" w:hAnsi="Arial" w:cs="Arial"/>
                  <w:noProof/>
                  <w:kern w:val="0"/>
                  <w:sz w:val="24"/>
                  <w:szCs w:val="24"/>
                  <w:lang w:val="en-US"/>
                  <w14:ligatures w14:val="none"/>
                </w:rPr>
                <w:t>(1), 38-47. Available at</w:t>
              </w:r>
              <w:hyperlink r:id="rId56" w:history="1">
                <w:r w:rsidRPr="00060E1F">
                  <w:rPr>
                    <w:rFonts w:ascii="Arial" w:hAnsi="Arial" w:cs="Arial"/>
                    <w:noProof/>
                    <w:color w:val="0000FF"/>
                    <w:kern w:val="0"/>
                    <w:sz w:val="24"/>
                    <w:szCs w:val="24"/>
                    <w:lang w:val="en-US"/>
                    <w14:ligatures w14:val="none"/>
                  </w:rPr>
                  <w:t>:https://ssrn.com/abstract=4121197</w:t>
                </w:r>
              </w:hyperlink>
              <w:r w:rsidRPr="00060E1F">
                <w:rPr>
                  <w:rFonts w:ascii="Arial" w:hAnsi="Arial" w:cs="Arial"/>
                  <w:noProof/>
                  <w:kern w:val="0"/>
                  <w:sz w:val="24"/>
                  <w:szCs w:val="24"/>
                  <w:lang w:val="en-US"/>
                  <w14:ligatures w14:val="none"/>
                </w:rPr>
                <w:t>[Accessed: 1</w:t>
              </w:r>
              <w:r w:rsidR="00842E22" w:rsidRPr="00060E1F">
                <w:rPr>
                  <w:rFonts w:ascii="Arial" w:hAnsi="Arial" w:cs="Arial"/>
                  <w:noProof/>
                  <w:kern w:val="0"/>
                  <w:sz w:val="24"/>
                  <w:szCs w:val="24"/>
                  <w:lang w:val="en-US"/>
                  <w14:ligatures w14:val="none"/>
                </w:rPr>
                <w:t>2</w:t>
              </w:r>
              <w:r w:rsidRPr="00060E1F">
                <w:rPr>
                  <w:rFonts w:ascii="Arial" w:hAnsi="Arial" w:cs="Arial"/>
                  <w:noProof/>
                  <w:kern w:val="0"/>
                  <w:sz w:val="24"/>
                  <w:szCs w:val="24"/>
                  <w:lang w:val="en-US"/>
                  <w14:ligatures w14:val="none"/>
                </w:rPr>
                <w:t xml:space="preserve"> Nov. 23]</w:t>
              </w:r>
            </w:p>
            <w:p w14:paraId="1E40EA1B" w14:textId="04603D0A"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Ming, Y., &amp; Liu, N. (2021). Political uncertainty in the tourism industry: Evidence from China’s anti-corruption campaign. </w:t>
              </w:r>
              <w:r w:rsidRPr="00060E1F">
                <w:rPr>
                  <w:rFonts w:ascii="Arial" w:hAnsi="Arial" w:cs="Arial"/>
                  <w:i/>
                  <w:iCs/>
                  <w:noProof/>
                  <w:kern w:val="0"/>
                  <w:sz w:val="24"/>
                  <w:szCs w:val="24"/>
                  <w:lang w:val="en-US"/>
                  <w14:ligatures w14:val="none"/>
                </w:rPr>
                <w:t>Current Issues in Tourism, 24</w:t>
              </w:r>
              <w:r w:rsidRPr="00060E1F">
                <w:rPr>
                  <w:rFonts w:ascii="Arial" w:hAnsi="Arial" w:cs="Arial"/>
                  <w:noProof/>
                  <w:kern w:val="0"/>
                  <w:sz w:val="24"/>
                  <w:szCs w:val="24"/>
                  <w:lang w:val="en-US"/>
                  <w14:ligatures w14:val="none"/>
                </w:rPr>
                <w:t>(18), 2573-2587. Available at:</w:t>
              </w:r>
              <w:hyperlink r:id="rId57" w:history="1">
                <w:r w:rsidRPr="00060E1F">
                  <w:rPr>
                    <w:rFonts w:ascii="Arial" w:hAnsi="Arial" w:cs="Arial"/>
                    <w:noProof/>
                    <w:color w:val="0000FF"/>
                    <w:kern w:val="0"/>
                    <w:sz w:val="24"/>
                    <w:szCs w:val="24"/>
                    <w:lang w:val="en-US"/>
                    <w14:ligatures w14:val="none"/>
                  </w:rPr>
                  <w:t>https://doi.org/10.1080/13683500.2020.1852195</w:t>
                </w:r>
              </w:hyperlink>
              <w:r w:rsidRPr="00060E1F">
                <w:rPr>
                  <w:rFonts w:ascii="Arial" w:hAnsi="Arial" w:cs="Arial"/>
                  <w:noProof/>
                  <w:kern w:val="0"/>
                  <w:sz w:val="24"/>
                  <w:szCs w:val="24"/>
                  <w:lang w:val="en-US"/>
                  <w14:ligatures w14:val="none"/>
                </w:rPr>
                <w:t xml:space="preserve">[Accessed: </w:t>
              </w:r>
              <w:r w:rsidR="00842E22" w:rsidRPr="00060E1F">
                <w:rPr>
                  <w:rFonts w:ascii="Arial" w:hAnsi="Arial" w:cs="Arial"/>
                  <w:noProof/>
                  <w:kern w:val="0"/>
                  <w:sz w:val="24"/>
                  <w:szCs w:val="24"/>
                  <w:lang w:val="en-US"/>
                  <w14:ligatures w14:val="none"/>
                </w:rPr>
                <w:t>7</w:t>
              </w:r>
              <w:r w:rsidRPr="00060E1F">
                <w:rPr>
                  <w:rFonts w:ascii="Arial" w:hAnsi="Arial" w:cs="Arial"/>
                  <w:noProof/>
                  <w:kern w:val="0"/>
                  <w:sz w:val="24"/>
                  <w:szCs w:val="24"/>
                  <w:lang w:val="en-US"/>
                  <w14:ligatures w14:val="none"/>
                </w:rPr>
                <w:t xml:space="preserve"> Nov. 23]</w:t>
              </w:r>
            </w:p>
            <w:p w14:paraId="3B61CEFF" w14:textId="56D16B20"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Mohsin, A., Brochado, A., &amp; Rodrigues, H. (2023). Mind the gap: a critical reflection on hotel employee turnover. </w:t>
              </w:r>
              <w:r w:rsidRPr="00060E1F">
                <w:rPr>
                  <w:rFonts w:ascii="Arial" w:hAnsi="Arial" w:cs="Arial"/>
                  <w:i/>
                  <w:iCs/>
                  <w:noProof/>
                  <w:kern w:val="0"/>
                  <w:sz w:val="24"/>
                  <w:szCs w:val="24"/>
                  <w:lang w:val="en-US"/>
                  <w14:ligatures w14:val="none"/>
                </w:rPr>
                <w:t>International Journal of Contemporary Hospitality Management, 35</w:t>
              </w:r>
              <w:r w:rsidRPr="00060E1F">
                <w:rPr>
                  <w:rFonts w:ascii="Arial" w:hAnsi="Arial" w:cs="Arial"/>
                  <w:noProof/>
                  <w:kern w:val="0"/>
                  <w:sz w:val="24"/>
                  <w:szCs w:val="24"/>
                  <w:lang w:val="en-US"/>
                  <w14:ligatures w14:val="none"/>
                </w:rPr>
                <w:t>(7), 2481-2495. doi:</w:t>
              </w:r>
              <w:hyperlink r:id="rId58" w:history="1">
                <w:r w:rsidRPr="00060E1F">
                  <w:rPr>
                    <w:rFonts w:ascii="Arial" w:hAnsi="Arial" w:cs="Arial"/>
                    <w:noProof/>
                    <w:color w:val="0000FF"/>
                    <w:kern w:val="0"/>
                    <w:sz w:val="24"/>
                    <w:szCs w:val="24"/>
                    <w:lang w:val="en-US"/>
                    <w14:ligatures w14:val="none"/>
                  </w:rPr>
                  <w:t>https://doi.org/10.1108/IJCHM-03-2022-0295</w:t>
                </w:r>
              </w:hyperlink>
              <w:r w:rsidRPr="00060E1F">
                <w:rPr>
                  <w:rFonts w:ascii="Arial" w:hAnsi="Arial" w:cs="Arial"/>
                  <w:noProof/>
                  <w:kern w:val="0"/>
                  <w:sz w:val="24"/>
                  <w:szCs w:val="24"/>
                  <w:lang w:val="en-US"/>
                  <w14:ligatures w14:val="none"/>
                </w:rPr>
                <w:t>[Accessed: 1</w:t>
              </w:r>
              <w:r w:rsidR="00842E22" w:rsidRPr="00060E1F">
                <w:rPr>
                  <w:rFonts w:ascii="Arial" w:hAnsi="Arial" w:cs="Arial"/>
                  <w:noProof/>
                  <w:kern w:val="0"/>
                  <w:sz w:val="24"/>
                  <w:szCs w:val="24"/>
                  <w:lang w:val="en-US"/>
                  <w14:ligatures w14:val="none"/>
                </w:rPr>
                <w:t>2</w:t>
              </w:r>
              <w:r w:rsidRPr="00060E1F">
                <w:rPr>
                  <w:rFonts w:ascii="Arial" w:hAnsi="Arial" w:cs="Arial"/>
                  <w:noProof/>
                  <w:kern w:val="0"/>
                  <w:sz w:val="24"/>
                  <w:szCs w:val="24"/>
                  <w:lang w:val="en-US"/>
                  <w14:ligatures w14:val="none"/>
                </w:rPr>
                <w:t xml:space="preserve"> Nov. 23]</w:t>
              </w:r>
            </w:p>
            <w:p w14:paraId="324EE787" w14:textId="1129007B"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Mulgan, T. (2016). Superintelligence: Paths, dangers, strategies. </w:t>
              </w:r>
              <w:r w:rsidRPr="00060E1F">
                <w:rPr>
                  <w:rFonts w:ascii="Arial" w:hAnsi="Arial" w:cs="Arial"/>
                  <w:i/>
                  <w:iCs/>
                  <w:noProof/>
                  <w:kern w:val="0"/>
                  <w:sz w:val="24"/>
                  <w:szCs w:val="24"/>
                  <w:lang w:val="en-US"/>
                  <w14:ligatures w14:val="none"/>
                </w:rPr>
                <w:t>The Philosophical Quarterly, 66</w:t>
              </w:r>
              <w:r w:rsidRPr="00060E1F">
                <w:rPr>
                  <w:rFonts w:ascii="Arial" w:hAnsi="Arial" w:cs="Arial"/>
                  <w:noProof/>
                  <w:kern w:val="0"/>
                  <w:sz w:val="24"/>
                  <w:szCs w:val="24"/>
                  <w:lang w:val="en-US"/>
                  <w14:ligatures w14:val="none"/>
                </w:rPr>
                <w:t>(262), 196–203. Available at:</w:t>
              </w:r>
              <w:hyperlink r:id="rId59" w:history="1">
                <w:r w:rsidRPr="00060E1F">
                  <w:rPr>
                    <w:rFonts w:ascii="Arial" w:hAnsi="Arial" w:cs="Arial"/>
                    <w:noProof/>
                    <w:color w:val="0000FF"/>
                    <w:kern w:val="0"/>
                    <w:sz w:val="24"/>
                    <w:szCs w:val="24"/>
                    <w:lang w:val="en-US"/>
                    <w14:ligatures w14:val="none"/>
                  </w:rPr>
                  <w:t>https://doi.org/10.1093/pq/pqv034[</w:t>
                </w:r>
              </w:hyperlink>
              <w:r w:rsidRPr="00060E1F">
                <w:rPr>
                  <w:rFonts w:ascii="Arial" w:hAnsi="Arial" w:cs="Arial"/>
                  <w:noProof/>
                  <w:kern w:val="0"/>
                  <w:sz w:val="24"/>
                  <w:szCs w:val="24"/>
                  <w:lang w:val="en-US"/>
                  <w14:ligatures w14:val="none"/>
                </w:rPr>
                <w:t xml:space="preserve">Accessed: </w:t>
              </w:r>
              <w:r w:rsidR="00842E22" w:rsidRPr="00060E1F">
                <w:rPr>
                  <w:rFonts w:ascii="Arial" w:hAnsi="Arial" w:cs="Arial"/>
                  <w:noProof/>
                  <w:kern w:val="0"/>
                  <w:sz w:val="24"/>
                  <w:szCs w:val="24"/>
                  <w:lang w:val="en-US"/>
                  <w14:ligatures w14:val="none"/>
                </w:rPr>
                <w:t>3</w:t>
              </w:r>
              <w:r w:rsidRPr="00060E1F">
                <w:rPr>
                  <w:rFonts w:ascii="Arial" w:hAnsi="Arial" w:cs="Arial"/>
                  <w:noProof/>
                  <w:kern w:val="0"/>
                  <w:sz w:val="24"/>
                  <w:szCs w:val="24"/>
                  <w:lang w:val="en-US"/>
                  <w14:ligatures w14:val="none"/>
                </w:rPr>
                <w:t xml:space="preserve"> Nov. 23]</w:t>
              </w:r>
            </w:p>
            <w:p w14:paraId="1814E62F" w14:textId="7FC412A8"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Murray, R. L., &amp; Heumann, J. K. (2009). WALL-E: from environmental adaptation to sentimental nostalgia. Jump Cut. </w:t>
              </w:r>
              <w:r w:rsidRPr="00060E1F">
                <w:rPr>
                  <w:rFonts w:ascii="Arial" w:hAnsi="Arial" w:cs="Arial"/>
                  <w:i/>
                  <w:iCs/>
                  <w:noProof/>
                  <w:kern w:val="0"/>
                  <w:sz w:val="24"/>
                  <w:szCs w:val="24"/>
                  <w:lang w:val="en-US"/>
                  <w14:ligatures w14:val="none"/>
                </w:rPr>
                <w:t>A Review of Contemporary Media, 51</w:t>
              </w:r>
              <w:r w:rsidRPr="00060E1F">
                <w:rPr>
                  <w:rFonts w:ascii="Arial" w:hAnsi="Arial" w:cs="Arial"/>
                  <w:noProof/>
                  <w:kern w:val="0"/>
                  <w:sz w:val="24"/>
                  <w:szCs w:val="24"/>
                  <w:lang w:val="en-US"/>
                  <w14:ligatures w14:val="none"/>
                </w:rPr>
                <w:t>, 1-13. Available at:</w:t>
              </w:r>
              <w:hyperlink r:id="rId60" w:history="1">
                <w:r w:rsidRPr="00060E1F">
                  <w:rPr>
                    <w:rFonts w:ascii="Arial" w:hAnsi="Arial" w:cs="Arial"/>
                    <w:noProof/>
                    <w:color w:val="0000FF"/>
                    <w:kern w:val="0"/>
                    <w:sz w:val="24"/>
                    <w:szCs w:val="24"/>
                    <w:lang w:val="en-US"/>
                    <w14:ligatures w14:val="none"/>
                  </w:rPr>
                  <w:t>https://www.ejumpcut.org/archive/jc51.2009/WallE/text.html</w:t>
                </w:r>
              </w:hyperlink>
              <w:r w:rsidRPr="00060E1F">
                <w:rPr>
                  <w:rFonts w:ascii="Arial" w:hAnsi="Arial" w:cs="Arial"/>
                  <w:noProof/>
                  <w:kern w:val="0"/>
                  <w:sz w:val="24"/>
                  <w:szCs w:val="24"/>
                  <w:lang w:val="en-US"/>
                  <w14:ligatures w14:val="none"/>
                </w:rPr>
                <w:t xml:space="preserve">[Accessed: </w:t>
              </w:r>
              <w:r w:rsidR="00842E22" w:rsidRPr="00060E1F">
                <w:rPr>
                  <w:rFonts w:ascii="Arial" w:hAnsi="Arial" w:cs="Arial"/>
                  <w:noProof/>
                  <w:kern w:val="0"/>
                  <w:sz w:val="24"/>
                  <w:szCs w:val="24"/>
                  <w:lang w:val="en-US"/>
                  <w14:ligatures w14:val="none"/>
                </w:rPr>
                <w:t>7</w:t>
              </w:r>
              <w:r w:rsidRPr="00060E1F">
                <w:rPr>
                  <w:rFonts w:ascii="Arial" w:hAnsi="Arial" w:cs="Arial"/>
                  <w:noProof/>
                  <w:kern w:val="0"/>
                  <w:sz w:val="24"/>
                  <w:szCs w:val="24"/>
                  <w:lang w:val="en-US"/>
                  <w14:ligatures w14:val="none"/>
                </w:rPr>
                <w:t xml:space="preserve"> Nov. 23]</w:t>
              </w:r>
            </w:p>
            <w:p w14:paraId="74CF5F21" w14:textId="36106ADF"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Pandey, R., Dillip, D., Jayant, J., Vashishth, K., Nikhil, N., Qi, T. J., &amp; Qhi, L. Y. (2021). Factors Influencing Organization Success: A Case Study of Walmart. </w:t>
              </w:r>
              <w:r w:rsidRPr="00060E1F">
                <w:rPr>
                  <w:rFonts w:ascii="Arial" w:hAnsi="Arial" w:cs="Arial"/>
                  <w:i/>
                  <w:iCs/>
                  <w:noProof/>
                  <w:kern w:val="0"/>
                  <w:sz w:val="24"/>
                  <w:szCs w:val="24"/>
                  <w:lang w:val="en-US"/>
                  <w14:ligatures w14:val="none"/>
                </w:rPr>
                <w:t xml:space="preserve">International Journal of Tourism and Hospitality in Asia </w:t>
              </w:r>
              <w:r w:rsidR="00711D11" w:rsidRPr="00060E1F">
                <w:rPr>
                  <w:rFonts w:ascii="Arial" w:hAnsi="Arial" w:cs="Arial"/>
                  <w:i/>
                  <w:iCs/>
                  <w:noProof/>
                  <w:kern w:val="0"/>
                  <w:sz w:val="24"/>
                  <w:szCs w:val="24"/>
                  <w:lang w:val="en-US"/>
                  <w14:ligatures w14:val="none"/>
                </w:rPr>
                <w:t>Pacific</w:t>
              </w:r>
              <w:r w:rsidRPr="00060E1F">
                <w:rPr>
                  <w:rFonts w:ascii="Arial" w:hAnsi="Arial" w:cs="Arial"/>
                  <w:i/>
                  <w:iCs/>
                  <w:noProof/>
                  <w:kern w:val="0"/>
                  <w:sz w:val="24"/>
                  <w:szCs w:val="24"/>
                  <w:lang w:val="en-US"/>
                  <w14:ligatures w14:val="none"/>
                </w:rPr>
                <w:t xml:space="preserve"> (IJTHAP), 4</w:t>
              </w:r>
              <w:r w:rsidRPr="00060E1F">
                <w:rPr>
                  <w:rFonts w:ascii="Arial" w:hAnsi="Arial" w:cs="Arial"/>
                  <w:noProof/>
                  <w:kern w:val="0"/>
                  <w:sz w:val="24"/>
                  <w:szCs w:val="24"/>
                  <w:lang w:val="en-US"/>
                  <w14:ligatures w14:val="none"/>
                </w:rPr>
                <w:t>(2), 112-123. Available at:</w:t>
              </w:r>
              <w:hyperlink r:id="rId61" w:history="1">
                <w:r w:rsidRPr="00060E1F">
                  <w:rPr>
                    <w:rFonts w:ascii="Arial" w:hAnsi="Arial" w:cs="Arial"/>
                    <w:noProof/>
                    <w:color w:val="0000FF"/>
                    <w:kern w:val="0"/>
                    <w:sz w:val="24"/>
                    <w:szCs w:val="24"/>
                    <w:lang w:val="en-US"/>
                    <w14:ligatures w14:val="none"/>
                  </w:rPr>
                  <w:t>https://pdfs.semanticscholar.org/b1e7/840f5552bdd352cde7bbda8546363c9bf375.pdf?_gl=1*gudytc*_ga*MTQ1ODIyMjAwMi4xNjkzMjU3MjM0*_ga_H7P4ZT52H5*MTY5MzI1NzIzNC4xLjAuMTY5MzI1NzIzOC41Ni4wLjA.</w:t>
                </w:r>
              </w:hyperlink>
              <w:r w:rsidRPr="00060E1F">
                <w:rPr>
                  <w:rFonts w:ascii="Arial" w:hAnsi="Arial" w:cs="Arial"/>
                  <w:kern w:val="0"/>
                  <w:sz w:val="24"/>
                  <w:szCs w:val="24"/>
                  <w:lang w:val="en-US"/>
                  <w14:ligatures w14:val="none"/>
                </w:rPr>
                <w:t xml:space="preserve"> </w:t>
              </w:r>
              <w:r w:rsidRPr="00060E1F">
                <w:rPr>
                  <w:rFonts w:ascii="Arial" w:hAnsi="Arial" w:cs="Arial"/>
                  <w:noProof/>
                  <w:kern w:val="0"/>
                  <w:sz w:val="24"/>
                  <w:szCs w:val="24"/>
                  <w:lang w:val="en-US"/>
                  <w14:ligatures w14:val="none"/>
                </w:rPr>
                <w:t xml:space="preserve">[Accessed: </w:t>
              </w:r>
              <w:r w:rsidR="00842E22" w:rsidRPr="00060E1F">
                <w:rPr>
                  <w:rFonts w:ascii="Arial" w:hAnsi="Arial" w:cs="Arial"/>
                  <w:noProof/>
                  <w:kern w:val="0"/>
                  <w:sz w:val="24"/>
                  <w:szCs w:val="24"/>
                  <w:lang w:val="en-US"/>
                  <w14:ligatures w14:val="none"/>
                </w:rPr>
                <w:t>7</w:t>
              </w:r>
              <w:r w:rsidRPr="00060E1F">
                <w:rPr>
                  <w:rFonts w:ascii="Arial" w:hAnsi="Arial" w:cs="Arial"/>
                  <w:noProof/>
                  <w:kern w:val="0"/>
                  <w:sz w:val="24"/>
                  <w:szCs w:val="24"/>
                  <w:lang w:val="en-US"/>
                  <w14:ligatures w14:val="none"/>
                </w:rPr>
                <w:t xml:space="preserve"> Nov. 23]</w:t>
              </w:r>
            </w:p>
            <w:p w14:paraId="52816ED2"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lastRenderedPageBreak/>
                <w:t xml:space="preserve">Rabiul, M. K., Shamsudin, F. M., Yean, T. F., &amp; Patwary, A. K. (2023). Linking leadership styles to communication competency and work engagement: evidence from the hotel industry. </w:t>
              </w:r>
              <w:r w:rsidRPr="00060E1F">
                <w:rPr>
                  <w:rFonts w:ascii="Arial" w:hAnsi="Arial" w:cs="Arial"/>
                  <w:i/>
                  <w:iCs/>
                  <w:noProof/>
                  <w:kern w:val="0"/>
                  <w:sz w:val="24"/>
                  <w:szCs w:val="24"/>
                  <w:lang w:val="en-US"/>
                  <w14:ligatures w14:val="none"/>
                </w:rPr>
                <w:t>Journal of Hospitality and Tourism Insights, 6</w:t>
              </w:r>
              <w:r w:rsidRPr="00060E1F">
                <w:rPr>
                  <w:rFonts w:ascii="Arial" w:hAnsi="Arial" w:cs="Arial"/>
                  <w:noProof/>
                  <w:kern w:val="0"/>
                  <w:sz w:val="24"/>
                  <w:szCs w:val="24"/>
                  <w:lang w:val="en-US"/>
                  <w14:ligatures w14:val="none"/>
                </w:rPr>
                <w:t>(2), 425-446. Available at::</w:t>
              </w:r>
              <w:hyperlink r:id="rId62" w:history="1">
                <w:r w:rsidRPr="00060E1F">
                  <w:rPr>
                    <w:rFonts w:ascii="Arial" w:hAnsi="Arial" w:cs="Arial"/>
                    <w:noProof/>
                    <w:color w:val="0000FF"/>
                    <w:kern w:val="0"/>
                    <w:sz w:val="24"/>
                    <w:szCs w:val="24"/>
                    <w:lang w:val="en-US"/>
                    <w14:ligatures w14:val="none"/>
                  </w:rPr>
                  <w:t>https://doi.org/10.1108/JHTI-09-2021-0247[</w:t>
                </w:r>
              </w:hyperlink>
              <w:r w:rsidRPr="00060E1F">
                <w:rPr>
                  <w:rFonts w:ascii="Arial" w:hAnsi="Arial" w:cs="Arial"/>
                  <w:noProof/>
                  <w:kern w:val="0"/>
                  <w:sz w:val="24"/>
                  <w:szCs w:val="24"/>
                  <w:lang w:val="en-US"/>
                  <w14:ligatures w14:val="none"/>
                </w:rPr>
                <w:t>Accessed: 14 Nov. 23]</w:t>
              </w:r>
            </w:p>
            <w:p w14:paraId="4A85559D" w14:textId="582887DF"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Rad, D., &amp; Rad, G. (2021). Theories of change in Agile Psychology. </w:t>
              </w:r>
              <w:r w:rsidRPr="00060E1F">
                <w:rPr>
                  <w:rFonts w:ascii="Arial" w:hAnsi="Arial" w:cs="Arial"/>
                  <w:i/>
                  <w:iCs/>
                  <w:noProof/>
                  <w:kern w:val="0"/>
                  <w:sz w:val="24"/>
                  <w:szCs w:val="24"/>
                  <w:lang w:val="en-US"/>
                  <w14:ligatures w14:val="none"/>
                </w:rPr>
                <w:t>Technium Soc. Sci. J, 21</w:t>
              </w:r>
              <w:r w:rsidRPr="00060E1F">
                <w:rPr>
                  <w:rFonts w:ascii="Arial" w:hAnsi="Arial" w:cs="Arial"/>
                  <w:noProof/>
                  <w:kern w:val="0"/>
                  <w:sz w:val="24"/>
                  <w:szCs w:val="24"/>
                  <w:lang w:val="en-US"/>
                  <w14:ligatures w14:val="none"/>
                </w:rPr>
                <w:t>, 570. Available at:</w:t>
              </w:r>
              <w:hyperlink r:id="rId63" w:history="1">
                <w:r w:rsidRPr="00060E1F">
                  <w:rPr>
                    <w:rFonts w:ascii="Arial" w:hAnsi="Arial" w:cs="Arial"/>
                    <w:noProof/>
                    <w:color w:val="0000FF"/>
                    <w:kern w:val="0"/>
                    <w:sz w:val="24"/>
                    <w:szCs w:val="24"/>
                    <w:lang w:val="en-US"/>
                    <w14:ligatures w14:val="none"/>
                  </w:rPr>
                  <w:t>https://heinonline.org/HOL/LandingPage?handle=hein.journals/techssj21&amp;div=53&amp;id=&amp;page=</w:t>
                </w:r>
              </w:hyperlink>
              <w:r w:rsidRPr="00060E1F">
                <w:rPr>
                  <w:rFonts w:ascii="Arial" w:hAnsi="Arial" w:cs="Arial"/>
                  <w:noProof/>
                  <w:kern w:val="0"/>
                  <w:sz w:val="24"/>
                  <w:szCs w:val="24"/>
                  <w:lang w:val="en-US"/>
                  <w14:ligatures w14:val="none"/>
                </w:rPr>
                <w:t xml:space="preserve">[Accessed: </w:t>
              </w:r>
              <w:r w:rsidR="00842E22" w:rsidRPr="00060E1F">
                <w:rPr>
                  <w:rFonts w:ascii="Arial" w:hAnsi="Arial" w:cs="Arial"/>
                  <w:noProof/>
                  <w:kern w:val="0"/>
                  <w:sz w:val="24"/>
                  <w:szCs w:val="24"/>
                  <w:lang w:val="en-US"/>
                  <w14:ligatures w14:val="none"/>
                </w:rPr>
                <w:t>9</w:t>
              </w:r>
              <w:r w:rsidRPr="00060E1F">
                <w:rPr>
                  <w:rFonts w:ascii="Arial" w:hAnsi="Arial" w:cs="Arial"/>
                  <w:noProof/>
                  <w:kern w:val="0"/>
                  <w:sz w:val="24"/>
                  <w:szCs w:val="24"/>
                  <w:lang w:val="en-US"/>
                  <w14:ligatures w14:val="none"/>
                </w:rPr>
                <w:t xml:space="preserve"> Nov. 23]</w:t>
              </w:r>
            </w:p>
            <w:p w14:paraId="78325461" w14:textId="491ECD2B"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Rasool, S. F., Wang, M., Tang, M., Saeed, A., &amp; Iqbal, J. (2021). How toxic workplace environment </w:t>
              </w:r>
              <w:r w:rsidR="00712E42" w:rsidRPr="00060E1F">
                <w:rPr>
                  <w:rFonts w:ascii="Arial" w:hAnsi="Arial" w:cs="Arial"/>
                  <w:noProof/>
                  <w:kern w:val="0"/>
                  <w:sz w:val="24"/>
                  <w:szCs w:val="24"/>
                  <w:lang w:val="en-US"/>
                  <w14:ligatures w14:val="none"/>
                </w:rPr>
                <w:t>affects</w:t>
              </w:r>
              <w:r w:rsidRPr="00060E1F">
                <w:rPr>
                  <w:rFonts w:ascii="Arial" w:hAnsi="Arial" w:cs="Arial"/>
                  <w:noProof/>
                  <w:kern w:val="0"/>
                  <w:sz w:val="24"/>
                  <w:szCs w:val="24"/>
                  <w:lang w:val="en-US"/>
                  <w14:ligatures w14:val="none"/>
                </w:rPr>
                <w:t xml:space="preserve"> the employee engagement: The mediating role of organizational support and employee wellbeing. </w:t>
              </w:r>
              <w:r w:rsidRPr="00060E1F">
                <w:rPr>
                  <w:rFonts w:ascii="Arial" w:hAnsi="Arial" w:cs="Arial"/>
                  <w:i/>
                  <w:iCs/>
                  <w:noProof/>
                  <w:kern w:val="0"/>
                  <w:sz w:val="24"/>
                  <w:szCs w:val="24"/>
                  <w:lang w:val="en-US"/>
                  <w14:ligatures w14:val="none"/>
                </w:rPr>
                <w:t>International journal of environmental research and public health, 18</w:t>
              </w:r>
              <w:r w:rsidRPr="00060E1F">
                <w:rPr>
                  <w:rFonts w:ascii="Arial" w:hAnsi="Arial" w:cs="Arial"/>
                  <w:noProof/>
                  <w:kern w:val="0"/>
                  <w:sz w:val="24"/>
                  <w:szCs w:val="24"/>
                  <w:lang w:val="en-US"/>
                  <w14:ligatures w14:val="none"/>
                </w:rPr>
                <w:t>(5), 2294. Available at</w:t>
              </w:r>
              <w:hyperlink r:id="rId64" w:history="1">
                <w:r w:rsidRPr="00060E1F">
                  <w:rPr>
                    <w:rFonts w:ascii="Arial" w:hAnsi="Arial" w:cs="Arial"/>
                    <w:noProof/>
                    <w:color w:val="0000FF"/>
                    <w:kern w:val="0"/>
                    <w:sz w:val="24"/>
                    <w:szCs w:val="24"/>
                    <w:lang w:val="en-US"/>
                    <w14:ligatures w14:val="none"/>
                  </w:rPr>
                  <w:t>:https://doi.org/10.3390/ijerph18052294</w:t>
                </w:r>
              </w:hyperlink>
              <w:r w:rsidRPr="00060E1F">
                <w:rPr>
                  <w:rFonts w:ascii="Arial" w:hAnsi="Arial" w:cs="Arial"/>
                  <w:noProof/>
                  <w:kern w:val="0"/>
                  <w:sz w:val="24"/>
                  <w:szCs w:val="24"/>
                  <w:lang w:val="en-US"/>
                  <w14:ligatures w14:val="none"/>
                </w:rPr>
                <w:t>[Accessed: 1</w:t>
              </w:r>
              <w:r w:rsidR="00842E22" w:rsidRPr="00060E1F">
                <w:rPr>
                  <w:rFonts w:ascii="Arial" w:hAnsi="Arial" w:cs="Arial"/>
                  <w:noProof/>
                  <w:kern w:val="0"/>
                  <w:sz w:val="24"/>
                  <w:szCs w:val="24"/>
                  <w:lang w:val="en-US"/>
                  <w14:ligatures w14:val="none"/>
                </w:rPr>
                <w:t>2</w:t>
              </w:r>
              <w:r w:rsidRPr="00060E1F">
                <w:rPr>
                  <w:rFonts w:ascii="Arial" w:hAnsi="Arial" w:cs="Arial"/>
                  <w:noProof/>
                  <w:kern w:val="0"/>
                  <w:sz w:val="24"/>
                  <w:szCs w:val="24"/>
                  <w:lang w:val="en-US"/>
                  <w14:ligatures w14:val="none"/>
                </w:rPr>
                <w:t xml:space="preserve"> Nov. 23]</w:t>
              </w:r>
            </w:p>
            <w:p w14:paraId="3DDC001B" w14:textId="36F4853F"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Rizki, M., Parashakti, R. D., &amp; Saragih, L. (2019). </w:t>
              </w:r>
              <w:r w:rsidRPr="00060E1F">
                <w:rPr>
                  <w:rFonts w:ascii="Arial" w:hAnsi="Arial" w:cs="Arial"/>
                  <w:i/>
                  <w:iCs/>
                  <w:noProof/>
                  <w:kern w:val="0"/>
                  <w:sz w:val="24"/>
                  <w:szCs w:val="24"/>
                  <w:lang w:val="en-US"/>
                  <w14:ligatures w14:val="none"/>
                </w:rPr>
                <w:t>The effect of transformational leadership and organizational culture towards employees’ innovative behaviour and performance.</w:t>
              </w:r>
              <w:r w:rsidRPr="00060E1F">
                <w:rPr>
                  <w:rFonts w:ascii="Arial" w:hAnsi="Arial" w:cs="Arial"/>
                  <w:noProof/>
                  <w:kern w:val="0"/>
                  <w:sz w:val="24"/>
                  <w:szCs w:val="24"/>
                  <w:lang w:val="en-US"/>
                  <w14:ligatures w14:val="none"/>
                </w:rPr>
                <w:t xml:space="preserve"> Available at:</w:t>
              </w:r>
              <w:hyperlink r:id="rId65" w:history="1">
                <w:r w:rsidRPr="00060E1F">
                  <w:rPr>
                    <w:rFonts w:ascii="Arial" w:hAnsi="Arial" w:cs="Arial"/>
                    <w:noProof/>
                    <w:color w:val="0000FF"/>
                    <w:kern w:val="0"/>
                    <w:sz w:val="24"/>
                    <w:szCs w:val="24"/>
                    <w:lang w:val="en-US"/>
                    <w14:ligatures w14:val="none"/>
                  </w:rPr>
                  <w:t>https://www.um.edu.mt/library/oar/handle/123456789/44453</w:t>
                </w:r>
              </w:hyperlink>
              <w:r w:rsidRPr="00060E1F">
                <w:rPr>
                  <w:rFonts w:ascii="Arial" w:hAnsi="Arial" w:cs="Arial"/>
                  <w:noProof/>
                  <w:kern w:val="0"/>
                  <w:sz w:val="24"/>
                  <w:szCs w:val="24"/>
                  <w:lang w:val="en-US"/>
                  <w14:ligatures w14:val="none"/>
                </w:rPr>
                <w:t xml:space="preserve">[Accessed: </w:t>
              </w:r>
              <w:r w:rsidR="0053485F">
                <w:rPr>
                  <w:rFonts w:ascii="Arial" w:hAnsi="Arial" w:cs="Arial"/>
                  <w:noProof/>
                  <w:kern w:val="0"/>
                  <w:sz w:val="24"/>
                  <w:szCs w:val="24"/>
                  <w:lang w:val="en-US"/>
                  <w14:ligatures w14:val="none"/>
                </w:rPr>
                <w:t xml:space="preserve"> 2</w:t>
              </w:r>
              <w:r w:rsidRPr="00060E1F">
                <w:rPr>
                  <w:rFonts w:ascii="Arial" w:hAnsi="Arial" w:cs="Arial"/>
                  <w:noProof/>
                  <w:kern w:val="0"/>
                  <w:sz w:val="24"/>
                  <w:szCs w:val="24"/>
                  <w:lang w:val="en-US"/>
                  <w14:ligatures w14:val="none"/>
                </w:rPr>
                <w:t xml:space="preserve"> Nov. 23]</w:t>
              </w:r>
            </w:p>
            <w:p w14:paraId="3BFCD0D1" w14:textId="3DA62614"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Roberson, Q. M. (2019). Diversity in the workplace: A review, synthesis, and future research agenda. </w:t>
              </w:r>
              <w:r w:rsidRPr="00060E1F">
                <w:rPr>
                  <w:rFonts w:ascii="Arial" w:hAnsi="Arial" w:cs="Arial"/>
                  <w:i/>
                  <w:iCs/>
                  <w:noProof/>
                  <w:kern w:val="0"/>
                  <w:sz w:val="24"/>
                  <w:szCs w:val="24"/>
                  <w:lang w:val="en-US"/>
                  <w14:ligatures w14:val="none"/>
                </w:rPr>
                <w:t>Annual Review of Organizational Psychology and Organizational Behavior, 6</w:t>
              </w:r>
              <w:r w:rsidRPr="00060E1F">
                <w:rPr>
                  <w:rFonts w:ascii="Arial" w:hAnsi="Arial" w:cs="Arial"/>
                  <w:noProof/>
                  <w:kern w:val="0"/>
                  <w:sz w:val="24"/>
                  <w:szCs w:val="24"/>
                  <w:lang w:val="en-US"/>
                  <w14:ligatures w14:val="none"/>
                </w:rPr>
                <w:t>, 69-88. Available at:</w:t>
              </w:r>
              <w:hyperlink r:id="rId66" w:history="1">
                <w:r w:rsidRPr="00060E1F">
                  <w:rPr>
                    <w:rFonts w:ascii="Arial" w:hAnsi="Arial" w:cs="Arial"/>
                    <w:noProof/>
                    <w:color w:val="0000FF"/>
                    <w:kern w:val="0"/>
                    <w:sz w:val="24"/>
                    <w:szCs w:val="24"/>
                    <w:lang w:val="en-US"/>
                    <w14:ligatures w14:val="none"/>
                  </w:rPr>
                  <w:t>https://www.annualreviews.org/doi/full/10.1146/annurev-orgpsych-012218-015243</w:t>
                </w:r>
              </w:hyperlink>
              <w:r w:rsidRPr="00060E1F">
                <w:rPr>
                  <w:rFonts w:ascii="Arial" w:hAnsi="Arial" w:cs="Arial"/>
                  <w:noProof/>
                  <w:kern w:val="0"/>
                  <w:sz w:val="24"/>
                  <w:szCs w:val="24"/>
                  <w:lang w:val="en-US"/>
                  <w14:ligatures w14:val="none"/>
                </w:rPr>
                <w:t xml:space="preserve">[Accessed: </w:t>
              </w:r>
              <w:r w:rsidR="0053485F">
                <w:rPr>
                  <w:rFonts w:ascii="Arial" w:hAnsi="Arial" w:cs="Arial"/>
                  <w:noProof/>
                  <w:kern w:val="0"/>
                  <w:sz w:val="24"/>
                  <w:szCs w:val="24"/>
                  <w:lang w:val="en-US"/>
                  <w14:ligatures w14:val="none"/>
                </w:rPr>
                <w:t>2</w:t>
              </w:r>
              <w:r w:rsidRPr="00060E1F">
                <w:rPr>
                  <w:rFonts w:ascii="Arial" w:hAnsi="Arial" w:cs="Arial"/>
                  <w:noProof/>
                  <w:kern w:val="0"/>
                  <w:sz w:val="24"/>
                  <w:szCs w:val="24"/>
                  <w:lang w:val="en-US"/>
                  <w14:ligatures w14:val="none"/>
                </w:rPr>
                <w:t xml:space="preserve"> Nov. 23]</w:t>
              </w:r>
            </w:p>
            <w:p w14:paraId="6CE3C6ED" w14:textId="0E36A3E4"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Roy, H. (2022). Connecting Farmers’ Markets to Foodservice Businesses: A Qualitative Exploration of Restaurants’ Perceived Benefits and Challenges of Purchasing Food Locally. </w:t>
              </w:r>
              <w:r w:rsidRPr="00060E1F">
                <w:rPr>
                  <w:rFonts w:ascii="Arial" w:hAnsi="Arial" w:cs="Arial"/>
                  <w:i/>
                  <w:iCs/>
                  <w:noProof/>
                  <w:kern w:val="0"/>
                  <w:sz w:val="24"/>
                  <w:szCs w:val="24"/>
                  <w:lang w:val="en-US"/>
                  <w14:ligatures w14:val="none"/>
                </w:rPr>
                <w:t>International Journal of Hospitality &amp; Tourism Administration</w:t>
              </w:r>
              <w:r w:rsidRPr="00060E1F">
                <w:rPr>
                  <w:rFonts w:ascii="Arial" w:hAnsi="Arial" w:cs="Arial"/>
                  <w:noProof/>
                  <w:kern w:val="0"/>
                  <w:sz w:val="24"/>
                  <w:szCs w:val="24"/>
                  <w:lang w:val="en-US"/>
                  <w14:ligatures w14:val="none"/>
                </w:rPr>
                <w:t>, 1-36. Available at:h</w:t>
              </w:r>
              <w:hyperlink r:id="rId67" w:history="1">
                <w:r w:rsidRPr="00060E1F">
                  <w:rPr>
                    <w:rFonts w:ascii="Arial" w:hAnsi="Arial" w:cs="Arial"/>
                    <w:noProof/>
                    <w:color w:val="0000FF"/>
                    <w:kern w:val="0"/>
                    <w:sz w:val="24"/>
                    <w:szCs w:val="24"/>
                    <w:lang w:val="en-US"/>
                    <w14:ligatures w14:val="none"/>
                  </w:rPr>
                  <w:t>ttps://doi.org/10.1080/15256480.2022.2142994[</w:t>
                </w:r>
              </w:hyperlink>
              <w:r w:rsidRPr="00060E1F">
                <w:rPr>
                  <w:rFonts w:ascii="Arial" w:hAnsi="Arial" w:cs="Arial"/>
                  <w:noProof/>
                  <w:kern w:val="0"/>
                  <w:sz w:val="24"/>
                  <w:szCs w:val="24"/>
                  <w:lang w:val="en-US"/>
                  <w14:ligatures w14:val="none"/>
                </w:rPr>
                <w:t xml:space="preserve">Accessed: </w:t>
              </w:r>
              <w:r w:rsidR="0053485F">
                <w:rPr>
                  <w:rFonts w:ascii="Arial" w:hAnsi="Arial" w:cs="Arial"/>
                  <w:noProof/>
                  <w:kern w:val="0"/>
                  <w:sz w:val="24"/>
                  <w:szCs w:val="24"/>
                  <w:lang w:val="en-US"/>
                  <w14:ligatures w14:val="none"/>
                </w:rPr>
                <w:t>2</w:t>
              </w:r>
              <w:r w:rsidRPr="00060E1F">
                <w:rPr>
                  <w:rFonts w:ascii="Arial" w:hAnsi="Arial" w:cs="Arial"/>
                  <w:noProof/>
                  <w:kern w:val="0"/>
                  <w:sz w:val="24"/>
                  <w:szCs w:val="24"/>
                  <w:lang w:val="en-US"/>
                  <w14:ligatures w14:val="none"/>
                </w:rPr>
                <w:t xml:space="preserve"> Nov. 23]</w:t>
              </w:r>
            </w:p>
            <w:p w14:paraId="79536C9A" w14:textId="39575072"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Stamolampros, P., Korfiatis, N., Chalvatzis, K., &amp; Buhalis, D. (2019). Job satisfaction and employee turnover determinants in high contact services: Insights from </w:t>
              </w:r>
              <w:r w:rsidRPr="00060E1F">
                <w:rPr>
                  <w:rFonts w:ascii="Arial" w:hAnsi="Arial" w:cs="Arial"/>
                  <w:noProof/>
                  <w:kern w:val="0"/>
                  <w:sz w:val="24"/>
                  <w:szCs w:val="24"/>
                  <w:lang w:val="en-US"/>
                  <w14:ligatures w14:val="none"/>
                </w:rPr>
                <w:lastRenderedPageBreak/>
                <w:t xml:space="preserve">Employees’ Online reviews. </w:t>
              </w:r>
              <w:r w:rsidRPr="00060E1F">
                <w:rPr>
                  <w:rFonts w:ascii="Arial" w:hAnsi="Arial" w:cs="Arial"/>
                  <w:i/>
                  <w:iCs/>
                  <w:noProof/>
                  <w:kern w:val="0"/>
                  <w:sz w:val="24"/>
                  <w:szCs w:val="24"/>
                  <w:lang w:val="en-US"/>
                  <w14:ligatures w14:val="none"/>
                </w:rPr>
                <w:t>Tourism Management, 75</w:t>
              </w:r>
              <w:r w:rsidRPr="00060E1F">
                <w:rPr>
                  <w:rFonts w:ascii="Arial" w:hAnsi="Arial" w:cs="Arial"/>
                  <w:noProof/>
                  <w:kern w:val="0"/>
                  <w:sz w:val="24"/>
                  <w:szCs w:val="24"/>
                  <w:lang w:val="en-US"/>
                  <w14:ligatures w14:val="none"/>
                </w:rPr>
                <w:t>, 130-147. Available at:h</w:t>
              </w:r>
              <w:hyperlink r:id="rId68" w:history="1">
                <w:r w:rsidRPr="00060E1F">
                  <w:rPr>
                    <w:rFonts w:ascii="Arial" w:hAnsi="Arial" w:cs="Arial"/>
                    <w:noProof/>
                    <w:color w:val="0000FF"/>
                    <w:kern w:val="0"/>
                    <w:sz w:val="24"/>
                    <w:szCs w:val="24"/>
                    <w:lang w:val="en-US"/>
                    <w14:ligatures w14:val="none"/>
                  </w:rPr>
                  <w:t>ttp://eprints.bournemouth.ac.uk/33170/1/Stamolampros%20Korfiatis%20Chalvatzis%20Buhalis%20Glassdoor_Tourism_aav.pdf</w:t>
                </w:r>
              </w:hyperlink>
              <w:r w:rsidRPr="00060E1F">
                <w:rPr>
                  <w:rFonts w:ascii="Arial" w:hAnsi="Arial" w:cs="Arial"/>
                  <w:noProof/>
                  <w:kern w:val="0"/>
                  <w:sz w:val="24"/>
                  <w:szCs w:val="24"/>
                  <w:lang w:val="en-US"/>
                  <w14:ligatures w14:val="none"/>
                </w:rPr>
                <w:t xml:space="preserve">[Accessed: </w:t>
              </w:r>
              <w:r w:rsidR="00BA10F7">
                <w:rPr>
                  <w:rFonts w:ascii="Arial" w:hAnsi="Arial" w:cs="Arial"/>
                  <w:noProof/>
                  <w:kern w:val="0"/>
                  <w:sz w:val="24"/>
                  <w:szCs w:val="24"/>
                  <w:lang w:val="en-US"/>
                  <w14:ligatures w14:val="none"/>
                </w:rPr>
                <w:t>2</w:t>
              </w:r>
              <w:r w:rsidRPr="00060E1F">
                <w:rPr>
                  <w:rFonts w:ascii="Arial" w:hAnsi="Arial" w:cs="Arial"/>
                  <w:noProof/>
                  <w:kern w:val="0"/>
                  <w:sz w:val="24"/>
                  <w:szCs w:val="24"/>
                  <w:lang w:val="en-US"/>
                  <w14:ligatures w14:val="none"/>
                </w:rPr>
                <w:t xml:space="preserve"> Nov. 23]</w:t>
              </w:r>
            </w:p>
            <w:p w14:paraId="107A4F8D"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Statute, B., &amp; Statute, C. I. (2023). </w:t>
              </w:r>
              <w:r w:rsidRPr="00060E1F">
                <w:rPr>
                  <w:rFonts w:ascii="Arial" w:hAnsi="Arial" w:cs="Arial"/>
                  <w:i/>
                  <w:iCs/>
                  <w:noProof/>
                  <w:kern w:val="0"/>
                  <w:sz w:val="24"/>
                  <w:szCs w:val="24"/>
                  <w:lang w:val="en-US"/>
                  <w14:ligatures w14:val="none"/>
                </w:rPr>
                <w:t>South Carolina.</w:t>
              </w:r>
              <w:r w:rsidRPr="00060E1F">
                <w:rPr>
                  <w:rFonts w:ascii="Arial" w:hAnsi="Arial" w:cs="Arial"/>
                  <w:noProof/>
                  <w:kern w:val="0"/>
                  <w:sz w:val="24"/>
                  <w:szCs w:val="24"/>
                  <w:lang w:val="en-US"/>
                  <w14:ligatures w14:val="none"/>
                </w:rPr>
                <w:t xml:space="preserve"> Available at:</w:t>
              </w:r>
              <w:hyperlink r:id="rId69" w:history="1">
                <w:r w:rsidRPr="00060E1F">
                  <w:rPr>
                    <w:rFonts w:ascii="Arial" w:hAnsi="Arial" w:cs="Arial"/>
                    <w:noProof/>
                    <w:color w:val="0000FF"/>
                    <w:kern w:val="0"/>
                    <w:sz w:val="24"/>
                    <w:szCs w:val="24"/>
                    <w:lang w:val="en-US"/>
                    <w14:ligatures w14:val="none"/>
                  </w:rPr>
                  <w:t>https://www.alfainternational.com/wp-content/uploads/LE-South-Carolina.pdf</w:t>
                </w:r>
              </w:hyperlink>
              <w:r w:rsidRPr="00060E1F">
                <w:rPr>
                  <w:rFonts w:ascii="Arial" w:hAnsi="Arial" w:cs="Arial"/>
                  <w:noProof/>
                  <w:kern w:val="0"/>
                  <w:sz w:val="24"/>
                  <w:szCs w:val="24"/>
                  <w:lang w:val="en-US"/>
                  <w14:ligatures w14:val="none"/>
                </w:rPr>
                <w:t>[Accessed: 14 Nov. 23]</w:t>
              </w:r>
            </w:p>
            <w:p w14:paraId="3F4A9496" w14:textId="57FF6DB1"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Tang, K. N., &amp; Tang, K. N. (2019). Change management. </w:t>
              </w:r>
              <w:r w:rsidRPr="00060E1F">
                <w:rPr>
                  <w:rFonts w:ascii="Arial" w:hAnsi="Arial" w:cs="Arial"/>
                  <w:i/>
                  <w:iCs/>
                  <w:noProof/>
                  <w:kern w:val="0"/>
                  <w:sz w:val="24"/>
                  <w:szCs w:val="24"/>
                  <w:lang w:val="en-US"/>
                  <w14:ligatures w14:val="none"/>
                </w:rPr>
                <w:t>Leadership and change management</w:t>
              </w:r>
              <w:r w:rsidRPr="00060E1F">
                <w:rPr>
                  <w:rFonts w:ascii="Arial" w:hAnsi="Arial" w:cs="Arial"/>
                  <w:noProof/>
                  <w:kern w:val="0"/>
                  <w:sz w:val="24"/>
                  <w:szCs w:val="24"/>
                  <w:lang w:val="en-US"/>
                  <w14:ligatures w14:val="none"/>
                </w:rPr>
                <w:t>, 47-55. Available at:</w:t>
              </w:r>
              <w:hyperlink r:id="rId70" w:history="1">
                <w:r w:rsidRPr="00060E1F">
                  <w:rPr>
                    <w:rFonts w:ascii="Arial" w:hAnsi="Arial" w:cs="Arial"/>
                    <w:noProof/>
                    <w:color w:val="0000FF"/>
                    <w:kern w:val="0"/>
                    <w:sz w:val="24"/>
                    <w:szCs w:val="24"/>
                    <w:lang w:val="en-US"/>
                    <w14:ligatures w14:val="none"/>
                  </w:rPr>
                  <w:t>https://link.springer.com/chapter/10.1007/978-981-13-8902-3_5</w:t>
                </w:r>
              </w:hyperlink>
              <w:r w:rsidRPr="00060E1F">
                <w:rPr>
                  <w:rFonts w:ascii="Arial" w:hAnsi="Arial" w:cs="Arial"/>
                  <w:noProof/>
                  <w:kern w:val="0"/>
                  <w:sz w:val="24"/>
                  <w:szCs w:val="24"/>
                  <w:lang w:val="en-US"/>
                  <w14:ligatures w14:val="none"/>
                </w:rPr>
                <w:t xml:space="preserve">[Accessed: </w:t>
              </w:r>
              <w:r w:rsidR="0034307C">
                <w:rPr>
                  <w:rFonts w:ascii="Arial" w:hAnsi="Arial" w:cs="Arial"/>
                  <w:noProof/>
                  <w:kern w:val="0"/>
                  <w:sz w:val="24"/>
                  <w:szCs w:val="24"/>
                  <w:lang w:val="en-US"/>
                  <w14:ligatures w14:val="none"/>
                </w:rPr>
                <w:t>7</w:t>
              </w:r>
              <w:r w:rsidRPr="00060E1F">
                <w:rPr>
                  <w:rFonts w:ascii="Arial" w:hAnsi="Arial" w:cs="Arial"/>
                  <w:noProof/>
                  <w:kern w:val="0"/>
                  <w:sz w:val="24"/>
                  <w:szCs w:val="24"/>
                  <w:lang w:val="en-US"/>
                  <w14:ligatures w14:val="none"/>
                </w:rPr>
                <w:t xml:space="preserve"> Nov. 23]</w:t>
              </w:r>
            </w:p>
            <w:p w14:paraId="2B331975" w14:textId="43DC05EC"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Tsaousoglou, K., Koutoulas, D., &amp; Stavrinoudis, T. (2022). Personality and commitment as predictors of turnover intentions among Greek employees in the lodging industry. </w:t>
              </w:r>
              <w:r w:rsidRPr="00060E1F">
                <w:rPr>
                  <w:rFonts w:ascii="Arial" w:hAnsi="Arial" w:cs="Arial"/>
                  <w:i/>
                  <w:iCs/>
                  <w:noProof/>
                  <w:kern w:val="0"/>
                  <w:sz w:val="24"/>
                  <w:szCs w:val="24"/>
                  <w:lang w:val="en-US"/>
                  <w14:ligatures w14:val="none"/>
                </w:rPr>
                <w:t>European Journal of Tourism Research, 31</w:t>
              </w:r>
              <w:r w:rsidRPr="00060E1F">
                <w:rPr>
                  <w:rFonts w:ascii="Arial" w:hAnsi="Arial" w:cs="Arial"/>
                  <w:noProof/>
                  <w:kern w:val="0"/>
                  <w:sz w:val="24"/>
                  <w:szCs w:val="24"/>
                  <w:lang w:val="en-US"/>
                  <w14:ligatures w14:val="none"/>
                </w:rPr>
                <w:t>, 3111-3111. Available at:c</w:t>
              </w:r>
              <w:hyperlink r:id="rId71" w:history="1">
                <w:r w:rsidRPr="00060E1F">
                  <w:rPr>
                    <w:rFonts w:ascii="Arial" w:hAnsi="Arial" w:cs="Arial"/>
                    <w:noProof/>
                    <w:color w:val="0000FF"/>
                    <w:kern w:val="0"/>
                    <w:sz w:val="24"/>
                    <w:szCs w:val="24"/>
                    <w:lang w:val="en-US"/>
                    <w14:ligatures w14:val="none"/>
                  </w:rPr>
                  <w:t>https://link.springer.com/chapter/10.1007/978-981-13-8902-3_5</w:t>
                </w:r>
              </w:hyperlink>
              <w:r w:rsidRPr="00060E1F">
                <w:rPr>
                  <w:rFonts w:ascii="Arial" w:hAnsi="Arial" w:cs="Arial"/>
                  <w:noProof/>
                  <w:kern w:val="0"/>
                  <w:sz w:val="24"/>
                  <w:szCs w:val="24"/>
                  <w:lang w:val="en-US"/>
                  <w14:ligatures w14:val="none"/>
                </w:rPr>
                <w:t xml:space="preserve">[Accessed: </w:t>
              </w:r>
              <w:r w:rsidR="0034307C">
                <w:rPr>
                  <w:rFonts w:ascii="Arial" w:hAnsi="Arial" w:cs="Arial"/>
                  <w:noProof/>
                  <w:kern w:val="0"/>
                  <w:sz w:val="24"/>
                  <w:szCs w:val="24"/>
                  <w:lang w:val="en-US"/>
                  <w14:ligatures w14:val="none"/>
                </w:rPr>
                <w:t>7</w:t>
              </w:r>
              <w:r w:rsidRPr="00060E1F">
                <w:rPr>
                  <w:rFonts w:ascii="Arial" w:hAnsi="Arial" w:cs="Arial"/>
                  <w:noProof/>
                  <w:kern w:val="0"/>
                  <w:sz w:val="24"/>
                  <w:szCs w:val="24"/>
                  <w:lang w:val="en-US"/>
                  <w14:ligatures w14:val="none"/>
                </w:rPr>
                <w:t xml:space="preserve"> Nov. 23]</w:t>
              </w:r>
            </w:p>
            <w:p w14:paraId="6264649C" w14:textId="77777777" w:rsidR="008748BF" w:rsidRPr="00060E1F" w:rsidRDefault="008748BF" w:rsidP="00060E1F">
              <w:pPr>
                <w:spacing w:line="360" w:lineRule="auto"/>
                <w:ind w:left="720" w:hanging="720"/>
                <w:jc w:val="both"/>
                <w:rPr>
                  <w:rFonts w:ascii="Arial" w:hAnsi="Arial" w:cs="Arial"/>
                  <w:noProof/>
                  <w:kern w:val="0"/>
                  <w:sz w:val="24"/>
                  <w:szCs w:val="24"/>
                  <w:lang w:val="en-US"/>
                  <w14:ligatures w14:val="none"/>
                </w:rPr>
              </w:pPr>
              <w:r w:rsidRPr="00060E1F">
                <w:rPr>
                  <w:rFonts w:ascii="Arial" w:hAnsi="Arial" w:cs="Arial"/>
                  <w:noProof/>
                  <w:kern w:val="0"/>
                  <w:sz w:val="24"/>
                  <w:szCs w:val="24"/>
                  <w:lang w:val="en-US"/>
                  <w14:ligatures w14:val="none"/>
                </w:rPr>
                <w:t xml:space="preserve">Yang, C., Guo, N., Wang, Y., &amp; Li, C. (2019). The effects of mentoring on hotel staff turnover: Organizational and occupational embeddedness as mediators. </w:t>
              </w:r>
              <w:r w:rsidRPr="00060E1F">
                <w:rPr>
                  <w:rFonts w:ascii="Arial" w:hAnsi="Arial" w:cs="Arial"/>
                  <w:i/>
                  <w:iCs/>
                  <w:noProof/>
                  <w:kern w:val="0"/>
                  <w:sz w:val="24"/>
                  <w:szCs w:val="24"/>
                  <w:lang w:val="en-US"/>
                  <w14:ligatures w14:val="none"/>
                </w:rPr>
                <w:t>International Journal of Contemporary Hospitality Management, 31</w:t>
              </w:r>
              <w:r w:rsidRPr="00060E1F">
                <w:rPr>
                  <w:rFonts w:ascii="Arial" w:hAnsi="Arial" w:cs="Arial"/>
                  <w:noProof/>
                  <w:kern w:val="0"/>
                  <w:sz w:val="24"/>
                  <w:szCs w:val="24"/>
                  <w:lang w:val="en-US"/>
                  <w14:ligatures w14:val="none"/>
                </w:rPr>
                <w:t>(10), 4086-4104. Available at:</w:t>
              </w:r>
              <w:hyperlink r:id="rId72" w:history="1">
                <w:r w:rsidRPr="00060E1F">
                  <w:rPr>
                    <w:rFonts w:ascii="Arial" w:hAnsi="Arial" w:cs="Arial"/>
                    <w:noProof/>
                    <w:color w:val="0000FF"/>
                    <w:kern w:val="0"/>
                    <w:sz w:val="24"/>
                    <w:szCs w:val="24"/>
                    <w:lang w:val="en-US"/>
                    <w14:ligatures w14:val="none"/>
                  </w:rPr>
                  <w:t>https://doi.org/10.1108/IJCHM-07-2017-0398</w:t>
                </w:r>
              </w:hyperlink>
              <w:r w:rsidRPr="00060E1F">
                <w:rPr>
                  <w:rFonts w:ascii="Arial" w:hAnsi="Arial" w:cs="Arial"/>
                  <w:noProof/>
                  <w:kern w:val="0"/>
                  <w:sz w:val="24"/>
                  <w:szCs w:val="24"/>
                  <w:lang w:val="en-US"/>
                  <w14:ligatures w14:val="none"/>
                </w:rPr>
                <w:t>[Accessed: 14 Nov. 23]</w:t>
              </w:r>
            </w:p>
            <w:p w14:paraId="40749CF9" w14:textId="77777777" w:rsidR="008748BF" w:rsidRPr="00060E1F" w:rsidRDefault="008748BF" w:rsidP="00060E1F">
              <w:pPr>
                <w:spacing w:line="360" w:lineRule="auto"/>
                <w:jc w:val="both"/>
                <w:rPr>
                  <w:rFonts w:ascii="Arial" w:hAnsi="Arial" w:cs="Arial"/>
                  <w:kern w:val="0"/>
                  <w:sz w:val="24"/>
                  <w:szCs w:val="24"/>
                  <w:lang w:val="en-US"/>
                  <w14:ligatures w14:val="none"/>
                </w:rPr>
              </w:pPr>
              <w:r w:rsidRPr="00060E1F">
                <w:rPr>
                  <w:rFonts w:ascii="Arial" w:hAnsi="Arial" w:cs="Arial"/>
                  <w:b/>
                  <w:bCs/>
                  <w:noProof/>
                  <w:kern w:val="0"/>
                  <w:sz w:val="24"/>
                  <w:szCs w:val="24"/>
                  <w:lang w:val="en-US"/>
                  <w14:ligatures w14:val="none"/>
                </w:rPr>
                <w:fldChar w:fldCharType="end"/>
              </w:r>
            </w:p>
          </w:sdtContent>
        </w:sdt>
      </w:sdtContent>
    </w:sdt>
    <w:p w14:paraId="2A0EF219" w14:textId="77777777" w:rsidR="008748BF" w:rsidRPr="00903E8F" w:rsidRDefault="008748BF" w:rsidP="008748BF">
      <w:pPr>
        <w:spacing w:line="276" w:lineRule="auto"/>
        <w:jc w:val="both"/>
        <w:rPr>
          <w:rFonts w:ascii="Arial" w:hAnsi="Arial" w:cs="Arial"/>
          <w:b/>
          <w:bCs/>
          <w:sz w:val="24"/>
          <w:szCs w:val="24"/>
        </w:rPr>
      </w:pPr>
    </w:p>
    <w:p w14:paraId="0380C5A9" w14:textId="77777777" w:rsidR="008748BF" w:rsidRPr="00903E8F" w:rsidRDefault="008748BF" w:rsidP="00591B67">
      <w:pPr>
        <w:rPr>
          <w:rFonts w:ascii="Arial" w:hAnsi="Arial" w:cs="Arial"/>
          <w:b/>
          <w:bCs/>
          <w:sz w:val="24"/>
          <w:szCs w:val="24"/>
        </w:rPr>
      </w:pPr>
    </w:p>
    <w:sectPr w:rsidR="008748BF" w:rsidRPr="00903E8F" w:rsidSect="008748BF">
      <w:headerReference w:type="default" r:id="rId73"/>
      <w:footerReference w:type="default" r:id="rId7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A6D8E" w14:textId="77777777" w:rsidR="008A1B18" w:rsidRDefault="008A1B18" w:rsidP="00591B67">
      <w:pPr>
        <w:spacing w:after="0" w:line="240" w:lineRule="auto"/>
      </w:pPr>
      <w:r>
        <w:separator/>
      </w:r>
    </w:p>
  </w:endnote>
  <w:endnote w:type="continuationSeparator" w:id="0">
    <w:p w14:paraId="51344245" w14:textId="77777777" w:rsidR="008A1B18" w:rsidRDefault="008A1B18" w:rsidP="00591B67">
      <w:pPr>
        <w:spacing w:after="0" w:line="240" w:lineRule="auto"/>
      </w:pPr>
      <w:r>
        <w:continuationSeparator/>
      </w:r>
    </w:p>
  </w:endnote>
  <w:endnote w:type="continuationNotice" w:id="1">
    <w:p w14:paraId="7935CFAC" w14:textId="77777777" w:rsidR="008A1B18" w:rsidRDefault="008A1B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605444"/>
      <w:docPartObj>
        <w:docPartGallery w:val="Page Numbers (Bottom of Page)"/>
        <w:docPartUnique/>
      </w:docPartObj>
    </w:sdtPr>
    <w:sdtEndPr/>
    <w:sdtContent>
      <w:p w14:paraId="786BB932" w14:textId="143F535E" w:rsidR="007E04D7" w:rsidRDefault="007E04D7">
        <w:pPr>
          <w:pStyle w:val="Footer"/>
          <w:jc w:val="center"/>
        </w:pPr>
        <w:r>
          <w:fldChar w:fldCharType="begin"/>
        </w:r>
        <w:r>
          <w:instrText>PAGE   \* MERGEFORMAT</w:instrText>
        </w:r>
        <w:r>
          <w:fldChar w:fldCharType="separate"/>
        </w:r>
        <w:r>
          <w:t>2</w:t>
        </w:r>
        <w:r>
          <w:fldChar w:fldCharType="end"/>
        </w:r>
      </w:p>
    </w:sdtContent>
  </w:sdt>
  <w:p w14:paraId="0C930A13" w14:textId="6D8DF095" w:rsidR="008748BF" w:rsidRDefault="00874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68618" w14:textId="77777777" w:rsidR="008A1B18" w:rsidRDefault="008A1B18" w:rsidP="00591B67">
      <w:pPr>
        <w:spacing w:after="0" w:line="240" w:lineRule="auto"/>
      </w:pPr>
      <w:r>
        <w:separator/>
      </w:r>
    </w:p>
  </w:footnote>
  <w:footnote w:type="continuationSeparator" w:id="0">
    <w:p w14:paraId="3F088EA4" w14:textId="77777777" w:rsidR="008A1B18" w:rsidRDefault="008A1B18" w:rsidP="00591B67">
      <w:pPr>
        <w:spacing w:after="0" w:line="240" w:lineRule="auto"/>
      </w:pPr>
      <w:r>
        <w:continuationSeparator/>
      </w:r>
    </w:p>
  </w:footnote>
  <w:footnote w:type="continuationNotice" w:id="1">
    <w:p w14:paraId="44462A81" w14:textId="77777777" w:rsidR="008A1B18" w:rsidRDefault="008A1B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96058" w14:textId="67D6D735" w:rsidR="00D5728B" w:rsidRDefault="00D5728B">
    <w:pPr>
      <w:pStyle w:val="Header"/>
      <w:jc w:val="right"/>
    </w:pPr>
  </w:p>
  <w:p w14:paraId="3CEAD4F9" w14:textId="77777777" w:rsidR="00D5728B" w:rsidRDefault="00D57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86295"/>
    <w:multiLevelType w:val="hybridMultilevel"/>
    <w:tmpl w:val="2E025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E02EC"/>
    <w:multiLevelType w:val="hybridMultilevel"/>
    <w:tmpl w:val="2E025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1E59D9"/>
    <w:multiLevelType w:val="hybridMultilevel"/>
    <w:tmpl w:val="38DE12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EB38AC"/>
    <w:multiLevelType w:val="hybridMultilevel"/>
    <w:tmpl w:val="BC10613C"/>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95689B"/>
    <w:multiLevelType w:val="hybridMultilevel"/>
    <w:tmpl w:val="A38CD35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3D6873"/>
    <w:multiLevelType w:val="hybridMultilevel"/>
    <w:tmpl w:val="C1AA2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1F3A00"/>
    <w:multiLevelType w:val="hybridMultilevel"/>
    <w:tmpl w:val="8A74287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1B186A"/>
    <w:multiLevelType w:val="hybridMultilevel"/>
    <w:tmpl w:val="862E2E7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53A92"/>
    <w:multiLevelType w:val="hybridMultilevel"/>
    <w:tmpl w:val="2E025A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1757341"/>
    <w:multiLevelType w:val="hybridMultilevel"/>
    <w:tmpl w:val="BCF6AF6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CA318F"/>
    <w:multiLevelType w:val="hybridMultilevel"/>
    <w:tmpl w:val="D9E250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7464161">
    <w:abstractNumId w:val="1"/>
  </w:num>
  <w:num w:numId="2" w16cid:durableId="747045563">
    <w:abstractNumId w:val="8"/>
  </w:num>
  <w:num w:numId="3" w16cid:durableId="1473866639">
    <w:abstractNumId w:val="0"/>
  </w:num>
  <w:num w:numId="4" w16cid:durableId="327949393">
    <w:abstractNumId w:val="4"/>
  </w:num>
  <w:num w:numId="5" w16cid:durableId="553741915">
    <w:abstractNumId w:val="7"/>
  </w:num>
  <w:num w:numId="6" w16cid:durableId="1782987743">
    <w:abstractNumId w:val="9"/>
  </w:num>
  <w:num w:numId="7" w16cid:durableId="326901975">
    <w:abstractNumId w:val="10"/>
  </w:num>
  <w:num w:numId="8" w16cid:durableId="712658010">
    <w:abstractNumId w:val="2"/>
  </w:num>
  <w:num w:numId="9" w16cid:durableId="440733166">
    <w:abstractNumId w:val="6"/>
  </w:num>
  <w:num w:numId="10" w16cid:durableId="1287783365">
    <w:abstractNumId w:val="5"/>
  </w:num>
  <w:num w:numId="11" w16cid:durableId="21018258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xNjc1MTK3NDcxtDRT0lEKTi0uzszPAykwqwUAaIijoCwAAAA="/>
  </w:docVars>
  <w:rsids>
    <w:rsidRoot w:val="00591B67"/>
    <w:rsid w:val="00012A4A"/>
    <w:rsid w:val="00022420"/>
    <w:rsid w:val="00025D06"/>
    <w:rsid w:val="00027C25"/>
    <w:rsid w:val="00031FB9"/>
    <w:rsid w:val="0003422D"/>
    <w:rsid w:val="00037854"/>
    <w:rsid w:val="00043A05"/>
    <w:rsid w:val="000463D3"/>
    <w:rsid w:val="0005790C"/>
    <w:rsid w:val="00060E1F"/>
    <w:rsid w:val="0007129F"/>
    <w:rsid w:val="00090B9B"/>
    <w:rsid w:val="000978B2"/>
    <w:rsid w:val="000F243A"/>
    <w:rsid w:val="00104B19"/>
    <w:rsid w:val="00107166"/>
    <w:rsid w:val="00126633"/>
    <w:rsid w:val="00140BCF"/>
    <w:rsid w:val="00151243"/>
    <w:rsid w:val="00165D0D"/>
    <w:rsid w:val="00175F52"/>
    <w:rsid w:val="001907BB"/>
    <w:rsid w:val="001A4122"/>
    <w:rsid w:val="001B3FE1"/>
    <w:rsid w:val="001D4FA3"/>
    <w:rsid w:val="001E444B"/>
    <w:rsid w:val="002340A4"/>
    <w:rsid w:val="00236088"/>
    <w:rsid w:val="00291230"/>
    <w:rsid w:val="002A70ED"/>
    <w:rsid w:val="002B12ED"/>
    <w:rsid w:val="002C2690"/>
    <w:rsid w:val="002C66A1"/>
    <w:rsid w:val="002E6A19"/>
    <w:rsid w:val="002F469B"/>
    <w:rsid w:val="002F68BC"/>
    <w:rsid w:val="00304200"/>
    <w:rsid w:val="003059D8"/>
    <w:rsid w:val="00311C60"/>
    <w:rsid w:val="00324969"/>
    <w:rsid w:val="00327D37"/>
    <w:rsid w:val="0034307C"/>
    <w:rsid w:val="00353660"/>
    <w:rsid w:val="003542EF"/>
    <w:rsid w:val="0037008A"/>
    <w:rsid w:val="003722A0"/>
    <w:rsid w:val="00380577"/>
    <w:rsid w:val="00382150"/>
    <w:rsid w:val="00384AB1"/>
    <w:rsid w:val="00385579"/>
    <w:rsid w:val="003927CA"/>
    <w:rsid w:val="003A5E44"/>
    <w:rsid w:val="003B38B6"/>
    <w:rsid w:val="003B3D76"/>
    <w:rsid w:val="003C2EDA"/>
    <w:rsid w:val="003D0F1C"/>
    <w:rsid w:val="004101F7"/>
    <w:rsid w:val="00412727"/>
    <w:rsid w:val="00422AA2"/>
    <w:rsid w:val="0042695E"/>
    <w:rsid w:val="00450E9E"/>
    <w:rsid w:val="004750C5"/>
    <w:rsid w:val="00483774"/>
    <w:rsid w:val="004871A2"/>
    <w:rsid w:val="00495279"/>
    <w:rsid w:val="004D0FF0"/>
    <w:rsid w:val="004E6E56"/>
    <w:rsid w:val="005173E8"/>
    <w:rsid w:val="00533535"/>
    <w:rsid w:val="00533D55"/>
    <w:rsid w:val="0053485F"/>
    <w:rsid w:val="00546974"/>
    <w:rsid w:val="005503EC"/>
    <w:rsid w:val="005577D6"/>
    <w:rsid w:val="00591B67"/>
    <w:rsid w:val="005B309D"/>
    <w:rsid w:val="005B34B1"/>
    <w:rsid w:val="005B4098"/>
    <w:rsid w:val="006003B4"/>
    <w:rsid w:val="00607A25"/>
    <w:rsid w:val="006135EB"/>
    <w:rsid w:val="006267B5"/>
    <w:rsid w:val="0063240C"/>
    <w:rsid w:val="006436C8"/>
    <w:rsid w:val="00680A9F"/>
    <w:rsid w:val="00683C25"/>
    <w:rsid w:val="00685BAA"/>
    <w:rsid w:val="00685BB1"/>
    <w:rsid w:val="006A5AC0"/>
    <w:rsid w:val="006B6C16"/>
    <w:rsid w:val="006C561E"/>
    <w:rsid w:val="006C7A3B"/>
    <w:rsid w:val="006E10F3"/>
    <w:rsid w:val="007014AC"/>
    <w:rsid w:val="007027DD"/>
    <w:rsid w:val="00707A2F"/>
    <w:rsid w:val="00711D11"/>
    <w:rsid w:val="00712E42"/>
    <w:rsid w:val="007742C7"/>
    <w:rsid w:val="007765A1"/>
    <w:rsid w:val="0077678F"/>
    <w:rsid w:val="007838CC"/>
    <w:rsid w:val="007A1EE6"/>
    <w:rsid w:val="007C6432"/>
    <w:rsid w:val="007E04D7"/>
    <w:rsid w:val="00813EF6"/>
    <w:rsid w:val="00842E22"/>
    <w:rsid w:val="008513D7"/>
    <w:rsid w:val="00866E45"/>
    <w:rsid w:val="00872706"/>
    <w:rsid w:val="008748BF"/>
    <w:rsid w:val="008759FE"/>
    <w:rsid w:val="00877FD1"/>
    <w:rsid w:val="008A1B18"/>
    <w:rsid w:val="008A4001"/>
    <w:rsid w:val="008A431C"/>
    <w:rsid w:val="008B4061"/>
    <w:rsid w:val="008B6D06"/>
    <w:rsid w:val="008D5301"/>
    <w:rsid w:val="008E633D"/>
    <w:rsid w:val="008F7AF8"/>
    <w:rsid w:val="009003E9"/>
    <w:rsid w:val="00900648"/>
    <w:rsid w:val="00903E8F"/>
    <w:rsid w:val="00905FF0"/>
    <w:rsid w:val="00910B6D"/>
    <w:rsid w:val="00913F95"/>
    <w:rsid w:val="009514B8"/>
    <w:rsid w:val="00987323"/>
    <w:rsid w:val="009B0E01"/>
    <w:rsid w:val="009C1EA0"/>
    <w:rsid w:val="009D2B04"/>
    <w:rsid w:val="009D5369"/>
    <w:rsid w:val="009E268D"/>
    <w:rsid w:val="009E47D9"/>
    <w:rsid w:val="009F4904"/>
    <w:rsid w:val="009F562E"/>
    <w:rsid w:val="009F5E8C"/>
    <w:rsid w:val="00A11B2B"/>
    <w:rsid w:val="00A12068"/>
    <w:rsid w:val="00A50CFD"/>
    <w:rsid w:val="00A76E54"/>
    <w:rsid w:val="00A97680"/>
    <w:rsid w:val="00AB1E61"/>
    <w:rsid w:val="00AB6F7B"/>
    <w:rsid w:val="00AC378D"/>
    <w:rsid w:val="00AD27BC"/>
    <w:rsid w:val="00AD3552"/>
    <w:rsid w:val="00B2055E"/>
    <w:rsid w:val="00B83494"/>
    <w:rsid w:val="00BA10F7"/>
    <w:rsid w:val="00BB03FE"/>
    <w:rsid w:val="00BB67CA"/>
    <w:rsid w:val="00BC7FED"/>
    <w:rsid w:val="00BF2B1B"/>
    <w:rsid w:val="00C12E2E"/>
    <w:rsid w:val="00C5653F"/>
    <w:rsid w:val="00C74D17"/>
    <w:rsid w:val="00C94D1D"/>
    <w:rsid w:val="00CA45F3"/>
    <w:rsid w:val="00CC20A6"/>
    <w:rsid w:val="00CC6794"/>
    <w:rsid w:val="00CE3984"/>
    <w:rsid w:val="00CE42F2"/>
    <w:rsid w:val="00CF262D"/>
    <w:rsid w:val="00CF5DE3"/>
    <w:rsid w:val="00D145EA"/>
    <w:rsid w:val="00D32900"/>
    <w:rsid w:val="00D36EC8"/>
    <w:rsid w:val="00D4406F"/>
    <w:rsid w:val="00D5728B"/>
    <w:rsid w:val="00D93525"/>
    <w:rsid w:val="00E3565E"/>
    <w:rsid w:val="00E369BD"/>
    <w:rsid w:val="00E67C96"/>
    <w:rsid w:val="00E82738"/>
    <w:rsid w:val="00E83366"/>
    <w:rsid w:val="00E91BAE"/>
    <w:rsid w:val="00EA35CB"/>
    <w:rsid w:val="00EB2A54"/>
    <w:rsid w:val="00EC2AF5"/>
    <w:rsid w:val="00EC3238"/>
    <w:rsid w:val="00EE558F"/>
    <w:rsid w:val="00EE6F25"/>
    <w:rsid w:val="00F17BE7"/>
    <w:rsid w:val="00F17EB5"/>
    <w:rsid w:val="00F23767"/>
    <w:rsid w:val="00F26350"/>
    <w:rsid w:val="00F31BF3"/>
    <w:rsid w:val="00F55632"/>
    <w:rsid w:val="00F60DAC"/>
    <w:rsid w:val="00F87926"/>
    <w:rsid w:val="00FB4547"/>
    <w:rsid w:val="6035CA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53AB42"/>
  <w15:chartTrackingRefBased/>
  <w15:docId w15:val="{0EFB354A-172B-4DFD-B656-E8FFB8CC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E22"/>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1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B67"/>
  </w:style>
  <w:style w:type="paragraph" w:styleId="Footer">
    <w:name w:val="footer"/>
    <w:basedOn w:val="Normal"/>
    <w:link w:val="FooterChar"/>
    <w:uiPriority w:val="99"/>
    <w:unhideWhenUsed/>
    <w:rsid w:val="00591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B67"/>
  </w:style>
  <w:style w:type="character" w:customStyle="1" w:styleId="Heading1Char">
    <w:name w:val="Heading 1 Char"/>
    <w:basedOn w:val="DefaultParagraphFont"/>
    <w:link w:val="Heading1"/>
    <w:uiPriority w:val="9"/>
    <w:rsid w:val="00842E22"/>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842E22"/>
  </w:style>
  <w:style w:type="paragraph" w:styleId="NoSpacing">
    <w:name w:val="No Spacing"/>
    <w:link w:val="NoSpacingChar"/>
    <w:uiPriority w:val="1"/>
    <w:qFormat/>
    <w:rsid w:val="001E44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E444B"/>
    <w:rPr>
      <w:rFonts w:eastAsiaTheme="minorEastAsia"/>
      <w:kern w:val="0"/>
      <w:lang w:val="en-US"/>
      <w14:ligatures w14:val="none"/>
    </w:rPr>
  </w:style>
  <w:style w:type="table" w:styleId="TableGrid">
    <w:name w:val="Table Grid"/>
    <w:basedOn w:val="TableNormal"/>
    <w:uiPriority w:val="39"/>
    <w:rsid w:val="00783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17908">
      <w:bodyDiv w:val="1"/>
      <w:marLeft w:val="0"/>
      <w:marRight w:val="0"/>
      <w:marTop w:val="0"/>
      <w:marBottom w:val="0"/>
      <w:divBdr>
        <w:top w:val="none" w:sz="0" w:space="0" w:color="auto"/>
        <w:left w:val="none" w:sz="0" w:space="0" w:color="auto"/>
        <w:bottom w:val="none" w:sz="0" w:space="0" w:color="auto"/>
        <w:right w:val="none" w:sz="0" w:space="0" w:color="auto"/>
      </w:divBdr>
    </w:div>
    <w:div w:id="303701140">
      <w:bodyDiv w:val="1"/>
      <w:marLeft w:val="0"/>
      <w:marRight w:val="0"/>
      <w:marTop w:val="0"/>
      <w:marBottom w:val="0"/>
      <w:divBdr>
        <w:top w:val="none" w:sz="0" w:space="0" w:color="auto"/>
        <w:left w:val="none" w:sz="0" w:space="0" w:color="auto"/>
        <w:bottom w:val="none" w:sz="0" w:space="0" w:color="auto"/>
        <w:right w:val="none" w:sz="0" w:space="0" w:color="auto"/>
      </w:divBdr>
    </w:div>
    <w:div w:id="945963791">
      <w:bodyDiv w:val="1"/>
      <w:marLeft w:val="0"/>
      <w:marRight w:val="0"/>
      <w:marTop w:val="0"/>
      <w:marBottom w:val="0"/>
      <w:divBdr>
        <w:top w:val="none" w:sz="0" w:space="0" w:color="auto"/>
        <w:left w:val="none" w:sz="0" w:space="0" w:color="auto"/>
        <w:bottom w:val="none" w:sz="0" w:space="0" w:color="auto"/>
        <w:right w:val="none" w:sz="0" w:space="0" w:color="auto"/>
      </w:divBdr>
    </w:div>
    <w:div w:id="1257250353">
      <w:bodyDiv w:val="1"/>
      <w:marLeft w:val="0"/>
      <w:marRight w:val="0"/>
      <w:marTop w:val="0"/>
      <w:marBottom w:val="0"/>
      <w:divBdr>
        <w:top w:val="none" w:sz="0" w:space="0" w:color="auto"/>
        <w:left w:val="none" w:sz="0" w:space="0" w:color="auto"/>
        <w:bottom w:val="none" w:sz="0" w:space="0" w:color="auto"/>
        <w:right w:val="none" w:sz="0" w:space="0" w:color="auto"/>
      </w:divBdr>
    </w:div>
    <w:div w:id="1292861109">
      <w:bodyDiv w:val="1"/>
      <w:marLeft w:val="0"/>
      <w:marRight w:val="0"/>
      <w:marTop w:val="0"/>
      <w:marBottom w:val="0"/>
      <w:divBdr>
        <w:top w:val="none" w:sz="0" w:space="0" w:color="auto"/>
        <w:left w:val="none" w:sz="0" w:space="0" w:color="auto"/>
        <w:bottom w:val="none" w:sz="0" w:space="0" w:color="auto"/>
        <w:right w:val="none" w:sz="0" w:space="0" w:color="auto"/>
      </w:divBdr>
    </w:div>
    <w:div w:id="1363937982">
      <w:bodyDiv w:val="1"/>
      <w:marLeft w:val="0"/>
      <w:marRight w:val="0"/>
      <w:marTop w:val="0"/>
      <w:marBottom w:val="0"/>
      <w:divBdr>
        <w:top w:val="none" w:sz="0" w:space="0" w:color="auto"/>
        <w:left w:val="none" w:sz="0" w:space="0" w:color="auto"/>
        <w:bottom w:val="none" w:sz="0" w:space="0" w:color="auto"/>
        <w:right w:val="none" w:sz="0" w:space="0" w:color="auto"/>
      </w:divBdr>
    </w:div>
    <w:div w:id="1475638736">
      <w:bodyDiv w:val="1"/>
      <w:marLeft w:val="0"/>
      <w:marRight w:val="0"/>
      <w:marTop w:val="0"/>
      <w:marBottom w:val="0"/>
      <w:divBdr>
        <w:top w:val="none" w:sz="0" w:space="0" w:color="auto"/>
        <w:left w:val="none" w:sz="0" w:space="0" w:color="auto"/>
        <w:bottom w:val="none" w:sz="0" w:space="0" w:color="auto"/>
        <w:right w:val="none" w:sz="0" w:space="0" w:color="auto"/>
      </w:divBdr>
    </w:div>
    <w:div w:id="1598825242">
      <w:bodyDiv w:val="1"/>
      <w:marLeft w:val="0"/>
      <w:marRight w:val="0"/>
      <w:marTop w:val="0"/>
      <w:marBottom w:val="0"/>
      <w:divBdr>
        <w:top w:val="none" w:sz="0" w:space="0" w:color="auto"/>
        <w:left w:val="none" w:sz="0" w:space="0" w:color="auto"/>
        <w:bottom w:val="none" w:sz="0" w:space="0" w:color="auto"/>
        <w:right w:val="none" w:sz="0" w:space="0" w:color="auto"/>
      </w:divBdr>
    </w:div>
    <w:div w:id="19409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991/assehr.k.210615.023" TargetMode="External"/><Relationship Id="rId21" Type="http://schemas.openxmlformats.org/officeDocument/2006/relationships/hyperlink" Target="https://www.researchgate.net/profile/Zelia-Breda/publication/346519840_Internationalization_of_the_hotel_industry_evidence_from_Portugal/links/5fc5f1b8a6fdcce95269345b/Internationalization-of-the-hotel-industry-evidence-from-Portugal.pd" TargetMode="External"/><Relationship Id="rId42" Type="http://schemas.openxmlformats.org/officeDocument/2006/relationships/hyperlink" Target="https://doi.org/10.4324/9781315745565" TargetMode="External"/><Relationship Id="rId47" Type="http://schemas.openxmlformats.org/officeDocument/2006/relationships/hyperlink" Target="https://doi.org/10.1108/IJCHM-01-2022-0103" TargetMode="External"/><Relationship Id="rId63" Type="http://schemas.openxmlformats.org/officeDocument/2006/relationships/hyperlink" Target="https://heinonline.org/HOL/LandingPage?handle=hein.journals/techssj21&amp;div=53&amp;id=&amp;page=" TargetMode="External"/><Relationship Id="rId68" Type="http://schemas.openxmlformats.org/officeDocument/2006/relationships/hyperlink" Target="ttp://eprints.bournemouth.ac.uk/33170/1/Stamolampros%20Korfiatis%20Chalvatzis%20Buhalis%20Glassdoor_Tourism_aav.pdf" TargetMode="External"/><Relationship Id="rId2" Type="http://schemas.openxmlformats.org/officeDocument/2006/relationships/numbering" Target="numbering.xml"/><Relationship Id="rId16" Type="http://schemas.openxmlformats.org/officeDocument/2006/relationships/hyperlink" Target=":DOI:%2010.7176/JMCR/87-04" TargetMode="External"/><Relationship Id="rId29" Type="http://schemas.openxmlformats.org/officeDocument/2006/relationships/hyperlink" Target="https://doi.org/10.3390/admsci12040122" TargetMode="External"/><Relationship Id="rId11" Type="http://schemas.openxmlformats.org/officeDocument/2006/relationships/image" Target="media/image3.png"/><Relationship Id="rId24" Type="http://schemas.openxmlformats.org/officeDocument/2006/relationships/hyperlink" Target="https://doi.org/10.1108/JAMR-01-2019-0007" TargetMode="External"/><Relationship Id="rId32" Type="http://schemas.openxmlformats.org/officeDocument/2006/relationships/hyperlink" Target="https://doi.org/10.3390/computers9040086" TargetMode="External"/><Relationship Id="rId37" Type="http://schemas.openxmlformats.org/officeDocument/2006/relationships/hyperlink" Target="https://www.emerald.com/insight/content/doi/10.1108/ECAM-06-2019-0319/full/html" TargetMode="External"/><Relationship Id="rId40" Type="http://schemas.openxmlformats.org/officeDocument/2006/relationships/hyperlink" Target="https://doi.org/10.1016/j.jik.2016.07.002" TargetMode="External"/><Relationship Id="rId45" Type="http://schemas.openxmlformats.org/officeDocument/2006/relationships/hyperlink" Target="https://doi.org/10.1353/tech.2012.0157" TargetMode="External"/><Relationship Id="rId53" Type="http://schemas.openxmlformats.org/officeDocument/2006/relationships/hyperlink" Target="https://www.marriott.com/marriott/aboutmarriott.mi" TargetMode="External"/><Relationship Id="rId58" Type="http://schemas.openxmlformats.org/officeDocument/2006/relationships/hyperlink" Target="https://doi.org/10.1108/IJCHM-03-2022-0295" TargetMode="External"/><Relationship Id="rId66" Type="http://schemas.openxmlformats.org/officeDocument/2006/relationships/hyperlink" Target="https://www.annualreviews.org/doi/full/10.1146/annurev-orgpsych-012218-015243"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pdfs.semanticscholar.org/b1e7/840f5552bdd352cde7bbda8546363c9bf375.pdf?_gl=1*gudytc*_ga*MTQ1ODIyMjAwMi4xNjkzMjU3MjM0*_ga_H7P4ZT52H5*MTY5MzI1NzIzNC4xLjAuMTY5MzI1NzIzOC41Ni4wLjA." TargetMode="External"/><Relationship Id="rId19" Type="http://schemas.openxmlformats.org/officeDocument/2006/relationships/hyperlink" Target="https://doi.org/10.1108/ER-04-2019-0182" TargetMode="External"/><Relationship Id="rId14" Type="http://schemas.openxmlformats.org/officeDocument/2006/relationships/hyperlink" Target="DOI:%2010.4018/978-1-6684-6713-8.ch004" TargetMode="External"/><Relationship Id="rId22" Type="http://schemas.openxmlformats.org/officeDocument/2006/relationships/hyperlink" Target="https://www.taylorfrancis.com/chapters/edit/10.4324/9781003119234-26/cinema-ecology-environment-pat-brereton" TargetMode="External"/><Relationship Id="rId27" Type="http://schemas.openxmlformats.org/officeDocument/2006/relationships/hyperlink" Target="https://www.forbes.com/sites/forbesbusinessdevelopmentcouncil/2023/04/12/5-trends-driving-the-hospitality-industry-and-what-they-mean-for-property-management/?sh=71dbbcbd7d7f" TargetMode="External"/><Relationship Id="rId30" Type="http://schemas.openxmlformats.org/officeDocument/2006/relationships/hyperlink" Target="at:https://www.ceeol.com/search/article-detail?id=974844" TargetMode="External"/><Relationship Id="rId35" Type="http://schemas.openxmlformats.org/officeDocument/2006/relationships/hyperlink" Target="https://doi.org/10.3390/su14052885" TargetMode="External"/><Relationship Id="rId43" Type="http://schemas.openxmlformats.org/officeDocument/2006/relationships/hyperlink" Target="http://localhost:8080/xmlui/handle/123456789/9813" TargetMode="External"/><Relationship Id="rId48" Type="http://schemas.openxmlformats.org/officeDocument/2006/relationships/hyperlink" Target="https://doi.org/10.1108/IJCHM-01-2022-0103" TargetMode="External"/><Relationship Id="rId56" Type="http://schemas.openxmlformats.org/officeDocument/2006/relationships/hyperlink" Target=":https:/ssrn.com/abstract=4121197" TargetMode="External"/><Relationship Id="rId64" Type="http://schemas.openxmlformats.org/officeDocument/2006/relationships/hyperlink" Target=":https:/doi.org/10.3390/ijerph18052294" TargetMode="External"/><Relationship Id="rId69" Type="http://schemas.openxmlformats.org/officeDocument/2006/relationships/hyperlink" Target="https://www.alfainternational.com/wp-content/uploads/LE-South-Carolina.pdf" TargetMode="External"/><Relationship Id="rId8" Type="http://schemas.openxmlformats.org/officeDocument/2006/relationships/image" Target="media/image1.png"/><Relationship Id="rId51" Type="http://schemas.openxmlformats.org/officeDocument/2006/relationships/hyperlink" Target="doi:%2010.11648/j.jhrm.20190701.13" TargetMode="External"/><Relationship Id="rId72" Type="http://schemas.openxmlformats.org/officeDocument/2006/relationships/hyperlink" Target="https://doi.org/10.1108/IJCHM-07-2017-0398"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80/0952813X.2016.1186228" TargetMode="External"/><Relationship Id="rId25" Type="http://schemas.openxmlformats.org/officeDocument/2006/relationships/hyperlink" Target="https://doi.org/10.3390/ijerph19191205" TargetMode="External"/><Relationship Id="rId33" Type="http://schemas.openxmlformats.org/officeDocument/2006/relationships/hyperlink" Target=":https:/doi.org/10.1080/02678373.2021.1969476%5b" TargetMode="External"/><Relationship Id="rId38" Type="http://schemas.openxmlformats.org/officeDocument/2006/relationships/hyperlink" Target="http://dx.doi.org/10.6007/IJARBSS/v9-i1/5422" TargetMode="External"/><Relationship Id="rId46" Type="http://schemas.openxmlformats.org/officeDocument/2006/relationships/hyperlink" Target="https://doi.org/10.3727/152599521X16106577965080" TargetMode="External"/><Relationship Id="rId59" Type="http://schemas.openxmlformats.org/officeDocument/2006/relationships/hyperlink" Target="https://doi.org/10.1093/pq/pqv034%5b" TargetMode="External"/><Relationship Id="rId67" Type="http://schemas.openxmlformats.org/officeDocument/2006/relationships/hyperlink" Target="ttps://doi.org/10.1080/15256480.2022.2142994%5b" TargetMode="External"/><Relationship Id="rId20" Type="http://schemas.openxmlformats.org/officeDocument/2006/relationships/hyperlink" Target="https://www.proquest.com/openview/9ae128eebbc84c0136afc52f2b7b6f3b/1?pq-origsite=gscholar&amp;cbl=2030007" TargetMode="External"/><Relationship Id="rId41" Type="http://schemas.openxmlformats.org/officeDocument/2006/relationships/hyperlink" Target=":https:/doi.org/10.1016/j.ijhm.2023.103597" TargetMode="External"/><Relationship Id="rId54" Type="http://schemas.openxmlformats.org/officeDocument/2006/relationships/hyperlink" Target=":https:/news.marriott.com/brands/courtyard-by-marriott" TargetMode="External"/><Relationship Id="rId62" Type="http://schemas.openxmlformats.org/officeDocument/2006/relationships/hyperlink" Target="https://doi.org/10.1108/JHTI-09-2021-0247%5b" TargetMode="External"/><Relationship Id="rId70" Type="http://schemas.openxmlformats.org/officeDocument/2006/relationships/hyperlink" Target="https://link.springer.com/chapter/10.1007/978-981-13-8902-3_5"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t:http://journal.lembagakita.org/index.php/jemsi/article/view/1015" TargetMode="External"/><Relationship Id="rId23" Type="http://schemas.openxmlformats.org/officeDocument/2006/relationships/hyperlink" Target="https://doi.org/10.1177/0021886319892685" TargetMode="External"/><Relationship Id="rId28" Type="http://schemas.openxmlformats.org/officeDocument/2006/relationships/hyperlink" Target="https://www.ajhtl.com/uploads/7/1/6/3/7163688/article_38_vol_8_3__2019.pdf" TargetMode="External"/><Relationship Id="rId36" Type="http://schemas.openxmlformats.org/officeDocument/2006/relationships/hyperlink" Target="https://doi.org/10.3390/su14052885" TargetMode="External"/><Relationship Id="rId49" Type="http://schemas.openxmlformats.org/officeDocument/2006/relationships/hyperlink" Target="https://doi.org/10.1108/IJCHM-05-2022-0551" TargetMode="External"/><Relationship Id="rId57" Type="http://schemas.openxmlformats.org/officeDocument/2006/relationships/hyperlink" Target="https://doi.org/10.1080/13683500.2020.1852195" TargetMode="External"/><Relationship Id="rId10" Type="http://schemas.openxmlformats.org/officeDocument/2006/relationships/image" Target="media/image2.emf"/><Relationship Id="rId31" Type="http://schemas.openxmlformats.org/officeDocument/2006/relationships/hyperlink" Target="https://doi.org/10.1108/WHATT-02-2021-0033" TargetMode="External"/><Relationship Id="rId44" Type="http://schemas.openxmlformats.org/officeDocument/2006/relationships/hyperlink" Target="https://doi.org/10.1108/IJCHM-12-2020-1439" TargetMode="External"/><Relationship Id="rId52" Type="http://schemas.openxmlformats.org/officeDocument/2006/relationships/hyperlink" Target="https://cyberleninka.ru/article/n/the-influences-of-leadership-styles-organizational-communication-and-job-satisfaction-toward-employees-job-performance-in-doing%5b" TargetMode="External"/><Relationship Id="rId60" Type="http://schemas.openxmlformats.org/officeDocument/2006/relationships/hyperlink" Target="https://www.ejumpcut.org/archive/jc51.2009/WallE/text.html" TargetMode="External"/><Relationship Id="rId65" Type="http://schemas.openxmlformats.org/officeDocument/2006/relationships/hyperlink" Target="https://www.um.edu.mt/library/oar/handle/123456789/44453" TargetMode="External"/><Relationship Id="rId73"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hyperlink" Target="https://www.webology.org/data-cms/articles/20211101114219amWEB18115.pdf" TargetMode="External"/><Relationship Id="rId18" Type="http://schemas.openxmlformats.org/officeDocument/2006/relationships/hyperlink" Target="https://doi.org/10.1108/ER-04-2019-0182" TargetMode="External"/><Relationship Id="rId39" Type="http://schemas.openxmlformats.org/officeDocument/2006/relationships/hyperlink" Target="https://pdfkeys.com/download/1870765-Understanding_Strategic_Management_Henry.pdf" TargetMode="External"/><Relationship Id="rId34" Type="http://schemas.openxmlformats.org/officeDocument/2006/relationships/hyperlink" Target=":https:/doi.org/10.1108/IJCHM-04-2019-0338" TargetMode="External"/><Relationship Id="rId50" Type="http://schemas.openxmlformats.org/officeDocument/2006/relationships/hyperlink" Target=":https:/doi.org/10.1108/IJCHM-04-2023-0450" TargetMode="External"/><Relationship Id="rId55" Type="http://schemas.openxmlformats.org/officeDocument/2006/relationships/hyperlink" Target="https://doi.org/10.1016/j.tmp.2020.100747"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link.springer.com/chapter/10.1007/978-981-13-8902-3_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Dja21</b:Tag>
    <b:SourceType>Book</b:SourceType>
    <b:Guid>{9743E20B-68CA-4784-AFBA-973E65D65628}</b:Guid>
    <b:Author>
      <b:Author>
        <b:NameList>
          <b:Person>
            <b:Last>Djajasinga</b:Last>
            <b:First>N.</b:First>
            <b:Middle>D</b:Middle>
          </b:Person>
          <b:Person>
            <b:Last>Sulastri</b:Last>
            <b:First>L.</b:First>
          </b:Person>
          <b:Person>
            <b:Last>Sudirman</b:Last>
            <b:First>A</b:First>
          </b:Person>
          <b:Person>
            <b:Last>Sari</b:Last>
            <b:First>A.</b:First>
            <b:Middle>L</b:Middle>
          </b:Person>
          <b:Person>
            <b:Last>Rihardi</b:Last>
            <b:First>E.</b:First>
            <b:Middle>L.</b:Middle>
          </b:Person>
        </b:NameList>
      </b:Author>
    </b:Author>
    <b:Title>Practices in Human Resources and Employee Turnover in the Hospitality Industry. In 2nd Annual Conference on blended learning, educational technology and Innovation</b:Title>
    <b:Year>2021</b:Year>
    <b:Publisher>Atlantis Press</b:Publisher>
    <b:DOI>https://doi.org/10.2991/assehr.k.210615.023</b:DOI>
    <b:RefOrder>2</b:RefOrder>
  </b:Source>
  <b:Source>
    <b:Tag>Moh23</b:Tag>
    <b:SourceType>JournalArticle</b:SourceType>
    <b:Guid>{4C26A6BF-74BB-4169-878C-9FE88C2C5780}</b:Guid>
    <b:Title>Mind the gap: a critical reflection on hotel employee turnover</b:Title>
    <b:Year>2023</b:Year>
    <b:Author>
      <b:Author>
        <b:NameList>
          <b:Person>
            <b:Last>Mohsin</b:Last>
            <b:First>A</b:First>
          </b:Person>
          <b:Person>
            <b:Last>Brochado</b:Last>
            <b:First>A</b:First>
          </b:Person>
          <b:Person>
            <b:Last>Rodrigues</b:Last>
            <b:First>H</b:First>
          </b:Person>
        </b:NameList>
      </b:Author>
    </b:Author>
    <b:JournalName>International Journal of Contemporary Hospitality Management</b:JournalName>
    <b:Pages>2481-2495</b:Pages>
    <b:Volume>35</b:Volume>
    <b:Issue>7</b:Issue>
    <b:DOI>https://doi.org/10.1108/IJCHM-03-2022-0295</b:DOI>
    <b:RefOrder>3</b:RefOrder>
  </b:Source>
  <b:Source>
    <b:Tag>Kwo22</b:Tag>
    <b:SourceType>JournalArticle</b:SourceType>
    <b:Guid>{900979FA-FDC8-457E-9B80-FBA11DA0103B}</b:Guid>
    <b:Author>
      <b:Author>
        <b:NameList>
          <b:Person>
            <b:Last>Kwok</b:Last>
            <b:First>L</b:First>
          </b:Person>
        </b:NameList>
      </b:Author>
    </b:Author>
    <b:Title>Labor shortage: a critical reflection and a call for industry-academia collaboration</b:Title>
    <b:JournalName>International Journal of Contemporary Hospitality Management</b:JournalName>
    <b:Year>2022</b:Year>
    <b:Pages>3929-3943</b:Pages>
    <b:Volume>34</b:Volume>
    <b:Issue>11</b:Issue>
    <b:DOI>https://doi.org/10.1108/IJCHM-01-2022-0103</b:DOI>
    <b:RefOrder>4</b:RefOrder>
  </b:Source>
  <b:Source>
    <b:Tag>Liu231</b:Tag>
    <b:SourceType>JournalArticle</b:SourceType>
    <b:Guid>{EF2C52D9-6967-4D4E-844C-03A7811841B6}</b:Guid>
    <b:Author>
      <b:Author>
        <b:NameList>
          <b:Person>
            <b:Last>Liu-Lastres</b:Last>
            <b:First>B</b:First>
          </b:Person>
          <b:Person>
            <b:Last>Wen</b:Last>
            <b:First>H</b:First>
          </b:Person>
          <b:Person>
            <b:Last>Huang</b:Last>
            <b:First>W.</b:First>
            <b:Middle>J</b:Middle>
          </b:Person>
        </b:NameList>
      </b:Author>
    </b:Author>
    <b:Title>A reflection on the Great Resignation in the hospitality and tourism industry</b:Title>
    <b:JournalName>International Journal of Contemporary Hospitality Management</b:JournalName>
    <b:Year>2023</b:Year>
    <b:Pages>235-249</b:Pages>
    <b:Volume>35</b:Volume>
    <b:Issue>1</b:Issue>
    <b:DOI>https://doi.org/10.1108/IJCHM-05-2022-0551</b:DOI>
    <b:RefOrder>5</b:RefOrder>
  </b:Source>
  <b:Source>
    <b:Tag>Ahm21</b:Tag>
    <b:SourceType>Book</b:SourceType>
    <b:Guid>{E958BCBD-8ED4-414D-B727-44E1A98A3D20}</b:Guid>
    <b:Title>Hotel Employees’ Burnout and Turnover Intentions</b:Title>
    <b:Year>2021</b:Year>
    <b:Publisher>Management</b:Publisher>
    <b:DOI>https://www.webology.org/data-cms/articles/20211101114219amWEB18115.pdf</b:DOI>
    <b:Author>
      <b:Author>
        <b:NameList>
          <b:Person>
            <b:Last>Ahmad</b:Last>
            <b:First>A</b:First>
          </b:Person>
          <b:Person>
            <b:Last>Barakbah</b:Last>
            <b:First>S.</b:First>
            <b:Middle>M. B. S. F</b:Middle>
          </b:Person>
          <b:Person>
            <b:Last>Majdi</b:Last>
            <b:First>A.</b:First>
            <b:Middle>A</b:Middle>
          </b:Person>
        </b:NameList>
      </b:Author>
    </b:Author>
    <b:RefOrder>6</b:RefOrder>
  </b:Source>
  <b:Source>
    <b:Tag>Jos21</b:Tag>
    <b:SourceType>Book</b:SourceType>
    <b:Guid>{446E5A21-7E22-4402-9A0D-C1BB289E9C6A}</b:Guid>
    <b:Title>A study on factors affecting staff turnover in five star Hotels</b:Title>
    <b:Year>2021</b:Year>
    <b:Author>
      <b:Author>
        <b:NameList>
          <b:Person>
            <b:Last>Joshi</b:Last>
            <b:First>A</b:First>
          </b:Person>
          <b:Person>
            <b:Last>Sathe</b:Last>
            <b:First>S</b:First>
          </b:Person>
        </b:NameList>
      </b:Author>
    </b:Author>
    <b:DOI>http://localhost:8080/xmlui/handle/123456789/9813</b:DOI>
    <b:RefOrder>7</b:RefOrder>
  </b:Source>
  <b:Source>
    <b:Tag>Mad23</b:Tag>
    <b:SourceType>JournalArticle</b:SourceType>
    <b:Guid>{2A439CCF-B5C2-4BF4-8BEA-F44B74C20BBC}</b:Guid>
    <b:Author>
      <b:Author>
        <b:NameList>
          <b:Person>
            <b:Last>Madera</b:Last>
            <b:First>J.</b:First>
            <b:Middle>M</b:Middle>
          </b:Person>
          <b:Person>
            <b:Last>Yang</b:Last>
            <b:First>W</b:First>
          </b:Person>
          <b:Person>
            <b:Last>Wu</b:Last>
            <b:First>L</b:First>
          </b:Person>
          <b:Person>
            <b:Last>Ma</b:Last>
            <b:First>E</b:First>
          </b:Person>
          <b:Person>
            <b:Last>Xu</b:Last>
            <b:First>S</b:First>
          </b:Person>
        </b:NameList>
      </b:Author>
    </b:Author>
    <b:Title>Diversity and inclusion in hospitality and tourism: bridging the gap between employee and customer perspectives</b:Title>
    <b:Year>2023</b:Year>
    <b:JournalName>International Journal of Contemporary Hospitality Management</b:JournalName>
    <b:Pages>3972-3989</b:Pages>
    <b:Volume>35</b:Volume>
    <b:Issue>11</b:Issue>
    <b:DOI>https://doi.org/10.1108/IJCHM-04-2023-0450</b:DOI>
    <b:RefOrder>8</b:RefOrder>
  </b:Source>
  <b:Source>
    <b:Tag>Sta23</b:Tag>
    <b:SourceType>Book</b:SourceType>
    <b:Guid>{C166AC5A-5A94-43C7-AFF8-07115330F43B}</b:Guid>
    <b:Author>
      <b:Author>
        <b:NameList>
          <b:Person>
            <b:Last>Statute</b:Last>
            <b:First>B</b:First>
          </b:Person>
          <b:Person>
            <b:Last>Statute</b:Last>
            <b:First>C.</b:First>
            <b:Middle>I. B</b:Middle>
          </b:Person>
        </b:NameList>
      </b:Author>
    </b:Author>
    <b:Title>South Carolina.</b:Title>
    <b:Year>2023</b:Year>
    <b:DOI>https://www.alfainternational.com/wp-content/uploads/LE-South-Carolina.pdf</b:DOI>
    <b:RefOrder>9</b:RefOrder>
  </b:Source>
  <b:Source>
    <b:Tag>Hus18</b:Tag>
    <b:SourceType>JournalArticle</b:SourceType>
    <b:Guid>{EF96E577-252E-47A0-AADE-5F7C4E7F0D75}</b:Guid>
    <b:Author>
      <b:Author>
        <b:NameList>
          <b:Person>
            <b:Last>Hussain</b:Last>
            <b:First>S.</b:First>
            <b:Middle>T</b:Middle>
          </b:Person>
          <b:Person>
            <b:Last>Lei</b:Last>
            <b:First>S</b:First>
          </b:Person>
          <b:Person>
            <b:Last>Akram</b:Last>
            <b:First>T</b:First>
          </b:Person>
          <b:Person>
            <b:Last>Haider</b:Last>
            <b:First>M.</b:First>
            <b:Middle>J</b:Middle>
          </b:Person>
          <b:Person>
            <b:Last>Hussain</b:Last>
            <b:First>S.</b:First>
            <b:Middle>H</b:Middle>
          </b:Person>
          <b:Person>
            <b:Last>Ali</b:Last>
            <b:First>M</b:First>
          </b:Person>
        </b:NameList>
      </b:Author>
    </b:Author>
    <b:Title>Kurt Lewin's change model: A critical review of the role of leadership and employee involvement in organizational change</b:Title>
    <b:JournalName>Journal of Innovation &amp; Knowledge</b:JournalName>
    <b:Year>2018</b:Year>
    <b:Pages>123-127</b:Pages>
    <b:Volume>3</b:Volume>
    <b:Issue>3</b:Issue>
    <b:RefOrder>10</b:RefOrder>
  </b:Source>
  <b:Source>
    <b:Tag>Bur20</b:Tag>
    <b:SourceType>JournalArticle</b:SourceType>
    <b:Guid>{35AF7F9E-7215-4934-AAD2-3542021D744B}</b:Guid>
    <b:Title>The origins of Lewin’s three-step model of change</b:Title>
    <b:Year>2020</b:Year>
    <b:Author>
      <b:Author>
        <b:NameList>
          <b:Person>
            <b:Last>Burnes</b:Last>
            <b:First>B</b:First>
          </b:Person>
        </b:NameList>
      </b:Author>
    </b:Author>
    <b:JournalName>The Journal of Applied Behavioral Science</b:JournalName>
    <b:Pages>32-59</b:Pages>
    <b:Volume>56</b:Volume>
    <b:Issue>1</b:Issue>
    <b:DOI>https://doi.org/10.1177/0021886319892685</b:DOI>
    <b:RefOrder>11</b:RefOrder>
  </b:Source>
  <b:Source>
    <b:Tag>Tan19</b:Tag>
    <b:SourceType>JournalArticle</b:SourceType>
    <b:Guid>{DE7A42ED-22E8-4F56-9862-025C5E9093CD}</b:Guid>
    <b:Author>
      <b:Author>
        <b:NameList>
          <b:Person>
            <b:Last>Tang</b:Last>
            <b:First>K.</b:First>
            <b:Middle>N</b:Middle>
          </b:Person>
          <b:Person>
            <b:Last>Tang</b:Last>
            <b:First>K.</b:First>
            <b:Middle>N</b:Middle>
          </b:Person>
        </b:NameList>
      </b:Author>
    </b:Author>
    <b:Title>Change management</b:Title>
    <b:JournalName>Leadership and change management</b:JournalName>
    <b:Year>2019</b:Year>
    <b:Pages>47-55</b:Pages>
    <b:DOI>https://link.springer.com/chapter/10.1007/978-981-13-8902-3_5</b:DOI>
    <b:RefOrder>12</b:RefOrder>
  </b:Source>
  <b:Source>
    <b:Tag>Hee19</b:Tag>
    <b:SourceType>JournalArticle</b:SourceType>
    <b:Guid>{7E401375-3976-47C1-BEB4-65FA1D0BE9D4}</b:Guid>
    <b:Title>Embracing change management strategies in bedside shift report (BSR): A Review</b:Title>
    <b:JournalName>Int. j. acad. res. bus. soc. sci</b:JournalName>
    <b:Year>2019</b:Year>
    <b:Pages>469-481</b:Pages>
    <b:Volume>9</b:Volume>
    <b:Issue>1</b:Issue>
    <b:Author>
      <b:Author>
        <b:NameList>
          <b:Person>
            <b:Last>Hee</b:Last>
            <b:First>O.</b:First>
            <b:Middle>C</b:Middle>
          </b:Person>
          <b:Person>
            <b:Last>Cheng</b:Last>
            <b:First>T.</b:First>
            <b:Middle>Y</b:Middle>
          </b:Person>
          <b:Person>
            <b:Last>Ping</b:Last>
            <b:First>L.</b:First>
            <b:Middle>L</b:Middle>
          </b:Person>
          <b:Person>
            <b:Last>Kowang</b:Last>
            <b:First>T.</b:First>
            <b:Middle>O</b:Middle>
          </b:Person>
          <b:Person>
            <b:Last>Fei</b:Last>
            <b:First>G.</b:First>
            <b:Middle>C</b:Middle>
          </b:Person>
        </b:NameList>
      </b:Author>
    </b:Author>
    <b:DOI>http://dx.doi.org/10.6007/IJARBSS/v9-i1/5422</b:DOI>
    <b:RefOrder>13</b:RefOrder>
  </b:Source>
  <b:Source>
    <b:Tag>Rad21</b:Tag>
    <b:SourceType>JournalArticle</b:SourceType>
    <b:Guid>{28680E4C-F845-492A-99B2-2C870509BD59}</b:Guid>
    <b:Author>
      <b:Author>
        <b:NameList>
          <b:Person>
            <b:Last>Rad</b:Last>
            <b:First>D</b:First>
          </b:Person>
          <b:Person>
            <b:Last>Rad</b:Last>
            <b:First>G</b:First>
          </b:Person>
        </b:NameList>
      </b:Author>
    </b:Author>
    <b:Title>Theories of change in Agile Psychology</b:Title>
    <b:JournalName>Technium Soc. Sci. J</b:JournalName>
    <b:Year>2021</b:Year>
    <b:Pages>570</b:Pages>
    <b:Volume>21</b:Volume>
    <b:DOI>https://heinonline.org/HOL/LandingPage?handle=hein.journals/techssj21&amp;div=53&amp;id=&amp;page=</b:DOI>
    <b:RefOrder>14</b:RefOrder>
  </b:Source>
  <b:Source>
    <b:Tag>ElA20</b:Tag>
    <b:SourceType>JournalArticle</b:SourceType>
    <b:Guid>{FC2BF87D-5EE7-4636-BA7F-495790CFDD90}</b:Guid>
    <b:Author>
      <b:Author>
        <b:NameList>
          <b:Person>
            <b:Last>El-Amin</b:Last>
            <b:First>A</b:First>
          </b:Person>
          <b:Person>
            <b:Last>George</b:Last>
            <b:First>B</b:First>
          </b:Person>
        </b:NameList>
      </b:Author>
    </b:Author>
    <b:Title>Towards a model and strategy for transformational change</b:Title>
    <b:JournalName>Economics, Management and Sustainability,</b:JournalName>
    <b:Year>2020</b:Year>
    <b:Pages>28-38</b:Pages>
    <b:Volume>5</b:Volume>
    <b:Issue>2</b:Issue>
    <b:DOI>https://www.ceeol.com/search/article-detail?id=974844</b:DOI>
    <b:RefOrder>15</b:RefOrder>
  </b:Source>
  <b:Source>
    <b:Tag>Bos20</b:Tag>
    <b:SourceType>JournalArticle</b:SourceType>
    <b:Guid>{B2B8F7EE-4227-4BC7-91AB-72F059400519}</b:Guid>
    <b:Author>
      <b:Author>
        <b:NameList>
          <b:Person>
            <b:Last>Bose</b:Last>
            <b:First>I</b:First>
          </b:Person>
        </b:NameList>
      </b:Author>
    </b:Author>
    <b:Title>The journey of change at Corus Strip Products, UK: a theory-based case review</b:Title>
    <b:JournalName>IUP Journal of supply chain management</b:JournalName>
    <b:Year>2020</b:Year>
    <b:Pages>24-35</b:Pages>
    <b:Volume>17</b:Volume>
    <b:Issue>1</b:Issue>
    <b:DOI>https://www.proquest.com/openview/9ae128eebbc84c0136afc52f2b7b6f3b/1?pq-origsite=gscholar&amp;cbl=2030007</b:DOI>
    <b:RefOrder>16</b:RefOrder>
  </b:Source>
  <b:Source>
    <b:Tag>Dwe19</b:Tag>
    <b:SourceType>JournalArticle</b:SourceType>
    <b:Guid>{8E0A4FB6-E0A1-464D-8E30-9919401B5379}</b:Guid>
    <b:Author>
      <b:Author>
        <b:NameList>
          <b:Person>
            <b:Last>Dwesini</b:Last>
            <b:First>N.</b:First>
            <b:Middle>F</b:Middle>
          </b:Person>
        </b:NameList>
      </b:Author>
    </b:Author>
    <b:Title>Causes and prevention of high employee turnover within the hospitality industry: A literature review</b:Title>
    <b:JournalName>African Journal of Hospitality, Tourism and Leisure</b:JournalName>
    <b:Year>2019</b:Year>
    <b:Pages>1-15</b:Pages>
    <b:Volume>8</b:Volume>
    <b:Issue>3</b:Issue>
    <b:DOI>https://www.ajhtl.com/uploads/7/1/6/3/7163688/article_38_vol_8_3__2019.pdf</b:DOI>
    <b:RefOrder>17</b:RefOrder>
  </b:Source>
  <b:Source>
    <b:Tag>Bas20</b:Tag>
    <b:SourceType>JournalArticle</b:SourceType>
    <b:Guid>{F5845B56-F9E4-473E-ACCE-712FE26D6156}</b:Guid>
    <b:Author>
      <b:Author>
        <b:NameList>
          <b:Person>
            <b:Last>Basnyat</b:Last>
            <b:First>S</b:First>
          </b:Person>
          <b:Person>
            <b:Last>Clarence Lao</b:Last>
            <b:First>C.</b:First>
            <b:Middle>S</b:Middle>
          </b:Person>
        </b:NameList>
      </b:Author>
    </b:Author>
    <b:Title>Employees’ perceptions on the relationship between human resource management practices and employee turnover: A qualitative study. Employee Relations</b:Title>
    <b:JournalName>The International Journal</b:JournalName>
    <b:Year>2020</b:Year>
    <b:Pages>453-470</b:Pages>
    <b:Volume>42</b:Volume>
    <b:Issue>2</b:Issue>
    <b:DOI>https://doi.org/10.1108/ER-04-2019-0182</b:DOI>
    <b:RefOrder>18</b:RefOrder>
  </b:Source>
  <b:Source>
    <b:Tag>Gha221</b:Tag>
    <b:SourceType>JournalArticle</b:SourceType>
    <b:Guid>{C8A90502-5071-4298-A021-558E4543D2D7}</b:Guid>
    <b:Author>
      <b:Author>
        <b:NameList>
          <b:Person>
            <b:Last>Ghani</b:Last>
            <b:First>B</b:First>
          </b:Person>
          <b:Person>
            <b:Last>Zada</b:Last>
            <b:First>M</b:First>
          </b:Person>
          <b:Person>
            <b:Last>Memon</b:Last>
            <b:First>K.</b:First>
            <b:Middle>R</b:Middle>
          </b:Person>
          <b:Person>
            <b:Last>Ullah</b:Last>
            <b:First>R</b:First>
          </b:Person>
          <b:Person>
            <b:Last>Khattak</b:Last>
            <b:First>A</b:First>
          </b:Person>
          <b:Person>
            <b:Last>Han</b:Last>
            <b:First>H</b:First>
          </b:Person>
          <b:Person>
            <b:Last>Araya-Castillo</b:Last>
            <b:First>L</b:First>
          </b:Person>
        </b:NameList>
      </b:Author>
    </b:Author>
    <b:Title>Challenges and strategies for employee retention in the hospitality industry: A review</b:Title>
    <b:JournalName>Sustainability</b:JournalName>
    <b:Year>2022</b:Year>
    <b:Pages>2885</b:Pages>
    <b:Volume>14</b:Volume>
    <b:Issue>5</b:Issue>
    <b:DOI>https://doi.org/10.3390/su14052885</b:DOI>
    <b:RefOrder>19</b:RefOrder>
  </b:Source>
  <b:Source>
    <b:Tag>Sta19</b:Tag>
    <b:SourceType>JournalArticle</b:SourceType>
    <b:Guid>{00A8A069-A9D3-4491-AFD5-D44ED2C9B7C1}</b:Guid>
    <b:Author>
      <b:Author>
        <b:NameList>
          <b:Person>
            <b:Last>Stamolampros</b:Last>
            <b:First>P</b:First>
          </b:Person>
          <b:Person>
            <b:Last>Korfiatis</b:Last>
            <b:First>N</b:First>
          </b:Person>
          <b:Person>
            <b:Last>Chalvatzis</b:Last>
            <b:First>K</b:First>
          </b:Person>
          <b:Person>
            <b:Last>Buhalis</b:Last>
            <b:First>D</b:First>
          </b:Person>
        </b:NameList>
      </b:Author>
    </b:Author>
    <b:Title>Job satisfaction and employee turnover determinants in high contact services: Insights from Employees’ Online reviews</b:Title>
    <b:JournalName>Tourism Management</b:JournalName>
    <b:Year>2019</b:Year>
    <b:Pages>130-147</b:Pages>
    <b:Volume>75</b:Volume>
    <b:DOI>http://eprints.bournemouth.ac.uk/33170/1/Stamolampros%20Korfiatis%20Chalvatzis%20Buhalis%20Glassdoor_Tourism_aav.pdf</b:DOI>
    <b:RefOrder>20</b:RefOrder>
  </b:Source>
  <b:Source>
    <b:Tag>Bas201</b:Tag>
    <b:SourceType>JournalArticle</b:SourceType>
    <b:Guid>{502D399E-5100-45C1-B36B-82B1968008D0}</b:Guid>
    <b:Author>
      <b:Author>
        <b:NameList>
          <b:Person>
            <b:Last>Basnyat</b:Last>
            <b:First>S</b:First>
          </b:Person>
          <b:Person>
            <b:Last>Clarence Lao</b:Last>
            <b:First>C.</b:First>
            <b:Middle>S</b:Middle>
          </b:Person>
        </b:NameList>
      </b:Author>
    </b:Author>
    <b:Title>Employees’ perceptions on the relationship between human resource management practices and employee turnover: A qualitative study. Employee Relations</b:Title>
    <b:JournalName>The International Journal</b:JournalName>
    <b:Year>2020</b:Year>
    <b:Pages>453-470</b:Pages>
    <b:Volume>42</b:Volume>
    <b:Issue>2</b:Issue>
    <b:DOI>https://doi.org/10.1108/ER-04-2019-0182</b:DOI>
    <b:RefOrder>21</b:RefOrder>
  </b:Source>
  <b:Source>
    <b:Tag>Kwo221</b:Tag>
    <b:SourceType>JournalArticle</b:SourceType>
    <b:Guid>{28A0C17C-7433-4F60-84F0-BD927FB15B1C}</b:Guid>
    <b:Author>
      <b:Author>
        <b:NameList>
          <b:Person>
            <b:Last>Kwok</b:Last>
            <b:First>L</b:First>
          </b:Person>
        </b:NameList>
      </b:Author>
    </b:Author>
    <b:Title>Labor shortage: a critical reflection and a call for industry-academia collaboration</b:Title>
    <b:JournalName>International Journal of Contemporary Hospitality Management,</b:JournalName>
    <b:Year>2022</b:Year>
    <b:Pages>3929-3943</b:Pages>
    <b:Volume>34</b:Volume>
    <b:Issue>1</b:Issue>
    <b:DOI>https://doi.org/10.1108/IJCHM-01-2022-0103</b:DOI>
    <b:RefOrder>22</b:RefOrder>
  </b:Source>
  <b:Source>
    <b:Tag>Mar233</b:Tag>
    <b:SourceType>InternetSite</b:SourceType>
    <b:Guid>{D7816E5C-A649-49CF-BA6F-C9C1ED99627E}</b:Guid>
    <b:Title>Marriott International</b:Title>
    <b:Year>2023</b:Year>
    <b:YearAccessed>2023</b:YearAccessed>
    <b:MonthAccessed>Nov</b:MonthAccessed>
    <b:DayAccessed>09</b:DayAccessed>
    <b:Author>
      <b:Author>
        <b:Corporate>Marriott.Com </b:Corporate>
      </b:Author>
    </b:Author>
    <b:DOI>https://www.marriott.com/marriott/aboutmarriott.mi</b:DOI>
    <b:RefOrder>23</b:RefOrder>
  </b:Source>
  <b:Source>
    <b:Tag>Mul161</b:Tag>
    <b:SourceType>JournalArticle</b:SourceType>
    <b:Guid>{2F6C4EC0-BD8C-436D-9F1C-5A00F2D6D5AF}</b:Guid>
    <b:Title>Superintelligence: Paths, dangers, strategies</b:Title>
    <b:Year>2016</b:Year>
    <b:Author>
      <b:Author>
        <b:NameList>
          <b:Person>
            <b:Last>Mulgan</b:Last>
            <b:First>T</b:First>
          </b:Person>
        </b:NameList>
      </b:Author>
    </b:Author>
    <b:Volume>66</b:Volume>
    <b:Pages>196–203</b:Pages>
    <b:DOI>https://doi.org/10.1093/pq/pqv034</b:DOI>
    <b:JournalName>The Philosophical Quarterly</b:JournalName>
    <b:Issue>262</b:Issue>
    <b:RefOrder>24</b:RefOrder>
  </b:Source>
  <b:Source>
    <b:Tag>Bar17</b:Tag>
    <b:SourceType>JournalArticle</b:SourceType>
    <b:Guid>{661736FF-5760-40C0-AFAA-0DDF3AFF78DC}</b:Guid>
    <b:Title>A model of pathways to artificial superintelligence catastrophe for risk and decision analysis</b:Title>
    <b:JournalName>Journal of Experimental &amp; Theoretical Artificial Intelligence</b:JournalName>
    <b:Year>2017</b:Year>
    <b:Pages>397-414</b:Pages>
    <b:Author>
      <b:Author>
        <b:NameList>
          <b:Person>
            <b:Last>Barrett</b:Last>
            <b:First>A.</b:First>
            <b:Middle>M</b:Middle>
          </b:Person>
          <b:Person>
            <b:Last>Baum</b:Last>
            <b:First>S.</b:First>
            <b:Middle>D</b:Middle>
          </b:Person>
        </b:NameList>
      </b:Author>
    </b:Author>
    <b:Volume>29</b:Volume>
    <b:Issue>2</b:Issue>
    <b:DOI>https://doi.org/10.1080/0952813X.2016.1186228</b:DOI>
    <b:RefOrder>25</b:RefOrder>
  </b:Source>
  <b:Source>
    <b:Tag>Kit12</b:Tag>
    <b:SourceType>JournalArticle</b:SourceType>
    <b:Guid>{0E735F4B-B4B2-4DB7-91D7-344C0312F23A}</b:Guid>
    <b:Title>Alone Together: Why We Expect More from Technology and Less from Each Other</b:Title>
    <b:JournalName>Technology and Culture</b:JournalName>
    <b:Year>2012</b:Year>
    <b:Pages>960-961</b:Pages>
    <b:Author>
      <b:Author>
        <b:NameList>
          <b:Person>
            <b:Last>Kita</b:Last>
            <b:First>C</b:First>
          </b:Person>
        </b:NameList>
      </b:Author>
    </b:Author>
    <b:Volume>53</b:Volume>
    <b:Issue>4</b:Issue>
    <b:DOI>https://doi.org/10.1353/tech.2012.0157</b:DOI>
    <b:RefOrder>26</b:RefOrder>
  </b:Source>
  <b:Source>
    <b:Tag>Mur09</b:Tag>
    <b:SourceType>JournalArticle</b:SourceType>
    <b:Guid>{425E1012-D004-4518-8B65-2E1F7BC71ECF}</b:Guid>
    <b:Title>WALL-E: from environmental adaptation to sentimental nostalgia. Jump Cut</b:Title>
    <b:JournalName>A Review of Contemporary Media</b:JournalName>
    <b:Year>2009</b:Year>
    <b:Pages>1-13</b:Pages>
    <b:Author>
      <b:Author>
        <b:NameList>
          <b:Person>
            <b:Last>Murray</b:Last>
            <b:First>R.</b:First>
            <b:Middle>L</b:Middle>
          </b:Person>
          <b:Person>
            <b:Last>Heumann</b:Last>
            <b:First>J.</b:First>
            <b:Middle>K</b:Middle>
          </b:Person>
        </b:NameList>
      </b:Author>
    </b:Author>
    <b:Volume>51</b:Volume>
    <b:DOI>https://www.ejumpcut.org/archive/jc51.2009/WallE/text.html</b:DOI>
    <b:RefOrder>27</b:RefOrder>
  </b:Source>
  <b:Source>
    <b:Tag>Bre22</b:Tag>
    <b:SourceType>Book</b:SourceType>
    <b:Guid>{D9D242DC-A9CE-4744-B38A-813003660D88}</b:Guid>
    <b:Title>Cinema, ecology, and environment. In The Routledge handbook of environment and communication (pp. 329-342)</b:Title>
    <b:Year>2022</b:Year>
    <b:Author>
      <b:Author>
        <b:NameList>
          <b:Person>
            <b:Last>Brereton</b:Last>
            <b:First>P</b:First>
          </b:Person>
        </b:NameList>
      </b:Author>
    </b:Author>
    <b:Publisher>Routledge</b:Publisher>
    <b:DOI>https://www.taylorfrancis.com/chapters/edit/10.4324/9781003119234-26/cinema-ecology-environment-pat-brereton</b:DOI>
    <b:RefOrder>28</b:RefOrder>
  </b:Source>
  <b:Source>
    <b:Tag>Jai23</b:Tag>
    <b:SourceType>JournalArticle</b:SourceType>
    <b:Guid>{7A905124-F145-4212-8589-48762EB0409A}</b:Guid>
    <b:Title>Luxury hospitality: A systematic literature review and research agenda</b:Title>
    <b:Year>2023</b:Year>
    <b:Author>
      <b:Author>
        <b:NameList>
          <b:Person>
            <b:Last>Jain</b:Last>
            <b:First>V</b:First>
          </b:Person>
          <b:Person>
            <b:Last>Wirtz</b:Last>
            <b:First>J</b:First>
          </b:Person>
          <b:Person>
            <b:Last>Salunke</b:Last>
            <b:First>P</b:First>
          </b:Person>
          <b:Person>
            <b:Last>Nunkoo</b:Last>
            <b:First>R</b:First>
          </b:Person>
          <b:Person>
            <b:Last>Sharma</b:Last>
            <b:First>A</b:First>
          </b:Person>
        </b:NameList>
      </b:Author>
    </b:Author>
    <b:JournalName>International Journal of Hospitality Management</b:JournalName>
    <b:Pages>103597</b:Pages>
    <b:Volume>115</b:Volume>
    <b:DOI>https://doi.org/10.1016/j.ijhm.2023.103597</b:DOI>
    <b:RefOrder>29</b:RefOrder>
  </b:Source>
  <b:Source>
    <b:Tag>Kha21</b:Tag>
    <b:SourceType>JournalArticle</b:SourceType>
    <b:Guid>{41F96314-40C2-4823-89C0-61830DA088E8}</b:Guid>
    <b:Author>
      <b:Author>
        <b:NameList>
          <b:Person>
            <b:Last>Khan</b:Last>
            <b:First>A.</b:First>
            <b:Middle>N</b:Middle>
          </b:Person>
          <b:Person>
            <b:Last>Khan</b:Last>
            <b:First>N.</b:First>
            <b:Middle>A</b:Middle>
          </b:Person>
          <b:Person>
            <b:Last>Bodla</b:Last>
            <b:First>A.</b:First>
            <b:Middle>A</b:Middle>
          </b:Person>
        </b:NameList>
      </b:Author>
    </b:Author>
    <b:Title>The after-shock effects of high-performers turnover in hotel industry: a multi-level study</b:Title>
    <b:JournalName>International Journal of Contemporary Hospitality Management</b:JournalName>
    <b:Year>2021</b:Year>
    <b:Pages>3277-3295</b:Pages>
    <b:Volume>33</b:Volume>
    <b:Issue>10</b:Issue>
    <b:DOI>https://doi.org/10.1108/IJCHM-12-2020-1439</b:DOI>
    <b:RefOrder>1</b:RefOrder>
  </b:Source>
  <b:Source>
    <b:Tag>Mar234</b:Tag>
    <b:SourceType>InternetSite</b:SourceType>
    <b:Guid>{14831503-2403-4AD8-A24A-C0DB0D8ADC3C}</b:Guid>
    <b:Title>Courtyard of Marriott </b:Title>
    <b:Year>2023</b:Year>
    <b:Author>
      <b:Author>
        <b:Corporate>Marriott.com</b:Corporate>
      </b:Author>
    </b:Author>
    <b:DOI>https://news.marriott.com/brands/courtyard-by-marriott</b:DOI>
    <b:RefOrder>30</b:RefOrder>
  </b:Source>
  <b:Source>
    <b:Tag>Bre20</b:Tag>
    <b:SourceType>JournalArticle</b:SourceType>
    <b:Guid>{6C2CF687-2E59-4C5C-B8D6-01D3ED68EF1C}</b:Guid>
    <b:Title>Internationalization of the hotel industry: evidence from Portugal</b:Title>
    <b:Year>2020</b:Year>
    <b:Author>
      <b:Author>
        <b:NameList>
          <b:Person>
            <b:Last>Breda</b:Last>
            <b:First>Z</b:First>
          </b:Person>
          <b:Person>
            <b:Last>Panyik</b:Last>
            <b:First>E</b:First>
          </b:Person>
          <b:Person>
            <b:Last>Costa</b:Last>
            <b:First>C</b:First>
          </b:Person>
        </b:NameList>
      </b:Author>
    </b:Author>
    <b:JournalName>Public Policy</b:JournalName>
    <b:Pages>81-96</b:Pages>
    <b:Volume>5</b:Volume>
    <b:Issue>2</b:Issue>
    <b:DOI>https://www.researchgate.net/profile/Zelia-Breda/publication/346519840_Internationalization_of_the_hotel_industry_evidence_from_Portugal/links/5fc5f1b8a6fdcce95269345b/Internationalization-of-the-hotel-industry-evidence-from-Portugal.pdf</b:DOI>
    <b:RefOrder>31</b:RefOrder>
  </b:Source>
  <b:Source>
    <b:Tag>Geb20</b:Tag>
    <b:SourceType>JournalArticle</b:SourceType>
    <b:Guid>{554BE1B8-1EFF-4E93-8544-3F7E330CF95E}</b:Guid>
    <b:Author>
      <b:Author>
        <b:NameList>
          <b:Person>
            <b:Last>Gebbels</b:Last>
            <b:First>M</b:First>
          </b:Person>
          <b:Person>
            <b:Last>Pantelidis</b:Last>
            <b:First>I.</b:First>
            <b:Middle>S</b:Middle>
          </b:Person>
          <b:Person>
            <b:Last>Goss-Turner</b:Last>
            <b:First>S</b:First>
          </b:Person>
        </b:NameList>
      </b:Author>
    </b:Author>
    <b:Title>onceptualising patterns of career commitment: the leaving process in hospitality</b:Title>
    <b:JournalName>International Journal of Contemporary Hospitality Management</b:JournalName>
    <b:Year>2020</b:Year>
    <b:Pages>126-147</b:Pages>
    <b:Volume>32</b:Volume>
    <b:Issue>1</b:Issue>
    <b:DOI>https://doi.org/10.1108/IJCHM-04-2019-0338</b:DOI>
    <b:RefOrder>32</b:RefOrder>
  </b:Source>
  <b:Source>
    <b:Tag>Mic22</b:Tag>
    <b:SourceType>JournalArticle</b:SourceType>
    <b:Guid>{E000676A-55BE-4633-9A8C-52A3CF412574}</b:Guid>
    <b:Author>
      <b:Author>
        <b:NameList>
          <b:Person>
            <b:Last>Michael</b:Last>
            <b:First>N</b:First>
          </b:Person>
          <b:Person>
            <b:Last>Fotiadis</b:Last>
            <b:First>A.</b:First>
            <b:Middle>K</b:Middle>
          </b:Person>
        </b:NameList>
      </b:Author>
    </b:Author>
    <b:Title>Employee turnover: The hotel industry perspective</b:Title>
    <b:JournalName>Journal of Tourism, Heritage &amp; Services Marketing (JTHSM)</b:JournalName>
    <b:Year>2022</b:Year>
    <b:Pages>38-47</b:Pages>
    <b:Volume>8</b:Volume>
    <b:Issue>1</b:Issue>
    <b:DOI>https://ssrn.com/abstract=4121197</b:DOI>
    <b:RefOrder>33</b:RefOrder>
  </b:Source>
  <b:Source>
    <b:Tag>Yan19</b:Tag>
    <b:SourceType>JournalArticle</b:SourceType>
    <b:Guid>{525F7AA4-5875-4D4C-8677-C53AE4F55A10}</b:Guid>
    <b:Author>
      <b:Author>
        <b:NameList>
          <b:Person>
            <b:Last>Yang</b:Last>
            <b:First>C</b:First>
          </b:Person>
          <b:Person>
            <b:Last>Guo</b:Last>
            <b:First>N</b:First>
          </b:Person>
          <b:Person>
            <b:Last>Wang</b:Last>
            <b:First>Y</b:First>
          </b:Person>
          <b:Person>
            <b:Last>Li</b:Last>
            <b:First>C</b:First>
          </b:Person>
        </b:NameList>
      </b:Author>
    </b:Author>
    <b:Title>The effects of mentoring on hotel staff turnover: Organizational and occupational embeddedness as mediators</b:Title>
    <b:JournalName>International Journal of Contemporary Hospitality Management</b:JournalName>
    <b:Year>2019</b:Year>
    <b:Pages>4086-4104.</b:Pages>
    <b:Volume>31</b:Volume>
    <b:Issue>10</b:Issue>
    <b:DOI>https://doi.org/10.1108/IJCHM-07-2017-0398</b:DOI>
    <b:RefOrder>34</b:RefOrder>
  </b:Source>
  <b:Source>
    <b:Tag>Cuc22</b:Tag>
    <b:SourceType>JournalArticle</b:SourceType>
    <b:Guid>{E7AC1ED8-534C-415C-BD99-4FBD3D59391D}</b:Guid>
    <b:Author>
      <b:Author>
        <b:NameList>
          <b:Person>
            <b:Last>Cuc</b:Last>
            <b:First>L.</b:First>
            <b:Middle>D</b:Middle>
          </b:Person>
          <b:Person>
            <b:Last>Feher</b:Last>
            <b:First>A</b:First>
          </b:Person>
          <b:Person>
            <b:Last>Cuc</b:Last>
            <b:First>P.</b:First>
            <b:Middle>N</b:Middle>
          </b:Person>
          <b:Person>
            <b:Last>Szentesi</b:Last>
            <b:First>S.</b:First>
            <b:Middle>G</b:Middle>
          </b:Person>
          <b:Person>
            <b:Last>Rad</b:Last>
            <b:First>D</b:First>
          </b:Person>
          <b:Person>
            <b:Last>Rad</b:Last>
            <b:First>G</b:First>
          </b:Person>
          <b:Person>
            <b:Last>Joldes</b:Last>
            <b:First>C.</b:First>
            <b:Middle>S. R</b:Middle>
          </b:Person>
        </b:NameList>
      </b:Author>
    </b:Author>
    <b:Title>A parallel mediation analysis on the Effects of Pandemic Accentuated Occupational stress on Hospitality Industry Staff turnover intentions in COVID-19 con</b:Title>
    <b:JournalName>International Journal of Environmental Research and Public Health, 19(19), 12050.</b:JournalName>
    <b:Year>2022</b:Year>
    <b:Pages>12050.</b:Pages>
    <b:Volume>19</b:Volume>
    <b:Issue>19</b:Issue>
    <b:DOI>https://doi.org/10.3390/ijerph191912050</b:DOI>
    <b:RefOrder>35</b:RefOrder>
  </b:Source>
  <b:Source>
    <b:Tag>Ede22</b:Tag>
    <b:SourceType>JournalArticle</b:SourceType>
    <b:Guid>{ACE6F86E-153A-48E6-BCA2-3C371F8E5748}</b:Guid>
    <b:Author>
      <b:Author>
        <b:NameList>
          <b:Person>
            <b:Last>Edeh</b:Last>
            <b:First>F.</b:First>
            <b:Middle>O</b:Middle>
          </b:Person>
          <b:Person>
            <b:Last>Zayed</b:Last>
            <b:First>N.</b:First>
            <b:Middle>M</b:Middle>
          </b:Person>
          <b:Person>
            <b:Last>Perevozova</b:Last>
            <b:First>I</b:First>
          </b:Person>
          <b:Person>
            <b:Last>Kryshtal</b:Last>
            <b:First>H</b:First>
          </b:Person>
          <b:Person>
            <b:Last>Nitsenko</b:Last>
            <b:First>V</b:First>
          </b:Person>
        </b:NameList>
      </b:Author>
    </b:Author>
    <b:Title>Talent management in the hospitality sector: predicting discretionary work behaviour</b:Title>
    <b:JournalName>Administrative Sciences</b:JournalName>
    <b:Year>2022</b:Year>
    <b:Pages>122</b:Pages>
    <b:Volume>12</b:Volume>
    <b:Issue>4</b:Issue>
    <b:DOI>https://doi.org/10.3390/admsci12040122</b:DOI>
    <b:RefOrder>36</b:RefOrder>
  </b:Source>
  <b:Source>
    <b:Tag>Tsa22</b:Tag>
    <b:SourceType>JournalArticle</b:SourceType>
    <b:Guid>{2F044041-34DA-4796-9CB7-E3F65EB91315}</b:Guid>
    <b:Author>
      <b:Author>
        <b:NameList>
          <b:Person>
            <b:Last>Tsaousoglou</b:Last>
            <b:First>K</b:First>
          </b:Person>
          <b:Person>
            <b:Last>Koutoulas</b:Last>
            <b:First>D</b:First>
          </b:Person>
          <b:Person>
            <b:Last>Stavrinoudis</b:Last>
            <b:First>T</b:First>
          </b:Person>
        </b:NameList>
      </b:Author>
    </b:Author>
    <b:Title>Personality and commitment as predictors of turnover intentions among Greek employees in the lodging industry</b:Title>
    <b:JournalName>European Journal of Tourism Research</b:JournalName>
    <b:Year>2022</b:Year>
    <b:Pages>3111-3111</b:Pages>
    <b:Volume>31</b:Volume>
    <b:DOI>https://doi.org/10.54055/ejtr.v31i.2296</b:DOI>
    <b:RefOrder>37</b:RefOrder>
  </b:Source>
  <b:Source>
    <b:Tag>Mel20</b:Tag>
    <b:SourceType>JournalArticle</b:SourceType>
    <b:Guid>{B9BC0C41-B1D7-4806-BEEF-C0BFBAAD1162}</b:Guid>
    <b:Author>
      <b:Author>
        <b:NameList>
          <b:Person>
            <b:Last>Melián-Alzola</b:Last>
            <b:First>L</b:First>
          </b:Person>
          <b:Person>
            <b:Last>Fernández-Monroy</b:Last>
            <b:First>M</b:First>
          </b:Person>
          <b:Person>
            <b:Last>Hidalgo-Peñate</b:Last>
            <b:First>M</b:First>
          </b:Person>
        </b:NameList>
      </b:Author>
    </b:Author>
    <b:Title>Hotels in contexts of uncertainty: Measuring organisational resilience</b:Title>
    <b:JournalName>Tourism management perspectives</b:JournalName>
    <b:Year>2020</b:Year>
    <b:Pages>100747</b:Pages>
    <b:Volume>36</b:Volume>
    <b:DOI>https://doi.org/10.1016/j.tmp.2020.100747</b:DOI>
    <b:RefOrder>38</b:RefOrder>
  </b:Source>
  <b:Source>
    <b:Tag>Min21</b:Tag>
    <b:SourceType>JournalArticle</b:SourceType>
    <b:Guid>{4304F678-F37D-450A-9160-62BCAF39ACEC}</b:Guid>
    <b:Author>
      <b:Author>
        <b:NameList>
          <b:Person>
            <b:Last>Ming</b:Last>
            <b:First>Y</b:First>
          </b:Person>
          <b:Person>
            <b:Last>Liu</b:Last>
            <b:First>N</b:First>
          </b:Person>
        </b:NameList>
      </b:Author>
    </b:Author>
    <b:Title>Political uncertainty in the tourism industry: Evidence from China’s anti-corruption campaign</b:Title>
    <b:JournalName>Current Issues in Tourism</b:JournalName>
    <b:Year>2021</b:Year>
    <b:Pages>2573-2587</b:Pages>
    <b:Volume>24</b:Volume>
    <b:Issue>18</b:Issue>
    <b:DOI>https://doi.org/10.1080/13683500.2020.1852195</b:DOI>
    <b:RefOrder>39</b:RefOrder>
  </b:Source>
  <b:Source>
    <b:Tag>Ert21</b:Tag>
    <b:SourceType>JournalArticle</b:SourceType>
    <b:Guid>{9836AA87-4DB1-48EB-814F-9AC70248D8B3}</b:Guid>
    <b:Author>
      <b:Author>
        <b:NameList>
          <b:Person>
            <b:Last>Ertac</b:Last>
            <b:First>M</b:First>
          </b:Person>
          <b:Person>
            <b:Last>Cankan</b:Last>
            <b:First>E</b:First>
          </b:Person>
        </b:NameList>
      </b:Author>
    </b:Author>
    <b:Title>Creating a sustainable tourism model in North Cyprus during the uncertainty of the Covid-19 pandemic</b:Title>
    <b:JournalName>Worldwide Hospitality and Tourism Themes</b:JournalName>
    <b:Year>2021</b:Year>
    <b:Pages>488-497</b:Pages>
    <b:Volume>13</b:Volume>
    <b:Issue>4</b:Issue>
    <b:DOI>https://doi.org/10.1108/WHATT-02-2021-0033</b:DOI>
    <b:RefOrder>40</b:RefOrder>
  </b:Source>
  <b:Source>
    <b:Tag>Ahs23</b:Tag>
    <b:SourceType>Book</b:SourceType>
    <b:Guid>{01CA4B97-1CA4-400C-A7B9-9CFE30B58AAE}</b:Guid>
    <b:Title>Laissez-Faire Leadership. In Leadership Approaches in Global Hospitality and Tourism (pp. 61-72).</b:Title>
    <b:Year>2023</b:Year>
    <b:Author>
      <b:Author>
        <b:NameList>
          <b:Person>
            <b:Last>Ahsan</b:Last>
            <b:First>M.</b:First>
            <b:Middle>J</b:Middle>
          </b:Person>
          <b:Person>
            <b:Last>Khalid</b:Last>
            <b:First>M.</b:First>
            <b:Middle>H</b:Middle>
          </b:Person>
        </b:NameList>
      </b:Author>
    </b:Author>
    <b:Publisher>IGI Global</b:Publisher>
    <b:DOI>DOI: 10.4018/978-1-6684-6713-8.ch004</b:DOI>
    <b:RefOrder>41</b:RefOrder>
  </b:Source>
  <b:Source>
    <b:Tag>Roy22</b:Tag>
    <b:SourceType>JournalArticle</b:SourceType>
    <b:Guid>{B39FE1C3-A10A-496F-856C-E7BA02265880}</b:Guid>
    <b:Author>
      <b:Author>
        <b:NameList>
          <b:Person>
            <b:Last>Roy</b:Last>
            <b:First>H</b:First>
          </b:Person>
        </b:NameList>
      </b:Author>
    </b:Author>
    <b:Title>Connecting Farmers’ Markets to Foodservice Businesses: A Qualitative Exploration of Restaurants’ Perceived Benefits and Challenges of Purchasing Food Locally</b:Title>
    <b:JournalName>International Journal of Hospitality &amp; Tourism Administration</b:JournalName>
    <b:Year>2022</b:Year>
    <b:Pages>1-36</b:Pages>
    <b:DOI>https://doi.org/10.1080/15256480.2022.2142994</b:DOI>
    <b:RefOrder>42</b:RefOrder>
  </b:Source>
  <b:Source>
    <b:Tag>Pan</b:Tag>
    <b:SourceType>JournalArticle</b:SourceType>
    <b:Guid>{31EB6CE7-B69D-4677-A667-3414F81C54F5}</b:Guid>
    <b:Author>
      <b:Author>
        <b:NameList>
          <b:Person>
            <b:Last>Pandey</b:Last>
            <b:First>R</b:First>
          </b:Person>
          <b:Person>
            <b:Last>Dillip</b:Last>
            <b:First>D</b:First>
          </b:Person>
          <b:Person>
            <b:Last>Jayant</b:Last>
            <b:First>J</b:First>
          </b:Person>
          <b:Person>
            <b:Last>Vashishth</b:Last>
            <b:First>K</b:First>
          </b:Person>
          <b:Person>
            <b:Last>Nikhil</b:Last>
            <b:First>N</b:First>
          </b:Person>
          <b:Person>
            <b:Last>Qi</b:Last>
            <b:First>T.</b:First>
            <b:Middle>J</b:Middle>
          </b:Person>
          <b:Person>
            <b:Last>Qhi</b:Last>
            <b:First>L.</b:First>
            <b:Middle>Y</b:Middle>
          </b:Person>
        </b:NameList>
      </b:Author>
    </b:Author>
    <b:Title>Factors Influencing Organization Success: A Case Study of Walmart</b:Title>
    <b:JournalName>International Journal of Tourism and Hospitality in Asia Pasific (IJTHAP)</b:JournalName>
    <b:Pages>112-123</b:Pages>
    <b:Volume>4</b:Volume>
    <b:Issue>2</b:Issue>
    <b:DOI>https://pdfs.semanticscholar.org/b1e7/840f5552bdd352cde7bbda8546363c9bf375.pdf?_gl=1*gudytc*_ga*MTQ1ODIyMjAwMi4xNjkzMjU3MjM0*_ga_H7P4ZT52H5*MTY5MzI1NzIzNC4xLjAuMTY5MzI1NzIzOC41Ni4wLjA.</b:DOI>
    <b:Year>2021</b:Year>
    <b:RefOrder>43</b:RefOrder>
  </b:Source>
  <b:Source>
    <b:Tag>Dom14</b:Tag>
    <b:SourceType>InternetSite</b:SourceType>
    <b:Guid>{4D3E4E9D-A711-40D9-8040-F2FE425FC573}</b:Guid>
    <b:Author>
      <b:Author>
        <b:NameList>
          <b:Person>
            <b:Last>Dominioni</b:Last>
            <b:First>F</b:First>
          </b:Person>
        </b:NameList>
      </b:Author>
    </b:Author>
    <b:Title>Council post: 5 trends driving the hospitality industry and what they mean for property management</b:Title>
    <b:Year>2023</b:Year>
    <b:Publisher>Forbes</b:Publisher>
    <b:DOI>https://www.forbes.com/sites/forbesbusinessdevelopmentcouncil/2023/04/12/5-trends-driving-the-hospitality-industry-and-what-they-mean-for-property-management/?sh=71dbbcbd7d7f</b:DOI>
    <b:RefOrder>44</b:RefOrder>
  </b:Source>
  <b:Source>
    <b:Tag>Rab23</b:Tag>
    <b:SourceType>JournalArticle</b:SourceType>
    <b:Guid>{F44B8C10-98EC-413C-B863-4FFAA98C99F9}</b:Guid>
    <b:Title>Linking leadership styles to communication competency and work engagement: evidence from the hotel industry</b:Title>
    <b:JournalName>Journal of Hospitality and Tourism Insights</b:JournalName>
    <b:Year>2023</b:Year>
    <b:Pages>425-446</b:Pages>
    <b:Volume>6</b:Volume>
    <b:Issue>2</b:Issue>
    <b:Author>
      <b:Author>
        <b:NameList>
          <b:Person>
            <b:Last>Rabiul</b:Last>
            <b:First>M.</b:First>
            <b:Middle>K</b:Middle>
          </b:Person>
          <b:Person>
            <b:Last>Shamsudin</b:Last>
            <b:First>F.</b:First>
            <b:Middle>M</b:Middle>
          </b:Person>
          <b:Person>
            <b:Last>Yean</b:Last>
            <b:First>T.</b:First>
            <b:Middle>F</b:Middle>
          </b:Person>
          <b:Person>
            <b:Last>Patwary</b:Last>
            <b:First>A.</b:First>
            <b:Middle>K</b:Middle>
          </b:Person>
        </b:NameList>
      </b:Author>
    </b:Author>
    <b:DOI>https://doi.org/10.1108/JHTI-09-2021-0247</b:DOI>
    <b:RefOrder>45</b:RefOrder>
  </b:Source>
  <b:Source>
    <b:Tag>Ras21</b:Tag>
    <b:SourceType>JournalArticle</b:SourceType>
    <b:Guid>{D32FCBD5-2766-4A3F-A272-00179E4E4D98}</b:Guid>
    <b:Author>
      <b:Author>
        <b:NameList>
          <b:Person>
            <b:Last>Rasool</b:Last>
            <b:First>S.</b:First>
            <b:Middle>F</b:Middle>
          </b:Person>
          <b:Person>
            <b:Last>Wang</b:Last>
            <b:First>M</b:First>
          </b:Person>
          <b:Person>
            <b:Last>Tang</b:Last>
            <b:First>M</b:First>
          </b:Person>
          <b:Person>
            <b:Last>Saeed</b:Last>
            <b:First>A</b:First>
          </b:Person>
          <b:Person>
            <b:Last>Iqbal</b:Last>
            <b:First>J</b:First>
          </b:Person>
        </b:NameList>
      </b:Author>
    </b:Author>
    <b:Title>How toxic workplace environment effects the employee engagement: The mediating role of organizational support and employee wellbeing</b:Title>
    <b:JournalName>International journal of environmental research and public health</b:JournalName>
    <b:Year>2021</b:Year>
    <b:Pages>2294</b:Pages>
    <b:Volume>18</b:Volume>
    <b:Issue>5</b:Issue>
    <b:DOI>https://doi.org/10.3390/ijerph18052294</b:DOI>
    <b:RefOrder>46</b:RefOrder>
  </b:Source>
  <b:Source>
    <b:Tag>Fox21</b:Tag>
    <b:SourceType>JournalArticle</b:SourceType>
    <b:Guid>{201B4802-0F65-4426-86A1-81303792F049}</b:Guid>
    <b:Author>
      <b:Author>
        <b:NameList>
          <b:Person>
            <b:Last>Fox</b:Last>
            <b:First>K.</b:First>
            <b:Middle>E</b:Middle>
          </b:Person>
          <b:Person>
            <b:Last>Johnson</b:Last>
            <b:First>S.</b:First>
            <b:Middle>T</b:Middle>
          </b:Person>
          <b:Person>
            <b:Last>Berkman</b:Last>
            <b:First>L.</b:First>
            <b:Middle>F</b:Middle>
          </b:Person>
          <b:Person>
            <b:Last>Sianoja</b:Last>
            <b:First>M</b:First>
          </b:Person>
          <b:Person>
            <b:Last>Soh</b:Last>
            <b:First>Y</b:First>
          </b:Person>
          <b:Person>
            <b:Last>Kubzansky</b:Last>
            <b:First>L.</b:First>
            <b:Middle>D</b:Middle>
          </b:Person>
          <b:Person>
            <b:Last>Kelly</b:Last>
            <b:First>E.</b:First>
            <b:Middle>L</b:Middle>
          </b:Person>
        </b:NameList>
      </b:Author>
    </b:Author>
    <b:Title>Organisational-and group-level workplace interventions and their effect on multiple domains of worker well-being: A systematic review</b:Title>
    <b:JournalName>Work &amp; Stress</b:JournalName>
    <b:Year>2021</b:Year>
    <b:Pages>30-59</b:Pages>
    <b:DOI>https://doi.org/10.1080/02678373.2021.1969476</b:DOI>
    <b:RefOrder>47</b:RefOrder>
  </b:Source>
  <b:Source>
    <b:Tag>Bam22</b:Tag>
    <b:SourceType>JournalArticle</b:SourceType>
    <b:Guid>{C985289D-93B7-4685-96F0-C1FAE52DB97C}</b:Guid>
    <b:Author>
      <b:Author>
        <b:NameList>
          <b:Person>
            <b:Last>Bamidele-Sadiq</b:Last>
            <b:First>M</b:First>
          </b:Person>
          <b:Person>
            <b:Last>Popoola</b:Last>
            <b:First>O</b:First>
          </b:Person>
          <b:Person>
            <b:Last>Lawal</b:Last>
            <b:First>G.</b:First>
            <b:Middle>O</b:Middle>
          </b:Person>
          <b:Person>
            <b:Last>Awodiji</b:Last>
            <b:First>T.</b:First>
            <b:Middle>O</b:Middle>
          </b:Person>
        </b:NameList>
      </b:Author>
    </b:Author>
    <b:Title>The importance of decision tree analysis on strategic management practice: Evidence from retail industries in the US</b:Title>
    <b:JournalName>Journal of Marketing and Consumer Research</b:JournalName>
    <b:Year>2022</b:Year>
    <b:Pages>87-04</b:Pages>
    <b:Volume>87</b:Volume>
    <b:DOI>DOI: 10.7176/JMCR/87-04</b:DOI>
    <b:RefOrder>48</b:RefOrder>
  </b:Source>
  <b:Source>
    <b:Tag>Hen21</b:Tag>
    <b:SourceType>Book</b:SourceType>
    <b:Guid>{1DA9CACD-3B84-4A79-B3DF-994AD7272C41}</b:Guid>
    <b:Author>
      <b:Author>
        <b:NameList>
          <b:Person>
            <b:Last>Henry</b:Last>
            <b:First>A</b:First>
          </b:Person>
        </b:NameList>
      </b:Author>
    </b:Author>
    <b:Title>Understanding strategic management</b:Title>
    <b:Year>2021</b:Year>
    <b:Publisher>Oxford University Press</b:Publisher>
    <b:DOI>https://pdfkeys.com/download/1870765-Understanding_Strategic_Management_Henry.pdf</b:DOI>
    <b:RefOrder>49</b:RefOrder>
  </b:Source>
  <b:Source>
    <b:Tag>Jen15</b:Tag>
    <b:SourceType>Book</b:SourceType>
    <b:Guid>{BED2C3AC-E7ED-4D96-BC74-A4F2DF4CFBF3}</b:Guid>
    <b:Title>Strategic management and business analysis</b:Title>
    <b:Year>2015</b:Year>
    <b:Author>
      <b:Author>
        <b:NameList>
          <b:Person>
            <b:Last>Jenkins</b:Last>
            <b:First>W</b:First>
          </b:Person>
          <b:Person>
            <b:Last>Williamson</b:Last>
            <b:First>D</b:First>
          </b:Person>
        </b:NameList>
      </b:Author>
    </b:Author>
    <b:Publisher>Routledge</b:Publisher>
    <b:DOI>https://doi.org/10.4324/9781315745565</b:DOI>
    <b:RefOrder>50</b:RefOrder>
  </b:Source>
  <b:Source>
    <b:Tag>Goe20</b:Tag>
    <b:SourceType>JournalArticle</b:SourceType>
    <b:Guid>{4B8954FF-CB8E-43D1-B748-E6215D2A5AE1}</b:Guid>
    <b:Author>
      <b:Author>
        <b:NameList>
          <b:Person>
            <b:Last>Goel</b:Last>
            <b:First>A</b:First>
          </b:Person>
          <b:Person>
            <b:Last>Ganesh</b:Last>
            <b:First>L.</b:First>
            <b:Middle>S</b:Middle>
          </b:Person>
          <b:Person>
            <b:Last>Kaur</b:Last>
            <b:First>A</b:First>
          </b:Person>
        </b:NameList>
      </b:Author>
    </b:Author>
    <b:Title>Social sustainability considerations in construction project feasibility study: a stakeholder salience perspective</b:Title>
    <b:JournalName>Engineering, construction and architectural management</b:JournalName>
    <b:Year>2020</b:Year>
    <b:Pages>1429-1459</b:Pages>
    <b:DOI>https://www.emerald.com/insight/content/doi/10.1108/ECAM-06-2019-0319/full/html</b:DOI>
    <b:RefOrder>51</b:RefOrder>
  </b:Source>
  <b:Source>
    <b:Tag>Kri21</b:Tag>
    <b:SourceType>JournalArticle</b:SourceType>
    <b:Guid>{0E64B4BF-1BF6-4FCA-8019-3E871082AD24}</b:Guid>
    <b:Title>Stakeholder management of temporary sport event organizations</b:Title>
    <b:JournalName>Event Management</b:JournalName>
    <b:Year>2021</b:Year>
    <b:Pages>619-639</b:Pages>
    <b:Author>
      <b:Author>
        <b:NameList>
          <b:Person>
            <b:Last>Kristiansen</b:Last>
            <b:First>E</b:First>
          </b:Person>
          <b:Person>
            <b:Last>Solem</b:Last>
            <b:First>B.</b:First>
            <b:Middle>A</b:Middle>
          </b:Person>
          <b:Person>
            <b:Last>Dille</b:Last>
            <b:First>T</b:First>
          </b:Person>
          <b:Person>
            <b:Last>Houlihan</b:Last>
            <b:First>B</b:First>
          </b:Person>
        </b:NameList>
      </b:Author>
    </b:Author>
    <b:Volume>25</b:Volume>
    <b:Issue>6</b:Issue>
    <b:DOI>https://doi.org/10.3727/152599521X16106577965080</b:DOI>
    <b:RefOrder>52</b:RefOrder>
  </b:Source>
  <b:Source>
    <b:Tag>Man19</b:Tag>
    <b:SourceType>JournalArticle</b:SourceType>
    <b:Guid>{8C4184A4-7DA9-44B2-930C-14BA33A2E666}</b:Guid>
    <b:Title>The role of leadership style in organisational change management: a literature review</b:Title>
    <b:Year>2019</b:Year>
    <b:Author>
      <b:Author>
        <b:NameList>
          <b:Person>
            <b:Last>Mansaray</b:Last>
            <b:First>H.</b:First>
            <b:Middle>E</b:Middle>
          </b:Person>
        </b:NameList>
      </b:Author>
    </b:Author>
    <b:JournalName>Journal of Human Resource Management</b:JournalName>
    <b:Pages>18-31</b:Pages>
    <b:Volume>7</b:Volume>
    <b:Issue>1</b:Issue>
    <b:DOI>doi: 10.11648/j.jhrm.20190701.13 </b:DOI>
    <b:RefOrder>53</b:RefOrder>
  </b:Source>
  <b:Source>
    <b:Tag>Cha19</b:Tag>
    <b:SourceType>JournalArticle</b:SourceType>
    <b:Guid>{D273B8B7-7D92-490F-967F-D372E6EC52F0}</b:Guid>
    <b:Title>Evaluating the impact of human resource planning programs in addressing the strategic goal of the firm: An organizational perspective</b:Title>
    <b:Year>2019</b:Year>
    <b:Pages>659-682</b:Pages>
    <b:Author>
      <b:Author>
        <b:NameList>
          <b:Person>
            <b:Last>Chakraborty</b:Last>
            <b:First>D</b:First>
          </b:Person>
          <b:Person>
            <b:Last>Biswas</b:Last>
            <b:First>W</b:First>
          </b:Person>
        </b:NameList>
      </b:Author>
    </b:Author>
    <b:JournalName>Journal of advances in management research</b:JournalName>
    <b:Volume>16</b:Volume>
    <b:Issue>5</b:Issue>
    <b:DOI>https://doi.org/10.1108/JAMR-01-2019-0007</b:DOI>
    <b:RefOrder>54</b:RefOrder>
  </b:Source>
  <b:Source>
    <b:Tag>Riz</b:Tag>
    <b:SourceType>Book</b:SourceType>
    <b:Guid>{A5B24878-04E0-4EDA-840D-2B0C8AE2AA91}</b:Guid>
    <b:Title>The effect of transformational leadership and organizational culture towards employees’ innovative behaviour and performance.</b:Title>
    <b:Author>
      <b:Author>
        <b:NameList>
          <b:Person>
            <b:Last>Rizki</b:Last>
            <b:First>M</b:First>
          </b:Person>
          <b:Person>
            <b:Last>Parashakti</b:Last>
            <b:First>R.</b:First>
            <b:Middle>D</b:Middle>
          </b:Person>
          <b:Person>
            <b:Last>Saragih</b:Last>
            <b:First>L</b:First>
          </b:Person>
        </b:NameList>
      </b:Author>
    </b:Author>
    <b:DOI>https://www.um.edu.mt/library/oar/handle/123456789/44453</b:DOI>
    <b:Year>2019</b:Year>
    <b:RefOrder>55</b:RefOrder>
  </b:Source>
  <b:Source>
    <b:Tag>Mar17</b:Tag>
    <b:SourceType>JournalArticle</b:SourceType>
    <b:Guid>{43AC9146-91C2-41B5-84A6-7B6009E73FC0}</b:Guid>
    <b:Author>
      <b:Author>
        <b:NameList>
          <b:Person>
            <b:Last>Markiz</b:Last>
            <b:First>Y</b:First>
          </b:Person>
          <b:Person>
            <b:Last>Margono</b:Last>
          </b:Person>
          <b:Person>
            <b:Last>Wirawan</b:Last>
            <b:First>I.</b:First>
            <b:Middle>D.</b:Middle>
          </b:Person>
          <b:Person>
            <b:Last>Ainur</b:Last>
            <b:First>R</b:First>
          </b:Person>
        </b:NameList>
      </b:Author>
    </b:Author>
    <b:Title>The influences of leadership styles, organizational communication, and job satisfaction toward employees’ job performance in doing construction jobs: a study on three construction companies in Jakarta</b:Title>
    <b:JournalName>Russian Journal of Agricultural and Socio-Economic Sciences</b:JournalName>
    <b:Year>2017</b:Year>
    <b:Pages>168-180</b:Pages>
    <b:Volume>65</b:Volume>
    <b:Issue>5</b:Issue>
    <b:DOI>https://cyberleninka.ru/article/n/the-influences-of-leadership-styles-organizational-communication-and-job-satisfaction-toward-employees-job-performance-in-doing</b:DOI>
    <b:RefOrder>56</b:RefOrder>
  </b:Source>
  <b:Source>
    <b:Tag>KRM23</b:Tag>
    <b:SourceType>JournalArticle</b:SourceType>
    <b:Guid>{CCB1F3BD-938F-42C1-BFC9-D7D3C99CC977}</b:Guid>
    <b:Author>
      <b:Author>
        <b:NameList>
          <b:Person>
            <b:Last>Anggoro KR</b:Last>
            <b:First>M.</b:First>
            <b:Middle>Y. A. R. A</b:Middle>
          </b:Person>
          <b:Person>
            <b:Last>Saputra</b:Last>
            <b:First>E.</b:First>
            <b:Middle>K.</b:Middle>
          </b:Person>
          <b:Person>
            <b:Last>Nafisa</b:Last>
            <b:First>L</b:First>
          </b:Person>
          <b:Person>
            <b:Last>Nainggolan</b:Last>
            <b:First>H</b:First>
          </b:Person>
        </b:NameList>
      </b:Author>
    </b:Author>
    <b:Title>The Role of Transactional Leadership, Compensation and Working Environment on Employee Job Satisfaction in Fertilizer Industry</b:Title>
    <b:JournalName>JEMSI (Jurnal Ekonomi, Manajemen, dan Akuntansi)</b:JournalName>
    <b:Year>2023</b:Year>
    <b:Volume>9</b:Volume>
    <b:Issue>2</b:Issue>
    <b:DOI>http://journal.lembagakita.org/index.php/jemsi/article/view/1015</b:DOI>
    <b:RefOrder>57</b:RefOrder>
  </b:Source>
  <b:Source>
    <b:Tag>Rob19</b:Tag>
    <b:SourceType>JournalArticle</b:SourceType>
    <b:Guid>{81EF6419-C7E2-41D9-A3FF-67BD08522079}</b:Guid>
    <b:Author>
      <b:Author>
        <b:NameList>
          <b:Person>
            <b:Last>Roberson</b:Last>
            <b:First>Q.</b:First>
            <b:Middle>M</b:Middle>
          </b:Person>
        </b:NameList>
      </b:Author>
    </b:Author>
    <b:Title>Diversity in the workplace: A review, synthesis, and future research agenda</b:Title>
    <b:JournalName>Annual Review of Organizational Psychology and Organizational Behavior</b:JournalName>
    <b:Year>2019</b:Year>
    <b:Pages>69-88</b:Pages>
    <b:Volume>6</b:Volume>
    <b:DOI>https://www.annualreviews.org/doi/full/10.1146/annurev-orgpsych-012218-015243</b:DOI>
    <b:RefOrder>58</b:RefOrder>
  </b:Source>
  <b:Source>
    <b:Tag>Fal20</b:Tag>
    <b:SourceType>JournalArticle</b:SourceType>
    <b:Guid>{5B18EC12-D80D-48C2-9091-9F4EFC99A0BC}</b:Guid>
    <b:Author>
      <b:Author>
        <b:NameList>
          <b:Person>
            <b:Last>Fallucchi</b:Last>
            <b:First>F</b:First>
          </b:Person>
          <b:Person>
            <b:Last>Coladangelo</b:Last>
            <b:First>M</b:First>
          </b:Person>
          <b:Person>
            <b:Last>Giuliano</b:Last>
            <b:First>R</b:First>
          </b:Person>
          <b:Person>
            <b:Last>William De Luca</b:Last>
            <b:First>E</b:First>
          </b:Person>
        </b:NameList>
      </b:Author>
    </b:Author>
    <b:Title>Predicting employee attrition using machine learning techniques</b:Title>
    <b:JournalName>Computers</b:JournalName>
    <b:Year>2020</b:Year>
    <b:Pages>86</b:Pages>
    <b:Volume>9</b:Volume>
    <b:Issue>4</b:Issue>
    <b:DOI>https://doi.org/10.3390/computers9040086</b:DOI>
    <b:RefOrder>59</b:RefOrder>
  </b:Source>
  <b:Source>
    <b:Tag>Gha222</b:Tag>
    <b:SourceType>JournalArticle</b:SourceType>
    <b:Guid>{B2F75254-31EB-40C4-A171-5F2470D23D96}</b:Guid>
    <b:Author>
      <b:Author>
        <b:NameList>
          <b:Person>
            <b:Last>Ghani</b:Last>
            <b:First>B</b:First>
          </b:Person>
          <b:Person>
            <b:Last>Zada</b:Last>
            <b:First>M</b:First>
          </b:Person>
          <b:Person>
            <b:Last>Memon</b:Last>
            <b:First>K.</b:First>
            <b:Middle>R</b:Middle>
          </b:Person>
          <b:Person>
            <b:Last>Ullah</b:Last>
            <b:First>R</b:First>
          </b:Person>
          <b:Person>
            <b:Last>Khattak</b:Last>
            <b:First>A</b:First>
          </b:Person>
          <b:Person>
            <b:Last>Han</b:Last>
            <b:First>H</b:First>
          </b:Person>
          <b:Person>
            <b:Last>Araya-Castillo</b:Last>
            <b:First>L</b:First>
          </b:Person>
        </b:NameList>
      </b:Author>
    </b:Author>
    <b:Title>Challenges and strategies for employee retention in the hospitality industry: A review</b:Title>
    <b:JournalName>Sustainability</b:JournalName>
    <b:Year>2022</b:Year>
    <b:Pages>2885</b:Pages>
    <b:Volume>14</b:Volume>
    <b:Issue>5</b:Issue>
    <b:DOI>https://doi.org/10.3390/su14052885</b:DOI>
    <b:RefOrder>60</b:RefOrder>
  </b:Source>
</b:Sources>
</file>

<file path=customXml/itemProps1.xml><?xml version="1.0" encoding="utf-8"?>
<ds:datastoreItem xmlns:ds="http://schemas.openxmlformats.org/officeDocument/2006/customXml" ds:itemID="{15E4D054-9610-484A-AB97-D186C4EAA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1345</TotalTime>
  <Pages>34</Pages>
  <Words>7921</Words>
  <Characters>58962</Characters>
  <Application>Microsoft Office Word</Application>
  <DocSecurity>0</DocSecurity>
  <Lines>1281</Lines>
  <Paragraphs>388</Paragraphs>
  <ScaleCrop>false</ScaleCrop>
  <Company>hENRIQ SOLUTION LTD</Company>
  <LinksUpToDate>false</LinksUpToDate>
  <CharactersWithSpaces>66495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Ciocea, Director</dc:creator>
  <cp:keywords/>
  <dc:description/>
  <cp:lastModifiedBy>Marius Ciocea</cp:lastModifiedBy>
  <cp:revision>29</cp:revision>
  <dcterms:created xsi:type="dcterms:W3CDTF">2023-11-16T13:00:00Z</dcterms:created>
  <dcterms:modified xsi:type="dcterms:W3CDTF">2023-11-17T12:16:00Z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7a7ce63f-2ff5-4362-9585-d08229999aef</vt:lpwstr>
  </property>
</Properties>
</file>