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UNIVERSITY OF WALES TRINITY SAINT DAVID (LONDON CAMPUS)</w:t>
        <w:br w:type="textWrapping"/>
        <w:br w:type="textWrapping"/>
      </w:r>
      <w:r w:rsidDel="00000000" w:rsidR="00000000" w:rsidRPr="00000000">
        <w:rPr>
          <w:rFonts w:ascii="Arial" w:cs="Arial" w:eastAsia="Arial" w:hAnsi="Arial"/>
          <w:b w:val="1"/>
          <w:sz w:val="24"/>
          <w:szCs w:val="24"/>
          <w:rtl w:val="0"/>
        </w:rPr>
        <w:t xml:space="preserve">Kelly Luisa Abate</w:t>
      </w:r>
    </w:p>
    <w:p w:rsidR="00000000" w:rsidDel="00000000" w:rsidP="00000000" w:rsidRDefault="00000000" w:rsidRPr="00000000" w14:paraId="00000002">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2417789</w:t>
      </w:r>
    </w:p>
    <w:p w:rsidR="00000000" w:rsidDel="00000000" w:rsidP="00000000" w:rsidRDefault="00000000" w:rsidRPr="00000000" w14:paraId="00000003">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Code: LCLM 4001_Lon</w:t>
      </w:r>
    </w:p>
    <w:p w:rsidR="00000000" w:rsidDel="00000000" w:rsidP="00000000" w:rsidRDefault="00000000" w:rsidRPr="00000000" w14:paraId="00000004">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Academic Skills</w:t>
      </w:r>
    </w:p>
    <w:p w:rsidR="00000000" w:rsidDel="00000000" w:rsidP="00000000" w:rsidRDefault="00000000" w:rsidRPr="00000000" w14:paraId="00000005">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Lecturer: Sylvia Hoffmann</w:t>
      </w:r>
    </w:p>
    <w:p w:rsidR="00000000" w:rsidDel="00000000" w:rsidP="00000000" w:rsidRDefault="00000000" w:rsidRPr="00000000" w14:paraId="00000006">
      <w:pPr>
        <w:spacing w:after="28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title: Task 3: Reflective Report</w:t>
      </w:r>
    </w:p>
    <w:p w:rsidR="00000000" w:rsidDel="00000000" w:rsidP="00000000" w:rsidRDefault="00000000" w:rsidRPr="00000000" w14:paraId="00000007">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9">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A">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B">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C">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D">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E">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F">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0">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2">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3">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spacing w:after="280" w:line="24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spacing w:after="280" w:before="28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9">
      <w:pPr>
        <w:spacing w:after="280" w:before="28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Introduction</w:t>
      </w:r>
      <w:r w:rsidDel="00000000" w:rsidR="00000000" w:rsidRPr="00000000">
        <w:rPr>
          <w:rFonts w:ascii="Arial" w:cs="Arial" w:eastAsia="Arial" w:hAnsi="Arial"/>
          <w:sz w:val="24"/>
          <w:szCs w:val="24"/>
          <w:rtl w:val="0"/>
        </w:rPr>
        <w:br w:type="textWrapping"/>
        <w:t xml:space="preserve">Reflective practice is a crucial component of academic and personal development, enabling individuals to assess their learning experiences and identify areas for improvement (Gibbs, 1988). This report utilizes Gibbs Reflective Cycle to examine how three key academic skills—note-taking, paraphrasing, and academic writing—have evolved during this module. Each skill plays a significant role in achieving higher education success, fostering effective communication, and enhancing critical thinking (Cottrell, 2019). Reflection not only helps identify progress but also highlights areas requiring further improvement. By reflecting on these skills and drawing on evidence from class activities and assignments, this report underscores the broader impact of academic skill development on professional and personal growth.</w:t>
      </w:r>
    </w:p>
    <w:p w:rsidR="00000000" w:rsidDel="00000000" w:rsidP="00000000" w:rsidRDefault="00000000" w:rsidRPr="00000000" w14:paraId="0000001A">
      <w:pPr>
        <w:spacing w:after="280" w:before="28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Reflection on Note-Taking Skills</w:t>
      </w:r>
      <w:r w:rsidDel="00000000" w:rsidR="00000000" w:rsidRPr="00000000">
        <w:rPr>
          <w:rFonts w:ascii="Arial" w:cs="Arial" w:eastAsia="Arial" w:hAnsi="Arial"/>
          <w:sz w:val="24"/>
          <w:szCs w:val="24"/>
          <w:rtl w:val="0"/>
        </w:rPr>
        <w:br w:type="textWrapping"/>
        <w:t xml:space="preserve">At the beginning of the module, my approach to note-taking was largely unstructured, often resulting in disorganized and incomplete information that made studying challenging. For example, during lectures, I often wrote notes verbatim, which proved inefficient for both retention and later use. This lack of structure also made it difficult to identify key themes, reducing the overall effectiveness of my study sessions.</w:t>
      </w:r>
    </w:p>
    <w:p w:rsidR="00000000" w:rsidDel="00000000" w:rsidP="00000000" w:rsidRDefault="00000000" w:rsidRPr="00000000" w14:paraId="0000001B">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Through class activities and guided practice, I was introduced to more effective methods, such as the Cornell Note-Taking System (Pauk &amp; Owens, 2014). This approach enabled me to categorize information into key points, supporting details, and summaries, making my notes clearer and easier to review. By dividing the page into specific sections, I could visually organize lecture content and focus on summarizing key ideas.</w:t>
      </w:r>
    </w:p>
    <w:p w:rsidR="00000000" w:rsidDel="00000000" w:rsidP="00000000" w:rsidRDefault="00000000" w:rsidRPr="00000000" w14:paraId="0000001C">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 instance, during a lecture on research methodologies, I applied the Cornell method by noting primary concepts like qualitative vs. quantitative research under key points and using the summary section to distil the lecture’s overarching themes. Incorporating digital tools, such as Microsoft OneNote, further enhanced this skill by allowing me to organize, search, and share my notes seamlessly (McKnight, 2020). The use of color-coding and tagging specific topics also streamlined the revision process, especially when preparing for assessments.</w:t>
      </w:r>
    </w:p>
    <w:p w:rsidR="00000000" w:rsidDel="00000000" w:rsidP="00000000" w:rsidRDefault="00000000" w:rsidRPr="00000000" w14:paraId="0000001D">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These improvements not only streamlined my study process but also strengthened my ability to engage critically with the material during discussions and assignments. More structured note-taking has fostered greater retention and improved my ability to analyse and synthesize complex information.</w:t>
      </w:r>
    </w:p>
    <w:p w:rsidR="00000000" w:rsidDel="00000000" w:rsidP="00000000" w:rsidRDefault="00000000" w:rsidRPr="00000000" w14:paraId="0000001E">
      <w:pPr>
        <w:spacing w:after="280" w:before="28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Reflection on Paraphrasing Skills</w:t>
      </w:r>
      <w:r w:rsidDel="00000000" w:rsidR="00000000" w:rsidRPr="00000000">
        <w:rPr>
          <w:rFonts w:ascii="Arial" w:cs="Arial" w:eastAsia="Arial" w:hAnsi="Arial"/>
          <w:sz w:val="24"/>
          <w:szCs w:val="24"/>
          <w:rtl w:val="0"/>
        </w:rPr>
        <w:br w:type="textWrapping"/>
        <w:t xml:space="preserve">Before starting this module, my ability to paraphrase effectively was limited. I often struggled to maintain the original meaning of the text while attempting to rewrite it in my own words, resulting in inaccuracies or over-reliance on direct quotes. This challenge became evident during early assignments where feedback highlighted the need for more originality and better integration of ideas.</w:t>
      </w:r>
    </w:p>
    <w:p w:rsidR="00000000" w:rsidDel="00000000" w:rsidP="00000000" w:rsidRDefault="00000000" w:rsidRPr="00000000" w14:paraId="0000001F">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Through targeted exercises, I learned strategies to improve my paraphrasing, such as substituting synonyms appropriately, reordering sentence structures, and combining information from multiple sources (Bailey, 2018). For example, one task involved rewriting a complex textbook passage on sustainable business practices. Initially, I found it challenging to condense the ideas while maintaining their accuracy. However, by identifying key themes and using simple language to convey the main points, I was able to create a more coherent and original explanation.</w:t>
      </w:r>
    </w:p>
    <w:p w:rsidR="00000000" w:rsidDel="00000000" w:rsidP="00000000" w:rsidRDefault="00000000" w:rsidRPr="00000000" w14:paraId="00000020">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process also improved my ability to understand the underlying concepts of the material I was working with. For instance, paraphrasing a lecture on sustainability helped me better grasp the importance of balancing economic growth with environmental preservation. Furthermore, it allowed me to integrate different perspectives into my writing, thereby enhancing the depth of my analysis.</w:t>
      </w:r>
    </w:p>
    <w:p w:rsidR="00000000" w:rsidDel="00000000" w:rsidP="00000000" w:rsidRDefault="00000000" w:rsidRPr="00000000" w14:paraId="00000021">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development of this skill has had a profound impact on my academic work. Improved paraphrasing has allowed me to present ideas with clarity, avoid plagiarism, and strengthen the overall quality of my writing (Neville, 2016). It has also encouraged deeper engagement with learning materials, as paraphrasing requires a thorough grasp of the content being studied. This skill is equally valuable outside academic contexts, such as in professional environments where the ability to summarize and reinterpret information is essential for effective communication.</w:t>
      </w:r>
    </w:p>
    <w:p w:rsidR="00000000" w:rsidDel="00000000" w:rsidP="00000000" w:rsidRDefault="00000000" w:rsidRPr="00000000" w14:paraId="00000022">
      <w:pPr>
        <w:spacing w:after="280" w:before="280" w:line="240" w:lineRule="auto"/>
        <w:rPr>
          <w:rFonts w:ascii="Arial" w:cs="Arial" w:eastAsia="Arial" w:hAnsi="Arial"/>
          <w:sz w:val="24"/>
          <w:szCs w:val="24"/>
        </w:rPr>
      </w:pPr>
      <w:bookmarkStart w:colFirst="0" w:colLast="0" w:name="_heading=h.gjdgxs" w:id="0"/>
      <w:bookmarkEnd w:id="0"/>
      <w:r w:rsidDel="00000000" w:rsidR="00000000" w:rsidRPr="00000000">
        <w:rPr>
          <w:rFonts w:ascii="Arial" w:cs="Arial" w:eastAsia="Arial" w:hAnsi="Arial"/>
          <w:b w:val="1"/>
          <w:sz w:val="24"/>
          <w:szCs w:val="24"/>
          <w:rtl w:val="0"/>
        </w:rPr>
        <w:t xml:space="preserve">Reflection on Academic Writing Skills</w:t>
      </w:r>
      <w:r w:rsidDel="00000000" w:rsidR="00000000" w:rsidRPr="00000000">
        <w:rPr>
          <w:rFonts w:ascii="Arial" w:cs="Arial" w:eastAsia="Arial" w:hAnsi="Arial"/>
          <w:sz w:val="24"/>
          <w:szCs w:val="24"/>
          <w:rtl w:val="0"/>
        </w:rPr>
        <w:br w:type="textWrapping"/>
        <w:t xml:space="preserve">Academic writing has always been a challenging area for me, particularly in terms of organizing ideas clearly and maintaining a formal tone. Prior to this module, my essays often lacked cohesion, with ideas presented in a fragmented manner. For instance, my introductions were often vague, and my conclusions failed to synthesize the arguments presented. Additionally, I struggled with adhering to citation standards, which led to feedback highlighting issues with academic integrity and proper referencing.</w:t>
      </w:r>
    </w:p>
    <w:p w:rsidR="00000000" w:rsidDel="00000000" w:rsidP="00000000" w:rsidRDefault="00000000" w:rsidRPr="00000000" w14:paraId="00000023">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During the module, I developed my writing skills through structured exercises that emphasized clarity, organization, and the use of evidence. One of the most impactful lessons involved crafting a well-structured essay using the introduction-body-conclusion framework (Cottrell, 2019). This practice helped me focus on presenting a single idea per paragraph, supported by relevant evidence and seamlessly linked to the next argument. For example, in a class exercise on globalization, I learned to construct a topic sentence that clearly outlined the paragraph’s focus, followed by evidence and analysis to substantiate the claim. This structure made my arguments more compelling and easier to follow.</w:t>
      </w:r>
    </w:p>
    <w:p w:rsidR="00000000" w:rsidDel="00000000" w:rsidP="00000000" w:rsidRDefault="00000000" w:rsidRPr="00000000" w14:paraId="00000024">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critical improvement was mastering referencing conventions, particularly the Harvard style. This skill was reinforced through practical assignments where I practiced citing books, journal articles, and online resources accurately (Pears &amp; Shields, 2019). As a result, my writing now demonstrates greater credibility and academic rigor.</w:t>
      </w:r>
    </w:p>
    <w:p w:rsidR="00000000" w:rsidDel="00000000" w:rsidP="00000000" w:rsidRDefault="00000000" w:rsidRPr="00000000" w14:paraId="00000025">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I gained a better understanding of how to use transition words and phrases to maintain flow and coherence. This was particularly useful in comparative essays where linking similarities and differences required careful structuring. The progress I have made in academic writing has been transformative, enabling me to express my ideas confidently and persuasively. Furthermore, these skills have enhanced my ability to think critically, as structuring arguments requires analysing and synthesizing information effectively.</w:t>
      </w:r>
    </w:p>
    <w:p w:rsidR="00000000" w:rsidDel="00000000" w:rsidP="00000000" w:rsidRDefault="00000000" w:rsidRPr="00000000" w14:paraId="00000026">
      <w:pPr>
        <w:spacing w:after="280" w:before="28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Conclusion</w:t>
      </w:r>
      <w:r w:rsidDel="00000000" w:rsidR="00000000" w:rsidRPr="00000000">
        <w:rPr>
          <w:rFonts w:ascii="Arial" w:cs="Arial" w:eastAsia="Arial" w:hAnsi="Arial"/>
          <w:sz w:val="24"/>
          <w:szCs w:val="24"/>
          <w:rtl w:val="0"/>
        </w:rPr>
        <w:br w:type="textWrapping"/>
        <w:t xml:space="preserve">Reflecting on my learning journey during this module has highlighted significant growth in my academic skills, particularly in note-taking, paraphrasing, and academic writing. Each skill has played an essential role in transforming my approach to learning and enhancing my academic performance. Note-taking has improved my ability to capture and organize information efficiently, while paraphrasing has strengthened my capacity to present ideas authentically and avoid plagiarism. Similarly, the development of academic writing skills has enabled me to communicate my arguments more effectively and adhere to scholarly conventions.</w:t>
      </w:r>
    </w:p>
    <w:p w:rsidR="00000000" w:rsidDel="00000000" w:rsidP="00000000" w:rsidRDefault="00000000" w:rsidRPr="00000000" w14:paraId="00000027">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These skills are interconnected and collectively contribute to my success as a student. Moreover, their relevance extends beyond academia, as they are highly transferable to professional contexts. For example, note-taking techniques can enhance workplace productivity by allowing clear documentation of meetings or project plans. Paraphrasing can improve communication by presenting information concisely in professional reports, while academic writing can aid in preparing structured proposals or research summaries.</w:t>
      </w:r>
    </w:p>
    <w:p w:rsidR="00000000" w:rsidDel="00000000" w:rsidP="00000000" w:rsidRDefault="00000000" w:rsidRPr="00000000" w14:paraId="00000028">
      <w:pPr>
        <w:spacing w:after="280" w:before="28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Looking ahead, I recognize the importance of continuing to practice and refine these skills. Engaging with more complex materials, seeking feedback, and applying these competencies in varied contexts will ensure their sustained growth. Ultimately, this reflective process has not only highlighted my progress but also reaffirmed the value of lifelong learning in achieving personal and professional goals.</w:t>
      </w:r>
    </w:p>
    <w:p w:rsidR="00000000" w:rsidDel="00000000" w:rsidP="00000000" w:rsidRDefault="00000000" w:rsidRPr="00000000" w14:paraId="00000029">
      <w:pPr>
        <w:spacing w:after="280" w:before="28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References</w:t>
      </w:r>
      <w:r w:rsidDel="00000000" w:rsidR="00000000" w:rsidRPr="00000000">
        <w:rPr>
          <w:rFonts w:ascii="Arial" w:cs="Arial" w:eastAsia="Arial" w:hAnsi="Arial"/>
          <w:sz w:val="24"/>
          <w:szCs w:val="24"/>
          <w:rtl w:val="0"/>
        </w:rPr>
        <w:br w:type="textWrapping"/>
        <w:t xml:space="preserve">Bailey, S. (2018). </w:t>
      </w:r>
      <w:r w:rsidDel="00000000" w:rsidR="00000000" w:rsidRPr="00000000">
        <w:rPr>
          <w:rFonts w:ascii="Arial" w:cs="Arial" w:eastAsia="Arial" w:hAnsi="Arial"/>
          <w:i w:val="1"/>
          <w:sz w:val="24"/>
          <w:szCs w:val="24"/>
          <w:rtl w:val="0"/>
        </w:rPr>
        <w:t xml:space="preserve">Academic Writing: A Handbook for International Students</w:t>
      </w:r>
      <w:r w:rsidDel="00000000" w:rsidR="00000000" w:rsidRPr="00000000">
        <w:rPr>
          <w:rFonts w:ascii="Arial" w:cs="Arial" w:eastAsia="Arial" w:hAnsi="Arial"/>
          <w:sz w:val="24"/>
          <w:szCs w:val="24"/>
          <w:rtl w:val="0"/>
        </w:rPr>
        <w:t xml:space="preserve">. 5th ed. Routledge.</w:t>
        <w:br w:type="textWrapping"/>
        <w:t xml:space="preserve">Cottrell, S. (2019). </w:t>
      </w:r>
      <w:r w:rsidDel="00000000" w:rsidR="00000000" w:rsidRPr="00000000">
        <w:rPr>
          <w:rFonts w:ascii="Arial" w:cs="Arial" w:eastAsia="Arial" w:hAnsi="Arial"/>
          <w:i w:val="1"/>
          <w:sz w:val="24"/>
          <w:szCs w:val="24"/>
          <w:rtl w:val="0"/>
        </w:rPr>
        <w:t xml:space="preserve">The Study Skills Handbook</w:t>
      </w:r>
      <w:r w:rsidDel="00000000" w:rsidR="00000000" w:rsidRPr="00000000">
        <w:rPr>
          <w:rFonts w:ascii="Arial" w:cs="Arial" w:eastAsia="Arial" w:hAnsi="Arial"/>
          <w:sz w:val="24"/>
          <w:szCs w:val="24"/>
          <w:rtl w:val="0"/>
        </w:rPr>
        <w:t xml:space="preserve">. 5th ed. Red Globe Press.</w:t>
        <w:br w:type="textWrapping"/>
        <w:t xml:space="preserve">Gibbs, G. (1988). </w:t>
      </w:r>
      <w:r w:rsidDel="00000000" w:rsidR="00000000" w:rsidRPr="00000000">
        <w:rPr>
          <w:rFonts w:ascii="Arial" w:cs="Arial" w:eastAsia="Arial" w:hAnsi="Arial"/>
          <w:i w:val="1"/>
          <w:sz w:val="24"/>
          <w:szCs w:val="24"/>
          <w:rtl w:val="0"/>
        </w:rPr>
        <w:t xml:space="preserve">Learning by Doing: A Guide to Teaching and Learning Methods</w:t>
      </w:r>
      <w:r w:rsidDel="00000000" w:rsidR="00000000" w:rsidRPr="00000000">
        <w:rPr>
          <w:rFonts w:ascii="Arial" w:cs="Arial" w:eastAsia="Arial" w:hAnsi="Arial"/>
          <w:sz w:val="24"/>
          <w:szCs w:val="24"/>
          <w:rtl w:val="0"/>
        </w:rPr>
        <w:t xml:space="preserve">. FEU.</w:t>
        <w:br w:type="textWrapping"/>
        <w:t xml:space="preserve">McKnight, P. (2020). </w:t>
      </w:r>
      <w:r w:rsidDel="00000000" w:rsidR="00000000" w:rsidRPr="00000000">
        <w:rPr>
          <w:rFonts w:ascii="Arial" w:cs="Arial" w:eastAsia="Arial" w:hAnsi="Arial"/>
          <w:i w:val="1"/>
          <w:sz w:val="24"/>
          <w:szCs w:val="24"/>
          <w:rtl w:val="0"/>
        </w:rPr>
        <w:t xml:space="preserve">Digital Note-Taking Strategies</w:t>
      </w:r>
      <w:r w:rsidDel="00000000" w:rsidR="00000000" w:rsidRPr="00000000">
        <w:rPr>
          <w:rFonts w:ascii="Arial" w:cs="Arial" w:eastAsia="Arial" w:hAnsi="Arial"/>
          <w:sz w:val="24"/>
          <w:szCs w:val="24"/>
          <w:rtl w:val="0"/>
        </w:rPr>
        <w:t xml:space="preserve">. Online publication.</w:t>
        <w:br w:type="textWrapping"/>
        <w:t xml:space="preserve">Neville, C. (2016). </w:t>
      </w:r>
      <w:r w:rsidDel="00000000" w:rsidR="00000000" w:rsidRPr="00000000">
        <w:rPr>
          <w:rFonts w:ascii="Arial" w:cs="Arial" w:eastAsia="Arial" w:hAnsi="Arial"/>
          <w:i w:val="1"/>
          <w:sz w:val="24"/>
          <w:szCs w:val="24"/>
          <w:rtl w:val="0"/>
        </w:rPr>
        <w:t xml:space="preserve">The Complete Guide to Referencing and Avoiding Plagiarism</w:t>
      </w:r>
      <w:r w:rsidDel="00000000" w:rsidR="00000000" w:rsidRPr="00000000">
        <w:rPr>
          <w:rFonts w:ascii="Arial" w:cs="Arial" w:eastAsia="Arial" w:hAnsi="Arial"/>
          <w:sz w:val="24"/>
          <w:szCs w:val="24"/>
          <w:rtl w:val="0"/>
        </w:rPr>
        <w:t xml:space="preserve">. Open University Press.</w:t>
        <w:br w:type="textWrapping"/>
        <w:t xml:space="preserve">Pauk, W., &amp; Owens, R. (2014). </w:t>
      </w:r>
      <w:r w:rsidDel="00000000" w:rsidR="00000000" w:rsidRPr="00000000">
        <w:rPr>
          <w:rFonts w:ascii="Arial" w:cs="Arial" w:eastAsia="Arial" w:hAnsi="Arial"/>
          <w:i w:val="1"/>
          <w:sz w:val="24"/>
          <w:szCs w:val="24"/>
          <w:rtl w:val="0"/>
        </w:rPr>
        <w:t xml:space="preserve">How to Study in College</w:t>
      </w:r>
      <w:r w:rsidDel="00000000" w:rsidR="00000000" w:rsidRPr="00000000">
        <w:rPr>
          <w:rFonts w:ascii="Arial" w:cs="Arial" w:eastAsia="Arial" w:hAnsi="Arial"/>
          <w:sz w:val="24"/>
          <w:szCs w:val="24"/>
          <w:rtl w:val="0"/>
        </w:rPr>
        <w:t xml:space="preserve">. 11th ed. Cengage Learning.</w:t>
        <w:br w:type="textWrapping"/>
        <w:t xml:space="preserve">Pears, R., &amp; Shields, G. (2019). </w:t>
      </w:r>
      <w:r w:rsidDel="00000000" w:rsidR="00000000" w:rsidRPr="00000000">
        <w:rPr>
          <w:rFonts w:ascii="Arial" w:cs="Arial" w:eastAsia="Arial" w:hAnsi="Arial"/>
          <w:i w:val="1"/>
          <w:sz w:val="24"/>
          <w:szCs w:val="24"/>
          <w:rtl w:val="0"/>
        </w:rPr>
        <w:t xml:space="preserve">Cite Them Right: The Essential Referencing Guide</w:t>
      </w:r>
      <w:r w:rsidDel="00000000" w:rsidR="00000000" w:rsidRPr="00000000">
        <w:rPr>
          <w:rFonts w:ascii="Arial" w:cs="Arial" w:eastAsia="Arial" w:hAnsi="Arial"/>
          <w:sz w:val="24"/>
          <w:szCs w:val="24"/>
          <w:rtl w:val="0"/>
        </w:rPr>
        <w:t xml:space="preserve">. 11th ed. Macmillan Education.</w:t>
      </w:r>
    </w:p>
    <w:p w:rsidR="00000000" w:rsidDel="00000000" w:rsidP="00000000" w:rsidRDefault="00000000" w:rsidRPr="00000000" w14:paraId="0000002A">
      <w:pPr>
        <w:rPr>
          <w:rFonts w:ascii="Arial" w:cs="Arial" w:eastAsia="Arial" w:hAnsi="Arial"/>
        </w:rPr>
      </w:pPr>
      <w:r w:rsidDel="00000000" w:rsidR="00000000" w:rsidRPr="00000000">
        <w:rPr>
          <w:rtl w:val="0"/>
        </w:rPr>
      </w:r>
    </w:p>
    <w:sectPr>
      <w:head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jc w:val="right"/>
      <w:rPr>
        <w:rFonts w:ascii="Arial" w:cs="Arial" w:eastAsia="Arial" w:hAnsi="Arial"/>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L5AswSH+Q99DtQh9VSmOuf7WnQ==">CgMxLjAyCGguZ2pkZ3hzOAByITFCLVR3akdxU2Z6Vk5wWjltOFVpVmhYdUo3TU9mMFQxTg==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