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A2BA6B" w14:textId="77777777" w:rsidR="00ED3AF3" w:rsidRPr="00ED3AF3" w:rsidRDefault="00ED3AF3" w:rsidP="007E6D58">
      <w:pPr>
        <w:spacing w:line="240" w:lineRule="auto"/>
        <w:rPr>
          <w:u w:val="single"/>
        </w:rPr>
      </w:pPr>
      <w:r w:rsidRPr="00ED3AF3">
        <w:rPr>
          <w:u w:val="single"/>
        </w:rPr>
        <w:t>Assignment 1</w:t>
      </w:r>
    </w:p>
    <w:p w14:paraId="7A490FB8" w14:textId="77777777" w:rsidR="00ED3AF3" w:rsidRPr="004541B6" w:rsidRDefault="00ED3AF3" w:rsidP="00ED3AF3">
      <w:pPr>
        <w:rPr>
          <w:i/>
          <w:iCs/>
        </w:rPr>
      </w:pPr>
      <w:r w:rsidRPr="004541B6">
        <w:rPr>
          <w:i/>
          <w:iCs/>
        </w:rPr>
        <w:t>“Inclusion is increasingly recognised as essential to support and achieve diversity improvement” (Durham University, 2020). Examine the role of organisational culture in creating an inclusive and diverse workforce within policing. Your answer must be based on academic research, but you may refer to relevant case studies.</w:t>
      </w:r>
    </w:p>
    <w:p w14:paraId="5FED09CA" w14:textId="77777777" w:rsidR="00ED3AF3" w:rsidRDefault="00ED3AF3" w:rsidP="00ED3AF3">
      <w:r>
        <w:t xml:space="preserve">This short essay will discuss the importance of inclusion within the workforce and will highlight how diversity is integral towards the representation of a diverse workforce to the wider community. The role of organisational culture will be analysed, and reference will be made toward its effectiveness within modern-day policing. </w:t>
      </w:r>
    </w:p>
    <w:p w14:paraId="239D85A4" w14:textId="77777777" w:rsidR="00ED3AF3" w:rsidRDefault="00ED3AF3" w:rsidP="00ED3AF3">
      <w:r>
        <w:t>There is no denying the contentious issues that surround the police when it comes to the historic mistreatment of minority ethnic groups at the hands of police officers (</w:t>
      </w:r>
      <w:r w:rsidRPr="00330DB0">
        <w:t>Owusu-Bempah</w:t>
      </w:r>
      <w:r>
        <w:t xml:space="preserve">, 2017). Historically, policing within the UK was significantly different to how it currently stands. The development since the 1980s alone, whereby years of systematic racism and bias towards black people lead to the Brixton riots taking place in 1981, is twofold, however, for many, the notion that the police are institutionally racist and serve to criminalise black and minority ethnic groups remains prevalent within many communities today (Joyce, 2011).  </w:t>
      </w:r>
    </w:p>
    <w:p w14:paraId="6D1CB6B2" w14:textId="77777777" w:rsidR="00ED3AF3" w:rsidRDefault="00ED3AF3" w:rsidP="00ED3AF3">
      <w:r>
        <w:t xml:space="preserve">The Macpherson report was published in 1999 in response to the Stephen Lawrence murder in 1993, and within it, identified the sheer low volume of ethnic minorities that were serving within the police force. The following year, in the year 2000, The Race Relations Act 2000, </w:t>
      </w:r>
      <w:r w:rsidRPr="008C3A5E">
        <w:rPr>
          <w:i/>
          <w:iCs/>
        </w:rPr>
        <w:t>inter alia</w:t>
      </w:r>
      <w:r>
        <w:t>, put onus on the public authorities to not only promote racial equality but to also prevent the likelihood of racial discrimination taking place by tackling the issues at hand (</w:t>
      </w:r>
      <w:proofErr w:type="spellStart"/>
      <w:r>
        <w:t>Bhugowandeen</w:t>
      </w:r>
      <w:proofErr w:type="spellEnd"/>
      <w:r>
        <w:t xml:space="preserve">, 2013). This put forth a requirement as set on each serving police force to increase the number of officers from black, Asian, and minority ethnic (BAME) groups. </w:t>
      </w:r>
    </w:p>
    <w:p w14:paraId="0199CDDE" w14:textId="77777777" w:rsidR="00ED3AF3" w:rsidRDefault="00ED3AF3" w:rsidP="00ED3AF3">
      <w:r>
        <w:t xml:space="preserve">Since its introduction to policing back in 2000, the issues concerning BAME applicants is still prevalent today, almost 24 years later. A report published by the Home Office (2023) found that out of 140,288 full-time police officers in both England and Wales, 8.1% were from a BAME background, with 5.5% of senior officers being BAME (up from 2.8% in 2007), and since 2007, the percentage of all BAME groups being represented within the police had increased (Home Office, 2023). However, whilst the report highlights some small improvements, a rough estimate shows that in the 16 years that have passed, there has roughly been a 0.2% increase per year. Carruthers (2023) reports that while 65% of people Nationwide agreed to feeling both seen and represented within their local police force, however, whilst looking at the statistics of those which disagreed (one in ten), 20.6% stated that representation had a negative impact, whilst 13.6% stated it had a very negative impact. </w:t>
      </w:r>
    </w:p>
    <w:p w14:paraId="047B733A" w14:textId="77777777" w:rsidR="00ED3AF3" w:rsidRDefault="00ED3AF3" w:rsidP="00ED3AF3">
      <w:r>
        <w:t xml:space="preserve">An article published by Nadal (2021) highlights the importance of representation, namely via positive media representation, however he notes that representation is important as it can allow for people to seek support and validation, whilst also having the ability to reduce negative stereotypes. As highlighted above, the importance of having a diverse workforce is that it can allow for us to more effectively police the communities of which we serve. By having a force that is both representative and understanding towards the diverse needs of the wider community, whether that is with female representation, LGBTQIA+ representation, BAME representation, or mental health representation, it can allow for the learning and development to happen within the station and continue out into the community. This understanding can effectively help to bridge gaps and solidify understanding between organisation and community, making for a more cohesive practise. </w:t>
      </w:r>
    </w:p>
    <w:p w14:paraId="0F0026AE" w14:textId="77777777" w:rsidR="00ED3AF3" w:rsidRDefault="00ED3AF3" w:rsidP="00ED3AF3">
      <w:r>
        <w:lastRenderedPageBreak/>
        <w:t>Nadal (2021) makes the reference that having a diverse cast on a TV show is great, however if the show continues to perpetuate negative stereotypes without acknowledging the societal challenges of that group, then it is meaningless. Silverstone and Walker (2020) further strengthen this point, stating that whilst representation alone cannot fix larger societal issues, such as racism for instance, it can, if used appropriately, provide support and reassurance to the communities that we serve. Having a workforce that is built equally on understanding of individual issues can reinforce learning and compassion, which, in turn, allows for officers to understand how best to deal with individuals from differing communities.</w:t>
      </w:r>
    </w:p>
    <w:p w14:paraId="13D89F70" w14:textId="77777777" w:rsidR="00ED3AF3" w:rsidRDefault="00ED3AF3" w:rsidP="00ED3AF3">
      <w:r>
        <w:t xml:space="preserve">Neighbourhood policing plays an integral role in community-based policing as they are the heart of policing within the community and can plant themselves at the forefront of all issues that are directly affecting the people within that community. The College of Policing website states that by promoting the right organisational culture you, in turn, give people a chance to express their views, allowing them to be listened to and taking what they say into account, improve public confidence, and increase the willingness of the communities you serve to help the police in return (College of Policing, 2021). </w:t>
      </w:r>
    </w:p>
    <w:p w14:paraId="78694510" w14:textId="77777777" w:rsidR="00ED3AF3" w:rsidRDefault="00ED3AF3" w:rsidP="00ED3AF3">
      <w:r>
        <w:t xml:space="preserve">This essay has referred to some of the historic issues that have plagued the police force within the UK, and how to this day there remains some dissent from those communities of which were largely affected. Whilst efforts have been made, and reports have highlighted such efforts, statistics are not equal to the percentage of the population. There is no denying the importance of representation, whether that is in education, the media, or the police, having a person that looks or acts like you is important as it can make you feel both seen and understood. When looking at wider organisational culture it is important that we can challenge behaviour. If we are not able to accurately represent our communities, then conscientious efforts must be made to address systematic issues, such as racism, homophobia, sexism, and other issues, and this starts with compassionate officers who are able to challenge inappropriate behaviour and educate where necessary. </w:t>
      </w:r>
    </w:p>
    <w:p w14:paraId="798B5DBE" w14:textId="0DADD70B" w:rsidR="00ED3AF3" w:rsidRDefault="00ED3AF3" w:rsidP="00ED3AF3">
      <w:r>
        <w:t>Word Count: 91</w:t>
      </w:r>
      <w:r>
        <w:t>4</w:t>
      </w:r>
    </w:p>
    <w:p w14:paraId="4E040A6C" w14:textId="77777777" w:rsidR="00ED3AF3" w:rsidRDefault="00ED3AF3" w:rsidP="007E6D58">
      <w:pPr>
        <w:spacing w:line="240" w:lineRule="auto"/>
        <w:rPr>
          <w:i/>
          <w:iCs/>
        </w:rPr>
      </w:pPr>
    </w:p>
    <w:p w14:paraId="74A85EC8" w14:textId="4255CF7E" w:rsidR="00ED3AF3" w:rsidRPr="00ED3AF3" w:rsidRDefault="00ED3AF3" w:rsidP="00ED3AF3">
      <w:pPr>
        <w:spacing w:line="360" w:lineRule="auto"/>
        <w:rPr>
          <w:u w:val="single"/>
        </w:rPr>
      </w:pPr>
      <w:r w:rsidRPr="00ED3AF3">
        <w:rPr>
          <w:u w:val="single"/>
        </w:rPr>
        <w:t>Assignment 2</w:t>
      </w:r>
    </w:p>
    <w:p w14:paraId="6B8742F9" w14:textId="0C109ECA" w:rsidR="007E6D58" w:rsidRPr="00496E98" w:rsidRDefault="00FB12DA" w:rsidP="007E6D58">
      <w:pPr>
        <w:spacing w:line="240" w:lineRule="auto"/>
        <w:rPr>
          <w:i/>
          <w:iCs/>
        </w:rPr>
      </w:pPr>
      <w:r>
        <w:rPr>
          <w:i/>
          <w:iCs/>
        </w:rPr>
        <w:t>‘</w:t>
      </w:r>
      <w:r w:rsidR="007E6D58" w:rsidRPr="00496E98">
        <w:rPr>
          <w:i/>
          <w:iCs/>
        </w:rPr>
        <w:t>Critically assess the policing policies and procedures in place to identify and neutralise insider threats.</w:t>
      </w:r>
      <w:r>
        <w:rPr>
          <w:i/>
          <w:iCs/>
        </w:rPr>
        <w:t>’</w:t>
      </w:r>
    </w:p>
    <w:p w14:paraId="25566B19" w14:textId="3D0A1AEC" w:rsidR="00470376" w:rsidRDefault="00631C48" w:rsidP="00A06C58">
      <w:pPr>
        <w:spacing w:line="360" w:lineRule="auto"/>
      </w:pPr>
      <w:r>
        <w:t>This short essay will critically analyse the policing policies and procedures that are in place to identify insider threats within the United Kingdom (UK), whilst looking specifically at the Terrorism Act (2006)</w:t>
      </w:r>
      <w:r w:rsidR="00470376">
        <w:t xml:space="preserve"> and the CONTEST Strategy (2018). </w:t>
      </w:r>
      <w:proofErr w:type="gramStart"/>
      <w:r w:rsidR="00470376">
        <w:t>For the purpose of</w:t>
      </w:r>
      <w:proofErr w:type="gramEnd"/>
      <w:r w:rsidR="00470376">
        <w:t xml:space="preserve"> this short essay, I will be using the definition of terrorism as put forward by the Terrorism Act (2000). </w:t>
      </w:r>
    </w:p>
    <w:p w14:paraId="3A58AE57" w14:textId="23F78E8C" w:rsidR="00AC5778" w:rsidRDefault="002D25CE" w:rsidP="00A06C58">
      <w:pPr>
        <w:spacing w:line="360" w:lineRule="auto"/>
      </w:pPr>
      <w:r>
        <w:t xml:space="preserve">The London Bombings was a terrorist attack that took place in London on the </w:t>
      </w:r>
      <w:proofErr w:type="gramStart"/>
      <w:r>
        <w:t>7</w:t>
      </w:r>
      <w:r w:rsidRPr="002D25CE">
        <w:rPr>
          <w:vertAlign w:val="superscript"/>
        </w:rPr>
        <w:t>th</w:t>
      </w:r>
      <w:proofErr w:type="gramEnd"/>
      <w:r>
        <w:t xml:space="preserve"> July 2005 (also known as the 7/7 bombings). The attack was caried out by Islamic terrorists and was the first ever suicide attack in the UK. It took the lives of 56 people, and it quickly showed the people of the UK that terrorism was transnational. </w:t>
      </w:r>
      <w:r w:rsidR="00470376">
        <w:t>The Terrorism Act (2006)</w:t>
      </w:r>
      <w:r w:rsidR="001B7995">
        <w:t xml:space="preserve"> amended the prior Terrorism Act (2000) following th</w:t>
      </w:r>
      <w:r w:rsidR="00AC5778">
        <w:t>ese</w:t>
      </w:r>
      <w:r w:rsidR="001B7995">
        <w:t xml:space="preserve"> attack</w:t>
      </w:r>
      <w:r w:rsidR="00AC5778">
        <w:t xml:space="preserve">s, which, at this point, </w:t>
      </w:r>
      <w:r w:rsidR="000639F8" w:rsidRPr="000639F8">
        <w:rPr>
          <w:i/>
          <w:iCs/>
        </w:rPr>
        <w:t>inter alia</w:t>
      </w:r>
      <w:r w:rsidR="000639F8">
        <w:t xml:space="preserve">, </w:t>
      </w:r>
      <w:r w:rsidR="00AC5778">
        <w:t>had largely been focused on</w:t>
      </w:r>
      <w:r w:rsidR="000639F8">
        <w:t xml:space="preserve"> the </w:t>
      </w:r>
      <w:r w:rsidR="00AC5778">
        <w:t>proscription of extremist groups</w:t>
      </w:r>
      <w:r w:rsidR="000639F8">
        <w:t>,</w:t>
      </w:r>
      <w:r w:rsidR="00311915">
        <w:t xml:space="preserve"> </w:t>
      </w:r>
      <w:r w:rsidR="00AC5778">
        <w:t>the membership or support of such groups</w:t>
      </w:r>
      <w:r w:rsidR="000639F8">
        <w:t xml:space="preserve">, and the possession of material for </w:t>
      </w:r>
      <w:r w:rsidR="00A06C58">
        <w:lastRenderedPageBreak/>
        <w:t>T</w:t>
      </w:r>
      <w:r w:rsidR="000639F8">
        <w:t>errorist purposes</w:t>
      </w:r>
      <w:r w:rsidR="00AC5778">
        <w:t xml:space="preserve">. </w:t>
      </w:r>
      <w:r w:rsidR="00311915">
        <w:t>The amendments included</w:t>
      </w:r>
      <w:r w:rsidR="00A06C58">
        <w:t xml:space="preserve">, </w:t>
      </w:r>
      <w:r w:rsidR="00A06C58" w:rsidRPr="00A06C58">
        <w:rPr>
          <w:i/>
          <w:iCs/>
        </w:rPr>
        <w:t>inter alia</w:t>
      </w:r>
      <w:r w:rsidR="00A06C58">
        <w:t>,</w:t>
      </w:r>
      <w:r w:rsidR="00311915">
        <w:t xml:space="preserve"> the encouragement of </w:t>
      </w:r>
      <w:r w:rsidR="007C6BA9">
        <w:t>T</w:t>
      </w:r>
      <w:r w:rsidR="00311915">
        <w:t xml:space="preserve">errorism (including the publication of </w:t>
      </w:r>
      <w:r w:rsidR="007C6BA9">
        <w:t>T</w:t>
      </w:r>
      <w:r w:rsidR="00311915">
        <w:t xml:space="preserve">errorist content), the dissemination of </w:t>
      </w:r>
      <w:r w:rsidR="007C6BA9">
        <w:t>T</w:t>
      </w:r>
      <w:r w:rsidR="00311915">
        <w:t xml:space="preserve">errorist publications (including the glorifying of </w:t>
      </w:r>
      <w:r w:rsidR="00A06C58">
        <w:t>T</w:t>
      </w:r>
      <w:r w:rsidR="00311915">
        <w:t xml:space="preserve">errorism), application to the internet, and </w:t>
      </w:r>
      <w:r w:rsidR="007C6BA9">
        <w:t>the preparation of Terrorist Acts.</w:t>
      </w:r>
    </w:p>
    <w:p w14:paraId="201DA37D" w14:textId="72C6095B" w:rsidR="009826DF" w:rsidRDefault="005B20CB" w:rsidP="00783199">
      <w:pPr>
        <w:spacing w:line="360" w:lineRule="auto"/>
      </w:pPr>
      <w:r>
        <w:t>It was widely speculated that both the police and MI5 knew of the males involved in the 7/7 bombings</w:t>
      </w:r>
      <w:r w:rsidR="00C3574D">
        <w:t xml:space="preserve"> prior to the attack, however this was later identified to have been false information </w:t>
      </w:r>
      <w:r>
        <w:t>(</w:t>
      </w:r>
      <w:r w:rsidR="00C84666">
        <w:t>Intelligence and Security Committee, 2005:</w:t>
      </w:r>
      <w:r w:rsidR="00C3574D">
        <w:t>2009</w:t>
      </w:r>
      <w:r w:rsidR="009826DF">
        <w:t xml:space="preserve">). Stills were produced of around 40 men that had attended at an Islamic training camp, with </w:t>
      </w:r>
      <w:proofErr w:type="spellStart"/>
      <w:r w:rsidR="009826DF">
        <w:t>Siddeque</w:t>
      </w:r>
      <w:proofErr w:type="spellEnd"/>
      <w:r w:rsidR="009826DF">
        <w:t xml:space="preserve"> Khan, one of the four bombers</w:t>
      </w:r>
      <w:r w:rsidR="00123FDA">
        <w:t xml:space="preserve"> </w:t>
      </w:r>
      <w:r w:rsidR="009826DF">
        <w:t>being one of them</w:t>
      </w:r>
      <w:r w:rsidR="00123FDA">
        <w:t>. H</w:t>
      </w:r>
      <w:r w:rsidR="009826DF">
        <w:t xml:space="preserve">owever, additional information was not </w:t>
      </w:r>
      <w:r w:rsidR="002E7F27">
        <w:t>known,</w:t>
      </w:r>
      <w:r w:rsidR="009826DF">
        <w:t xml:space="preserve"> </w:t>
      </w:r>
      <w:r w:rsidR="00123FDA">
        <w:t xml:space="preserve">and they were not able to </w:t>
      </w:r>
      <w:r w:rsidR="009826DF">
        <w:t>identify</w:t>
      </w:r>
      <w:r w:rsidR="00123FDA">
        <w:t xml:space="preserve"> </w:t>
      </w:r>
      <w:r w:rsidR="009826DF">
        <w:t xml:space="preserve">who he was until post 7/7 attack. </w:t>
      </w:r>
      <w:r w:rsidR="002E7F27">
        <w:t xml:space="preserve">The additional males had come into police contact, however their contact with police was insignificant and would not have posed any threat to the safety of the UK. </w:t>
      </w:r>
    </w:p>
    <w:p w14:paraId="48DA7D9E" w14:textId="2EB3CBB0" w:rsidR="00D06C12" w:rsidRDefault="00783199" w:rsidP="00783199">
      <w:pPr>
        <w:spacing w:line="360" w:lineRule="auto"/>
      </w:pPr>
      <w:r>
        <w:t xml:space="preserve">The aftermath of the event highlighted quickly to both the people of the UK, and to the Government, that they were not prepared towards dealing with an extremist attack (Page et al., 2008; Feikert-Ahalt, 2013). Whilst the events that took place on September 11, 2001, catapulted radical Islamist extremism towards the forefront of national security, </w:t>
      </w:r>
      <w:r w:rsidR="00643BBD">
        <w:t xml:space="preserve">it was not until after the 7/7 bombings that the UK Government, and </w:t>
      </w:r>
      <w:r w:rsidR="001F7609">
        <w:t xml:space="preserve">the neighbouring countries within the European Union (EU) </w:t>
      </w:r>
      <w:r w:rsidR="00D06C12">
        <w:t xml:space="preserve">introduced tougher anti-terrorism laws in a bid towards creating a ‘harsher environment for terrorists’ (Lehr, 2005). </w:t>
      </w:r>
    </w:p>
    <w:p w14:paraId="124A4144" w14:textId="2792C3CC" w:rsidR="008E007C" w:rsidRDefault="00C7046D" w:rsidP="00783199">
      <w:pPr>
        <w:spacing w:line="360" w:lineRule="auto"/>
      </w:pPr>
      <w:r>
        <w:t xml:space="preserve">Unarguably, terrorist attacks towards the west were largely always a direct response to President Bush’s War on Terror that took place within Iraq and the Middle East. Interestingly, Lehr (2005) states that </w:t>
      </w:r>
      <w:r w:rsidR="008E007C">
        <w:t xml:space="preserve">solely introducing tougher laws in the hopes of combatting terrorism may not result in more security, and instead further action should be taken on the preventative side. Efforts towards countering radicalisation started as a response to the 7/7 attack within the UK, and in March 2006 the Foreign and Commonwealth Office (FCO) in partnership with the Home Office set forth several </w:t>
      </w:r>
      <w:r w:rsidR="00EF44AE">
        <w:t xml:space="preserve">programmes in an attempt towards combatting radicalisation, both within the Western and Muslim-world. These included the Empowering voices of mainstream Islam to challenge Muslim scholars and extremist misinterpretations of Islam; the Muslims of Europe conference in an attempt toward rejecting extremism and terrorism; and developing contacts with high-profile figures </w:t>
      </w:r>
      <w:r w:rsidR="00BD75F4">
        <w:t xml:space="preserve">and Diplomats </w:t>
      </w:r>
      <w:r w:rsidR="00EF44AE">
        <w:t>within the Muslim world</w:t>
      </w:r>
      <w:r w:rsidR="00BD75F4">
        <w:t xml:space="preserve"> to discuss national and international radicalisation (UK </w:t>
      </w:r>
      <w:r w:rsidR="001C1F41">
        <w:t>Government,</w:t>
      </w:r>
      <w:r w:rsidR="00BD75F4">
        <w:t xml:space="preserve"> 2006)</w:t>
      </w:r>
      <w:r w:rsidR="00C67715">
        <w:t>.</w:t>
      </w:r>
    </w:p>
    <w:p w14:paraId="3C6CAA77" w14:textId="0DA84EEA" w:rsidR="00C67715" w:rsidRDefault="002D4B96" w:rsidP="00783199">
      <w:pPr>
        <w:spacing w:line="360" w:lineRule="auto"/>
      </w:pPr>
      <w:r>
        <w:t>However, the most significant attempt towards deradicalisation was introduced as part of the CONTEST Strategy (2018</w:t>
      </w:r>
      <w:r w:rsidR="00FB12DA">
        <w:t>:2023</w:t>
      </w:r>
      <w:r>
        <w:t xml:space="preserve">). </w:t>
      </w:r>
      <w:r w:rsidR="00FB12DA">
        <w:t>The CONTEST Strategy (2018:2023) is a</w:t>
      </w:r>
      <w:r w:rsidR="00606860">
        <w:t xml:space="preserve"> strategy as put forward by the UK Government as a means of responding to both insider and outsider threats. The Strategy (2018:2023) highlights four key elements that </w:t>
      </w:r>
      <w:r w:rsidR="00FC4A98">
        <w:t xml:space="preserve">were not only implemented to help detect and deter those involved within the radicalisation process, but also </w:t>
      </w:r>
      <w:r w:rsidR="00B0060A">
        <w:t xml:space="preserve">how the UK would respond to a terrorist attack on its soil. The first being Prevent, and this step largely focuses on stopping people becoming </w:t>
      </w:r>
      <w:r w:rsidR="00B0060A">
        <w:lastRenderedPageBreak/>
        <w:t xml:space="preserve">radicalised and supporting terrorism. The second is Pursue, and this step looks towards stopping the likelihood of terrorist attacks taking place. </w:t>
      </w:r>
      <w:r w:rsidR="00B35D1C">
        <w:t>The third is Protect, this is where the UK strengthens their protection to a terrorist attack, and the fourth and final is Prepare, and this is where the UK seeks to minimise the impact of a terrorist attack on both the country and people.</w:t>
      </w:r>
    </w:p>
    <w:p w14:paraId="695ABD68" w14:textId="010E740B" w:rsidR="00ED6E79" w:rsidRDefault="00B35D1C" w:rsidP="00ED6E79">
      <w:pPr>
        <w:spacing w:line="360" w:lineRule="auto"/>
      </w:pPr>
      <w:r>
        <w:t xml:space="preserve">Whilst all four are </w:t>
      </w:r>
      <w:r w:rsidR="00ED6E79">
        <w:t xml:space="preserve">significant </w:t>
      </w:r>
      <w:r>
        <w:t xml:space="preserve">towards the safety of the UK, the one of which most people have heard of is Prevent, and it cannot be denied of its significance. </w:t>
      </w:r>
      <w:r w:rsidR="00ED6E79">
        <w:t xml:space="preserve">Prevent is at the forefront of safeguarding within the UK, and sees the likes of teachers, social workers, the police, psychologists and other healthcare professionals, and community leaders taking a form of responsibility towards making referrals for those that may be demonstrating concerning ideologies. </w:t>
      </w:r>
      <w:r w:rsidR="005F10E2">
        <w:t>Whilst some may think that terrorism is an international threat, what is i</w:t>
      </w:r>
      <w:r w:rsidR="00ED6E79">
        <w:t xml:space="preserve">ncreasingly alarming </w:t>
      </w:r>
      <w:r w:rsidR="005F10E2">
        <w:t xml:space="preserve">is the </w:t>
      </w:r>
      <w:r w:rsidR="00ED6E79">
        <w:t>significant increase in domestic-related terrorism</w:t>
      </w:r>
      <w:r w:rsidR="005F10E2">
        <w:t xml:space="preserve"> within the UK</w:t>
      </w:r>
      <w:r w:rsidR="00ED6E79">
        <w:t>, with a specific focus on far and extreme-right groups</w:t>
      </w:r>
      <w:r w:rsidR="005F10E2">
        <w:t xml:space="preserve"> </w:t>
      </w:r>
      <w:r w:rsidR="00ED6E79">
        <w:t>(Finan, 2019).</w:t>
      </w:r>
      <w:r w:rsidR="000C3DD7">
        <w:t xml:space="preserve"> A report published by </w:t>
      </w:r>
      <w:r w:rsidR="004763B7">
        <w:t xml:space="preserve">the Home Officer </w:t>
      </w:r>
      <w:r w:rsidR="000C3DD7">
        <w:t>(2023) show</w:t>
      </w:r>
      <w:r w:rsidR="004763B7">
        <w:t>ed</w:t>
      </w:r>
      <w:r w:rsidR="000C3DD7">
        <w:t xml:space="preserve"> that in 2022 there were 6,406 referrals made to Prevent, showing a 30% increase compared to March 2021. The report highlights that the implications of COVID likely played a role in the increase, and further demonstrates the dangers of the online milieu when it comes to radicalisation. </w:t>
      </w:r>
    </w:p>
    <w:p w14:paraId="67F6CA2F" w14:textId="42C72FB0" w:rsidR="00723129" w:rsidRDefault="00723129" w:rsidP="00ED6E79">
      <w:pPr>
        <w:spacing w:line="360" w:lineRule="auto"/>
      </w:pPr>
      <w:r>
        <w:t xml:space="preserve">However, whilst 6,406 referrals may sound alarming, it is doing exactly what is set out to </w:t>
      </w:r>
      <w:r w:rsidR="003B28BD">
        <w:t>do and</w:t>
      </w:r>
      <w:r>
        <w:t xml:space="preserve"> means that there is </w:t>
      </w:r>
      <w:r w:rsidR="00D10FF5">
        <w:t xml:space="preserve">a </w:t>
      </w:r>
      <w:r>
        <w:t xml:space="preserve">6,406 less chance of an attack taking place. </w:t>
      </w:r>
      <w:r w:rsidR="003B28BD">
        <w:t xml:space="preserve">This is at the point within the radicalisation process where the individual is seen as not having been ‘fully radicalised’, and therefore the chances of them continuing a structured life (through a mentored and strict programme) is entirely possible. </w:t>
      </w:r>
      <w:r w:rsidR="004A6DEA">
        <w:t xml:space="preserve">This essay has highlighted the concerns raised by both international and domestic-related terrorism within the UK and has </w:t>
      </w:r>
      <w:r w:rsidR="00CF32D6">
        <w:t>referred</w:t>
      </w:r>
      <w:r w:rsidR="004A6DEA">
        <w:t xml:space="preserve"> to the UKs CONTEST Strategy as its means of responding to insider threats. The Prevent programme </w:t>
      </w:r>
      <w:r w:rsidR="00CF32D6">
        <w:t xml:space="preserve">is specifically geared towards neutralising those at risk of radicalisation by assessing the likelihood of them integrating back into society. </w:t>
      </w:r>
      <w:r w:rsidR="00DE1F36">
        <w:t xml:space="preserve">Whilst every aspect of the CONTEST Strategy is significant, early acknowledgement and intervention plays a far greater chance of hindering the threat posed by the individual. </w:t>
      </w:r>
    </w:p>
    <w:p w14:paraId="3F8EF170" w14:textId="5D84C0A6" w:rsidR="00BD75F4" w:rsidRDefault="00DC5989" w:rsidP="00783199">
      <w:pPr>
        <w:spacing w:line="360" w:lineRule="auto"/>
      </w:pPr>
      <w:r>
        <w:t>Word count: 1,03</w:t>
      </w:r>
      <w:r w:rsidR="00ED3AF3">
        <w:t>4</w:t>
      </w:r>
    </w:p>
    <w:p w14:paraId="3E738205" w14:textId="77777777" w:rsidR="00ED3AF3" w:rsidRDefault="00ED3AF3" w:rsidP="00783199">
      <w:pPr>
        <w:spacing w:line="360" w:lineRule="auto"/>
        <w:rPr>
          <w:u w:val="single"/>
        </w:rPr>
      </w:pPr>
    </w:p>
    <w:p w14:paraId="1A249698" w14:textId="4EC0330E" w:rsidR="00ED3AF3" w:rsidRPr="00ED3AF3" w:rsidRDefault="00ED3AF3" w:rsidP="00783199">
      <w:pPr>
        <w:spacing w:line="360" w:lineRule="auto"/>
        <w:rPr>
          <w:u w:val="single"/>
        </w:rPr>
      </w:pPr>
      <w:r w:rsidRPr="00ED3AF3">
        <w:rPr>
          <w:u w:val="single"/>
        </w:rPr>
        <w:t>Assignment 3</w:t>
      </w:r>
    </w:p>
    <w:p w14:paraId="0FA4D5E6" w14:textId="77777777" w:rsidR="00ED3AF3" w:rsidRPr="00A54ADC" w:rsidRDefault="00ED3AF3" w:rsidP="00ED3AF3">
      <w:pPr>
        <w:rPr>
          <w:i/>
          <w:iCs/>
        </w:rPr>
      </w:pPr>
      <w:r w:rsidRPr="00A54ADC">
        <w:rPr>
          <w:i/>
          <w:iCs/>
        </w:rPr>
        <w:t>‘Outline potential links between serious and organised crime and public protection issues. How might bias impact on the investigation of such incidents? Your answer must be based on academic research rather than personal experience.’</w:t>
      </w:r>
    </w:p>
    <w:p w14:paraId="41AE8EE1" w14:textId="77777777" w:rsidR="00ED3AF3" w:rsidRDefault="00ED3AF3" w:rsidP="00ED3AF3">
      <w:r>
        <w:t xml:space="preserve">This short essay will outline the links between organised crime and public protection issues, highlighting the current issues they present toward vulnerable individuals and toward the </w:t>
      </w:r>
      <w:r>
        <w:lastRenderedPageBreak/>
        <w:t xml:space="preserve">safeguarding of communities. Lastly, it will briefly discuss biases and how it may impact the investigation. </w:t>
      </w:r>
    </w:p>
    <w:p w14:paraId="60AC1BA9" w14:textId="77777777" w:rsidR="00ED3AF3" w:rsidRDefault="00ED3AF3" w:rsidP="00ED3AF3">
      <w:r>
        <w:t xml:space="preserve">Serious and organised crime is both coordinated and </w:t>
      </w:r>
      <w:proofErr w:type="gramStart"/>
      <w:r>
        <w:t>planned, and</w:t>
      </w:r>
      <w:proofErr w:type="gramEnd"/>
      <w:r>
        <w:t xml:space="preserve"> is committed both individually or as part of a larger group; and is believed to be one of the biggest challenges currently posed to the safety of the United Kingdom (UK) currently (National Audit Office, 2019). The reason organised crime presents such a threat is that encompasses a wide variety of crime, which includes both human trafficking and modern slavery, but also includes, </w:t>
      </w:r>
      <w:r w:rsidRPr="00A21E37">
        <w:rPr>
          <w:i/>
          <w:iCs/>
        </w:rPr>
        <w:t>inter alia</w:t>
      </w:r>
      <w:r>
        <w:t xml:space="preserve">, money laundering, child sexual exploitation, the supply of illegal drugs, and fraud along with other economic crime (UNODC, no date). </w:t>
      </w:r>
    </w:p>
    <w:p w14:paraId="45AE1F00" w14:textId="77777777" w:rsidR="00ED3AF3" w:rsidRDefault="00ED3AF3" w:rsidP="00ED3AF3">
      <w:r>
        <w:t>With the introduction of the internet and cyber-crime, this means that all the above offences can take place both physically as well as online, however, increasingly, the use of the cyber element within offences makes it significantly easier for a person to commit an offence, and therefore there is little need for two people to be at the same location at the same time (Wall, 2005; McCusker, 2006). This is why such presents an increasingly difficult challenge in combating the issues serious and organised crime presents, but also in terms of prosecution and the likelihood of a successful conviction (Yar, 2017).</w:t>
      </w:r>
    </w:p>
    <w:p w14:paraId="43E81F76" w14:textId="77777777" w:rsidR="00ED3AF3" w:rsidRDefault="00ED3AF3" w:rsidP="00ED3AF3">
      <w:r>
        <w:t xml:space="preserve">There is no denying the impacts that serious and organised crime can have on individuals, families, or the wider community, and alarmingly, is how organised crime can infiltrate any community, </w:t>
      </w:r>
      <w:proofErr w:type="gramStart"/>
      <w:r>
        <w:t>town</w:t>
      </w:r>
      <w:proofErr w:type="gramEnd"/>
      <w:r>
        <w:t xml:space="preserve"> or city and therefore the difficulties in addressing the issues from both a local and government level are twofold (Local Government Association, 2015). For instance, there is an assumption that a geographical area consisting of high levels of unemployment or poverty will likely equate to high levels of crime or other anti-social behaviour, however, a comparative study conducted by Crocker et al. (2017) into the cities of Coventry and Wolverhampton found that whilst both cities were above the national average for unemployment and poverty, crime rates still remained below average when compared to other similar cities within the UK. </w:t>
      </w:r>
    </w:p>
    <w:p w14:paraId="3B0BD140" w14:textId="77777777" w:rsidR="00ED3AF3" w:rsidRDefault="00ED3AF3" w:rsidP="00ED3AF3">
      <w:r>
        <w:t xml:space="preserve">However, there is much contestation surrounding this, as a study into 59 countries found that economic and state failure, coupled with a poor judiciary system and access to black market activities did increase the likelihood of organised crime taking place (Sung, 2004, cited by UNODC, 2017). This just highlights the difficulties presented to both law enforcement and the government when attempting to address the issues of organised crime. Whilst I have highlighted some indicators that may increase the likelihood of organised crime taking place within a geographical area, there are also the increased risk towards the individuals, families, and the wider community. With there being an estimated 39,000 people being engaged in serious and organised crime throughout the entirety of the UK (Strategic Centre for Organised Crime Office for Security and Counter-Terrorism, 2015), the figure does not highlight whether those persons are involved willingly or are in fact victims themselves, as there is a high likelihood of victims having been given information under false pretences of a better life (Cooper et al., 2017). </w:t>
      </w:r>
    </w:p>
    <w:p w14:paraId="4F6766DB" w14:textId="77777777" w:rsidR="00ED3AF3" w:rsidRDefault="00ED3AF3" w:rsidP="00ED3AF3">
      <w:r>
        <w:t xml:space="preserve">There is no denying that women have largely been the victims of human trafficking for many years, however there is evidence that now shows that the presence of female perpetrators is increasing in something that was largely male dominated (Enfield, 2019). This is alarming as it exacerbates the issue twofold. Women will largely remain as the victims of human trafficking, in addition to women now also working alongside the perpetrators of said human trafficking, who again, may be doing so through violence. It is difficult to deny the role that gender plays within human trafficking or modern-day slavery, and ICAT (2017) highlights that, statistically, women account for over half of all global migrant workers, and this poses an extreme risk to women who thus face a heightened chance of </w:t>
      </w:r>
      <w:r>
        <w:lastRenderedPageBreak/>
        <w:t xml:space="preserve">falling victim to the dangers of human trafficking and modern day slavery; this is due to the career prospects of which women go into, such as domestic work, which is more likely to be exploited into forced labour or extortion for instance. </w:t>
      </w:r>
    </w:p>
    <w:p w14:paraId="4CE1BAE5" w14:textId="77777777" w:rsidR="00ED3AF3" w:rsidRDefault="00ED3AF3" w:rsidP="00ED3AF3">
      <w:r>
        <w:t>It may be difficult for some to acknowledge that both human trafficking and modern-day slavery are prevalent within the UK, however the National Crime Agency reports that in a one-year period between the years of 2021 to 2022 there was a 10.3% increase in referrals made for potential victims of exploitation. Whilst there is no denying the transnational spread that serious and organised crime has, with victims being brought to the UK from a myriad of countries, namely from Southeast Asia, Africa, or Eastern Europe, it is becoming increasingly common for there to be victims from the UK itself, and this is due to ongoing financial strain and other socio-economic issues that make them vulnerable and places them at a greater risk of falling into the dangers of organised crime (National Crime Agency, 2017).</w:t>
      </w:r>
    </w:p>
    <w:p w14:paraId="0ACBCD25" w14:textId="77777777" w:rsidR="00ED3AF3" w:rsidRDefault="00ED3AF3" w:rsidP="00ED3AF3">
      <w:r>
        <w:t>There are multiple types of bias in which a person can have when confronted with a matter or a scenario, and largely these biases stem from preconceived notions that we have as people to prefer something or someone over another, and that are largely dependent on how we have been brought up and the things that we have been exposed to. Within an investigation, an investigator may hold a preconceived bias that could tarnish the impartiality of the investigation. For instance, a person who is caught dealing drugs may disclose that they have been coerced through violence to sell on behalf of a gang, however the investigator could, through a case of tunnel vision, fail to stop and acknowledge what has been said. This is known as confirmation bias and is prevalent when an investigator goes into an investigation looking for evidence that conforms to or strengthens their existing beliefs, and therefore they are less likely to give weight to information outside of what they believe (Stammers and Bunn, 2015). This can prove detrimental to an investigation as it runs the risk of causing harm to those who are victims, and therefore adequate safeguarding cannot be put in place to protect those which need it.</w:t>
      </w:r>
    </w:p>
    <w:p w14:paraId="4789B1C6" w14:textId="77777777" w:rsidR="00ED3AF3" w:rsidRDefault="00ED3AF3" w:rsidP="00ED3AF3">
      <w:r>
        <w:t>This short essay has highlighted methods of organised crime, and analysed the current dangers they present to public protection, specifically within the UK. It is evident that organised crime is a pressing issue to the safety of the UK currently, and the challenges presented in safeguarding victims.</w:t>
      </w:r>
    </w:p>
    <w:p w14:paraId="0875CEA7" w14:textId="335CF8DB" w:rsidR="00ED3AF3" w:rsidRDefault="00ED3AF3" w:rsidP="00ED3AF3">
      <w:r>
        <w:t>Words: 1,09</w:t>
      </w:r>
      <w:r>
        <w:t>8</w:t>
      </w:r>
    </w:p>
    <w:p w14:paraId="3D12C0EE" w14:textId="77777777" w:rsidR="00ED3AF3" w:rsidRDefault="00ED3AF3" w:rsidP="00ED3AF3"/>
    <w:p w14:paraId="3BEB6295" w14:textId="620FA574" w:rsidR="00ED3AF3" w:rsidRPr="00ED3AF3" w:rsidRDefault="00ED3AF3" w:rsidP="00ED3AF3">
      <w:pPr>
        <w:rPr>
          <w:u w:val="single"/>
        </w:rPr>
      </w:pPr>
      <w:r w:rsidRPr="00ED3AF3">
        <w:rPr>
          <w:u w:val="single"/>
        </w:rPr>
        <w:t>Assignment four</w:t>
      </w:r>
    </w:p>
    <w:p w14:paraId="4DFCA101" w14:textId="77777777" w:rsidR="00ED3AF3" w:rsidRPr="0097756A" w:rsidRDefault="00ED3AF3" w:rsidP="00ED3AF3">
      <w:pPr>
        <w:rPr>
          <w:i/>
          <w:iCs/>
        </w:rPr>
      </w:pPr>
      <w:r>
        <w:rPr>
          <w:i/>
          <w:iCs/>
        </w:rPr>
        <w:t>‘</w:t>
      </w:r>
      <w:r w:rsidRPr="0097756A">
        <w:rPr>
          <w:i/>
          <w:iCs/>
        </w:rPr>
        <w:t xml:space="preserve">Evaluate the effectiveness of crime prevention theories and strategies as a means of combating either anti-social behaviour or domestic violence. Your answer must be based on academic research, but you may </w:t>
      </w:r>
      <w:proofErr w:type="gramStart"/>
      <w:r w:rsidRPr="0097756A">
        <w:rPr>
          <w:i/>
          <w:iCs/>
        </w:rPr>
        <w:t>make reference</w:t>
      </w:r>
      <w:proofErr w:type="gramEnd"/>
      <w:r w:rsidRPr="0097756A">
        <w:rPr>
          <w:i/>
          <w:iCs/>
        </w:rPr>
        <w:t xml:space="preserve"> to relevant case studies.</w:t>
      </w:r>
      <w:r>
        <w:rPr>
          <w:i/>
          <w:iCs/>
        </w:rPr>
        <w:t>’</w:t>
      </w:r>
    </w:p>
    <w:p w14:paraId="6FB977CE" w14:textId="77777777" w:rsidR="00ED3AF3" w:rsidRDefault="00ED3AF3" w:rsidP="00ED3AF3">
      <w:r>
        <w:t xml:space="preserve">This short essay will seek to highlight the importance of crime prevention theories and strategies when combating anti-social behaviour (ASB), and the significance of early identification and target-hardening as a means of reducing the likelihood of ASB occurring. It will briefly highlight what is meant by crime prevention theories, by </w:t>
      </w:r>
      <w:proofErr w:type="gramStart"/>
      <w:r>
        <w:t>making reference</w:t>
      </w:r>
      <w:proofErr w:type="gramEnd"/>
      <w:r>
        <w:t xml:space="preserve"> to the three most common theories in place. Lastly, I will briefly analyse and compare the three theories in their response to tackling ASB.</w:t>
      </w:r>
    </w:p>
    <w:p w14:paraId="39360EE0" w14:textId="77777777" w:rsidR="00ED3AF3" w:rsidRDefault="00ED3AF3" w:rsidP="00ED3AF3">
      <w:r>
        <w:t xml:space="preserve">Traditionally, the criminological approach to dealing with and responding to crime has largely been reactive. That is, person A commits an offence and person B arrests person A for the offence if they are satisfied that the </w:t>
      </w:r>
      <w:r w:rsidRPr="006046A7">
        <w:rPr>
          <w:i/>
          <w:iCs/>
        </w:rPr>
        <w:t>actus reus</w:t>
      </w:r>
      <w:r>
        <w:t xml:space="preserve"> has been met (the </w:t>
      </w:r>
      <w:proofErr w:type="spellStart"/>
      <w:r w:rsidRPr="006046A7">
        <w:rPr>
          <w:i/>
          <w:iCs/>
        </w:rPr>
        <w:t>mens</w:t>
      </w:r>
      <w:proofErr w:type="spellEnd"/>
      <w:r w:rsidRPr="006046A7">
        <w:rPr>
          <w:i/>
          <w:iCs/>
        </w:rPr>
        <w:t xml:space="preserve"> rea</w:t>
      </w:r>
      <w:r>
        <w:t xml:space="preserve"> will come later </w:t>
      </w:r>
      <w:proofErr w:type="gramStart"/>
      <w:r>
        <w:t>during the course of</w:t>
      </w:r>
      <w:proofErr w:type="gramEnd"/>
      <w:r>
        <w:t xml:space="preserve"> the investigation). More recently, however, there has been an awareness towards the sociological and </w:t>
      </w:r>
      <w:r>
        <w:lastRenderedPageBreak/>
        <w:t xml:space="preserve">environmental factors that can impact the likelihood of an offender committing an offence, and Geason and Wilson (2020) highlight not just the cost that it has on the courts and the police, but the impact it has on the community by simply waiting for crime to happen. </w:t>
      </w:r>
    </w:p>
    <w:p w14:paraId="69E576B9" w14:textId="77777777" w:rsidR="00ED3AF3" w:rsidRDefault="00ED3AF3" w:rsidP="00ED3AF3">
      <w:r>
        <w:t>There are many crime prevention theories, with each one targeting or focusing on a key element (or elements) of the wider sociological or environment in which the crime takes place. The first crime prevention theory I want to discuss is the Displacement theory module. The Displacement Theory targets a specific location with the aims of reducing ASB taking place in one geographical location, by displacing it to another geographical location. The aim of the theory is to make crime less likely to occur in a location by manipulating the causal factors that would usually encourage the likelihood of that crime occurring in the first place. For instance, through the securing of buildings you therefore decrease the likelihood of persons obtaining any sort of positive outcome from the criminal activity (Johnson, S., Guerette, R., Bowers, K, 2014). This, in turn, can displace the crime to another geographical location, however as Weisburd et al. (2005) state, as the name suggests, this merely displaces the crime or ASB to another location, and therefore you are not addressing the causal factor of why crime is taking place in the first place.</w:t>
      </w:r>
    </w:p>
    <w:p w14:paraId="23087EC3" w14:textId="77777777" w:rsidR="00ED3AF3" w:rsidRDefault="00ED3AF3" w:rsidP="00ED3AF3">
      <w:r>
        <w:t xml:space="preserve">The second crime prevention theory I want to discuss is the Environmental Crime Prevention Theory, and it suggests that through both the increased presence of law enforcement within an area coupled with a zero-tolerance policing approach you can effectively target the issues arising within a geographical area. From a neighbourhood policing perspective, Armitage (2017) states that there is no denying the impact of location on the effectiveness of crime taking place, such as the distance to a pedestrian walkway, the absence of specific design features, such as visibility or low footfall, and distance to a mode of transportation. In contrast, </w:t>
      </w:r>
      <w:proofErr w:type="gramStart"/>
      <w:r>
        <w:t>Draper</w:t>
      </w:r>
      <w:proofErr w:type="gramEnd"/>
      <w:r>
        <w:t xml:space="preserve"> and Cadzow (2004) highlight that not only is increased surveillance a deterrent for increased crime as it discourages undesired behaviour in said location, but through heightened reinforcement you can strengthen the ownership of the location and, in turn, reduce offending. </w:t>
      </w:r>
    </w:p>
    <w:p w14:paraId="17F3B35E" w14:textId="77777777" w:rsidR="00ED3AF3" w:rsidRDefault="00ED3AF3" w:rsidP="00ED3AF3">
      <w:r>
        <w:t xml:space="preserve">This zero-tolerance policing approach clamps down on all forms of misbehaviour, from ASB, to disorder and crime, guarantees that persons will be arrested, as prosecution (or other forms of crime outcomes) will be sought. This is effective twofold, as the offenders will no longer offend within the location as there is an increased likelihood that they will be caught, and the wider environment and community will see a </w:t>
      </w:r>
      <w:proofErr w:type="gramStart"/>
      <w:r>
        <w:t>drop in</w:t>
      </w:r>
      <w:proofErr w:type="gramEnd"/>
      <w:r>
        <w:t xml:space="preserve"> criminal activity. The downside to zero-tolerance policing, however, is that it can be disproportionately harsh, and persons could face serious criminal convictions when their behaviour may have not justified such a response. </w:t>
      </w:r>
    </w:p>
    <w:p w14:paraId="7B34DD49" w14:textId="77777777" w:rsidR="00ED3AF3" w:rsidRDefault="00ED3AF3" w:rsidP="00ED3AF3">
      <w:r>
        <w:t xml:space="preserve">The third crime prevention theory I will be discussing is the Situational Crime Prevention Theory, which theorises that you can reduce the likelihood of offending taking place by putting onus on people to safeguard themselves to prevent them being victims of crime (Huisman and </w:t>
      </w:r>
      <w:proofErr w:type="spellStart"/>
      <w:r>
        <w:t>Erp</w:t>
      </w:r>
      <w:proofErr w:type="spellEnd"/>
      <w:r>
        <w:t xml:space="preserve">, 2013). Within neighbourhood policing this is what is referred to as Target Hardening, and examples of these include, CCTV to increase the likelihood of being caught, reducing the means to commit crime, such as by the removal of objects that an offender can use to aide in them committing the offence, and installing locks and secure passwords to prevent offenders gaining access to your property or account. </w:t>
      </w:r>
    </w:p>
    <w:p w14:paraId="361A25F1" w14:textId="77777777" w:rsidR="00ED3AF3" w:rsidRDefault="00ED3AF3" w:rsidP="00ED3AF3">
      <w:r>
        <w:t xml:space="preserve">When an area is identified as being prone to crime, for instance a housing estate that has recently been subject to a spout of dwelling burglaries within a relatively short timeframe, Shariati and Guerette (2017) highlight that Situational Crime Prevention Theory is implemented to reduce the harm caused by those offenders, whether opportunistic or otherwise. This is an interesting theory, as while most other theories acknowledge that there are socio-economic factors at play as to why the </w:t>
      </w:r>
      <w:r>
        <w:lastRenderedPageBreak/>
        <w:t xml:space="preserve">offender commits an offence, the Situational Crime Prevention Theory puts onus on the individual so that the least amount of harm can be done to them. The issue that can arise from this theory is that it does nothing to identify the causal factor, </w:t>
      </w:r>
      <w:proofErr w:type="gramStart"/>
      <w:r>
        <w:t>similar to</w:t>
      </w:r>
      <w:proofErr w:type="gramEnd"/>
      <w:r>
        <w:t xml:space="preserve"> the Displacement Theory, as it relies on people to safeguard themselves.</w:t>
      </w:r>
    </w:p>
    <w:p w14:paraId="242E6219" w14:textId="77777777" w:rsidR="00ED3AF3" w:rsidRDefault="00ED3AF3" w:rsidP="00ED3AF3">
      <w:r>
        <w:t xml:space="preserve">This essay has highlighted three separate crime prevention strategies and discussed both positives and negatives of them. When attempting to tackle ASB it is important to know both the location and the key problems as this will allow for a successful action plan to be put into place. From highlighting three separate crime prevention theories above, it is difficult to ascertain which would be the most successful without identifying what the problems are, as understandably, what works at tackling ASB in one location, may not work in another. I would, however, argue that the Displacement Theory is undoubtedly the least influential, as while it may reduce crime or ASB in a particular area, you are not addressing the causal factors, and instead displacing it to another area which could already be subject to higher crime rates. </w:t>
      </w:r>
    </w:p>
    <w:p w14:paraId="227620DE" w14:textId="77777777" w:rsidR="00ED3AF3" w:rsidRDefault="00ED3AF3" w:rsidP="00ED3AF3">
      <w:r>
        <w:t>Whilst the Situational Crime Prevention Theory and target hardening will always be important, interestingly, I am particularly fond of a zero-tolerance approach to tackle locations where it is identified that there are both significant ASB and crime along with prolific offenders. It is a combination of both reactive and proactive policing and an approach that is most definitely needed when attempting to resolve significant issues within the community, as it successfully shows that the police are listening and are actively doing something to combat the issues.</w:t>
      </w:r>
    </w:p>
    <w:p w14:paraId="28D79893" w14:textId="77777777" w:rsidR="00ED3AF3" w:rsidRDefault="00ED3AF3" w:rsidP="00ED3AF3"/>
    <w:p w14:paraId="72051485" w14:textId="77777777" w:rsidR="00ED3AF3" w:rsidRDefault="00ED3AF3" w:rsidP="00ED3AF3">
      <w:r>
        <w:t>Word Count: 1,087</w:t>
      </w:r>
    </w:p>
    <w:p w14:paraId="47F11958" w14:textId="77777777" w:rsidR="00ED3AF3" w:rsidRDefault="00ED3AF3" w:rsidP="00ED3AF3"/>
    <w:p w14:paraId="63747010" w14:textId="7F64DDEA" w:rsidR="00ED3AF3" w:rsidRPr="00ED3AF3" w:rsidRDefault="00ED3AF3" w:rsidP="00ED3AF3">
      <w:pPr>
        <w:rPr>
          <w:u w:val="single"/>
        </w:rPr>
      </w:pPr>
      <w:r w:rsidRPr="00ED3AF3">
        <w:rPr>
          <w:u w:val="single"/>
        </w:rPr>
        <w:t>Bibliography</w:t>
      </w:r>
    </w:p>
    <w:p w14:paraId="494F05A0" w14:textId="77777777" w:rsidR="00ED3AF3" w:rsidRPr="00E71B55" w:rsidRDefault="00ED3AF3" w:rsidP="00ED3AF3">
      <w:pPr>
        <w:spacing w:line="240" w:lineRule="auto"/>
        <w:rPr>
          <w:rFonts w:cstheme="minorHAnsi"/>
          <w:sz w:val="20"/>
          <w:szCs w:val="20"/>
          <w:shd w:val="clear" w:color="auto" w:fill="FFFFFF"/>
        </w:rPr>
      </w:pPr>
      <w:r w:rsidRPr="00E71B55">
        <w:rPr>
          <w:rFonts w:cstheme="minorHAnsi"/>
          <w:sz w:val="20"/>
          <w:szCs w:val="20"/>
          <w:shd w:val="clear" w:color="auto" w:fill="FFFFFF"/>
        </w:rPr>
        <w:t>A</w:t>
      </w:r>
      <w:r>
        <w:rPr>
          <w:rFonts w:cstheme="minorHAnsi"/>
          <w:sz w:val="20"/>
          <w:szCs w:val="20"/>
          <w:shd w:val="clear" w:color="auto" w:fill="FFFFFF"/>
        </w:rPr>
        <w:t>rmitage</w:t>
      </w:r>
      <w:r w:rsidRPr="00E71B55">
        <w:rPr>
          <w:rFonts w:cstheme="minorHAnsi"/>
          <w:sz w:val="20"/>
          <w:szCs w:val="20"/>
          <w:shd w:val="clear" w:color="auto" w:fill="FFFFFF"/>
        </w:rPr>
        <w:t>, R., (2018). Burglars’ take on crime prevention through environmental design (CPTED): reconsidering the relevance from an offender perspective. </w:t>
      </w:r>
      <w:r w:rsidRPr="00E71B55">
        <w:rPr>
          <w:rFonts w:cstheme="minorHAnsi"/>
          <w:i/>
          <w:iCs/>
          <w:sz w:val="20"/>
          <w:szCs w:val="20"/>
          <w:shd w:val="clear" w:color="auto" w:fill="FFFFFF"/>
        </w:rPr>
        <w:t>Security Journal, </w:t>
      </w:r>
      <w:r w:rsidRPr="00E71B55">
        <w:rPr>
          <w:rFonts w:cstheme="minorHAnsi"/>
          <w:b/>
          <w:bCs/>
          <w:sz w:val="20"/>
          <w:szCs w:val="20"/>
          <w:shd w:val="clear" w:color="auto" w:fill="FFFFFF"/>
        </w:rPr>
        <w:t>31</w:t>
      </w:r>
      <w:r w:rsidRPr="00E71B55">
        <w:rPr>
          <w:rFonts w:cstheme="minorHAnsi"/>
          <w:sz w:val="20"/>
          <w:szCs w:val="20"/>
          <w:shd w:val="clear" w:color="auto" w:fill="FFFFFF"/>
        </w:rPr>
        <w:t>(1), pp. 285-304.</w:t>
      </w:r>
    </w:p>
    <w:p w14:paraId="7797B572" w14:textId="77777777" w:rsidR="00ED3AF3" w:rsidRPr="00E71B55" w:rsidRDefault="00ED3AF3" w:rsidP="00ED3AF3">
      <w:pPr>
        <w:spacing w:line="240" w:lineRule="auto"/>
        <w:rPr>
          <w:rFonts w:cstheme="minorHAnsi"/>
          <w:color w:val="000000"/>
          <w:sz w:val="20"/>
          <w:szCs w:val="20"/>
          <w:shd w:val="clear" w:color="auto" w:fill="FFFFFF"/>
        </w:rPr>
      </w:pPr>
      <w:proofErr w:type="spellStart"/>
      <w:r w:rsidRPr="00E71B55">
        <w:rPr>
          <w:rFonts w:cstheme="minorHAnsi"/>
          <w:color w:val="333333"/>
          <w:spacing w:val="-15"/>
          <w:sz w:val="20"/>
          <w:szCs w:val="20"/>
          <w:shd w:val="clear" w:color="auto" w:fill="FFFFFF"/>
        </w:rPr>
        <w:t>Bhugowandeen</w:t>
      </w:r>
      <w:proofErr w:type="spellEnd"/>
      <w:r w:rsidRPr="00E71B55">
        <w:rPr>
          <w:rFonts w:cstheme="minorHAnsi"/>
          <w:color w:val="333333"/>
          <w:spacing w:val="-15"/>
          <w:sz w:val="20"/>
          <w:szCs w:val="20"/>
          <w:shd w:val="clear" w:color="auto" w:fill="FFFFFF"/>
        </w:rPr>
        <w:t xml:space="preserve">, B. (2013). </w:t>
      </w:r>
      <w:r w:rsidRPr="00E71B55">
        <w:rPr>
          <w:rFonts w:cstheme="minorHAnsi"/>
          <w:i/>
          <w:iCs/>
          <w:color w:val="333333"/>
          <w:spacing w:val="-15"/>
          <w:sz w:val="20"/>
          <w:szCs w:val="20"/>
          <w:shd w:val="clear" w:color="auto" w:fill="FFFFFF"/>
        </w:rPr>
        <w:t>Diversity in the British Police: Adapting to a Multicultural Society: Memories, Identities, Marginalities in the Contemporary Western World</w:t>
      </w:r>
      <w:r w:rsidRPr="00E71B55">
        <w:rPr>
          <w:rFonts w:cstheme="minorHAnsi"/>
          <w:color w:val="333333"/>
          <w:spacing w:val="-15"/>
          <w:sz w:val="20"/>
          <w:szCs w:val="20"/>
          <w:shd w:val="clear" w:color="auto" w:fill="FFFFFF"/>
        </w:rPr>
        <w:t xml:space="preserve">. [online]. Accessed at: </w:t>
      </w:r>
      <w:hyperlink r:id="rId7" w:history="1">
        <w:r w:rsidRPr="00E71B55">
          <w:rPr>
            <w:rStyle w:val="Hyperlink"/>
            <w:rFonts w:cstheme="minorHAnsi"/>
            <w:sz w:val="20"/>
            <w:szCs w:val="20"/>
            <w:shd w:val="clear" w:color="auto" w:fill="FFFFFF"/>
          </w:rPr>
          <w:t>http://journals.openedition.org/mimmoc/1340</w:t>
        </w:r>
      </w:hyperlink>
    </w:p>
    <w:p w14:paraId="1218CCF4" w14:textId="77777777" w:rsidR="00ED3AF3" w:rsidRPr="00E71B55" w:rsidRDefault="00ED3AF3" w:rsidP="00ED3AF3">
      <w:pPr>
        <w:spacing w:line="240" w:lineRule="auto"/>
        <w:rPr>
          <w:rFonts w:cstheme="minorHAnsi"/>
          <w:sz w:val="20"/>
          <w:szCs w:val="20"/>
        </w:rPr>
      </w:pPr>
      <w:r w:rsidRPr="00E71B55">
        <w:rPr>
          <w:rFonts w:cstheme="minorHAnsi"/>
          <w:sz w:val="20"/>
          <w:szCs w:val="20"/>
        </w:rPr>
        <w:t xml:space="preserve">Carruthers, E. (2023). </w:t>
      </w:r>
      <w:r w:rsidRPr="00E71B55">
        <w:rPr>
          <w:rFonts w:cstheme="minorHAnsi"/>
          <w:i/>
          <w:iCs/>
          <w:sz w:val="20"/>
          <w:szCs w:val="20"/>
        </w:rPr>
        <w:t xml:space="preserve">Diversity in Policing 2023: Do Constabularies Truly Represent the Communities they Serve? The </w:t>
      </w:r>
      <w:r w:rsidRPr="00E71B55">
        <w:rPr>
          <w:rFonts w:cstheme="minorHAnsi"/>
          <w:sz w:val="20"/>
          <w:szCs w:val="20"/>
        </w:rPr>
        <w:t xml:space="preserve">University of Law. [online]. Accessed at: </w:t>
      </w:r>
      <w:hyperlink r:id="rId8" w:history="1">
        <w:r w:rsidRPr="00E71B55">
          <w:rPr>
            <w:rStyle w:val="Hyperlink"/>
            <w:rFonts w:cstheme="minorHAnsi"/>
            <w:sz w:val="20"/>
            <w:szCs w:val="20"/>
          </w:rPr>
          <w:t>Diversity in policing 2023: Do constabularies truly represent the communities they serve? (law.ac.uk)</w:t>
        </w:r>
      </w:hyperlink>
    </w:p>
    <w:p w14:paraId="5C7B6DE7" w14:textId="77777777" w:rsidR="00ED3AF3" w:rsidRPr="00E71B55" w:rsidRDefault="00ED3AF3" w:rsidP="00ED3AF3">
      <w:pPr>
        <w:spacing w:line="240" w:lineRule="auto"/>
        <w:rPr>
          <w:rFonts w:cstheme="minorHAnsi"/>
          <w:sz w:val="20"/>
          <w:szCs w:val="20"/>
        </w:rPr>
      </w:pPr>
      <w:r w:rsidRPr="00E71B55">
        <w:rPr>
          <w:rFonts w:cstheme="minorHAnsi"/>
          <w:sz w:val="20"/>
          <w:szCs w:val="20"/>
        </w:rPr>
        <w:t xml:space="preserve">Cooper, C., Hesketh, O., Ellis, N., Fair, A (2017). A Typology of Modern Slavery Offences in the UK. The Home Office. [online]. Accessed at: </w:t>
      </w:r>
      <w:hyperlink r:id="rId9" w:history="1">
        <w:r w:rsidRPr="00E71B55">
          <w:rPr>
            <w:rStyle w:val="Hyperlink"/>
            <w:rFonts w:cstheme="minorHAnsi"/>
            <w:sz w:val="20"/>
            <w:szCs w:val="20"/>
          </w:rPr>
          <w:t>A typology of modern slavery offences in the UK (antislaverycommissioner.co.uk)</w:t>
        </w:r>
      </w:hyperlink>
    </w:p>
    <w:p w14:paraId="063418C7" w14:textId="77777777" w:rsidR="00ED3AF3" w:rsidRPr="00E71B55" w:rsidRDefault="00ED3AF3" w:rsidP="00ED3AF3">
      <w:pPr>
        <w:spacing w:line="240" w:lineRule="auto"/>
        <w:rPr>
          <w:rFonts w:cstheme="minorHAnsi"/>
          <w:sz w:val="20"/>
          <w:szCs w:val="20"/>
        </w:rPr>
      </w:pPr>
      <w:r w:rsidRPr="00E71B55">
        <w:rPr>
          <w:rFonts w:cstheme="minorHAnsi"/>
          <w:sz w:val="20"/>
          <w:szCs w:val="20"/>
        </w:rPr>
        <w:t xml:space="preserve">Crocker, R., Webb, S., Garner, S., Skidmore, M. (2017). The impact of organised crime in local communities. The Police Foundation. [online]. Accessed at: </w:t>
      </w:r>
      <w:hyperlink r:id="rId10" w:history="1">
        <w:r w:rsidRPr="00E71B55">
          <w:rPr>
            <w:rStyle w:val="Hyperlink"/>
            <w:rFonts w:cstheme="minorHAnsi"/>
            <w:sz w:val="20"/>
            <w:szCs w:val="20"/>
          </w:rPr>
          <w:t>Police Foundation Organised Crime in Local Communities Final Re (police-foundation.org.uk)</w:t>
        </w:r>
      </w:hyperlink>
    </w:p>
    <w:p w14:paraId="17A74650" w14:textId="77777777" w:rsidR="00ED3AF3" w:rsidRPr="00E71B55" w:rsidRDefault="00ED3AF3" w:rsidP="00ED3AF3">
      <w:pPr>
        <w:spacing w:line="240" w:lineRule="auto"/>
        <w:rPr>
          <w:rFonts w:cstheme="minorHAnsi"/>
          <w:color w:val="7F7F7F"/>
          <w:sz w:val="20"/>
          <w:szCs w:val="20"/>
          <w:shd w:val="clear" w:color="auto" w:fill="FFFFFF"/>
        </w:rPr>
      </w:pPr>
      <w:r w:rsidRPr="00E71B55">
        <w:rPr>
          <w:rFonts w:cstheme="minorHAnsi"/>
          <w:sz w:val="20"/>
          <w:szCs w:val="20"/>
          <w:shd w:val="clear" w:color="auto" w:fill="FFFFFF"/>
        </w:rPr>
        <w:t xml:space="preserve">Draper, </w:t>
      </w:r>
      <w:proofErr w:type="gramStart"/>
      <w:r w:rsidRPr="00E71B55">
        <w:rPr>
          <w:rFonts w:cstheme="minorHAnsi"/>
          <w:sz w:val="20"/>
          <w:szCs w:val="20"/>
          <w:shd w:val="clear" w:color="auto" w:fill="FFFFFF"/>
        </w:rPr>
        <w:t>R.</w:t>
      </w:r>
      <w:proofErr w:type="gramEnd"/>
      <w:r w:rsidRPr="00E71B55">
        <w:rPr>
          <w:rFonts w:cstheme="minorHAnsi"/>
          <w:sz w:val="20"/>
          <w:szCs w:val="20"/>
          <w:shd w:val="clear" w:color="auto" w:fill="FFFFFF"/>
        </w:rPr>
        <w:t> and E. Cadzow (2004). "Crime Prevention Through Environmental Design", </w:t>
      </w:r>
      <w:r w:rsidRPr="00E71B55">
        <w:rPr>
          <w:rFonts w:cstheme="minorHAnsi"/>
          <w:i/>
          <w:iCs/>
          <w:sz w:val="20"/>
          <w:szCs w:val="20"/>
          <w:shd w:val="clear" w:color="auto" w:fill="FFFFFF"/>
        </w:rPr>
        <w:t>PEB Exchange, Programme on Educational Building</w:t>
      </w:r>
      <w:r w:rsidRPr="00E71B55">
        <w:rPr>
          <w:rFonts w:cstheme="minorHAnsi"/>
          <w:sz w:val="20"/>
          <w:szCs w:val="20"/>
          <w:shd w:val="clear" w:color="auto" w:fill="FFFFFF"/>
        </w:rPr>
        <w:t xml:space="preserve">, No. 2004/13, OECD Publishing Paris. Accessed at: </w:t>
      </w:r>
      <w:hyperlink r:id="rId11" w:history="1">
        <w:r w:rsidRPr="00E71B55">
          <w:rPr>
            <w:rStyle w:val="Hyperlink"/>
            <w:rFonts w:cstheme="minorHAnsi"/>
            <w:sz w:val="20"/>
            <w:szCs w:val="20"/>
            <w:shd w:val="clear" w:color="auto" w:fill="FFFFFF"/>
          </w:rPr>
          <w:t>https://doi.org/10.1787/605207554154</w:t>
        </w:r>
      </w:hyperlink>
      <w:r w:rsidRPr="00E71B55">
        <w:rPr>
          <w:rFonts w:cstheme="minorHAnsi"/>
          <w:color w:val="7F7F7F"/>
          <w:sz w:val="20"/>
          <w:szCs w:val="20"/>
          <w:shd w:val="clear" w:color="auto" w:fill="FFFFFF"/>
        </w:rPr>
        <w:t>.</w:t>
      </w:r>
    </w:p>
    <w:p w14:paraId="07413180" w14:textId="77777777" w:rsidR="00ED3AF3" w:rsidRPr="00E71B55" w:rsidRDefault="00ED3AF3" w:rsidP="00ED3AF3">
      <w:pPr>
        <w:spacing w:line="240" w:lineRule="auto"/>
        <w:rPr>
          <w:rFonts w:cstheme="minorHAnsi"/>
          <w:sz w:val="20"/>
          <w:szCs w:val="20"/>
        </w:rPr>
      </w:pPr>
      <w:r w:rsidRPr="00E71B55">
        <w:rPr>
          <w:rFonts w:cstheme="minorHAnsi"/>
          <w:sz w:val="20"/>
          <w:szCs w:val="20"/>
        </w:rPr>
        <w:t xml:space="preserve">Enfield, S (2019). Gender and Serious and Organised Crime. Institute of Development Studies. [online]. Accessed at: </w:t>
      </w:r>
      <w:hyperlink r:id="rId12" w:history="1">
        <w:r w:rsidRPr="00E71B55">
          <w:rPr>
            <w:rStyle w:val="Hyperlink"/>
            <w:rFonts w:cstheme="minorHAnsi"/>
            <w:sz w:val="20"/>
            <w:szCs w:val="20"/>
          </w:rPr>
          <w:t>561_Gender_and_Serious_and_Organised_Crime.pdf (publishing.service.gov.uk)</w:t>
        </w:r>
      </w:hyperlink>
    </w:p>
    <w:p w14:paraId="6B14A515" w14:textId="77777777" w:rsidR="00ED3AF3" w:rsidRPr="00E71B55" w:rsidRDefault="00ED3AF3" w:rsidP="00ED3AF3">
      <w:pPr>
        <w:spacing w:line="240" w:lineRule="auto"/>
        <w:rPr>
          <w:rFonts w:cstheme="minorHAnsi"/>
          <w:sz w:val="20"/>
          <w:szCs w:val="20"/>
        </w:rPr>
      </w:pPr>
      <w:r w:rsidRPr="00E71B55">
        <w:rPr>
          <w:rFonts w:cstheme="minorHAnsi"/>
          <w:sz w:val="20"/>
          <w:szCs w:val="20"/>
        </w:rPr>
        <w:t xml:space="preserve">Feikert-Ahalt, C. (2013). </w:t>
      </w:r>
      <w:r w:rsidRPr="00E71B55">
        <w:rPr>
          <w:rFonts w:cstheme="minorHAnsi"/>
          <w:i/>
          <w:iCs/>
          <w:sz w:val="20"/>
          <w:szCs w:val="20"/>
        </w:rPr>
        <w:t>The UK’s Legal Response to the London Bombings of 7/7.</w:t>
      </w:r>
      <w:r w:rsidRPr="00E71B55">
        <w:rPr>
          <w:rFonts w:cstheme="minorHAnsi"/>
          <w:sz w:val="20"/>
          <w:szCs w:val="20"/>
        </w:rPr>
        <w:t xml:space="preserve"> Library of Congress Blogs. (online). Accessed at: </w:t>
      </w:r>
      <w:hyperlink r:id="rId13" w:history="1">
        <w:r w:rsidRPr="00E71B55">
          <w:rPr>
            <w:rStyle w:val="Hyperlink"/>
            <w:rFonts w:cstheme="minorHAnsi"/>
            <w:sz w:val="20"/>
            <w:szCs w:val="20"/>
          </w:rPr>
          <w:t>The UK’s Legal Response to the London Bombings of 7/7 | In Custodia Legis (loc.gov)</w:t>
        </w:r>
      </w:hyperlink>
    </w:p>
    <w:p w14:paraId="120E0F91" w14:textId="77777777" w:rsidR="00ED3AF3" w:rsidRPr="00E71B55" w:rsidRDefault="00ED3AF3" w:rsidP="00ED3AF3">
      <w:pPr>
        <w:spacing w:line="240" w:lineRule="auto"/>
        <w:rPr>
          <w:rFonts w:cstheme="minorHAnsi"/>
          <w:sz w:val="20"/>
          <w:szCs w:val="20"/>
        </w:rPr>
      </w:pPr>
      <w:r w:rsidRPr="00E71B55">
        <w:rPr>
          <w:rFonts w:cstheme="minorHAnsi"/>
          <w:sz w:val="20"/>
          <w:szCs w:val="20"/>
        </w:rPr>
        <w:lastRenderedPageBreak/>
        <w:t xml:space="preserve">Finan, L. (2019). </w:t>
      </w:r>
      <w:r w:rsidRPr="00E71B55">
        <w:rPr>
          <w:rFonts w:cstheme="minorHAnsi"/>
          <w:i/>
          <w:iCs/>
          <w:sz w:val="20"/>
          <w:szCs w:val="20"/>
        </w:rPr>
        <w:t>Far and Extreme Right Groups’ Use of the Internet: A thematic Analysis of Britain First and Generation Identity Images.</w:t>
      </w:r>
      <w:r w:rsidRPr="00E71B55">
        <w:rPr>
          <w:rFonts w:cstheme="minorHAnsi"/>
          <w:sz w:val="20"/>
          <w:szCs w:val="20"/>
        </w:rPr>
        <w:t xml:space="preserve"> Master’s Dissertation. Swansea University, Swansea. </w:t>
      </w:r>
    </w:p>
    <w:p w14:paraId="4077E7BF" w14:textId="77777777" w:rsidR="00ED3AF3" w:rsidRPr="00E71B55" w:rsidRDefault="00ED3AF3" w:rsidP="00ED3AF3">
      <w:pPr>
        <w:spacing w:line="240" w:lineRule="auto"/>
        <w:rPr>
          <w:rFonts w:cstheme="minorHAnsi"/>
          <w:sz w:val="20"/>
          <w:szCs w:val="20"/>
        </w:rPr>
      </w:pPr>
      <w:r w:rsidRPr="00E71B55">
        <w:rPr>
          <w:rFonts w:cstheme="minorHAnsi"/>
          <w:sz w:val="20"/>
          <w:szCs w:val="20"/>
        </w:rPr>
        <w:t xml:space="preserve">Geason, S., Wilson, P. (2020). Crime Prevention: Theory and Practice. Australian Institute of Criminology. Accessed at: </w:t>
      </w:r>
      <w:hyperlink r:id="rId14" w:history="1">
        <w:r w:rsidRPr="00E71B55">
          <w:rPr>
            <w:rStyle w:val="Hyperlink"/>
            <w:rFonts w:cstheme="minorHAnsi"/>
            <w:sz w:val="20"/>
            <w:szCs w:val="20"/>
          </w:rPr>
          <w:t xml:space="preserve">Crime </w:t>
        </w:r>
        <w:proofErr w:type="gramStart"/>
        <w:r w:rsidRPr="00E71B55">
          <w:rPr>
            <w:rStyle w:val="Hyperlink"/>
            <w:rFonts w:cstheme="minorHAnsi"/>
            <w:sz w:val="20"/>
            <w:szCs w:val="20"/>
          </w:rPr>
          <w:t>prevention :</w:t>
        </w:r>
        <w:proofErr w:type="gramEnd"/>
        <w:r w:rsidRPr="00E71B55">
          <w:rPr>
            <w:rStyle w:val="Hyperlink"/>
            <w:rFonts w:cstheme="minorHAnsi"/>
            <w:sz w:val="20"/>
            <w:szCs w:val="20"/>
          </w:rPr>
          <w:t xml:space="preserve"> theory and practice (aic.gov.au)</w:t>
        </w:r>
      </w:hyperlink>
      <w:r w:rsidRPr="00E71B55">
        <w:rPr>
          <w:rFonts w:cstheme="minorHAnsi"/>
          <w:sz w:val="20"/>
          <w:szCs w:val="20"/>
        </w:rPr>
        <w:t xml:space="preserve"> </w:t>
      </w:r>
    </w:p>
    <w:p w14:paraId="53025B75" w14:textId="77777777" w:rsidR="00ED3AF3" w:rsidRPr="00E71B55" w:rsidRDefault="00ED3AF3" w:rsidP="00ED3AF3">
      <w:pPr>
        <w:spacing w:line="240" w:lineRule="auto"/>
        <w:rPr>
          <w:rFonts w:cstheme="minorHAnsi"/>
          <w:sz w:val="20"/>
          <w:szCs w:val="20"/>
        </w:rPr>
      </w:pPr>
      <w:r w:rsidRPr="00E71B55">
        <w:rPr>
          <w:rFonts w:cstheme="minorHAnsi"/>
          <w:i/>
          <w:iCs/>
          <w:sz w:val="20"/>
          <w:szCs w:val="20"/>
        </w:rPr>
        <w:t>Government Response to the Intelligence and Security Committee’s Report into the London Terrorist Attacks on 7 July</w:t>
      </w:r>
      <w:r w:rsidRPr="00E71B55">
        <w:rPr>
          <w:rFonts w:cstheme="minorHAnsi"/>
          <w:sz w:val="20"/>
          <w:szCs w:val="20"/>
        </w:rPr>
        <w:t xml:space="preserve"> (2005). United Kingdom. Accessed at: </w:t>
      </w:r>
      <w:hyperlink r:id="rId15" w:history="1">
        <w:r w:rsidRPr="00E71B55">
          <w:rPr>
            <w:rStyle w:val="Hyperlink"/>
            <w:rFonts w:cstheme="minorHAnsi"/>
            <w:sz w:val="20"/>
            <w:szCs w:val="20"/>
          </w:rPr>
          <w:t>CM6786 Government Response (fas.org)</w:t>
        </w:r>
      </w:hyperlink>
    </w:p>
    <w:p w14:paraId="1C7B85E0" w14:textId="77777777" w:rsidR="00ED3AF3" w:rsidRPr="00E71B55" w:rsidRDefault="00ED3AF3" w:rsidP="00ED3AF3">
      <w:pPr>
        <w:spacing w:line="240" w:lineRule="auto"/>
        <w:rPr>
          <w:rFonts w:cstheme="minorHAnsi"/>
          <w:sz w:val="20"/>
          <w:szCs w:val="20"/>
        </w:rPr>
      </w:pPr>
      <w:r w:rsidRPr="00E71B55">
        <w:rPr>
          <w:rFonts w:cstheme="minorHAnsi"/>
          <w:sz w:val="20"/>
          <w:szCs w:val="20"/>
        </w:rPr>
        <w:t xml:space="preserve">Home Office (2018). CONTEST Strategy. The United Kingdom’s Strategy for Countering Terrorism. Accessed at: </w:t>
      </w:r>
      <w:hyperlink r:id="rId16" w:history="1">
        <w:r w:rsidRPr="00E71B55">
          <w:rPr>
            <w:rStyle w:val="Hyperlink"/>
            <w:rFonts w:cstheme="minorHAnsi"/>
            <w:sz w:val="20"/>
            <w:szCs w:val="20"/>
          </w:rPr>
          <w:t>CONTEST 3.0 (publishing.service.gov.uk)</w:t>
        </w:r>
      </w:hyperlink>
    </w:p>
    <w:p w14:paraId="49CBAB34" w14:textId="77777777" w:rsidR="00ED3AF3" w:rsidRPr="00E71B55" w:rsidRDefault="00ED3AF3" w:rsidP="00ED3AF3">
      <w:pPr>
        <w:spacing w:line="240" w:lineRule="auto"/>
        <w:rPr>
          <w:rFonts w:cstheme="minorHAnsi"/>
          <w:sz w:val="20"/>
          <w:szCs w:val="20"/>
        </w:rPr>
      </w:pPr>
      <w:r w:rsidRPr="00E71B55">
        <w:rPr>
          <w:rFonts w:cstheme="minorHAnsi"/>
          <w:sz w:val="20"/>
          <w:szCs w:val="20"/>
        </w:rPr>
        <w:t xml:space="preserve">Home Office (2023). </w:t>
      </w:r>
      <w:r w:rsidRPr="00E71B55">
        <w:rPr>
          <w:rFonts w:cstheme="minorHAnsi"/>
          <w:i/>
          <w:iCs/>
          <w:sz w:val="20"/>
          <w:szCs w:val="20"/>
        </w:rPr>
        <w:t>Individuals referred to and supported through the Prevent Programme, April 2021 to March 2022.</w:t>
      </w:r>
      <w:r w:rsidRPr="00E71B55">
        <w:rPr>
          <w:rFonts w:cstheme="minorHAnsi"/>
          <w:sz w:val="20"/>
          <w:szCs w:val="20"/>
        </w:rPr>
        <w:t xml:space="preserve"> GOV.UK. (online). Accessed at: </w:t>
      </w:r>
      <w:hyperlink r:id="rId17" w:history="1">
        <w:r w:rsidRPr="00E71B55">
          <w:rPr>
            <w:rStyle w:val="Hyperlink"/>
            <w:rFonts w:cstheme="minorHAnsi"/>
            <w:sz w:val="20"/>
            <w:szCs w:val="20"/>
          </w:rPr>
          <w:t>Individuals referred to and supported through the Prevent Programme, April 2021 to March 2022 - GOV.UK (www.gov.uk)</w:t>
        </w:r>
      </w:hyperlink>
    </w:p>
    <w:p w14:paraId="2573D903" w14:textId="77777777" w:rsidR="00ED3AF3" w:rsidRPr="00E71B55" w:rsidRDefault="00ED3AF3" w:rsidP="00ED3AF3">
      <w:pPr>
        <w:spacing w:line="240" w:lineRule="auto"/>
        <w:rPr>
          <w:rFonts w:cstheme="minorHAnsi"/>
          <w:sz w:val="20"/>
          <w:szCs w:val="20"/>
        </w:rPr>
      </w:pPr>
      <w:r w:rsidRPr="00E71B55">
        <w:rPr>
          <w:rFonts w:cstheme="minorHAnsi"/>
          <w:sz w:val="20"/>
          <w:szCs w:val="20"/>
        </w:rPr>
        <w:t xml:space="preserve">Home Office (2023). </w:t>
      </w:r>
      <w:r w:rsidRPr="00E71B55">
        <w:rPr>
          <w:rFonts w:cstheme="minorHAnsi"/>
          <w:i/>
          <w:iCs/>
          <w:sz w:val="20"/>
          <w:szCs w:val="20"/>
        </w:rPr>
        <w:t>Police Workforce: Ethnicity, Facts, and Figures.</w:t>
      </w:r>
      <w:r w:rsidRPr="00E71B55">
        <w:rPr>
          <w:rFonts w:cstheme="minorHAnsi"/>
          <w:sz w:val="20"/>
          <w:szCs w:val="20"/>
        </w:rPr>
        <w:t xml:space="preserve"> [online]. Accessed at: </w:t>
      </w:r>
      <w:hyperlink r:id="rId18" w:history="1">
        <w:r w:rsidRPr="00E71B55">
          <w:rPr>
            <w:rStyle w:val="Hyperlink"/>
            <w:rFonts w:cstheme="minorHAnsi"/>
            <w:sz w:val="20"/>
            <w:szCs w:val="20"/>
          </w:rPr>
          <w:t>Police workforce - GOV.UK Ethnicity facts and figures (ethnicity-facts-figures.service.gov.uk)</w:t>
        </w:r>
      </w:hyperlink>
    </w:p>
    <w:p w14:paraId="685909E0" w14:textId="77777777" w:rsidR="00ED3AF3" w:rsidRPr="00E71B55" w:rsidRDefault="00ED3AF3" w:rsidP="00ED3AF3">
      <w:pPr>
        <w:spacing w:line="240" w:lineRule="auto"/>
        <w:rPr>
          <w:rFonts w:cstheme="minorHAnsi"/>
          <w:sz w:val="20"/>
          <w:szCs w:val="20"/>
        </w:rPr>
      </w:pPr>
      <w:r w:rsidRPr="00E71B55">
        <w:rPr>
          <w:rFonts w:cstheme="minorHAnsi"/>
          <w:i/>
          <w:iCs/>
          <w:sz w:val="20"/>
          <w:szCs w:val="20"/>
        </w:rPr>
        <w:t>Intelligence and Security Committee (2005).</w:t>
      </w:r>
      <w:r w:rsidRPr="00E71B55">
        <w:rPr>
          <w:rFonts w:cstheme="minorHAnsi"/>
          <w:sz w:val="20"/>
          <w:szCs w:val="20"/>
        </w:rPr>
        <w:t xml:space="preserve"> United Kingdom. Available at: </w:t>
      </w:r>
      <w:hyperlink r:id="rId19" w:history="1">
        <w:r w:rsidRPr="00E71B55">
          <w:rPr>
            <w:rFonts w:cstheme="minorHAnsi"/>
            <w:color w:val="0000FF"/>
            <w:sz w:val="20"/>
            <w:szCs w:val="20"/>
            <w:u w:val="single"/>
          </w:rPr>
          <w:t>Could 7/7 Have Been Prevented? (fas.org)</w:t>
        </w:r>
      </w:hyperlink>
    </w:p>
    <w:p w14:paraId="3ADCC2A6" w14:textId="77777777" w:rsidR="00ED3AF3" w:rsidRPr="00E71B55" w:rsidRDefault="00ED3AF3" w:rsidP="00ED3AF3">
      <w:pPr>
        <w:spacing w:line="240" w:lineRule="auto"/>
        <w:rPr>
          <w:rFonts w:cstheme="minorHAnsi"/>
          <w:color w:val="222222"/>
          <w:sz w:val="20"/>
          <w:szCs w:val="20"/>
          <w:shd w:val="clear" w:color="auto" w:fill="FFFFFF"/>
        </w:rPr>
      </w:pPr>
      <w:r w:rsidRPr="00E71B55">
        <w:rPr>
          <w:rFonts w:cstheme="minorHAnsi"/>
          <w:color w:val="222222"/>
          <w:sz w:val="20"/>
          <w:szCs w:val="20"/>
          <w:shd w:val="clear" w:color="auto" w:fill="FFFFFF"/>
        </w:rPr>
        <w:t>Johnson, S.D., Guerette, R., Bowers, K. (2014). Crime displacement: what we know, what we don’t know, and what it means for crime reduction. </w:t>
      </w:r>
      <w:r w:rsidRPr="00E71B55">
        <w:rPr>
          <w:rFonts w:cstheme="minorHAnsi"/>
          <w:i/>
          <w:iCs/>
          <w:color w:val="222222"/>
          <w:sz w:val="20"/>
          <w:szCs w:val="20"/>
          <w:shd w:val="clear" w:color="auto" w:fill="FFFFFF"/>
        </w:rPr>
        <w:t>J Exp Criminal</w:t>
      </w:r>
      <w:r w:rsidRPr="00E71B55">
        <w:rPr>
          <w:rFonts w:cstheme="minorHAnsi"/>
          <w:color w:val="222222"/>
          <w:sz w:val="20"/>
          <w:szCs w:val="20"/>
          <w:shd w:val="clear" w:color="auto" w:fill="FFFFFF"/>
        </w:rPr>
        <w:t xml:space="preserve">. </w:t>
      </w:r>
      <w:r w:rsidRPr="00E71B55">
        <w:rPr>
          <w:rFonts w:cstheme="minorHAnsi"/>
          <w:b/>
          <w:bCs/>
          <w:color w:val="222222"/>
          <w:sz w:val="20"/>
          <w:szCs w:val="20"/>
          <w:shd w:val="clear" w:color="auto" w:fill="FFFFFF"/>
        </w:rPr>
        <w:t>10</w:t>
      </w:r>
      <w:r w:rsidRPr="00E71B55">
        <w:rPr>
          <w:rFonts w:cstheme="minorHAnsi"/>
          <w:color w:val="222222"/>
          <w:sz w:val="20"/>
          <w:szCs w:val="20"/>
          <w:shd w:val="clear" w:color="auto" w:fill="FFFFFF"/>
        </w:rPr>
        <w:t xml:space="preserve">, 549–571. Available at: </w:t>
      </w:r>
      <w:hyperlink r:id="rId20" w:history="1">
        <w:r w:rsidRPr="00E71B55">
          <w:rPr>
            <w:rStyle w:val="Hyperlink"/>
            <w:rFonts w:cstheme="minorHAnsi"/>
            <w:sz w:val="20"/>
            <w:szCs w:val="20"/>
            <w:shd w:val="clear" w:color="auto" w:fill="FFFFFF"/>
          </w:rPr>
          <w:t>https://doi.org/10.1007/s11292-014-9209-</w:t>
        </w:r>
      </w:hyperlink>
      <w:r w:rsidRPr="00E71B55">
        <w:rPr>
          <w:rFonts w:cstheme="minorHAnsi"/>
          <w:color w:val="222222"/>
          <w:sz w:val="20"/>
          <w:szCs w:val="20"/>
          <w:shd w:val="clear" w:color="auto" w:fill="FFFFFF"/>
        </w:rPr>
        <w:t>4</w:t>
      </w:r>
    </w:p>
    <w:p w14:paraId="42241FD7" w14:textId="77777777" w:rsidR="00ED3AF3" w:rsidRPr="00E71B55" w:rsidRDefault="00ED3AF3" w:rsidP="00ED3AF3">
      <w:pPr>
        <w:spacing w:line="240" w:lineRule="auto"/>
        <w:rPr>
          <w:rFonts w:cstheme="minorHAnsi"/>
          <w:color w:val="333333"/>
          <w:spacing w:val="-15"/>
          <w:sz w:val="20"/>
          <w:szCs w:val="20"/>
          <w:shd w:val="clear" w:color="auto" w:fill="FFFFFF"/>
        </w:rPr>
      </w:pPr>
      <w:r w:rsidRPr="00E71B55">
        <w:rPr>
          <w:rFonts w:cstheme="minorHAnsi"/>
          <w:color w:val="333333"/>
          <w:spacing w:val="-15"/>
          <w:sz w:val="20"/>
          <w:szCs w:val="20"/>
          <w:shd w:val="clear" w:color="auto" w:fill="FFFFFF"/>
        </w:rPr>
        <w:t>Joyce, P. 2011. Diversity and the Police Service. In: </w:t>
      </w:r>
      <w:r w:rsidRPr="00E71B55">
        <w:rPr>
          <w:rStyle w:val="Emphasis"/>
          <w:rFonts w:cstheme="minorHAnsi"/>
          <w:color w:val="333333"/>
          <w:spacing w:val="-15"/>
          <w:sz w:val="20"/>
          <w:szCs w:val="20"/>
          <w:shd w:val="clear" w:color="auto" w:fill="FFFFFF"/>
        </w:rPr>
        <w:t>Policing: Development &amp; Contemporary Practice</w:t>
      </w:r>
      <w:r w:rsidRPr="00E71B55">
        <w:rPr>
          <w:rFonts w:cstheme="minorHAnsi"/>
          <w:color w:val="333333"/>
          <w:spacing w:val="-15"/>
          <w:sz w:val="20"/>
          <w:szCs w:val="20"/>
          <w:shd w:val="clear" w:color="auto" w:fill="FFFFFF"/>
        </w:rPr>
        <w:t xml:space="preserve">. London: SAGE Publications Ltd. pp. 150-181 Available at: &lt;https://doi.org/10.4135/9781446251423&gt; </w:t>
      </w:r>
    </w:p>
    <w:p w14:paraId="7EE64428" w14:textId="77777777" w:rsidR="00ED3AF3" w:rsidRPr="00E71B55" w:rsidRDefault="00ED3AF3" w:rsidP="00ED3AF3">
      <w:pPr>
        <w:spacing w:line="240" w:lineRule="auto"/>
        <w:rPr>
          <w:rStyle w:val="Hyperlink"/>
          <w:rFonts w:cstheme="minorHAnsi"/>
          <w:sz w:val="20"/>
          <w:szCs w:val="20"/>
        </w:rPr>
      </w:pPr>
      <w:r w:rsidRPr="00E71B55">
        <w:rPr>
          <w:rFonts w:cstheme="minorHAnsi"/>
          <w:sz w:val="20"/>
          <w:szCs w:val="20"/>
        </w:rPr>
        <w:t xml:space="preserve">Lehr, P. (2005). </w:t>
      </w:r>
      <w:r w:rsidRPr="00E71B55">
        <w:rPr>
          <w:rFonts w:cstheme="minorHAnsi"/>
          <w:i/>
          <w:iCs/>
          <w:sz w:val="20"/>
          <w:szCs w:val="20"/>
        </w:rPr>
        <w:t>The 7 July London Bombings: Islamic Extremism Strikes Again.</w:t>
      </w:r>
      <w:r w:rsidRPr="00E71B55">
        <w:rPr>
          <w:rFonts w:cstheme="minorHAnsi"/>
          <w:sz w:val="20"/>
          <w:szCs w:val="20"/>
        </w:rPr>
        <w:t xml:space="preserve"> Elcano Royal Institute. (online). Accessed at: </w:t>
      </w:r>
      <w:hyperlink r:id="rId21" w:history="1">
        <w:r w:rsidRPr="00E71B55">
          <w:rPr>
            <w:rStyle w:val="Hyperlink"/>
            <w:rFonts w:cstheme="minorHAnsi"/>
            <w:sz w:val="20"/>
            <w:szCs w:val="20"/>
          </w:rPr>
          <w:t>The 7 July London Bombings: Islamic Extremism Strikes Again - Elcano Royal Institute (realinstitutoelcano.org)</w:t>
        </w:r>
      </w:hyperlink>
    </w:p>
    <w:p w14:paraId="62D1B68E" w14:textId="77777777" w:rsidR="00ED3AF3" w:rsidRPr="00E71B55" w:rsidRDefault="00ED3AF3" w:rsidP="00ED3AF3">
      <w:pPr>
        <w:spacing w:line="240" w:lineRule="auto"/>
        <w:rPr>
          <w:rFonts w:cstheme="minorHAnsi"/>
          <w:sz w:val="20"/>
          <w:szCs w:val="20"/>
        </w:rPr>
      </w:pPr>
      <w:r w:rsidRPr="00E71B55">
        <w:rPr>
          <w:rFonts w:cstheme="minorHAnsi"/>
          <w:sz w:val="20"/>
          <w:szCs w:val="20"/>
        </w:rPr>
        <w:t xml:space="preserve">McCusker, R (2006). Transnational Organised Cyber Crime: Distinguishing Threat from Reality. [online]. Accessed at: </w:t>
      </w:r>
      <w:hyperlink r:id="rId22" w:history="1">
        <w:r w:rsidRPr="00E71B55">
          <w:rPr>
            <w:rStyle w:val="Hyperlink"/>
            <w:rFonts w:cstheme="minorHAnsi"/>
            <w:sz w:val="20"/>
            <w:szCs w:val="20"/>
          </w:rPr>
          <w:t xml:space="preserve">Transnational organised </w:t>
        </w:r>
        <w:proofErr w:type="spellStart"/>
        <w:r w:rsidRPr="00E71B55">
          <w:rPr>
            <w:rStyle w:val="Hyperlink"/>
            <w:rFonts w:cstheme="minorHAnsi"/>
            <w:sz w:val="20"/>
            <w:szCs w:val="20"/>
          </w:rPr>
          <w:t>cyber crime</w:t>
        </w:r>
        <w:proofErr w:type="spellEnd"/>
        <w:r w:rsidRPr="00E71B55">
          <w:rPr>
            <w:rStyle w:val="Hyperlink"/>
            <w:rFonts w:cstheme="minorHAnsi"/>
            <w:sz w:val="20"/>
            <w:szCs w:val="20"/>
          </w:rPr>
          <w:t>: distinguishing threat from reality - CORE Reader</w:t>
        </w:r>
      </w:hyperlink>
    </w:p>
    <w:p w14:paraId="22554186" w14:textId="77777777" w:rsidR="00ED3AF3" w:rsidRPr="00E71B55" w:rsidRDefault="00ED3AF3" w:rsidP="00ED3AF3">
      <w:pPr>
        <w:spacing w:line="240" w:lineRule="auto"/>
        <w:rPr>
          <w:rFonts w:cstheme="minorHAnsi"/>
          <w:sz w:val="20"/>
          <w:szCs w:val="20"/>
        </w:rPr>
      </w:pPr>
      <w:r w:rsidRPr="00E71B55">
        <w:rPr>
          <w:rFonts w:cstheme="minorHAnsi"/>
          <w:sz w:val="20"/>
          <w:szCs w:val="20"/>
        </w:rPr>
        <w:t xml:space="preserve">Nadal, K. (2021). </w:t>
      </w:r>
      <w:r w:rsidRPr="00E71B55">
        <w:rPr>
          <w:rFonts w:cstheme="minorHAnsi"/>
          <w:i/>
          <w:iCs/>
          <w:sz w:val="20"/>
          <w:szCs w:val="20"/>
        </w:rPr>
        <w:t>Why Representation Matters and why it’s Still Not Enough</w:t>
      </w:r>
      <w:r w:rsidRPr="00E71B55">
        <w:rPr>
          <w:rFonts w:cstheme="minorHAnsi"/>
          <w:sz w:val="20"/>
          <w:szCs w:val="20"/>
        </w:rPr>
        <w:t xml:space="preserve">. Psychology Today. [online]. Accessed at: </w:t>
      </w:r>
      <w:hyperlink r:id="rId23" w:history="1">
        <w:r w:rsidRPr="00E71B55">
          <w:rPr>
            <w:rStyle w:val="Hyperlink"/>
            <w:rFonts w:cstheme="minorHAnsi"/>
            <w:sz w:val="20"/>
            <w:szCs w:val="20"/>
          </w:rPr>
          <w:t>Why Representation Matters and Why It’s Still Not Enough | Psychology Today United Kingdom</w:t>
        </w:r>
      </w:hyperlink>
    </w:p>
    <w:p w14:paraId="3BBF86A6" w14:textId="77777777" w:rsidR="00ED3AF3" w:rsidRPr="00E71B55" w:rsidRDefault="00ED3AF3" w:rsidP="00ED3AF3">
      <w:pPr>
        <w:spacing w:line="240" w:lineRule="auto"/>
        <w:rPr>
          <w:rFonts w:cstheme="minorHAnsi"/>
          <w:sz w:val="20"/>
          <w:szCs w:val="20"/>
        </w:rPr>
      </w:pPr>
      <w:r w:rsidRPr="00E71B55">
        <w:rPr>
          <w:rFonts w:cstheme="minorHAnsi"/>
          <w:sz w:val="20"/>
          <w:szCs w:val="20"/>
        </w:rPr>
        <w:t xml:space="preserve">National Audit Office (2019). Tackling Serious and Organised Crime. [online]. Accessed at: </w:t>
      </w:r>
      <w:hyperlink r:id="rId24" w:history="1">
        <w:r w:rsidRPr="00E71B55">
          <w:rPr>
            <w:rStyle w:val="Hyperlink"/>
            <w:rFonts w:cstheme="minorHAnsi"/>
            <w:sz w:val="20"/>
            <w:szCs w:val="20"/>
          </w:rPr>
          <w:t>Tackling serious and organised crime (Summary) (nao.org.uk)</w:t>
        </w:r>
      </w:hyperlink>
    </w:p>
    <w:p w14:paraId="3D9D6765" w14:textId="77777777" w:rsidR="00ED3AF3" w:rsidRPr="00E71B55" w:rsidRDefault="00ED3AF3" w:rsidP="00ED3AF3">
      <w:pPr>
        <w:spacing w:line="240" w:lineRule="auto"/>
        <w:rPr>
          <w:rFonts w:cstheme="minorHAnsi"/>
          <w:sz w:val="20"/>
          <w:szCs w:val="20"/>
        </w:rPr>
      </w:pPr>
      <w:r w:rsidRPr="00E71B55">
        <w:rPr>
          <w:rFonts w:cstheme="minorHAnsi"/>
          <w:sz w:val="20"/>
          <w:szCs w:val="20"/>
        </w:rPr>
        <w:t xml:space="preserve">National Crime Agency (2017). Modern Slavery and Human Trafficking. [online]. Accessed at: </w:t>
      </w:r>
      <w:hyperlink r:id="rId25" w:history="1">
        <w:r w:rsidRPr="00E71B55">
          <w:rPr>
            <w:rStyle w:val="Hyperlink"/>
            <w:rFonts w:cstheme="minorHAnsi"/>
            <w:sz w:val="20"/>
            <w:szCs w:val="20"/>
          </w:rPr>
          <w:t>Modern slavery and human trafficking - National Crime Agency</w:t>
        </w:r>
      </w:hyperlink>
    </w:p>
    <w:p w14:paraId="5A946668" w14:textId="77777777" w:rsidR="00ED3AF3" w:rsidRPr="00E71B55" w:rsidRDefault="00ED3AF3" w:rsidP="00ED3AF3">
      <w:pPr>
        <w:spacing w:line="240" w:lineRule="auto"/>
        <w:rPr>
          <w:rFonts w:cstheme="minorHAnsi"/>
          <w:sz w:val="20"/>
          <w:szCs w:val="20"/>
        </w:rPr>
      </w:pPr>
      <w:r w:rsidRPr="00E71B55">
        <w:rPr>
          <w:rFonts w:cstheme="minorHAnsi"/>
          <w:sz w:val="20"/>
          <w:szCs w:val="20"/>
        </w:rPr>
        <w:t xml:space="preserve">Owusu-Bempah, A. (2017). </w:t>
      </w:r>
      <w:r w:rsidRPr="00E71B55">
        <w:rPr>
          <w:rFonts w:cstheme="minorHAnsi"/>
          <w:i/>
          <w:iCs/>
          <w:sz w:val="20"/>
          <w:szCs w:val="20"/>
        </w:rPr>
        <w:t>Race and policing in historical context: Dehumanization and the policing of Black people in the 21st century.</w:t>
      </w:r>
      <w:r w:rsidRPr="00E71B55">
        <w:rPr>
          <w:rFonts w:cstheme="minorHAnsi"/>
          <w:sz w:val="20"/>
          <w:szCs w:val="20"/>
        </w:rPr>
        <w:t xml:space="preserve"> Theoretical Criminology, 21(1), 23-34. </w:t>
      </w:r>
      <w:hyperlink r:id="rId26" w:history="1">
        <w:r w:rsidRPr="00E71B55">
          <w:rPr>
            <w:rStyle w:val="Hyperlink"/>
            <w:rFonts w:cstheme="minorHAnsi"/>
            <w:sz w:val="20"/>
            <w:szCs w:val="20"/>
          </w:rPr>
          <w:t>https://doi-org.ezproxy.uwtsd.ac.uk/10.1177/1362480616677493</w:t>
        </w:r>
      </w:hyperlink>
      <w:r w:rsidRPr="00E71B55">
        <w:rPr>
          <w:rFonts w:cstheme="minorHAnsi"/>
          <w:sz w:val="20"/>
          <w:szCs w:val="20"/>
        </w:rPr>
        <w:t>.</w:t>
      </w:r>
    </w:p>
    <w:p w14:paraId="0A298006" w14:textId="77777777" w:rsidR="00ED3AF3" w:rsidRPr="00E71B55" w:rsidRDefault="00ED3AF3" w:rsidP="00ED3AF3">
      <w:pPr>
        <w:spacing w:line="240" w:lineRule="auto"/>
        <w:rPr>
          <w:rStyle w:val="Hyperlink"/>
          <w:rFonts w:cstheme="minorHAnsi"/>
          <w:sz w:val="20"/>
          <w:szCs w:val="20"/>
        </w:rPr>
      </w:pPr>
      <w:r w:rsidRPr="00E71B55">
        <w:rPr>
          <w:rFonts w:cstheme="minorHAnsi"/>
          <w:color w:val="212121"/>
          <w:sz w:val="20"/>
          <w:szCs w:val="20"/>
          <w:shd w:val="clear" w:color="auto" w:fill="FFFFFF"/>
        </w:rPr>
        <w:t xml:space="preserve">Page, L., Rubin, J., </w:t>
      </w:r>
      <w:proofErr w:type="spellStart"/>
      <w:r w:rsidRPr="00E71B55">
        <w:rPr>
          <w:rFonts w:cstheme="minorHAnsi"/>
          <w:color w:val="212121"/>
          <w:sz w:val="20"/>
          <w:szCs w:val="20"/>
          <w:shd w:val="clear" w:color="auto" w:fill="FFFFFF"/>
        </w:rPr>
        <w:t>Amlôt</w:t>
      </w:r>
      <w:proofErr w:type="spellEnd"/>
      <w:r w:rsidRPr="00E71B55">
        <w:rPr>
          <w:rFonts w:cstheme="minorHAnsi"/>
          <w:color w:val="212121"/>
          <w:sz w:val="20"/>
          <w:szCs w:val="20"/>
          <w:shd w:val="clear" w:color="auto" w:fill="FFFFFF"/>
        </w:rPr>
        <w:t xml:space="preserve">, R., Simpson, J., Wessely, S. (2008). </w:t>
      </w:r>
      <w:r w:rsidRPr="00E71B55">
        <w:rPr>
          <w:rFonts w:cstheme="minorHAnsi"/>
          <w:i/>
          <w:iCs/>
          <w:color w:val="212121"/>
          <w:sz w:val="20"/>
          <w:szCs w:val="20"/>
          <w:shd w:val="clear" w:color="auto" w:fill="FFFFFF"/>
        </w:rPr>
        <w:t>Are Londoners prepared for an emergency? A longitudinal study following the London bombings.</w:t>
      </w:r>
      <w:r w:rsidRPr="00E71B55">
        <w:rPr>
          <w:rFonts w:cstheme="minorHAnsi"/>
          <w:color w:val="212121"/>
          <w:sz w:val="20"/>
          <w:szCs w:val="20"/>
          <w:shd w:val="clear" w:color="auto" w:fill="FFFFFF"/>
        </w:rPr>
        <w:t xml:space="preserve"> (online). Accessed at: </w:t>
      </w:r>
      <w:hyperlink r:id="rId27" w:history="1">
        <w:r w:rsidRPr="00E71B55">
          <w:rPr>
            <w:rStyle w:val="Hyperlink"/>
            <w:rFonts w:cstheme="minorHAnsi"/>
            <w:sz w:val="20"/>
            <w:szCs w:val="20"/>
          </w:rPr>
          <w:t>Are Londoners Prepared for an Emergency? A Longitudinal Study Following the London Bombings - PMC (nih.gov)</w:t>
        </w:r>
      </w:hyperlink>
    </w:p>
    <w:p w14:paraId="75210A4B" w14:textId="77777777" w:rsidR="00ED3AF3" w:rsidRPr="00E71B55" w:rsidRDefault="00ED3AF3" w:rsidP="00ED3AF3">
      <w:pPr>
        <w:spacing w:line="240" w:lineRule="auto"/>
        <w:rPr>
          <w:rFonts w:cstheme="minorHAnsi"/>
          <w:sz w:val="20"/>
          <w:szCs w:val="20"/>
        </w:rPr>
      </w:pPr>
      <w:r w:rsidRPr="00E71B55">
        <w:rPr>
          <w:rFonts w:cstheme="minorHAnsi"/>
          <w:sz w:val="20"/>
          <w:szCs w:val="20"/>
        </w:rPr>
        <w:t>Shariati, A., Guerette, R. (2017). Situational Crime Prevention. 10.1007/978-3-319-44124-5_22.</w:t>
      </w:r>
    </w:p>
    <w:p w14:paraId="0F94CE38" w14:textId="77777777" w:rsidR="00ED3AF3" w:rsidRPr="00E71B55" w:rsidRDefault="00ED3AF3" w:rsidP="00ED3AF3">
      <w:pPr>
        <w:spacing w:line="240" w:lineRule="auto"/>
        <w:rPr>
          <w:rFonts w:cstheme="minorHAnsi"/>
          <w:sz w:val="20"/>
          <w:szCs w:val="20"/>
        </w:rPr>
      </w:pPr>
      <w:r w:rsidRPr="00E71B55">
        <w:rPr>
          <w:rFonts w:cstheme="minorHAnsi"/>
          <w:sz w:val="20"/>
          <w:szCs w:val="20"/>
        </w:rPr>
        <w:t xml:space="preserve">Silverstone, D., Walker, D (2020). </w:t>
      </w:r>
      <w:r w:rsidRPr="00E71B55">
        <w:rPr>
          <w:rFonts w:cstheme="minorHAnsi"/>
          <w:i/>
          <w:iCs/>
          <w:sz w:val="20"/>
          <w:szCs w:val="20"/>
        </w:rPr>
        <w:t xml:space="preserve">Police Force Diversity is Improving in the UK – But There’s a Long Way to Go. </w:t>
      </w:r>
      <w:r w:rsidRPr="00E71B55">
        <w:rPr>
          <w:rFonts w:cstheme="minorHAnsi"/>
          <w:sz w:val="20"/>
          <w:szCs w:val="20"/>
        </w:rPr>
        <w:t xml:space="preserve">The Conversation. [online]. Accessed at: </w:t>
      </w:r>
      <w:hyperlink r:id="rId28" w:history="1">
        <w:r w:rsidRPr="00E71B55">
          <w:rPr>
            <w:rStyle w:val="Hyperlink"/>
            <w:rFonts w:cstheme="minorHAnsi"/>
            <w:sz w:val="20"/>
            <w:szCs w:val="20"/>
          </w:rPr>
          <w:t>Police force diversity is improving in the UK – but there’s a long way to go (theconversation.com)</w:t>
        </w:r>
      </w:hyperlink>
    </w:p>
    <w:p w14:paraId="5AB7EE45" w14:textId="77777777" w:rsidR="00ED3AF3" w:rsidRPr="00E71B55" w:rsidRDefault="00ED3AF3" w:rsidP="00ED3AF3">
      <w:pPr>
        <w:spacing w:line="240" w:lineRule="auto"/>
        <w:rPr>
          <w:rFonts w:cstheme="minorHAnsi"/>
          <w:sz w:val="20"/>
          <w:szCs w:val="20"/>
        </w:rPr>
      </w:pPr>
      <w:r w:rsidRPr="00E71B55">
        <w:rPr>
          <w:rFonts w:cstheme="minorHAnsi"/>
          <w:sz w:val="20"/>
          <w:szCs w:val="20"/>
        </w:rPr>
        <w:t xml:space="preserve">Stammers, S., Bunn, S. (2015). Unintentional Bias in Forensic Investigation. Parliamentary Office of Science and Technology. [online]. Accessed at: </w:t>
      </w:r>
      <w:hyperlink r:id="rId29" w:history="1">
        <w:r w:rsidRPr="00E71B55">
          <w:rPr>
            <w:rStyle w:val="Hyperlink"/>
            <w:rFonts w:cstheme="minorHAnsi"/>
            <w:sz w:val="20"/>
            <w:szCs w:val="20"/>
          </w:rPr>
          <w:t>POST-PB-0015.pdf (parliament.uk)</w:t>
        </w:r>
      </w:hyperlink>
    </w:p>
    <w:p w14:paraId="5D3CA22F" w14:textId="77777777" w:rsidR="00ED3AF3" w:rsidRPr="00E71B55" w:rsidRDefault="00ED3AF3" w:rsidP="00ED3AF3">
      <w:pPr>
        <w:spacing w:line="240" w:lineRule="auto"/>
        <w:rPr>
          <w:rFonts w:cstheme="minorHAnsi"/>
          <w:sz w:val="20"/>
          <w:szCs w:val="20"/>
        </w:rPr>
      </w:pPr>
      <w:r w:rsidRPr="00E71B55">
        <w:rPr>
          <w:rFonts w:cstheme="minorHAnsi"/>
          <w:sz w:val="20"/>
          <w:szCs w:val="20"/>
        </w:rPr>
        <w:lastRenderedPageBreak/>
        <w:t xml:space="preserve">Strategic Centre for Organised Crime Office for Security and </w:t>
      </w:r>
      <w:proofErr w:type="gramStart"/>
      <w:r w:rsidRPr="00E71B55">
        <w:rPr>
          <w:rFonts w:cstheme="minorHAnsi"/>
          <w:sz w:val="20"/>
          <w:szCs w:val="20"/>
        </w:rPr>
        <w:t>Counter-Terrorism</w:t>
      </w:r>
      <w:proofErr w:type="gramEnd"/>
      <w:r w:rsidRPr="00E71B55">
        <w:rPr>
          <w:rFonts w:cstheme="minorHAnsi"/>
          <w:sz w:val="20"/>
          <w:szCs w:val="20"/>
        </w:rPr>
        <w:t xml:space="preserve"> (2015). UK Government. [online]. Accessed at: </w:t>
      </w:r>
      <w:hyperlink r:id="rId30" w:history="1">
        <w:r w:rsidRPr="00E71B55">
          <w:rPr>
            <w:rStyle w:val="Hyperlink"/>
            <w:rFonts w:cstheme="minorHAnsi"/>
            <w:sz w:val="20"/>
            <w:szCs w:val="20"/>
          </w:rPr>
          <w:t>Individuals at risk of being drawn into Serious and Organised Crime - a Prevent Guide - February 2015 (publishing.service.gov.uk)</w:t>
        </w:r>
      </w:hyperlink>
    </w:p>
    <w:p w14:paraId="7A26CC19" w14:textId="77777777" w:rsidR="00ED3AF3" w:rsidRPr="00E71B55" w:rsidRDefault="00ED3AF3" w:rsidP="00ED3AF3">
      <w:pPr>
        <w:spacing w:line="240" w:lineRule="auto"/>
        <w:rPr>
          <w:rFonts w:cstheme="minorHAnsi"/>
          <w:sz w:val="20"/>
          <w:szCs w:val="20"/>
        </w:rPr>
      </w:pPr>
      <w:r w:rsidRPr="00E71B55">
        <w:rPr>
          <w:rFonts w:cstheme="minorHAnsi"/>
          <w:sz w:val="20"/>
          <w:szCs w:val="20"/>
        </w:rPr>
        <w:t xml:space="preserve">The College of Policing (2021). </w:t>
      </w:r>
      <w:r w:rsidRPr="00E71B55">
        <w:rPr>
          <w:rFonts w:cstheme="minorHAnsi"/>
          <w:i/>
          <w:iCs/>
          <w:sz w:val="20"/>
          <w:szCs w:val="20"/>
        </w:rPr>
        <w:t>Promoting the Right Culture</w:t>
      </w:r>
      <w:r w:rsidRPr="00E71B55">
        <w:rPr>
          <w:rFonts w:cstheme="minorHAnsi"/>
          <w:sz w:val="20"/>
          <w:szCs w:val="20"/>
        </w:rPr>
        <w:t xml:space="preserve">. [online]. Accessed at: </w:t>
      </w:r>
      <w:hyperlink r:id="rId31" w:history="1">
        <w:r w:rsidRPr="00E71B55">
          <w:rPr>
            <w:rStyle w:val="Hyperlink"/>
            <w:rFonts w:cstheme="minorHAnsi"/>
            <w:sz w:val="20"/>
            <w:szCs w:val="20"/>
          </w:rPr>
          <w:t>Promoting the right culture | College of Policing</w:t>
        </w:r>
      </w:hyperlink>
    </w:p>
    <w:p w14:paraId="3D70D1EB" w14:textId="77777777" w:rsidR="00ED3AF3" w:rsidRPr="00E71B55" w:rsidRDefault="00ED3AF3" w:rsidP="00ED3AF3">
      <w:pPr>
        <w:spacing w:line="240" w:lineRule="auto"/>
        <w:rPr>
          <w:rFonts w:cstheme="minorHAnsi"/>
          <w:sz w:val="20"/>
          <w:szCs w:val="20"/>
        </w:rPr>
      </w:pPr>
      <w:r w:rsidRPr="00E71B55">
        <w:rPr>
          <w:rFonts w:cstheme="minorHAnsi"/>
          <w:sz w:val="20"/>
          <w:szCs w:val="20"/>
        </w:rPr>
        <w:t xml:space="preserve">The Inter-Agency Coordination Group against Trafficking in Persons (2017). Trafficking in Persons for the Purpose of Forced Labour. [online]. Accessed at: </w:t>
      </w:r>
      <w:hyperlink r:id="rId32" w:history="1">
        <w:r w:rsidRPr="00E71B55">
          <w:rPr>
            <w:rStyle w:val="Hyperlink"/>
            <w:rFonts w:cstheme="minorHAnsi"/>
            <w:sz w:val="20"/>
            <w:szCs w:val="20"/>
          </w:rPr>
          <w:t>TRAFFICKING IN PERSONS FOR THE PURPOSE OF FORCED LABOUR (un.org)</w:t>
        </w:r>
      </w:hyperlink>
    </w:p>
    <w:p w14:paraId="2C320182" w14:textId="77777777" w:rsidR="00ED3AF3" w:rsidRPr="00E71B55" w:rsidRDefault="00ED3AF3" w:rsidP="00ED3AF3">
      <w:pPr>
        <w:spacing w:line="240" w:lineRule="auto"/>
        <w:rPr>
          <w:rFonts w:cstheme="minorHAnsi"/>
          <w:sz w:val="20"/>
          <w:szCs w:val="20"/>
        </w:rPr>
      </w:pPr>
      <w:r w:rsidRPr="00E71B55">
        <w:rPr>
          <w:rFonts w:cstheme="minorHAnsi"/>
          <w:i/>
          <w:iCs/>
          <w:sz w:val="20"/>
          <w:szCs w:val="20"/>
        </w:rPr>
        <w:t>The Terrorism Act (2000).</w:t>
      </w:r>
      <w:r w:rsidRPr="00E71B55">
        <w:rPr>
          <w:rFonts w:cstheme="minorHAnsi"/>
          <w:sz w:val="20"/>
          <w:szCs w:val="20"/>
        </w:rPr>
        <w:t xml:space="preserve"> United Kingdom. Available at: </w:t>
      </w:r>
      <w:hyperlink r:id="rId33" w:history="1">
        <w:r w:rsidRPr="00E71B55">
          <w:rPr>
            <w:rStyle w:val="Hyperlink"/>
            <w:rFonts w:cstheme="minorHAnsi"/>
            <w:sz w:val="20"/>
            <w:szCs w:val="20"/>
          </w:rPr>
          <w:t>Terrorism Act 2000 (legislation.gov.uk)</w:t>
        </w:r>
      </w:hyperlink>
    </w:p>
    <w:p w14:paraId="1570A99A" w14:textId="77777777" w:rsidR="00ED3AF3" w:rsidRPr="00E71B55" w:rsidRDefault="00ED3AF3" w:rsidP="00ED3AF3">
      <w:pPr>
        <w:spacing w:line="240" w:lineRule="auto"/>
        <w:rPr>
          <w:rFonts w:cstheme="minorHAnsi"/>
          <w:sz w:val="20"/>
          <w:szCs w:val="20"/>
        </w:rPr>
      </w:pPr>
      <w:r w:rsidRPr="00E71B55">
        <w:rPr>
          <w:rFonts w:cstheme="minorHAnsi"/>
          <w:i/>
          <w:iCs/>
          <w:sz w:val="20"/>
          <w:szCs w:val="20"/>
        </w:rPr>
        <w:t>The Terrorism Act (2006).</w:t>
      </w:r>
      <w:r w:rsidRPr="00E71B55">
        <w:rPr>
          <w:rFonts w:cstheme="minorHAnsi"/>
          <w:sz w:val="20"/>
          <w:szCs w:val="20"/>
        </w:rPr>
        <w:t xml:space="preserve"> United Kingdom. Available at: </w:t>
      </w:r>
      <w:hyperlink r:id="rId34" w:history="1">
        <w:r w:rsidRPr="00E71B55">
          <w:rPr>
            <w:rStyle w:val="Hyperlink"/>
            <w:rFonts w:cstheme="minorHAnsi"/>
            <w:sz w:val="20"/>
            <w:szCs w:val="20"/>
          </w:rPr>
          <w:t>Terrorism Act 2006 (legislation.gov.uk)</w:t>
        </w:r>
      </w:hyperlink>
    </w:p>
    <w:p w14:paraId="1E273677" w14:textId="77777777" w:rsidR="00ED3AF3" w:rsidRPr="00E71B55" w:rsidRDefault="00ED3AF3" w:rsidP="00ED3AF3">
      <w:pPr>
        <w:spacing w:line="240" w:lineRule="auto"/>
        <w:rPr>
          <w:rFonts w:cstheme="minorHAnsi"/>
          <w:sz w:val="20"/>
          <w:szCs w:val="20"/>
        </w:rPr>
      </w:pPr>
      <w:r w:rsidRPr="00E71B55">
        <w:rPr>
          <w:rFonts w:cstheme="minorHAnsi"/>
          <w:sz w:val="20"/>
          <w:szCs w:val="20"/>
        </w:rPr>
        <w:t xml:space="preserve">United Nations Office on Drugs and Crime (unknown). Transnational Organized Crime – The Globalized Illegal Economy. [online]. Accessed at: </w:t>
      </w:r>
      <w:hyperlink r:id="rId35" w:history="1">
        <w:r w:rsidRPr="00E71B55">
          <w:rPr>
            <w:rStyle w:val="Hyperlink"/>
            <w:rFonts w:cstheme="minorHAnsi"/>
            <w:sz w:val="20"/>
            <w:szCs w:val="20"/>
          </w:rPr>
          <w:t>TOC12_fs_general_EN_HIRES.pdf (unodc.org)</w:t>
        </w:r>
      </w:hyperlink>
    </w:p>
    <w:p w14:paraId="61612B93" w14:textId="77777777" w:rsidR="00ED3AF3" w:rsidRPr="00E71B55" w:rsidRDefault="00ED3AF3" w:rsidP="00ED3AF3">
      <w:pPr>
        <w:spacing w:line="240" w:lineRule="auto"/>
        <w:rPr>
          <w:rFonts w:cstheme="minorHAnsi"/>
          <w:sz w:val="20"/>
          <w:szCs w:val="20"/>
        </w:rPr>
      </w:pPr>
      <w:r w:rsidRPr="00E71B55">
        <w:rPr>
          <w:rFonts w:cstheme="minorHAnsi"/>
          <w:sz w:val="20"/>
          <w:szCs w:val="20"/>
        </w:rPr>
        <w:t xml:space="preserve">United Nations Officer on Drugs and Crime (2018). Structural Factors and Organised Crime. [online]. Accessed at: </w:t>
      </w:r>
      <w:hyperlink r:id="rId36" w:anchor=":~:text=Economic%20failure%2C%20such%20as%20high,supply%20goods%2C%20services%20and%20jobs." w:history="1">
        <w:r w:rsidRPr="00E71B55">
          <w:rPr>
            <w:rStyle w:val="Hyperlink"/>
            <w:rFonts w:cstheme="minorHAnsi"/>
            <w:sz w:val="20"/>
            <w:szCs w:val="20"/>
          </w:rPr>
          <w:t>Organized Crime Module 6 Key Issues: Structural Factors (unodc.org)</w:t>
        </w:r>
      </w:hyperlink>
    </w:p>
    <w:p w14:paraId="67D19704" w14:textId="77777777" w:rsidR="00ED3AF3" w:rsidRPr="00E71B55" w:rsidRDefault="00ED3AF3" w:rsidP="00ED3AF3">
      <w:pPr>
        <w:spacing w:line="240" w:lineRule="auto"/>
        <w:rPr>
          <w:rFonts w:cstheme="minorHAnsi"/>
          <w:sz w:val="20"/>
          <w:szCs w:val="20"/>
        </w:rPr>
      </w:pPr>
      <w:r w:rsidRPr="00E71B55">
        <w:rPr>
          <w:rFonts w:cstheme="minorHAnsi"/>
          <w:sz w:val="20"/>
          <w:szCs w:val="20"/>
        </w:rPr>
        <w:t xml:space="preserve">Wall, David. (2010). The Internet as a Conduit for Criminal Activity. 10.4135/9781452225708.n4. [online]. Accessed at: </w:t>
      </w:r>
      <w:hyperlink r:id="rId37" w:history="1">
        <w:r w:rsidRPr="00E71B55">
          <w:rPr>
            <w:rStyle w:val="Hyperlink"/>
            <w:rFonts w:cstheme="minorHAnsi"/>
            <w:sz w:val="20"/>
            <w:szCs w:val="20"/>
          </w:rPr>
          <w:t>(PDF) The Internet as a Conduit for Criminal Activity (researchgate.net)</w:t>
        </w:r>
      </w:hyperlink>
    </w:p>
    <w:p w14:paraId="6E9B74E1" w14:textId="77777777" w:rsidR="00ED3AF3" w:rsidRPr="00E71B55" w:rsidRDefault="00ED3AF3" w:rsidP="00ED3AF3">
      <w:pPr>
        <w:spacing w:line="240" w:lineRule="auto"/>
        <w:rPr>
          <w:rFonts w:cstheme="minorHAnsi"/>
          <w:sz w:val="20"/>
          <w:szCs w:val="20"/>
        </w:rPr>
      </w:pPr>
      <w:r w:rsidRPr="00E71B55">
        <w:rPr>
          <w:rFonts w:cstheme="minorHAnsi"/>
          <w:sz w:val="20"/>
          <w:szCs w:val="20"/>
        </w:rPr>
        <w:t xml:space="preserve">Weisburd, D., Wyckoff, L., Ready, Justin., Eck, J., Hinkle, J., Gajewski, F. (2005). Does Crime Just Move Around the Corner? A Study of Displacement and Diffusion in Jersey City, NJ. US Department of Justice. [online]. Accessed at: </w:t>
      </w:r>
      <w:hyperlink r:id="rId38" w:history="1">
        <w:r w:rsidRPr="00E71B55">
          <w:rPr>
            <w:rStyle w:val="Hyperlink"/>
            <w:rFonts w:cstheme="minorHAnsi"/>
            <w:sz w:val="20"/>
            <w:szCs w:val="20"/>
          </w:rPr>
          <w:t>Does Crime Just Move Around the Corner? A Study of Displacement and Diffusion in Jersey City, NJ (ojp.gov)</w:t>
        </w:r>
      </w:hyperlink>
      <w:r w:rsidRPr="00E71B55">
        <w:rPr>
          <w:rFonts w:cstheme="minorHAnsi"/>
          <w:sz w:val="20"/>
          <w:szCs w:val="20"/>
        </w:rPr>
        <w:t xml:space="preserve"> </w:t>
      </w:r>
    </w:p>
    <w:p w14:paraId="5CDFC250" w14:textId="77777777" w:rsidR="00ED3AF3" w:rsidRPr="00E71B55" w:rsidRDefault="00ED3AF3" w:rsidP="00ED3AF3">
      <w:pPr>
        <w:spacing w:line="240" w:lineRule="auto"/>
        <w:rPr>
          <w:rFonts w:cstheme="minorHAnsi"/>
          <w:sz w:val="20"/>
          <w:szCs w:val="20"/>
        </w:rPr>
      </w:pPr>
      <w:r w:rsidRPr="00E71B55">
        <w:rPr>
          <w:rFonts w:cstheme="minorHAnsi"/>
          <w:color w:val="2A2A2A"/>
          <w:sz w:val="20"/>
          <w:szCs w:val="20"/>
          <w:shd w:val="clear" w:color="auto" w:fill="FFFFFF"/>
        </w:rPr>
        <w:t xml:space="preserve">Wim Huisman, Judith van </w:t>
      </w:r>
      <w:proofErr w:type="spellStart"/>
      <w:r w:rsidRPr="00E71B55">
        <w:rPr>
          <w:rFonts w:cstheme="minorHAnsi"/>
          <w:color w:val="2A2A2A"/>
          <w:sz w:val="20"/>
          <w:szCs w:val="20"/>
          <w:shd w:val="clear" w:color="auto" w:fill="FFFFFF"/>
        </w:rPr>
        <w:t>Erp</w:t>
      </w:r>
      <w:proofErr w:type="spellEnd"/>
      <w:r w:rsidRPr="00E71B55">
        <w:rPr>
          <w:rFonts w:cstheme="minorHAnsi"/>
          <w:color w:val="2A2A2A"/>
          <w:sz w:val="20"/>
          <w:szCs w:val="20"/>
          <w:shd w:val="clear" w:color="auto" w:fill="FFFFFF"/>
        </w:rPr>
        <w:t>, Opportunities for Environmental Crime: A Test of Situational Crime Prevention Theory, </w:t>
      </w:r>
      <w:r w:rsidRPr="00E71B55">
        <w:rPr>
          <w:rStyle w:val="Emphasis"/>
          <w:rFonts w:cstheme="minorHAnsi"/>
          <w:color w:val="2A2A2A"/>
          <w:sz w:val="20"/>
          <w:szCs w:val="20"/>
          <w:bdr w:val="none" w:sz="0" w:space="0" w:color="auto" w:frame="1"/>
          <w:shd w:val="clear" w:color="auto" w:fill="FFFFFF"/>
        </w:rPr>
        <w:t>The British Journal of Criminology</w:t>
      </w:r>
      <w:r w:rsidRPr="00E71B55">
        <w:rPr>
          <w:rFonts w:cstheme="minorHAnsi"/>
          <w:color w:val="2A2A2A"/>
          <w:sz w:val="20"/>
          <w:szCs w:val="20"/>
          <w:shd w:val="clear" w:color="auto" w:fill="FFFFFF"/>
        </w:rPr>
        <w:t>, Volume 53, Issue 6, November 2013, Pages 1178–1200. Accessed at: </w:t>
      </w:r>
      <w:hyperlink r:id="rId39" w:history="1">
        <w:r w:rsidRPr="00E71B55">
          <w:rPr>
            <w:rStyle w:val="Hyperlink"/>
            <w:rFonts w:cstheme="minorHAnsi"/>
            <w:color w:val="006FB7"/>
            <w:sz w:val="20"/>
            <w:szCs w:val="20"/>
            <w:bdr w:val="none" w:sz="0" w:space="0" w:color="auto" w:frame="1"/>
            <w:shd w:val="clear" w:color="auto" w:fill="FFFFFF"/>
          </w:rPr>
          <w:t>https://doi.org/10.1093/bjc/azt036</w:t>
        </w:r>
      </w:hyperlink>
    </w:p>
    <w:p w14:paraId="0F2E6A88" w14:textId="77777777" w:rsidR="00ED3AF3" w:rsidRPr="00E71B55" w:rsidRDefault="00ED3AF3" w:rsidP="00ED3AF3">
      <w:pPr>
        <w:spacing w:line="240" w:lineRule="auto"/>
        <w:rPr>
          <w:rFonts w:cstheme="minorHAnsi"/>
          <w:sz w:val="20"/>
          <w:szCs w:val="20"/>
        </w:rPr>
      </w:pPr>
      <w:r w:rsidRPr="00E71B55">
        <w:rPr>
          <w:rFonts w:cstheme="minorHAnsi"/>
          <w:sz w:val="20"/>
          <w:szCs w:val="20"/>
        </w:rPr>
        <w:t>Yar, Majid (2017). Online Crime. 10.1093/</w:t>
      </w:r>
      <w:proofErr w:type="spellStart"/>
      <w:r w:rsidRPr="00E71B55">
        <w:rPr>
          <w:rFonts w:cstheme="minorHAnsi"/>
          <w:sz w:val="20"/>
          <w:szCs w:val="20"/>
        </w:rPr>
        <w:t>acrefore</w:t>
      </w:r>
      <w:proofErr w:type="spellEnd"/>
      <w:r w:rsidRPr="00E71B55">
        <w:rPr>
          <w:rFonts w:cstheme="minorHAnsi"/>
          <w:sz w:val="20"/>
          <w:szCs w:val="20"/>
        </w:rPr>
        <w:t xml:space="preserve">/9780190264079.013.112. [online]. Accessed at: </w:t>
      </w:r>
      <w:hyperlink r:id="rId40" w:history="1">
        <w:r w:rsidRPr="00E71B55">
          <w:rPr>
            <w:rStyle w:val="Hyperlink"/>
            <w:rFonts w:cstheme="minorHAnsi"/>
            <w:sz w:val="20"/>
            <w:szCs w:val="20"/>
          </w:rPr>
          <w:t>(PDF) Online Crime (researchgate.net)</w:t>
        </w:r>
      </w:hyperlink>
    </w:p>
    <w:p w14:paraId="7DBF231F" w14:textId="77777777" w:rsidR="00ED3AF3" w:rsidRDefault="00ED3AF3" w:rsidP="00ED3AF3"/>
    <w:p w14:paraId="72544CE8" w14:textId="77777777" w:rsidR="00ED3AF3" w:rsidRDefault="00ED3AF3" w:rsidP="00ED3AF3"/>
    <w:p w14:paraId="271745F6" w14:textId="77777777" w:rsidR="00ED3AF3" w:rsidRDefault="00ED3AF3" w:rsidP="00ED3AF3"/>
    <w:p w14:paraId="1D4AAE55" w14:textId="77777777" w:rsidR="00ED3AF3" w:rsidRDefault="00ED3AF3" w:rsidP="00ED3AF3"/>
    <w:p w14:paraId="2A85885A" w14:textId="77777777" w:rsidR="00ED3AF3" w:rsidRDefault="00ED3AF3" w:rsidP="00ED3AF3"/>
    <w:p w14:paraId="5B8D1735" w14:textId="77777777" w:rsidR="00ED3AF3" w:rsidRDefault="00ED3AF3" w:rsidP="00783199">
      <w:pPr>
        <w:spacing w:line="360" w:lineRule="auto"/>
      </w:pPr>
    </w:p>
    <w:p w14:paraId="7E465F9E" w14:textId="77777777" w:rsidR="00964D6D" w:rsidRDefault="00964D6D"/>
    <w:p w14:paraId="513C5EAA" w14:textId="77777777" w:rsidR="00964D6D" w:rsidRDefault="00964D6D"/>
    <w:p w14:paraId="25A36372" w14:textId="77777777" w:rsidR="00964D6D" w:rsidRDefault="00964D6D"/>
    <w:p w14:paraId="20683CAB" w14:textId="77777777" w:rsidR="009050FD" w:rsidRDefault="009050FD"/>
    <w:p w14:paraId="56C6713D" w14:textId="77777777" w:rsidR="009050FD" w:rsidRDefault="009050FD"/>
    <w:p w14:paraId="298F1E70" w14:textId="77777777" w:rsidR="009050FD" w:rsidRDefault="009050FD"/>
    <w:p w14:paraId="05C6DDB0" w14:textId="77777777" w:rsidR="009050FD" w:rsidRDefault="009050FD"/>
    <w:sectPr w:rsidR="009050FD">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D194CA" w14:textId="77777777" w:rsidR="00C96E50" w:rsidRDefault="00C96E50" w:rsidP="00F13DED">
      <w:pPr>
        <w:spacing w:after="0" w:line="240" w:lineRule="auto"/>
      </w:pPr>
      <w:r>
        <w:separator/>
      </w:r>
    </w:p>
  </w:endnote>
  <w:endnote w:type="continuationSeparator" w:id="0">
    <w:p w14:paraId="421688C6" w14:textId="77777777" w:rsidR="00C96E50" w:rsidRDefault="00C96E50" w:rsidP="00F13D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73EC3E" w14:textId="77777777" w:rsidR="00C96E50" w:rsidRDefault="00C96E50" w:rsidP="00F13DED">
      <w:pPr>
        <w:spacing w:after="0" w:line="240" w:lineRule="auto"/>
      </w:pPr>
      <w:r>
        <w:separator/>
      </w:r>
    </w:p>
  </w:footnote>
  <w:footnote w:type="continuationSeparator" w:id="0">
    <w:p w14:paraId="12D26C11" w14:textId="77777777" w:rsidR="00C96E50" w:rsidRDefault="00C96E50" w:rsidP="00F13D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D24EB4" w14:textId="786B0CB7" w:rsidR="00F13DED" w:rsidRDefault="00F13DED">
    <w:pPr>
      <w:pStyle w:val="Header"/>
    </w:pPr>
    <w:r>
      <w:t>Liam Finan</w:t>
    </w:r>
    <w:r>
      <w:ptab w:relativeTo="margin" w:alignment="center" w:leader="none"/>
    </w:r>
    <w:r>
      <w:ptab w:relativeTo="margin" w:alignment="right" w:leader="none"/>
    </w:r>
    <w:r>
      <w:t>2131864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923228"/>
    <w:multiLevelType w:val="multilevel"/>
    <w:tmpl w:val="C888B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3B86126"/>
    <w:multiLevelType w:val="multilevel"/>
    <w:tmpl w:val="53E4E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37095421">
    <w:abstractNumId w:val="0"/>
  </w:num>
  <w:num w:numId="2" w16cid:durableId="13809370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D58"/>
    <w:rsid w:val="000639F8"/>
    <w:rsid w:val="000C3DD7"/>
    <w:rsid w:val="00123FDA"/>
    <w:rsid w:val="001B7300"/>
    <w:rsid w:val="001B7995"/>
    <w:rsid w:val="001C1F41"/>
    <w:rsid w:val="001F7609"/>
    <w:rsid w:val="00236179"/>
    <w:rsid w:val="002D25CE"/>
    <w:rsid w:val="002D4B96"/>
    <w:rsid w:val="002E7F27"/>
    <w:rsid w:val="00311915"/>
    <w:rsid w:val="003B28BD"/>
    <w:rsid w:val="00470376"/>
    <w:rsid w:val="004763B7"/>
    <w:rsid w:val="00496E98"/>
    <w:rsid w:val="004A6DEA"/>
    <w:rsid w:val="005B20CB"/>
    <w:rsid w:val="005F10E2"/>
    <w:rsid w:val="00606860"/>
    <w:rsid w:val="00631C48"/>
    <w:rsid w:val="00643BBD"/>
    <w:rsid w:val="00704AF5"/>
    <w:rsid w:val="00723129"/>
    <w:rsid w:val="00783199"/>
    <w:rsid w:val="007C6BA9"/>
    <w:rsid w:val="007E6D58"/>
    <w:rsid w:val="0086789E"/>
    <w:rsid w:val="008E007C"/>
    <w:rsid w:val="009050FD"/>
    <w:rsid w:val="00964D6D"/>
    <w:rsid w:val="009826DF"/>
    <w:rsid w:val="00A06C58"/>
    <w:rsid w:val="00AC5778"/>
    <w:rsid w:val="00B0060A"/>
    <w:rsid w:val="00B35D1C"/>
    <w:rsid w:val="00BD75F4"/>
    <w:rsid w:val="00C22294"/>
    <w:rsid w:val="00C3574D"/>
    <w:rsid w:val="00C67715"/>
    <w:rsid w:val="00C7046D"/>
    <w:rsid w:val="00C84666"/>
    <w:rsid w:val="00C96E50"/>
    <w:rsid w:val="00CF32D6"/>
    <w:rsid w:val="00D06C12"/>
    <w:rsid w:val="00D10FF5"/>
    <w:rsid w:val="00DC5989"/>
    <w:rsid w:val="00DE1F36"/>
    <w:rsid w:val="00DF0AD6"/>
    <w:rsid w:val="00E541FD"/>
    <w:rsid w:val="00ED3AF3"/>
    <w:rsid w:val="00ED6E79"/>
    <w:rsid w:val="00EF44AE"/>
    <w:rsid w:val="00EF5BD2"/>
    <w:rsid w:val="00F13DED"/>
    <w:rsid w:val="00FB12DA"/>
    <w:rsid w:val="00FC4A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15D20"/>
  <w15:chartTrackingRefBased/>
  <w15:docId w15:val="{71872D58-78C7-4222-9FA8-3E0A7AC91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2229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50FD"/>
    <w:rPr>
      <w:color w:val="0000FF"/>
      <w:u w:val="single"/>
    </w:rPr>
  </w:style>
  <w:style w:type="paragraph" w:styleId="NormalWeb">
    <w:name w:val="Normal (Web)"/>
    <w:basedOn w:val="Normal"/>
    <w:uiPriority w:val="99"/>
    <w:unhideWhenUsed/>
    <w:rsid w:val="0060686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C22294"/>
    <w:rPr>
      <w:rFonts w:ascii="Times New Roman" w:eastAsia="Times New Roman" w:hAnsi="Times New Roman" w:cs="Times New Roman"/>
      <w:b/>
      <w:bCs/>
      <w:kern w:val="36"/>
      <w:sz w:val="48"/>
      <w:szCs w:val="48"/>
      <w:lang w:eastAsia="en-GB"/>
      <w14:ligatures w14:val="none"/>
    </w:rPr>
  </w:style>
  <w:style w:type="character" w:styleId="Emphasis">
    <w:name w:val="Emphasis"/>
    <w:basedOn w:val="DefaultParagraphFont"/>
    <w:uiPriority w:val="20"/>
    <w:qFormat/>
    <w:rsid w:val="00ED3AF3"/>
    <w:rPr>
      <w:i/>
      <w:iCs/>
    </w:rPr>
  </w:style>
  <w:style w:type="paragraph" w:styleId="Header">
    <w:name w:val="header"/>
    <w:basedOn w:val="Normal"/>
    <w:link w:val="HeaderChar"/>
    <w:uiPriority w:val="99"/>
    <w:unhideWhenUsed/>
    <w:rsid w:val="00F13D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3DED"/>
  </w:style>
  <w:style w:type="paragraph" w:styleId="Footer">
    <w:name w:val="footer"/>
    <w:basedOn w:val="Normal"/>
    <w:link w:val="FooterChar"/>
    <w:uiPriority w:val="99"/>
    <w:unhideWhenUsed/>
    <w:rsid w:val="00F13D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3D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386221">
      <w:bodyDiv w:val="1"/>
      <w:marLeft w:val="0"/>
      <w:marRight w:val="0"/>
      <w:marTop w:val="0"/>
      <w:marBottom w:val="0"/>
      <w:divBdr>
        <w:top w:val="none" w:sz="0" w:space="0" w:color="auto"/>
        <w:left w:val="none" w:sz="0" w:space="0" w:color="auto"/>
        <w:bottom w:val="none" w:sz="0" w:space="0" w:color="auto"/>
        <w:right w:val="none" w:sz="0" w:space="0" w:color="auto"/>
      </w:divBdr>
    </w:div>
    <w:div w:id="1162697833">
      <w:bodyDiv w:val="1"/>
      <w:marLeft w:val="0"/>
      <w:marRight w:val="0"/>
      <w:marTop w:val="0"/>
      <w:marBottom w:val="0"/>
      <w:divBdr>
        <w:top w:val="none" w:sz="0" w:space="0" w:color="auto"/>
        <w:left w:val="none" w:sz="0" w:space="0" w:color="auto"/>
        <w:bottom w:val="none" w:sz="0" w:space="0" w:color="auto"/>
        <w:right w:val="none" w:sz="0" w:space="0" w:color="auto"/>
      </w:divBdr>
    </w:div>
    <w:div w:id="1553930753">
      <w:bodyDiv w:val="1"/>
      <w:marLeft w:val="0"/>
      <w:marRight w:val="0"/>
      <w:marTop w:val="0"/>
      <w:marBottom w:val="0"/>
      <w:divBdr>
        <w:top w:val="none" w:sz="0" w:space="0" w:color="auto"/>
        <w:left w:val="none" w:sz="0" w:space="0" w:color="auto"/>
        <w:bottom w:val="none" w:sz="0" w:space="0" w:color="auto"/>
        <w:right w:val="none" w:sz="0" w:space="0" w:color="auto"/>
      </w:divBdr>
    </w:div>
    <w:div w:id="1839155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logs.loc.gov/law/2013/05/the-uks-legal-response-to-the-london-bombings-of-77/" TargetMode="External"/><Relationship Id="rId18" Type="http://schemas.openxmlformats.org/officeDocument/2006/relationships/hyperlink" Target="https://www.ethnicity-facts-figures.service.gov.uk/workforce-and-business/workforce-diversity/police-workforce/latest" TargetMode="External"/><Relationship Id="rId26" Type="http://schemas.openxmlformats.org/officeDocument/2006/relationships/hyperlink" Target="https://doi-org.ezproxy.uwtsd.ac.uk/10.1177/1362480616677493" TargetMode="External"/><Relationship Id="rId39" Type="http://schemas.openxmlformats.org/officeDocument/2006/relationships/hyperlink" Target="https://doi.org/10.1093/bjc/azt036" TargetMode="External"/><Relationship Id="rId21" Type="http://schemas.openxmlformats.org/officeDocument/2006/relationships/hyperlink" Target="https://www.realinstitutoelcano.org/en/analyses/the-7-july-london-bombings-islamic-extremism-strikes-again/" TargetMode="External"/><Relationship Id="rId34" Type="http://schemas.openxmlformats.org/officeDocument/2006/relationships/hyperlink" Target="https://www.legislation.gov.uk/ukpga/2006/11/contents" TargetMode="External"/><Relationship Id="rId42" Type="http://schemas.openxmlformats.org/officeDocument/2006/relationships/fontTable" Target="fontTable.xml"/><Relationship Id="rId7" Type="http://schemas.openxmlformats.org/officeDocument/2006/relationships/hyperlink" Target="http://journals.openedition.org/mimmoc/1340" TargetMode="External"/><Relationship Id="rId2" Type="http://schemas.openxmlformats.org/officeDocument/2006/relationships/styles" Target="styles.xml"/><Relationship Id="rId16" Type="http://schemas.openxmlformats.org/officeDocument/2006/relationships/hyperlink" Target="https://assets.publishing.service.gov.uk/media/5b23df8f40f0b634d557b020/140618_CCS207_CCS0218929798-1_CONTEST_3.0_WEB.pdf" TargetMode="External"/><Relationship Id="rId20" Type="http://schemas.openxmlformats.org/officeDocument/2006/relationships/hyperlink" Target="https://doi.org/10.1007/s11292-014-9209-" TargetMode="External"/><Relationship Id="rId29" Type="http://schemas.openxmlformats.org/officeDocument/2006/relationships/hyperlink" Target="https://researchbriefings.files.parliament.uk/documents/POST-PB-0015/POST-PB-0015.pdf" TargetMode="External"/><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787/605207554154" TargetMode="External"/><Relationship Id="rId24" Type="http://schemas.openxmlformats.org/officeDocument/2006/relationships/hyperlink" Target="https://www.nao.org.uk/wp-content/uploads/2019/03/Tackling-serious-and-organised-crime-Summary.pdf" TargetMode="External"/><Relationship Id="rId32" Type="http://schemas.openxmlformats.org/officeDocument/2006/relationships/hyperlink" Target="https://icat.un.org/sites/g/files/tmzbdl461/files/publications/20-02107_icat_brief_9_ebook.pdf" TargetMode="External"/><Relationship Id="rId37" Type="http://schemas.openxmlformats.org/officeDocument/2006/relationships/hyperlink" Target="https://www.researchgate.net/publication/228199078_The_Internet_as_a_Conduit_for_Criminal_Activity" TargetMode="External"/><Relationship Id="rId40" Type="http://schemas.openxmlformats.org/officeDocument/2006/relationships/hyperlink" Target="https://www.researchgate.net/publication/317092621_Online_Crime" TargetMode="External"/><Relationship Id="rId5" Type="http://schemas.openxmlformats.org/officeDocument/2006/relationships/footnotes" Target="footnotes.xml"/><Relationship Id="rId15" Type="http://schemas.openxmlformats.org/officeDocument/2006/relationships/hyperlink" Target="https://irp.fas.org/world/uk/govres_7july.pdf" TargetMode="External"/><Relationship Id="rId23" Type="http://schemas.openxmlformats.org/officeDocument/2006/relationships/hyperlink" Target="https://www.psychologytoday.com/gb/blog/psychology-the-people/202112/why-representation-matters-and-why-it-s-still-not-enough" TargetMode="External"/><Relationship Id="rId28" Type="http://schemas.openxmlformats.org/officeDocument/2006/relationships/hyperlink" Target="https://theconversation.com/police-force-diversity-is-improving-in-the-uk-but-theres-a-long-way-to-go-139997" TargetMode="External"/><Relationship Id="rId36" Type="http://schemas.openxmlformats.org/officeDocument/2006/relationships/hyperlink" Target="https://www.unodc.org/e4j/zh/organized-crime/module-6/key-issues/structural-factors.html" TargetMode="External"/><Relationship Id="rId10" Type="http://schemas.openxmlformats.org/officeDocument/2006/relationships/hyperlink" Target="http://www.police-foundation.org.uk/wp-content/uploads/2017/10/oc_in_local_communities_final.pdf" TargetMode="External"/><Relationship Id="rId19" Type="http://schemas.openxmlformats.org/officeDocument/2006/relationships/hyperlink" Target="https://irp.fas.org/world/uk/july7review.pdf" TargetMode="External"/><Relationship Id="rId31" Type="http://schemas.openxmlformats.org/officeDocument/2006/relationships/hyperlink" Target="https://www.college.police.uk/guidance/neighbourhood-policing/promoting-right-culture" TargetMode="External"/><Relationship Id="rId4" Type="http://schemas.openxmlformats.org/officeDocument/2006/relationships/webSettings" Target="webSettings.xml"/><Relationship Id="rId9" Type="http://schemas.openxmlformats.org/officeDocument/2006/relationships/hyperlink" Target="https://www.antislaverycommissioner.co.uk/media/1190/a-typology-of-modern-slavery-offences.pdf" TargetMode="External"/><Relationship Id="rId14" Type="http://schemas.openxmlformats.org/officeDocument/2006/relationships/hyperlink" Target="https://www.aic.gov.au/sites/default/files/2020-05/cptap.pdf" TargetMode="External"/><Relationship Id="rId22" Type="http://schemas.openxmlformats.org/officeDocument/2006/relationships/hyperlink" Target="https://core.ac.uk/reader/322332910" TargetMode="External"/><Relationship Id="rId27" Type="http://schemas.openxmlformats.org/officeDocument/2006/relationships/hyperlink" Target="https://www.ncbi.nlm.nih.gov/pmc/articles/PMC2963593/" TargetMode="External"/><Relationship Id="rId30" Type="http://schemas.openxmlformats.org/officeDocument/2006/relationships/hyperlink" Target="https://assets.publishing.service.gov.uk/government/uploads/system/uploads/attachment_data/file/408585/6_162_HO_SOC_PI_Guidance_Mar2015_v10_FINAL_270215_WEB__2_.pdf" TargetMode="External"/><Relationship Id="rId35" Type="http://schemas.openxmlformats.org/officeDocument/2006/relationships/hyperlink" Target="https://www.unodc.org/documents/toc/factsheets/TOC12_fs_general_EN_HIRES.pdf" TargetMode="External"/><Relationship Id="rId43" Type="http://schemas.openxmlformats.org/officeDocument/2006/relationships/theme" Target="theme/theme1.xml"/><Relationship Id="rId8" Type="http://schemas.openxmlformats.org/officeDocument/2006/relationships/hyperlink" Target="https://www.law.ac.uk/resources/blog/diversity-in-policing/" TargetMode="External"/><Relationship Id="rId3" Type="http://schemas.openxmlformats.org/officeDocument/2006/relationships/settings" Target="settings.xml"/><Relationship Id="rId12" Type="http://schemas.openxmlformats.org/officeDocument/2006/relationships/hyperlink" Target="https://assets.publishing.service.gov.uk/media/5cb84ce640f0b649df5bf9f5/561_Gender_and_Serious_and_Organised_Crime.pdf" TargetMode="External"/><Relationship Id="rId17" Type="http://schemas.openxmlformats.org/officeDocument/2006/relationships/hyperlink" Target="https://www.gov.uk/government/statistics/individuals-referred-to-and-supported-through-the-prevent-programme-april-2021-to-march-2022/individuals-referred-to-and-supported-through-the-prevent-programme-april-2021-to-march-2022" TargetMode="External"/><Relationship Id="rId25" Type="http://schemas.openxmlformats.org/officeDocument/2006/relationships/hyperlink" Target="https://www.nationalcrimeagency.gov.uk/what-we-do/crime-threats/modern-slavery-and-human-trafficking" TargetMode="External"/><Relationship Id="rId33" Type="http://schemas.openxmlformats.org/officeDocument/2006/relationships/hyperlink" Target="https://www.legislation.gov.uk/ukpga/2000/11/contents" TargetMode="External"/><Relationship Id="rId38" Type="http://schemas.openxmlformats.org/officeDocument/2006/relationships/hyperlink" Target="https://www.ojp.gov/pdffiles1/nij/grants/21167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5692</Words>
  <Characters>32451</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38067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Finan,Liam swp8278</dc:creator>
  <cp:keywords/>
  <dc:description/>
  <cp:lastModifiedBy>Finan,Liam swp8278</cp:lastModifiedBy>
  <cp:revision>3</cp:revision>
  <dcterms:created xsi:type="dcterms:W3CDTF">2023-11-26T19:08:00Z</dcterms:created>
  <dcterms:modified xsi:type="dcterms:W3CDTF">2023-11-26T19:09:00Z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2023-07-10T16:32:48Z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5d423443-169f-4cb3-9278-e8a198cd765a</vt:lpwstr>
  </property>
  <property fmtid="{D5CDD505-2E9C-101B-9397-08002B2CF9AE}" pid="8" name="MSIP_Label_66cf8fe5-b7b7-4df7-b38d-1c61ac2f6639_ContentBits">
    <vt:lpwstr>0</vt:lpwstr>
  </property>
</Properties>
</file>