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30067519"/>
        <w:docPartObj>
          <w:docPartGallery w:val="Cover Pages"/>
          <w:docPartUnique/>
        </w:docPartObj>
      </w:sdtPr>
      <w:sdtEndPr>
        <w:rPr>
          <w:rFonts w:ascii="Times New Roman" w:eastAsiaTheme="minorHAnsi" w:hAnsi="Times New Roman" w:cs="Times New Roman"/>
          <w:b/>
          <w:bCs/>
          <w:kern w:val="2"/>
          <w:sz w:val="24"/>
          <w:szCs w:val="24"/>
          <w:u w:val="double"/>
          <w:lang w:val="en-GB"/>
          <w14:ligatures w14:val="standardContextual"/>
        </w:rPr>
      </w:sdtEndPr>
      <w:sdtContent>
        <w:p w14:paraId="06274151" w14:textId="7ADCD9D9" w:rsidR="00625E6D" w:rsidRDefault="00625E6D">
          <w:pPr>
            <w:pStyle w:val="NoSpacing"/>
          </w:pPr>
          <w:r>
            <w:rPr>
              <w:noProof/>
            </w:rPr>
            <mc:AlternateContent>
              <mc:Choice Requires="wpg">
                <w:drawing>
                  <wp:anchor distT="0" distB="0" distL="114300" distR="114300" simplePos="0" relativeHeight="251659264" behindDoc="1" locked="0" layoutInCell="1" allowOverlap="1" wp14:anchorId="2B016A76" wp14:editId="705E06E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fullDate="2025-03-14T00:00:00Z">
                                      <w:dateFormat w:val="M/d/yyyy"/>
                                      <w:lid w:val="en-US"/>
                                      <w:storeMappedDataAs w:val="dateTime"/>
                                      <w:calendar w:val="gregorian"/>
                                    </w:date>
                                  </w:sdtPr>
                                  <w:sdtContent>
                                    <w:p w14:paraId="7D7695A1" w14:textId="62CEDFD5" w:rsidR="00625E6D" w:rsidRPr="00625E6D" w:rsidRDefault="00625E6D">
                                      <w:pPr>
                                        <w:pStyle w:val="NoSpacing"/>
                                        <w:jc w:val="right"/>
                                        <w:rPr>
                                          <w:rFonts w:ascii="Times New Roman" w:hAnsi="Times New Roman" w:cs="Times New Roman"/>
                                          <w:b/>
                                          <w:bCs/>
                                          <w:color w:val="FFFFFF" w:themeColor="background1"/>
                                          <w:sz w:val="36"/>
                                          <w:szCs w:val="36"/>
                                        </w:rPr>
                                      </w:pPr>
                                      <w:r w:rsidRPr="00625E6D">
                                        <w:rPr>
                                          <w:rFonts w:ascii="Times New Roman" w:hAnsi="Times New Roman" w:cs="Times New Roman"/>
                                          <w:b/>
                                          <w:bCs/>
                                          <w:color w:val="FFFFFF" w:themeColor="background1"/>
                                          <w:sz w:val="36"/>
                                          <w:szCs w:val="36"/>
                                        </w:rPr>
                                        <w:t>3/14/2025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B016A7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rFonts w:ascii="Times New Roman" w:hAnsi="Times New Roman" w:cs="Times New Roman"/>
                                <w:b/>
                                <w:bCs/>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fullDate="2025-03-14T00:00:00Z">
                                <w:dateFormat w:val="M/d/yyyy"/>
                                <w:lid w:val="en-US"/>
                                <w:storeMappedDataAs w:val="dateTime"/>
                                <w:calendar w:val="gregorian"/>
                              </w:date>
                            </w:sdtPr>
                            <w:sdtContent>
                              <w:p w14:paraId="7D7695A1" w14:textId="62CEDFD5" w:rsidR="00625E6D" w:rsidRPr="00625E6D" w:rsidRDefault="00625E6D">
                                <w:pPr>
                                  <w:pStyle w:val="NoSpacing"/>
                                  <w:jc w:val="right"/>
                                  <w:rPr>
                                    <w:rFonts w:ascii="Times New Roman" w:hAnsi="Times New Roman" w:cs="Times New Roman"/>
                                    <w:b/>
                                    <w:bCs/>
                                    <w:color w:val="FFFFFF" w:themeColor="background1"/>
                                    <w:sz w:val="36"/>
                                    <w:szCs w:val="36"/>
                                  </w:rPr>
                                </w:pPr>
                                <w:r w:rsidRPr="00625E6D">
                                  <w:rPr>
                                    <w:rFonts w:ascii="Times New Roman" w:hAnsi="Times New Roman" w:cs="Times New Roman"/>
                                    <w:b/>
                                    <w:bCs/>
                                    <w:color w:val="FFFFFF" w:themeColor="background1"/>
                                    <w:sz w:val="36"/>
                                    <w:szCs w:val="36"/>
                                  </w:rPr>
                                  <w:t>3/14/2025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EDC6BFC" w14:textId="059E40DD" w:rsidR="00625E6D" w:rsidRDefault="00081B49">
          <w:pPr>
            <w:rPr>
              <w:rFonts w:ascii="Times New Roman" w:hAnsi="Times New Roman" w:cs="Times New Roman"/>
              <w:b/>
              <w:bCs/>
              <w:u w:val="double"/>
            </w:rPr>
          </w:pPr>
          <w:r>
            <w:rPr>
              <w:noProof/>
            </w:rPr>
            <mc:AlternateContent>
              <mc:Choice Requires="wps">
                <w:drawing>
                  <wp:anchor distT="0" distB="0" distL="114300" distR="114300" simplePos="0" relativeHeight="251661312" behindDoc="0" locked="0" layoutInCell="1" allowOverlap="1" wp14:anchorId="623AFA05" wp14:editId="232B0879">
                    <wp:simplePos x="0" y="0"/>
                    <wp:positionH relativeFrom="page">
                      <wp:posOffset>2251129</wp:posOffset>
                    </wp:positionH>
                    <wp:positionV relativeFrom="margin">
                      <wp:align>bottom</wp:align>
                    </wp:positionV>
                    <wp:extent cx="4328354" cy="365760"/>
                    <wp:effectExtent l="0" t="0" r="15240" b="0"/>
                    <wp:wrapNone/>
                    <wp:docPr id="32" name="Text Box 28"/>
                    <wp:cNvGraphicFramePr/>
                    <a:graphic xmlns:a="http://schemas.openxmlformats.org/drawingml/2006/main">
                      <a:graphicData uri="http://schemas.microsoft.com/office/word/2010/wordprocessingShape">
                        <wps:wsp>
                          <wps:cNvSpPr txBox="1"/>
                          <wps:spPr>
                            <a:xfrm>
                              <a:off x="0" y="0"/>
                              <a:ext cx="4328354"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77065" w14:textId="635D5DBD" w:rsidR="00625E6D" w:rsidRPr="00081B49" w:rsidRDefault="00625E6D">
                                <w:pPr>
                                  <w:pStyle w:val="NoSpacing"/>
                                  <w:rPr>
                                    <w:rFonts w:ascii="Times New Roman" w:hAnsi="Times New Roman" w:cs="Times New Roman"/>
                                    <w:b/>
                                    <w:bCs/>
                                    <w:color w:val="156082" w:themeColor="accent1"/>
                                    <w:sz w:val="36"/>
                                    <w:szCs w:val="36"/>
                                  </w:rPr>
                                </w:pPr>
                                <w:sdt>
                                  <w:sdtPr>
                                    <w:rPr>
                                      <w:rFonts w:ascii="Times New Roman" w:hAnsi="Times New Roman" w:cs="Times New Roman"/>
                                      <w:b/>
                                      <w:bCs/>
                                      <w:color w:val="156082"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081B49">
                                      <w:rPr>
                                        <w:rFonts w:ascii="Times New Roman" w:hAnsi="Times New Roman" w:cs="Times New Roman"/>
                                        <w:b/>
                                        <w:bCs/>
                                        <w:color w:val="156082" w:themeColor="accent1"/>
                                        <w:sz w:val="36"/>
                                        <w:szCs w:val="36"/>
                                      </w:rPr>
                                      <w:t>M</w:t>
                                    </w:r>
                                    <w:r w:rsidR="00081B49" w:rsidRPr="00081B49">
                                      <w:rPr>
                                        <w:rFonts w:ascii="Times New Roman" w:hAnsi="Times New Roman" w:cs="Times New Roman"/>
                                        <w:b/>
                                        <w:bCs/>
                                        <w:color w:val="156082" w:themeColor="accent1"/>
                                        <w:sz w:val="36"/>
                                        <w:szCs w:val="36"/>
                                      </w:rPr>
                                      <w:t xml:space="preserve">adalina Denisa Dumitru </w:t>
                                    </w:r>
                                  </w:sdtContent>
                                </w:sdt>
                              </w:p>
                              <w:p w14:paraId="50CF91C8" w14:textId="59270BA3" w:rsidR="00625E6D" w:rsidRPr="00081B49" w:rsidRDefault="00081B49">
                                <w:pPr>
                                  <w:pStyle w:val="NoSpacing"/>
                                  <w:rPr>
                                    <w:rFonts w:ascii="Times New Roman" w:hAnsi="Times New Roman" w:cs="Times New Roman"/>
                                    <w:b/>
                                    <w:bCs/>
                                    <w:color w:val="595959" w:themeColor="text1" w:themeTint="A6"/>
                                    <w:sz w:val="36"/>
                                    <w:szCs w:val="36"/>
                                  </w:rPr>
                                </w:pPr>
                                <w:sdt>
                                  <w:sdtPr>
                                    <w:rPr>
                                      <w:rFonts w:ascii="Times New Roman" w:hAnsi="Times New Roman" w:cs="Times New Roman"/>
                                      <w:b/>
                                      <w:bCs/>
                                      <w:caps/>
                                      <w:color w:val="595959" w:themeColor="text1" w:themeTint="A6"/>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Pr="00081B49">
                                      <w:rPr>
                                        <w:rFonts w:ascii="Times New Roman" w:hAnsi="Times New Roman" w:cs="Times New Roman"/>
                                        <w:b/>
                                        <w:bCs/>
                                        <w:caps/>
                                        <w:color w:val="595959" w:themeColor="text1" w:themeTint="A6"/>
                                        <w:sz w:val="36"/>
                                        <w:szCs w:val="36"/>
                                      </w:rPr>
                                      <w:t>Sustainable Enterprise/ Social Enterprise Management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23AFA05" id="_x0000_t202" coordsize="21600,21600" o:spt="202" path="m,l,21600r21600,l21600,xe">
                    <v:stroke joinstyle="miter"/>
                    <v:path gradientshapeok="t" o:connecttype="rect"/>
                  </v:shapetype>
                  <v:shape id="Text Box 28" o:spid="_x0000_s1055" type="#_x0000_t202" style="position:absolute;margin-left:177.25pt;margin-top:0;width:340.8pt;height:28.8pt;z-index:251661312;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" filled="f" stroked="f" strokeweight=".5pt">
                    <v:textbox style="mso-fit-shape-to-text:t" inset="0,0,0,0">
                      <w:txbxContent>
                        <w:p w14:paraId="33E77065" w14:textId="635D5DBD" w:rsidR="00625E6D" w:rsidRPr="00081B49" w:rsidRDefault="00625E6D">
                          <w:pPr>
                            <w:pStyle w:val="NoSpacing"/>
                            <w:rPr>
                              <w:rFonts w:ascii="Times New Roman" w:hAnsi="Times New Roman" w:cs="Times New Roman"/>
                              <w:b/>
                              <w:bCs/>
                              <w:color w:val="156082" w:themeColor="accent1"/>
                              <w:sz w:val="36"/>
                              <w:szCs w:val="36"/>
                            </w:rPr>
                          </w:pPr>
                          <w:sdt>
                            <w:sdtPr>
                              <w:rPr>
                                <w:rFonts w:ascii="Times New Roman" w:hAnsi="Times New Roman" w:cs="Times New Roman"/>
                                <w:b/>
                                <w:bCs/>
                                <w:color w:val="156082"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081B49">
                                <w:rPr>
                                  <w:rFonts w:ascii="Times New Roman" w:hAnsi="Times New Roman" w:cs="Times New Roman"/>
                                  <w:b/>
                                  <w:bCs/>
                                  <w:color w:val="156082" w:themeColor="accent1"/>
                                  <w:sz w:val="36"/>
                                  <w:szCs w:val="36"/>
                                </w:rPr>
                                <w:t>M</w:t>
                              </w:r>
                              <w:r w:rsidR="00081B49" w:rsidRPr="00081B49">
                                <w:rPr>
                                  <w:rFonts w:ascii="Times New Roman" w:hAnsi="Times New Roman" w:cs="Times New Roman"/>
                                  <w:b/>
                                  <w:bCs/>
                                  <w:color w:val="156082" w:themeColor="accent1"/>
                                  <w:sz w:val="36"/>
                                  <w:szCs w:val="36"/>
                                </w:rPr>
                                <w:t xml:space="preserve">adalina Denisa Dumitru </w:t>
                              </w:r>
                            </w:sdtContent>
                          </w:sdt>
                        </w:p>
                        <w:p w14:paraId="50CF91C8" w14:textId="59270BA3" w:rsidR="00625E6D" w:rsidRPr="00081B49" w:rsidRDefault="00081B49">
                          <w:pPr>
                            <w:pStyle w:val="NoSpacing"/>
                            <w:rPr>
                              <w:rFonts w:ascii="Times New Roman" w:hAnsi="Times New Roman" w:cs="Times New Roman"/>
                              <w:b/>
                              <w:bCs/>
                              <w:color w:val="595959" w:themeColor="text1" w:themeTint="A6"/>
                              <w:sz w:val="36"/>
                              <w:szCs w:val="36"/>
                            </w:rPr>
                          </w:pPr>
                          <w:sdt>
                            <w:sdtPr>
                              <w:rPr>
                                <w:rFonts w:ascii="Times New Roman" w:hAnsi="Times New Roman" w:cs="Times New Roman"/>
                                <w:b/>
                                <w:bCs/>
                                <w:caps/>
                                <w:color w:val="595959" w:themeColor="text1" w:themeTint="A6"/>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Pr="00081B49">
                                <w:rPr>
                                  <w:rFonts w:ascii="Times New Roman" w:hAnsi="Times New Roman" w:cs="Times New Roman"/>
                                  <w:b/>
                                  <w:bCs/>
                                  <w:caps/>
                                  <w:color w:val="595959" w:themeColor="text1" w:themeTint="A6"/>
                                  <w:sz w:val="36"/>
                                  <w:szCs w:val="36"/>
                                </w:rPr>
                                <w:t>Sustainable Enterprise/ Social Enterprise Management</w:t>
                              </w:r>
                            </w:sdtContent>
                          </w:sdt>
                        </w:p>
                      </w:txbxContent>
                    </v:textbox>
                    <w10:wrap anchorx="page" anchory="margin"/>
                  </v:shape>
                </w:pict>
              </mc:Fallback>
            </mc:AlternateContent>
          </w:r>
          <w:r w:rsidR="00625E6D">
            <w:rPr>
              <w:noProof/>
            </w:rPr>
            <mc:AlternateContent>
              <mc:Choice Requires="wps">
                <w:drawing>
                  <wp:anchor distT="0" distB="0" distL="114300" distR="114300" simplePos="0" relativeHeight="251660288" behindDoc="0" locked="0" layoutInCell="1" allowOverlap="1" wp14:anchorId="275EBEAB" wp14:editId="45CF0B6C">
                    <wp:simplePos x="0" y="0"/>
                    <wp:positionH relativeFrom="page">
                      <wp:posOffset>1464590</wp:posOffset>
                    </wp:positionH>
                    <wp:positionV relativeFrom="page">
                      <wp:posOffset>3088037</wp:posOffset>
                    </wp:positionV>
                    <wp:extent cx="5273223" cy="1069848"/>
                    <wp:effectExtent l="0" t="0" r="3810" b="3175"/>
                    <wp:wrapNone/>
                    <wp:docPr id="1" name="Text Box 30"/>
                    <wp:cNvGraphicFramePr/>
                    <a:graphic xmlns:a="http://schemas.openxmlformats.org/drawingml/2006/main">
                      <a:graphicData uri="http://schemas.microsoft.com/office/word/2010/wordprocessingShape">
                        <wps:wsp>
                          <wps:cNvSpPr txBox="1"/>
                          <wps:spPr>
                            <a:xfrm>
                              <a:off x="0" y="0"/>
                              <a:ext cx="5273223"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9C0B0" w14:textId="491B54B9" w:rsidR="00625E6D" w:rsidRPr="00625E6D" w:rsidRDefault="00625E6D">
                                <w:pPr>
                                  <w:pStyle w:val="NoSpacing"/>
                                  <w:rPr>
                                    <w:rFonts w:ascii="Arial Black" w:eastAsiaTheme="majorEastAsia" w:hAnsi="Arial Black" w:cstheme="majorBidi"/>
                                    <w:color w:val="262626" w:themeColor="text1" w:themeTint="D9"/>
                                    <w:sz w:val="72"/>
                                  </w:rPr>
                                </w:pPr>
                                <w:sdt>
                                  <w:sdtPr>
                                    <w:rPr>
                                      <w:rFonts w:ascii="Times New Roman" w:eastAsiaTheme="majorEastAsia" w:hAnsi="Times New Roman" w:cs="Times New Roman"/>
                                      <w:b/>
                                      <w:bCs/>
                                      <w:color w:val="262626" w:themeColor="text1" w:themeTint="D9"/>
                                      <w:sz w:val="72"/>
                                      <w:szCs w:val="72"/>
                                      <w:u w:val="doub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83AEF">
                                      <w:rPr>
                                        <w:rFonts w:ascii="Times New Roman" w:eastAsiaTheme="majorEastAsia" w:hAnsi="Times New Roman" w:cs="Times New Roman"/>
                                        <w:b/>
                                        <w:bCs/>
                                        <w:color w:val="262626" w:themeColor="text1" w:themeTint="D9"/>
                                        <w:sz w:val="72"/>
                                        <w:szCs w:val="72"/>
                                        <w:u w:val="double"/>
                                      </w:rPr>
                                      <w:t>GreenClean Solutions: A Sustainable Business Plan</w:t>
                                    </w:r>
                                  </w:sdtContent>
                                </w:sdt>
                              </w:p>
                              <w:p w14:paraId="23B201DF" w14:textId="670B0694" w:rsidR="00625E6D" w:rsidRPr="00A83AEF" w:rsidRDefault="00625E6D" w:rsidP="00625E6D">
                                <w:pPr>
                                  <w:spacing w:before="120"/>
                                  <w:jc w:val="center"/>
                                  <w:rPr>
                                    <w:color w:val="404040" w:themeColor="text1" w:themeTint="BF"/>
                                    <w:sz w:val="36"/>
                                    <w:szCs w:val="36"/>
                                    <w:u w:val="double"/>
                                  </w:rPr>
                                </w:pPr>
                                <w:sdt>
                                  <w:sdtPr>
                                    <w:rPr>
                                      <w:rFonts w:ascii="Times New Roman" w:hAnsi="Times New Roman" w:cs="Times New Roman"/>
                                      <w:b/>
                                      <w:bCs/>
                                      <w:color w:val="404040" w:themeColor="text1" w:themeTint="BF"/>
                                      <w:sz w:val="36"/>
                                      <w:szCs w:val="36"/>
                                      <w:u w:val="doub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A83AEF">
                                      <w:rPr>
                                        <w:rFonts w:ascii="Times New Roman" w:hAnsi="Times New Roman" w:cs="Times New Roman"/>
                                        <w:b/>
                                        <w:bCs/>
                                        <w:color w:val="404040" w:themeColor="text1" w:themeTint="BF"/>
                                        <w:sz w:val="36"/>
                                        <w:szCs w:val="36"/>
                                        <w:u w:val="double"/>
                                      </w:rPr>
                                      <w:t xml:space="preserve">Sustainable Enterprise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75EBEAB" id="Text Box 30" o:spid="_x0000_s1056" type="#_x0000_t202" style="position:absolute;margin-left:115.3pt;margin-top:243.15pt;width:415.2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" filled="f" stroked="f" strokeweight=".5pt">
                    <v:textbox style="mso-fit-shape-to-text:t" inset="0,0,0,0">
                      <w:txbxContent>
                        <w:p w14:paraId="3489C0B0" w14:textId="491B54B9" w:rsidR="00625E6D" w:rsidRPr="00625E6D" w:rsidRDefault="00625E6D">
                          <w:pPr>
                            <w:pStyle w:val="NoSpacing"/>
                            <w:rPr>
                              <w:rFonts w:ascii="Arial Black" w:eastAsiaTheme="majorEastAsia" w:hAnsi="Arial Black" w:cstheme="majorBidi"/>
                              <w:color w:val="262626" w:themeColor="text1" w:themeTint="D9"/>
                              <w:sz w:val="72"/>
                            </w:rPr>
                          </w:pPr>
                          <w:sdt>
                            <w:sdtPr>
                              <w:rPr>
                                <w:rFonts w:ascii="Times New Roman" w:eastAsiaTheme="majorEastAsia" w:hAnsi="Times New Roman" w:cs="Times New Roman"/>
                                <w:b/>
                                <w:bCs/>
                                <w:color w:val="262626" w:themeColor="text1" w:themeTint="D9"/>
                                <w:sz w:val="72"/>
                                <w:szCs w:val="72"/>
                                <w:u w:val="doub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83AEF">
                                <w:rPr>
                                  <w:rFonts w:ascii="Times New Roman" w:eastAsiaTheme="majorEastAsia" w:hAnsi="Times New Roman" w:cs="Times New Roman"/>
                                  <w:b/>
                                  <w:bCs/>
                                  <w:color w:val="262626" w:themeColor="text1" w:themeTint="D9"/>
                                  <w:sz w:val="72"/>
                                  <w:szCs w:val="72"/>
                                  <w:u w:val="double"/>
                                </w:rPr>
                                <w:t>GreenClean Solutions: A Sustainable Business Plan</w:t>
                              </w:r>
                            </w:sdtContent>
                          </w:sdt>
                        </w:p>
                        <w:p w14:paraId="23B201DF" w14:textId="670B0694" w:rsidR="00625E6D" w:rsidRPr="00A83AEF" w:rsidRDefault="00625E6D" w:rsidP="00625E6D">
                          <w:pPr>
                            <w:spacing w:before="120"/>
                            <w:jc w:val="center"/>
                            <w:rPr>
                              <w:color w:val="404040" w:themeColor="text1" w:themeTint="BF"/>
                              <w:sz w:val="36"/>
                              <w:szCs w:val="36"/>
                              <w:u w:val="double"/>
                            </w:rPr>
                          </w:pPr>
                          <w:sdt>
                            <w:sdtPr>
                              <w:rPr>
                                <w:rFonts w:ascii="Times New Roman" w:hAnsi="Times New Roman" w:cs="Times New Roman"/>
                                <w:b/>
                                <w:bCs/>
                                <w:color w:val="404040" w:themeColor="text1" w:themeTint="BF"/>
                                <w:sz w:val="36"/>
                                <w:szCs w:val="36"/>
                                <w:u w:val="doub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A83AEF">
                                <w:rPr>
                                  <w:rFonts w:ascii="Times New Roman" w:hAnsi="Times New Roman" w:cs="Times New Roman"/>
                                  <w:b/>
                                  <w:bCs/>
                                  <w:color w:val="404040" w:themeColor="text1" w:themeTint="BF"/>
                                  <w:sz w:val="36"/>
                                  <w:szCs w:val="36"/>
                                  <w:u w:val="double"/>
                                </w:rPr>
                                <w:t xml:space="preserve">Sustainable Enterprise </w:t>
                              </w:r>
                            </w:sdtContent>
                          </w:sdt>
                        </w:p>
                      </w:txbxContent>
                    </v:textbox>
                    <w10:wrap anchorx="page" anchory="page"/>
                  </v:shape>
                </w:pict>
              </mc:Fallback>
            </mc:AlternateContent>
          </w:r>
          <w:r w:rsidR="00625E6D">
            <w:rPr>
              <w:rFonts w:ascii="Times New Roman" w:hAnsi="Times New Roman" w:cs="Times New Roman"/>
              <w:b/>
              <w:bCs/>
              <w:u w:val="double"/>
            </w:rPr>
            <w:br w:type="page"/>
          </w:r>
        </w:p>
      </w:sdtContent>
    </w:sdt>
    <w:p w14:paraId="2C77FE4A" w14:textId="63E7CE26"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lastRenderedPageBreak/>
        <w:t>Executive Summary</w:t>
      </w:r>
    </w:p>
    <w:p w14:paraId="12632F75" w14:textId="77777777" w:rsidR="0079756D" w:rsidRPr="0079756D" w:rsidRDefault="0079756D" w:rsidP="0079756D">
      <w:pPr>
        <w:spacing w:line="480" w:lineRule="auto"/>
        <w:rPr>
          <w:rFonts w:ascii="Times New Roman" w:hAnsi="Times New Roman" w:cs="Times New Roman"/>
        </w:rPr>
      </w:pPr>
      <w:r w:rsidRPr="0079756D">
        <w:rPr>
          <w:rFonts w:ascii="Times New Roman" w:hAnsi="Times New Roman" w:cs="Times New Roman"/>
        </w:rPr>
        <w:t>GreenClean Solutions is a start-up company based in the United Kingdom that is committed to providing environmentally friendly domestic cleaning products that minimise plastic waste and chemical pollution. The company's primary product, a plant-based, biodegradable cleaning solution that is packaged in reusable containers, is designed to appeal to environmentally conscious consumers who are seeking eco-friendly alternatives that are both effective and efficient. The company's strategy is founded on the triple bottom line philosophy (Elkington, 1994), which encompasses economic, social, and environmental priorities. GreenClean Solutions optimises resource efficiency and minimises waste by implementing a circular economy model that incorporates a replenishment system. The business plans to achieve profitability by Year 3 and break even by Year 2 in full conformance with UK regulations, including the Plastic Packaging Tax and the Green Claims Code. Incorporating insights from contemporary research in sustainability, leadership, and stakeholder management (Freeman, 1984; Fiedler, 1967), this plan delineates the strategic vision, market positioning, and operational framework of GreenClean Solutions.</w:t>
      </w:r>
    </w:p>
    <w:p w14:paraId="2ECA66DC" w14:textId="77777777" w:rsidR="0079756D" w:rsidRDefault="0079756D" w:rsidP="0079756D">
      <w:pPr>
        <w:spacing w:line="480" w:lineRule="auto"/>
        <w:rPr>
          <w:rFonts w:ascii="Times New Roman" w:hAnsi="Times New Roman" w:cs="Times New Roman"/>
        </w:rPr>
      </w:pPr>
    </w:p>
    <w:p w14:paraId="076CC2CC" w14:textId="77777777" w:rsidR="0079756D" w:rsidRDefault="0079756D" w:rsidP="0079756D">
      <w:pPr>
        <w:spacing w:line="480" w:lineRule="auto"/>
        <w:rPr>
          <w:rFonts w:ascii="Times New Roman" w:hAnsi="Times New Roman" w:cs="Times New Roman"/>
        </w:rPr>
      </w:pPr>
    </w:p>
    <w:p w14:paraId="4521DEDE" w14:textId="77777777" w:rsidR="0079756D" w:rsidRDefault="0079756D" w:rsidP="0079756D">
      <w:pPr>
        <w:spacing w:line="480" w:lineRule="auto"/>
        <w:rPr>
          <w:rFonts w:ascii="Times New Roman" w:hAnsi="Times New Roman" w:cs="Times New Roman"/>
        </w:rPr>
      </w:pPr>
    </w:p>
    <w:p w14:paraId="406CA314" w14:textId="77777777" w:rsidR="0079756D" w:rsidRDefault="0079756D" w:rsidP="0079756D">
      <w:pPr>
        <w:spacing w:line="480" w:lineRule="auto"/>
        <w:rPr>
          <w:rFonts w:ascii="Times New Roman" w:hAnsi="Times New Roman" w:cs="Times New Roman"/>
        </w:rPr>
      </w:pPr>
    </w:p>
    <w:p w14:paraId="310D6916" w14:textId="77777777" w:rsidR="0079756D" w:rsidRDefault="0079756D" w:rsidP="0079756D">
      <w:pPr>
        <w:spacing w:line="480" w:lineRule="auto"/>
        <w:rPr>
          <w:rFonts w:ascii="Times New Roman" w:hAnsi="Times New Roman" w:cs="Times New Roman"/>
        </w:rPr>
      </w:pPr>
    </w:p>
    <w:p w14:paraId="12C34B06" w14:textId="77777777" w:rsidR="0079756D" w:rsidRDefault="0079756D" w:rsidP="0079756D">
      <w:pPr>
        <w:spacing w:line="480" w:lineRule="auto"/>
        <w:rPr>
          <w:rFonts w:ascii="Times New Roman" w:hAnsi="Times New Roman" w:cs="Times New Roman"/>
        </w:rPr>
      </w:pPr>
    </w:p>
    <w:p w14:paraId="557294D2" w14:textId="77777777" w:rsidR="0079756D" w:rsidRDefault="0079756D" w:rsidP="0079756D">
      <w:pPr>
        <w:spacing w:line="480" w:lineRule="auto"/>
        <w:rPr>
          <w:rFonts w:ascii="Times New Roman" w:hAnsi="Times New Roman" w:cs="Times New Roman"/>
        </w:rPr>
      </w:pPr>
    </w:p>
    <w:p w14:paraId="27ABCC02" w14:textId="77777777" w:rsidR="0079756D" w:rsidRDefault="0079756D" w:rsidP="0079756D">
      <w:pPr>
        <w:spacing w:line="480" w:lineRule="auto"/>
        <w:rPr>
          <w:rFonts w:ascii="Times New Roman" w:hAnsi="Times New Roman" w:cs="Times New Roman"/>
        </w:rPr>
      </w:pPr>
    </w:p>
    <w:p w14:paraId="2D79F9BC" w14:textId="27C41023"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lastRenderedPageBreak/>
        <w:t>Business Objectives and Goals</w:t>
      </w:r>
    </w:p>
    <w:p w14:paraId="3B6E718C" w14:textId="77777777" w:rsidR="0079756D" w:rsidRPr="0079756D" w:rsidRDefault="0079756D" w:rsidP="0079756D">
      <w:pPr>
        <w:spacing w:line="480" w:lineRule="auto"/>
        <w:rPr>
          <w:rFonts w:ascii="Times New Roman" w:hAnsi="Times New Roman" w:cs="Times New Roman"/>
        </w:rPr>
      </w:pPr>
      <w:r w:rsidRPr="0079756D">
        <w:rPr>
          <w:rFonts w:ascii="Times New Roman" w:hAnsi="Times New Roman" w:cs="Times New Roman"/>
        </w:rPr>
        <w:t>GreenClean Solutions' primary goal is to become the premier provider of eco-friendly cleaning products in the United Kingdom by utilising sustainable practices and robust client engagement. The organization's objectives are divided into short-term and long-term categories.</w:t>
      </w:r>
    </w:p>
    <w:p w14:paraId="7ED698A5" w14:textId="77777777"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Short-Term Goals (Years 1–2)</w:t>
      </w:r>
    </w:p>
    <w:p w14:paraId="09AADDC4" w14:textId="77777777" w:rsidR="0079756D" w:rsidRPr="0079756D" w:rsidRDefault="0079756D" w:rsidP="0079756D">
      <w:pPr>
        <w:pStyle w:val="ListParagraph"/>
        <w:numPr>
          <w:ilvl w:val="0"/>
          <w:numId w:val="1"/>
        </w:numPr>
        <w:spacing w:line="480" w:lineRule="auto"/>
        <w:rPr>
          <w:rFonts w:ascii="Times New Roman" w:hAnsi="Times New Roman" w:cs="Times New Roman"/>
        </w:rPr>
      </w:pPr>
      <w:r w:rsidRPr="0079756D">
        <w:rPr>
          <w:rFonts w:ascii="Times New Roman" w:hAnsi="Times New Roman" w:cs="Times New Roman"/>
        </w:rPr>
        <w:t>Market Entry: Successfully introduce the flagship product through e-commerce channels and select retail partnerships.</w:t>
      </w:r>
    </w:p>
    <w:p w14:paraId="7B0A6A5D" w14:textId="77777777" w:rsidR="0079756D" w:rsidRPr="0079756D" w:rsidRDefault="0079756D" w:rsidP="0079756D">
      <w:pPr>
        <w:pStyle w:val="ListParagraph"/>
        <w:numPr>
          <w:ilvl w:val="0"/>
          <w:numId w:val="1"/>
        </w:numPr>
        <w:spacing w:line="480" w:lineRule="auto"/>
        <w:rPr>
          <w:rFonts w:ascii="Times New Roman" w:hAnsi="Times New Roman" w:cs="Times New Roman"/>
        </w:rPr>
      </w:pPr>
      <w:r w:rsidRPr="0079756D">
        <w:rPr>
          <w:rFonts w:ascii="Times New Roman" w:hAnsi="Times New Roman" w:cs="Times New Roman"/>
        </w:rPr>
        <w:t>Customer Acquisition: Utilise targeted digital marketing campaigns to establish a customer base of at least 10,000 individuals.</w:t>
      </w:r>
    </w:p>
    <w:p w14:paraId="599F5A89" w14:textId="77777777" w:rsidR="0079756D" w:rsidRPr="0079756D" w:rsidRDefault="0079756D" w:rsidP="0079756D">
      <w:pPr>
        <w:pStyle w:val="ListParagraph"/>
        <w:numPr>
          <w:ilvl w:val="0"/>
          <w:numId w:val="1"/>
        </w:numPr>
        <w:spacing w:line="480" w:lineRule="auto"/>
        <w:rPr>
          <w:rFonts w:ascii="Times New Roman" w:hAnsi="Times New Roman" w:cs="Times New Roman"/>
        </w:rPr>
      </w:pPr>
      <w:r w:rsidRPr="0079756D">
        <w:rPr>
          <w:rFonts w:ascii="Times New Roman" w:hAnsi="Times New Roman" w:cs="Times New Roman"/>
        </w:rPr>
        <w:t>Brand Building: Develop a robust online and community presence that emphasises the organization's dedication to corporate social responsibility (CSR) and sustainability (Kucharska &amp; Kowalczyk, 2019).</w:t>
      </w:r>
    </w:p>
    <w:p w14:paraId="51611136" w14:textId="77777777" w:rsidR="0079756D" w:rsidRPr="0079756D" w:rsidRDefault="0079756D" w:rsidP="0079756D">
      <w:pPr>
        <w:pStyle w:val="ListParagraph"/>
        <w:numPr>
          <w:ilvl w:val="0"/>
          <w:numId w:val="1"/>
        </w:numPr>
        <w:spacing w:line="480" w:lineRule="auto"/>
        <w:rPr>
          <w:rFonts w:ascii="Times New Roman" w:hAnsi="Times New Roman" w:cs="Times New Roman"/>
        </w:rPr>
      </w:pPr>
      <w:r w:rsidRPr="0079756D">
        <w:rPr>
          <w:rFonts w:ascii="Times New Roman" w:hAnsi="Times New Roman" w:cs="Times New Roman"/>
        </w:rPr>
        <w:t>Operational Excellence: Collaborate with local suppliers to establish a streamlined supply chain that minimises transportation emissions.</w:t>
      </w:r>
    </w:p>
    <w:p w14:paraId="13DE1D7C" w14:textId="77777777" w:rsidR="0079756D" w:rsidRPr="0079756D" w:rsidRDefault="0079756D" w:rsidP="0079756D">
      <w:pPr>
        <w:pStyle w:val="ListParagraph"/>
        <w:numPr>
          <w:ilvl w:val="0"/>
          <w:numId w:val="1"/>
        </w:numPr>
        <w:spacing w:line="480" w:lineRule="auto"/>
        <w:rPr>
          <w:rFonts w:ascii="Times New Roman" w:hAnsi="Times New Roman" w:cs="Times New Roman"/>
        </w:rPr>
      </w:pPr>
      <w:r w:rsidRPr="0079756D">
        <w:rPr>
          <w:rFonts w:ascii="Times New Roman" w:hAnsi="Times New Roman" w:cs="Times New Roman"/>
        </w:rPr>
        <w:t>Certifications: Begin the process of obtaining industry certifications, including B Corp, Vegan Society, and Carbon Neutral status.</w:t>
      </w:r>
    </w:p>
    <w:p w14:paraId="4B1DE1DB" w14:textId="77777777"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Long-Term Goals (Years 3–5)</w:t>
      </w:r>
    </w:p>
    <w:p w14:paraId="546E7728" w14:textId="77777777" w:rsidR="0079756D" w:rsidRPr="0079756D" w:rsidRDefault="0079756D" w:rsidP="0079756D">
      <w:pPr>
        <w:pStyle w:val="ListParagraph"/>
        <w:numPr>
          <w:ilvl w:val="0"/>
          <w:numId w:val="2"/>
        </w:numPr>
        <w:spacing w:line="480" w:lineRule="auto"/>
        <w:rPr>
          <w:rFonts w:ascii="Times New Roman" w:hAnsi="Times New Roman" w:cs="Times New Roman"/>
        </w:rPr>
      </w:pPr>
      <w:r w:rsidRPr="0079756D">
        <w:rPr>
          <w:rFonts w:ascii="Times New Roman" w:hAnsi="Times New Roman" w:cs="Times New Roman"/>
        </w:rPr>
        <w:t>Product Expansion: Expand the portfolio to encompass a broader range of environmentally responsible personal care and household products.</w:t>
      </w:r>
    </w:p>
    <w:p w14:paraId="2CDE2940" w14:textId="77777777" w:rsidR="0079756D" w:rsidRPr="0079756D" w:rsidRDefault="0079756D" w:rsidP="0079756D">
      <w:pPr>
        <w:pStyle w:val="ListParagraph"/>
        <w:numPr>
          <w:ilvl w:val="0"/>
          <w:numId w:val="2"/>
        </w:numPr>
        <w:spacing w:line="480" w:lineRule="auto"/>
        <w:rPr>
          <w:rFonts w:ascii="Times New Roman" w:hAnsi="Times New Roman" w:cs="Times New Roman"/>
        </w:rPr>
      </w:pPr>
      <w:r w:rsidRPr="0079756D">
        <w:rPr>
          <w:rFonts w:ascii="Times New Roman" w:hAnsi="Times New Roman" w:cs="Times New Roman"/>
        </w:rPr>
        <w:t>International Growth: Concentrate on environmentally conscious consumers in European markets.</w:t>
      </w:r>
    </w:p>
    <w:p w14:paraId="61E14F6B" w14:textId="77777777" w:rsidR="0079756D" w:rsidRPr="0079756D" w:rsidRDefault="0079756D" w:rsidP="0079756D">
      <w:pPr>
        <w:pStyle w:val="ListParagraph"/>
        <w:numPr>
          <w:ilvl w:val="0"/>
          <w:numId w:val="2"/>
        </w:numPr>
        <w:spacing w:line="480" w:lineRule="auto"/>
        <w:rPr>
          <w:rFonts w:ascii="Times New Roman" w:hAnsi="Times New Roman" w:cs="Times New Roman"/>
        </w:rPr>
      </w:pPr>
      <w:r w:rsidRPr="0079756D">
        <w:rPr>
          <w:rFonts w:ascii="Times New Roman" w:hAnsi="Times New Roman" w:cs="Times New Roman"/>
        </w:rPr>
        <w:t>Sustainability Leadership: Through renewable energy and offset initiatives, achieve carbon neutrality and further mitigate environmental impacts.</w:t>
      </w:r>
    </w:p>
    <w:p w14:paraId="1BB0AD8A" w14:textId="77777777" w:rsidR="0079756D" w:rsidRPr="0079756D" w:rsidRDefault="0079756D" w:rsidP="0079756D">
      <w:pPr>
        <w:pStyle w:val="ListParagraph"/>
        <w:numPr>
          <w:ilvl w:val="0"/>
          <w:numId w:val="2"/>
        </w:numPr>
        <w:spacing w:line="480" w:lineRule="auto"/>
        <w:rPr>
          <w:rFonts w:ascii="Times New Roman" w:hAnsi="Times New Roman" w:cs="Times New Roman"/>
        </w:rPr>
      </w:pPr>
      <w:r w:rsidRPr="0079756D">
        <w:rPr>
          <w:rFonts w:ascii="Times New Roman" w:hAnsi="Times New Roman" w:cs="Times New Roman"/>
        </w:rPr>
        <w:lastRenderedPageBreak/>
        <w:t>Financial Milestones: Achieve annual revenues that surpass £500,000 while sustaining cost efficiency (Kuncová et al., 2016).</w:t>
      </w:r>
    </w:p>
    <w:p w14:paraId="340295EA" w14:textId="77777777" w:rsidR="0079756D" w:rsidRDefault="0079756D" w:rsidP="0079756D">
      <w:pPr>
        <w:pStyle w:val="ListParagraph"/>
        <w:numPr>
          <w:ilvl w:val="0"/>
          <w:numId w:val="2"/>
        </w:numPr>
        <w:spacing w:line="480" w:lineRule="auto"/>
        <w:rPr>
          <w:rFonts w:ascii="Times New Roman" w:hAnsi="Times New Roman" w:cs="Times New Roman"/>
        </w:rPr>
      </w:pPr>
      <w:r w:rsidRPr="0079756D">
        <w:rPr>
          <w:rFonts w:ascii="Times New Roman" w:hAnsi="Times New Roman" w:cs="Times New Roman"/>
        </w:rPr>
        <w:t>Strategic Partnerships: Establish partnerships with organisations that advocate for ethical production practices and zero-waste initiatives.</w:t>
      </w:r>
    </w:p>
    <w:p w14:paraId="2E430001" w14:textId="42D65834"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Competitive and Market Analysis</w:t>
      </w:r>
    </w:p>
    <w:p w14:paraId="1507375F" w14:textId="7777777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The UK market for sustainable cleaning products has experienced substantial growth as consumers become more aware of the environmental and health consequences of conventional cleaning agents. A growing demand for products that minimise ecological footprints while delivering high performance is suggested by market trends. The emergence of enterprises that integrate sustainability into their primary operations is further supported by the prevalence of CSR practices among businesses (Kucharska &amp; Kowalczyk, 2019).</w:t>
      </w:r>
    </w:p>
    <w:p w14:paraId="148352BF" w14:textId="578B45F2"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Target Market</w:t>
      </w:r>
    </w:p>
    <w:p w14:paraId="6C32F4AF" w14:textId="7777777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GreenClean Solutions' primary audience consists of environmentally conscious urban professionals and households that prioritise ethical production and transparency. Small enterprises and environmentally conscious institutions that are striving to minimise their environmental impact comprise secondary segments. The company aims to appeal to a market that values both ecological responsibility and product efficacy by establishing strategic retail partnerships and maintaining a focused digital presence.</w:t>
      </w:r>
    </w:p>
    <w:p w14:paraId="3015EF99" w14:textId="569D50D6"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Competitive Environment</w:t>
      </w:r>
    </w:p>
    <w:p w14:paraId="03F3836E" w14:textId="7777777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 xml:space="preserve">Established brands and emerging green start-ups comprise the competitive environment. One of the primary competitive advantages of GreenClean Solutions is its dedication to a closed-loop system that includes refillable packaging. The company intends to foster trust and transparency by actively participating in sustainability forums and social media platforms to engage with consumers. </w:t>
      </w:r>
      <w:r w:rsidRPr="0079756D">
        <w:rPr>
          <w:rFonts w:ascii="Times New Roman" w:hAnsi="Times New Roman" w:cs="Times New Roman"/>
        </w:rPr>
        <w:t>To</w:t>
      </w:r>
      <w:r w:rsidRPr="0079756D">
        <w:rPr>
          <w:rFonts w:ascii="Times New Roman" w:hAnsi="Times New Roman" w:cs="Times New Roman"/>
        </w:rPr>
        <w:t xml:space="preserve"> successfully navigate the competitive landscape and establish a </w:t>
      </w:r>
      <w:r w:rsidRPr="0079756D">
        <w:rPr>
          <w:rFonts w:ascii="Times New Roman" w:hAnsi="Times New Roman" w:cs="Times New Roman"/>
        </w:rPr>
        <w:lastRenderedPageBreak/>
        <w:t>dominant market position, it will be essential to prioritise strategic stakeholder engagement (Freeman, 1984) and sustainability leadership (Elkington, 1994).</w:t>
      </w:r>
    </w:p>
    <w:p w14:paraId="09881B8D" w14:textId="1799D7AB"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Sustainability Strategy</w:t>
      </w:r>
    </w:p>
    <w:p w14:paraId="015004F6" w14:textId="7777777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GreenClean Solutions' operational philosophy is fundamentally rooted in sustainability. The company's sustainability strategy is comprehensive and is based on the principles of environmental management and corporate social responsibility (Kucharska &amp; Kowalczyk, 2019). It is intended to incorporate eco-friendly practices throughout the product lifecycle, from sourcing to disposal.</w:t>
      </w:r>
    </w:p>
    <w:p w14:paraId="19AD21D3" w14:textId="6A3B559B"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Product Design for Sustainability</w:t>
      </w:r>
    </w:p>
    <w:p w14:paraId="627ADBAA" w14:textId="7777777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The cleaning solution is composed of wholly biodegradable, plant-based, and non-toxic ingredients. The product is intended to mitigate both interior air toxins and water pollution by eliminating chemicals such as phosphates, chlorine, and synthetic fragrances. This formulation approach not only guarantees consumer safety but also conforms to the growing regulatory standards that prioritise environmental protection.</w:t>
      </w:r>
    </w:p>
    <w:p w14:paraId="2AFC35C8" w14:textId="6EFC5CA3"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Circular Economy and Eco-Friendly Packaging</w:t>
      </w:r>
    </w:p>
    <w:p w14:paraId="44D7E2AA" w14:textId="7777777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The company's strategy is founded on the principle of sustainable packaging. In accordance with the UK Extended Producer Responsibility (EPR) regulations, all packaging materials will be composed of 100% recyclable or compostable substances. The circular economy model is strengthened by an innovative refill system that encourages customers to repurpose bottles. Sustainability principles strongly endorse the commitment to substantially reduce the overall plastic footprint, which is achieved through such practices (Elkington, 1994).</w:t>
      </w:r>
    </w:p>
    <w:p w14:paraId="35187FA0" w14:textId="77777777" w:rsidR="0079756D" w:rsidRDefault="0079756D" w:rsidP="0079756D">
      <w:pPr>
        <w:spacing w:line="480" w:lineRule="auto"/>
        <w:rPr>
          <w:rFonts w:ascii="Times New Roman" w:hAnsi="Times New Roman" w:cs="Times New Roman"/>
          <w:b/>
          <w:bCs/>
          <w:u w:val="double"/>
        </w:rPr>
      </w:pPr>
    </w:p>
    <w:p w14:paraId="76870C07" w14:textId="77777777" w:rsidR="0079756D" w:rsidRDefault="0079756D" w:rsidP="0079756D">
      <w:pPr>
        <w:spacing w:line="480" w:lineRule="auto"/>
        <w:rPr>
          <w:rFonts w:ascii="Times New Roman" w:hAnsi="Times New Roman" w:cs="Times New Roman"/>
          <w:b/>
          <w:bCs/>
          <w:u w:val="double"/>
        </w:rPr>
      </w:pPr>
    </w:p>
    <w:p w14:paraId="71850072" w14:textId="07E4FB3D"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lastRenderedPageBreak/>
        <w:t>Local Sourcing and Supply Chain</w:t>
      </w:r>
    </w:p>
    <w:p w14:paraId="2DD50320" w14:textId="7777777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The sustainability objectives of GreenClean Solutions are furthered through collaboration with UK-based suppliers and manufacturers. The company supports the domestic supply chain and reduces transportation emissions by procuring materials locally. The company's operations are consistently held to high standards of corporate responsibility by conducting a thorough evaluation of each supplier's compliance with ethical labour practices and environmental standards (Freeman, 1984).</w:t>
      </w:r>
    </w:p>
    <w:p w14:paraId="762DD805" w14:textId="77777777"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Carbon Offsetting and Renewable Energy</w:t>
      </w:r>
    </w:p>
    <w:p w14:paraId="7434F614" w14:textId="7777777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The company intends to utilise renewable energy sources to fuel its manufacturing facilities whenever feasible. Contributions to the achievement of a net-zero carbon footprint will be made through investments in carbon offset initiatives, including renewable energy credits and tree planting. This proactive approach to environmental stewardship is consistent with recent research that has correlated robust environmental, social, and governance (ESG) practices with improved brand reputation (La Torre et al., 2021).</w:t>
      </w:r>
    </w:p>
    <w:p w14:paraId="3C9E49B0" w14:textId="77777777"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Organisational Culture and Corporate Social Responsibility</w:t>
      </w:r>
    </w:p>
    <w:p w14:paraId="4A77DAD0" w14:textId="7777777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A sustainable culture is regarded as essential for achieving long-term success. Employee engagement in corporate social responsibility (CSR) initiatives is encouraged at GreenClean Solutions, which also prioritises ethical decision-making in the workplace. Internal training programs will underscore the significance of environmental responsibility, thereby establishing a workforce that is in complete harmony with the organization's sustainability objectives (Kucharska &amp; Kowalczyk, 2019).</w:t>
      </w:r>
    </w:p>
    <w:p w14:paraId="1C32041C" w14:textId="77777777" w:rsidR="0079756D" w:rsidRDefault="0079756D" w:rsidP="0079756D">
      <w:pPr>
        <w:spacing w:line="480" w:lineRule="auto"/>
        <w:rPr>
          <w:rFonts w:ascii="Times New Roman" w:hAnsi="Times New Roman" w:cs="Times New Roman"/>
        </w:rPr>
      </w:pPr>
    </w:p>
    <w:p w14:paraId="023A5C0B" w14:textId="77777777" w:rsidR="0079756D" w:rsidRDefault="0079756D" w:rsidP="0079756D">
      <w:pPr>
        <w:spacing w:line="480" w:lineRule="auto"/>
        <w:rPr>
          <w:rFonts w:ascii="Times New Roman" w:hAnsi="Times New Roman" w:cs="Times New Roman"/>
        </w:rPr>
      </w:pPr>
    </w:p>
    <w:p w14:paraId="1C442067" w14:textId="45D47286"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lastRenderedPageBreak/>
        <w:t>Leadership and Organisational Structure</w:t>
      </w:r>
    </w:p>
    <w:p w14:paraId="3EFED92C" w14:textId="7777777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 xml:space="preserve">GreenClean Solutions' organisational structure and leadership are intended to promote agility, accountability, and innovation. Fiedler's (1967) leadership theory emphasises the necessity of adaptable and task-oriented management </w:t>
      </w:r>
      <w:r w:rsidRPr="0079756D">
        <w:rPr>
          <w:rFonts w:ascii="Times New Roman" w:hAnsi="Times New Roman" w:cs="Times New Roman"/>
        </w:rPr>
        <w:t>to</w:t>
      </w:r>
      <w:r w:rsidRPr="0079756D">
        <w:rPr>
          <w:rFonts w:ascii="Times New Roman" w:hAnsi="Times New Roman" w:cs="Times New Roman"/>
        </w:rPr>
        <w:t xml:space="preserve"> navigate competitive challenges. Effective leadership is considered essential for the company's success.</w:t>
      </w:r>
    </w:p>
    <w:p w14:paraId="3C5A14D8" w14:textId="77777777"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Significant Positions</w:t>
      </w:r>
    </w:p>
    <w:p w14:paraId="42285FCA" w14:textId="544D80FC" w:rsidR="0079756D" w:rsidRPr="0079756D" w:rsidRDefault="0079756D" w:rsidP="0079756D">
      <w:pPr>
        <w:pStyle w:val="ListParagraph"/>
        <w:numPr>
          <w:ilvl w:val="0"/>
          <w:numId w:val="3"/>
        </w:numPr>
        <w:spacing w:line="480" w:lineRule="auto"/>
        <w:rPr>
          <w:rFonts w:ascii="Times New Roman" w:hAnsi="Times New Roman" w:cs="Times New Roman"/>
        </w:rPr>
      </w:pPr>
      <w:r w:rsidRPr="0079756D">
        <w:rPr>
          <w:rFonts w:ascii="Times New Roman" w:hAnsi="Times New Roman" w:cs="Times New Roman"/>
        </w:rPr>
        <w:t>Founder/CEO: Responsible for the organization's overall strategy, business development, and stakeholder relationships. The CEO is accountable for guaranteeing that both sustainability and corporate social responsibility (CSR) are fundamental components of the organization's values.</w:t>
      </w:r>
    </w:p>
    <w:p w14:paraId="21EFA72B" w14:textId="77777777" w:rsidR="0079756D" w:rsidRPr="0079756D" w:rsidRDefault="0079756D" w:rsidP="0079756D">
      <w:pPr>
        <w:pStyle w:val="ListParagraph"/>
        <w:numPr>
          <w:ilvl w:val="0"/>
          <w:numId w:val="3"/>
        </w:numPr>
        <w:spacing w:line="480" w:lineRule="auto"/>
        <w:rPr>
          <w:rFonts w:ascii="Times New Roman" w:hAnsi="Times New Roman" w:cs="Times New Roman"/>
        </w:rPr>
      </w:pPr>
      <w:r w:rsidRPr="0079756D">
        <w:rPr>
          <w:rFonts w:ascii="Times New Roman" w:hAnsi="Times New Roman" w:cs="Times New Roman"/>
        </w:rPr>
        <w:t>Product Development Manager: Ensures that sustainable practices are adhered to, while also driving innovation and maintaining product quality.</w:t>
      </w:r>
    </w:p>
    <w:p w14:paraId="01ECEDD9" w14:textId="77777777" w:rsidR="0079756D" w:rsidRPr="0079756D" w:rsidRDefault="0079756D" w:rsidP="0079756D">
      <w:pPr>
        <w:pStyle w:val="ListParagraph"/>
        <w:numPr>
          <w:ilvl w:val="0"/>
          <w:numId w:val="3"/>
        </w:numPr>
        <w:spacing w:line="480" w:lineRule="auto"/>
        <w:rPr>
          <w:rFonts w:ascii="Times New Roman" w:hAnsi="Times New Roman" w:cs="Times New Roman"/>
        </w:rPr>
      </w:pPr>
      <w:r w:rsidRPr="0079756D">
        <w:rPr>
          <w:rFonts w:ascii="Times New Roman" w:hAnsi="Times New Roman" w:cs="Times New Roman"/>
        </w:rPr>
        <w:t>Marketing and Sales Manager: Creates and implements strategies to increase brand recognition, foster customer engagement, and broaden market penetration.</w:t>
      </w:r>
    </w:p>
    <w:p w14:paraId="796D4D69" w14:textId="77777777" w:rsidR="0079756D" w:rsidRPr="0079756D" w:rsidRDefault="0079756D" w:rsidP="0079756D">
      <w:pPr>
        <w:pStyle w:val="ListParagraph"/>
        <w:numPr>
          <w:ilvl w:val="0"/>
          <w:numId w:val="3"/>
        </w:numPr>
        <w:spacing w:line="480" w:lineRule="auto"/>
        <w:rPr>
          <w:rFonts w:ascii="Times New Roman" w:hAnsi="Times New Roman" w:cs="Times New Roman"/>
        </w:rPr>
      </w:pPr>
      <w:r w:rsidRPr="0079756D">
        <w:rPr>
          <w:rFonts w:ascii="Times New Roman" w:hAnsi="Times New Roman" w:cs="Times New Roman"/>
        </w:rPr>
        <w:t>Operations and Logistics Manager: Manages local procurement partnerships, optimises the supply chain, and reduces operational costs.</w:t>
      </w:r>
    </w:p>
    <w:p w14:paraId="713F9C18" w14:textId="77777777" w:rsidR="0079756D" w:rsidRPr="0079756D" w:rsidRDefault="0079756D" w:rsidP="0079756D">
      <w:pPr>
        <w:pStyle w:val="ListParagraph"/>
        <w:numPr>
          <w:ilvl w:val="0"/>
          <w:numId w:val="3"/>
        </w:numPr>
        <w:spacing w:line="480" w:lineRule="auto"/>
        <w:rPr>
          <w:rFonts w:ascii="Times New Roman" w:hAnsi="Times New Roman" w:cs="Times New Roman"/>
        </w:rPr>
      </w:pPr>
      <w:r w:rsidRPr="0079756D">
        <w:rPr>
          <w:rFonts w:ascii="Times New Roman" w:hAnsi="Times New Roman" w:cs="Times New Roman"/>
        </w:rPr>
        <w:t>client Service Representative: Develops enduring relationships with consumers and guarantees high levels of client satisfaction.</w:t>
      </w:r>
    </w:p>
    <w:p w14:paraId="30544BAA" w14:textId="77777777" w:rsidR="0079756D" w:rsidRPr="0079756D" w:rsidRDefault="0079756D" w:rsidP="0079756D">
      <w:pPr>
        <w:spacing w:line="480" w:lineRule="auto"/>
        <w:rPr>
          <w:rFonts w:ascii="Times New Roman" w:hAnsi="Times New Roman" w:cs="Times New Roman"/>
        </w:rPr>
      </w:pPr>
      <w:r w:rsidRPr="0079756D">
        <w:rPr>
          <w:rFonts w:ascii="Times New Roman" w:hAnsi="Times New Roman" w:cs="Times New Roman"/>
        </w:rPr>
        <w:t>This leadership structure is founded on a stakeholder approach (Freeman, 1984), which guarantees that decision-making is representative of the interests of all stakeholders, including employees, customers, investors, and the broader community.</w:t>
      </w:r>
    </w:p>
    <w:p w14:paraId="2CE797D8" w14:textId="77777777" w:rsidR="0079756D" w:rsidRPr="0079756D" w:rsidRDefault="0079756D" w:rsidP="0079756D">
      <w:pPr>
        <w:spacing w:line="480" w:lineRule="auto"/>
        <w:rPr>
          <w:rFonts w:ascii="Times New Roman" w:hAnsi="Times New Roman" w:cs="Times New Roman"/>
        </w:rPr>
      </w:pPr>
    </w:p>
    <w:p w14:paraId="3C09B472" w14:textId="77777777" w:rsidR="0079756D" w:rsidRDefault="0079756D" w:rsidP="0079756D">
      <w:pPr>
        <w:spacing w:line="480" w:lineRule="auto"/>
        <w:rPr>
          <w:rFonts w:ascii="Times New Roman" w:hAnsi="Times New Roman" w:cs="Times New Roman"/>
        </w:rPr>
      </w:pPr>
    </w:p>
    <w:p w14:paraId="4BB90033" w14:textId="0F795049"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lastRenderedPageBreak/>
        <w:t>Operational Plan</w:t>
      </w:r>
    </w:p>
    <w:p w14:paraId="1349905A" w14:textId="77777777" w:rsidR="0079756D" w:rsidRPr="0079756D" w:rsidRDefault="0079756D" w:rsidP="0079756D">
      <w:pPr>
        <w:spacing w:line="480" w:lineRule="auto"/>
        <w:rPr>
          <w:rFonts w:ascii="Times New Roman" w:hAnsi="Times New Roman" w:cs="Times New Roman"/>
        </w:rPr>
      </w:pPr>
      <w:r w:rsidRPr="0079756D">
        <w:rPr>
          <w:rFonts w:ascii="Times New Roman" w:hAnsi="Times New Roman" w:cs="Times New Roman"/>
        </w:rPr>
        <w:t>The operational strategy of GreenClean Solutions is intended to guarantee the efficient production, distribution, and customer service of the company, while simultaneously emphasising sustainability. The organization's operations are divided into three primary phases: market launch, product development, and scaling.</w:t>
      </w:r>
    </w:p>
    <w:p w14:paraId="3CF97070" w14:textId="77777777"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Phase 1: Pre-Launch and Product Development (Months 1–6)</w:t>
      </w:r>
    </w:p>
    <w:p w14:paraId="485B541A" w14:textId="77777777" w:rsidR="0079756D" w:rsidRPr="0079756D" w:rsidRDefault="0079756D" w:rsidP="0079756D">
      <w:pPr>
        <w:pStyle w:val="ListParagraph"/>
        <w:numPr>
          <w:ilvl w:val="0"/>
          <w:numId w:val="4"/>
        </w:numPr>
        <w:spacing w:line="480" w:lineRule="auto"/>
        <w:rPr>
          <w:rFonts w:ascii="Times New Roman" w:hAnsi="Times New Roman" w:cs="Times New Roman"/>
        </w:rPr>
      </w:pPr>
      <w:r w:rsidRPr="0079756D">
        <w:rPr>
          <w:rFonts w:ascii="Times New Roman" w:hAnsi="Times New Roman" w:cs="Times New Roman"/>
        </w:rPr>
        <w:t>Product Testing: Conduct exhaustive testing and quality assurance protocols to finalise the plant-based formula.</w:t>
      </w:r>
    </w:p>
    <w:p w14:paraId="72B633FF" w14:textId="77777777" w:rsidR="0079756D" w:rsidRPr="0079756D" w:rsidRDefault="0079756D" w:rsidP="0079756D">
      <w:pPr>
        <w:pStyle w:val="ListParagraph"/>
        <w:numPr>
          <w:ilvl w:val="0"/>
          <w:numId w:val="4"/>
        </w:numPr>
        <w:spacing w:line="480" w:lineRule="auto"/>
        <w:rPr>
          <w:rFonts w:ascii="Times New Roman" w:hAnsi="Times New Roman" w:cs="Times New Roman"/>
        </w:rPr>
      </w:pPr>
      <w:r w:rsidRPr="0079756D">
        <w:rPr>
          <w:rFonts w:ascii="Times New Roman" w:hAnsi="Times New Roman" w:cs="Times New Roman"/>
        </w:rPr>
        <w:t>Supplier Agreements: Establish contracts with local suppliers for sustainable packaging and raw materials.</w:t>
      </w:r>
    </w:p>
    <w:p w14:paraId="52F5B393" w14:textId="77777777" w:rsidR="0079756D" w:rsidRPr="0079756D" w:rsidRDefault="0079756D" w:rsidP="0079756D">
      <w:pPr>
        <w:pStyle w:val="ListParagraph"/>
        <w:numPr>
          <w:ilvl w:val="0"/>
          <w:numId w:val="4"/>
        </w:numPr>
        <w:spacing w:line="480" w:lineRule="auto"/>
        <w:rPr>
          <w:rFonts w:ascii="Times New Roman" w:hAnsi="Times New Roman" w:cs="Times New Roman"/>
        </w:rPr>
      </w:pPr>
      <w:r w:rsidRPr="0079756D">
        <w:rPr>
          <w:rFonts w:ascii="Times New Roman" w:hAnsi="Times New Roman" w:cs="Times New Roman"/>
        </w:rPr>
        <w:t>Digital Infrastructure: Create a comprehensive website and establish a strong social media presence to advertise the forthcoming product launch.</w:t>
      </w:r>
    </w:p>
    <w:p w14:paraId="36F6E4A5" w14:textId="77777777" w:rsidR="0079756D" w:rsidRPr="0079756D" w:rsidRDefault="0079756D" w:rsidP="0079756D">
      <w:pPr>
        <w:pStyle w:val="ListParagraph"/>
        <w:numPr>
          <w:ilvl w:val="0"/>
          <w:numId w:val="4"/>
        </w:numPr>
        <w:spacing w:line="480" w:lineRule="auto"/>
        <w:rPr>
          <w:rFonts w:ascii="Times New Roman" w:hAnsi="Times New Roman" w:cs="Times New Roman"/>
        </w:rPr>
      </w:pPr>
      <w:r w:rsidRPr="0079756D">
        <w:rPr>
          <w:rFonts w:ascii="Times New Roman" w:hAnsi="Times New Roman" w:cs="Times New Roman"/>
        </w:rPr>
        <w:t>Pre-Launch Campaigns: Create market anticipation through digital marketing and community outreach programs that highlight the company's commitment to CSR and sustainability (Kucharska and Kowalczyk, 2019).</w:t>
      </w:r>
    </w:p>
    <w:p w14:paraId="38AE6A67" w14:textId="77777777"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Phase 2: Market Launch (Months 7–18)</w:t>
      </w:r>
    </w:p>
    <w:p w14:paraId="1634D0CE" w14:textId="77777777" w:rsidR="0079756D" w:rsidRPr="0079756D" w:rsidRDefault="0079756D" w:rsidP="0079756D">
      <w:pPr>
        <w:pStyle w:val="ListParagraph"/>
        <w:numPr>
          <w:ilvl w:val="0"/>
          <w:numId w:val="5"/>
        </w:numPr>
        <w:spacing w:line="480" w:lineRule="auto"/>
        <w:rPr>
          <w:rFonts w:ascii="Times New Roman" w:hAnsi="Times New Roman" w:cs="Times New Roman"/>
        </w:rPr>
      </w:pPr>
      <w:r w:rsidRPr="0079756D">
        <w:rPr>
          <w:rFonts w:ascii="Times New Roman" w:hAnsi="Times New Roman" w:cs="Times New Roman"/>
        </w:rPr>
        <w:t>Official Launch: The flagship product will be introduced through e-commerce channels and select retail partnerships.</w:t>
      </w:r>
    </w:p>
    <w:p w14:paraId="033B2B15" w14:textId="77777777" w:rsidR="0079756D" w:rsidRPr="0079756D" w:rsidRDefault="0079756D" w:rsidP="0079756D">
      <w:pPr>
        <w:pStyle w:val="ListParagraph"/>
        <w:numPr>
          <w:ilvl w:val="0"/>
          <w:numId w:val="5"/>
        </w:numPr>
        <w:spacing w:line="480" w:lineRule="auto"/>
        <w:rPr>
          <w:rFonts w:ascii="Times New Roman" w:hAnsi="Times New Roman" w:cs="Times New Roman"/>
        </w:rPr>
      </w:pPr>
      <w:r w:rsidRPr="0079756D">
        <w:rPr>
          <w:rFonts w:ascii="Times New Roman" w:hAnsi="Times New Roman" w:cs="Times New Roman"/>
        </w:rPr>
        <w:t>Digital Marketing Initiatives: Develop and execute targeted digital marketing campaigns to increase brand recognition and generate online sales.</w:t>
      </w:r>
    </w:p>
    <w:p w14:paraId="0FF0799B" w14:textId="77777777" w:rsidR="0079756D" w:rsidRPr="0079756D" w:rsidRDefault="0079756D" w:rsidP="0079756D">
      <w:pPr>
        <w:pStyle w:val="ListParagraph"/>
        <w:numPr>
          <w:ilvl w:val="0"/>
          <w:numId w:val="5"/>
        </w:numPr>
        <w:spacing w:line="480" w:lineRule="auto"/>
        <w:rPr>
          <w:rFonts w:ascii="Times New Roman" w:hAnsi="Times New Roman" w:cs="Times New Roman"/>
        </w:rPr>
      </w:pPr>
      <w:r w:rsidRPr="0079756D">
        <w:rPr>
          <w:rFonts w:ascii="Times New Roman" w:hAnsi="Times New Roman" w:cs="Times New Roman"/>
        </w:rPr>
        <w:t>Customer Feedback: Gather and evaluate customer feedback to improve the product and service delivery.</w:t>
      </w:r>
    </w:p>
    <w:p w14:paraId="1775F2E6" w14:textId="77777777" w:rsidR="0079756D" w:rsidRPr="0079756D" w:rsidRDefault="0079756D" w:rsidP="0079756D">
      <w:pPr>
        <w:pStyle w:val="ListParagraph"/>
        <w:numPr>
          <w:ilvl w:val="0"/>
          <w:numId w:val="5"/>
        </w:numPr>
        <w:spacing w:line="480" w:lineRule="auto"/>
        <w:rPr>
          <w:rFonts w:ascii="Times New Roman" w:hAnsi="Times New Roman" w:cs="Times New Roman"/>
        </w:rPr>
      </w:pPr>
      <w:r w:rsidRPr="0079756D">
        <w:rPr>
          <w:rFonts w:ascii="Times New Roman" w:hAnsi="Times New Roman" w:cs="Times New Roman"/>
        </w:rPr>
        <w:t>Certification Processes: Begin the process of obtaining B Corp, Vegan Society, and other sustainability certifications.</w:t>
      </w:r>
    </w:p>
    <w:p w14:paraId="22F425E4" w14:textId="77777777"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lastRenderedPageBreak/>
        <w:t>Phase 3: Scaling and Expansion (Months 19–36)</w:t>
      </w:r>
    </w:p>
    <w:p w14:paraId="0B5E687C" w14:textId="77777777" w:rsidR="0079756D" w:rsidRPr="0079756D" w:rsidRDefault="0079756D" w:rsidP="0079756D">
      <w:pPr>
        <w:pStyle w:val="ListParagraph"/>
        <w:numPr>
          <w:ilvl w:val="0"/>
          <w:numId w:val="6"/>
        </w:numPr>
        <w:spacing w:line="480" w:lineRule="auto"/>
        <w:rPr>
          <w:rFonts w:ascii="Times New Roman" w:hAnsi="Times New Roman" w:cs="Times New Roman"/>
        </w:rPr>
      </w:pPr>
      <w:r w:rsidRPr="0079756D">
        <w:rPr>
          <w:rFonts w:ascii="Times New Roman" w:hAnsi="Times New Roman" w:cs="Times New Roman"/>
        </w:rPr>
        <w:t>Production Expansion: Enhance production capacity by leasing larger facilities and upgrading manufacturing equipment.</w:t>
      </w:r>
    </w:p>
    <w:p w14:paraId="3FDB098E" w14:textId="77777777" w:rsidR="0079756D" w:rsidRPr="0079756D" w:rsidRDefault="0079756D" w:rsidP="0079756D">
      <w:pPr>
        <w:pStyle w:val="ListParagraph"/>
        <w:numPr>
          <w:ilvl w:val="0"/>
          <w:numId w:val="6"/>
        </w:numPr>
        <w:spacing w:line="480" w:lineRule="auto"/>
        <w:rPr>
          <w:rFonts w:ascii="Times New Roman" w:hAnsi="Times New Roman" w:cs="Times New Roman"/>
        </w:rPr>
      </w:pPr>
      <w:r w:rsidRPr="0079756D">
        <w:rPr>
          <w:rFonts w:ascii="Times New Roman" w:hAnsi="Times New Roman" w:cs="Times New Roman"/>
        </w:rPr>
        <w:t>Product Diversification: Expand the company's portfolio by creating complementary eco-friendly products.</w:t>
      </w:r>
    </w:p>
    <w:p w14:paraId="510A6261" w14:textId="77777777" w:rsidR="0079756D" w:rsidRPr="0079756D" w:rsidRDefault="0079756D" w:rsidP="0079756D">
      <w:pPr>
        <w:pStyle w:val="ListParagraph"/>
        <w:numPr>
          <w:ilvl w:val="0"/>
          <w:numId w:val="6"/>
        </w:numPr>
        <w:spacing w:line="480" w:lineRule="auto"/>
        <w:rPr>
          <w:rFonts w:ascii="Times New Roman" w:hAnsi="Times New Roman" w:cs="Times New Roman"/>
        </w:rPr>
      </w:pPr>
      <w:r w:rsidRPr="0079756D">
        <w:rPr>
          <w:rFonts w:ascii="Times New Roman" w:hAnsi="Times New Roman" w:cs="Times New Roman"/>
        </w:rPr>
        <w:t>Market Penetration: Investigate international market opportunities and expand distribution channels through new retail partnerships.</w:t>
      </w:r>
    </w:p>
    <w:p w14:paraId="166CFC42" w14:textId="77777777" w:rsidR="0079756D" w:rsidRPr="0079756D" w:rsidRDefault="0079756D" w:rsidP="0079756D">
      <w:pPr>
        <w:pStyle w:val="ListParagraph"/>
        <w:numPr>
          <w:ilvl w:val="0"/>
          <w:numId w:val="6"/>
        </w:numPr>
        <w:spacing w:line="480" w:lineRule="auto"/>
        <w:rPr>
          <w:rFonts w:ascii="Times New Roman" w:hAnsi="Times New Roman" w:cs="Times New Roman"/>
        </w:rPr>
      </w:pPr>
      <w:r w:rsidRPr="0079756D">
        <w:rPr>
          <w:rFonts w:ascii="Times New Roman" w:hAnsi="Times New Roman" w:cs="Times New Roman"/>
        </w:rPr>
        <w:t>Sustainability Audits: Conduct consistent audits to guarantee adherence to the evolving environmental standards and to continuously enhance operational practices (La Torre et al., 2021).</w:t>
      </w:r>
    </w:p>
    <w:p w14:paraId="6E161B5C" w14:textId="4525E0F5"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Resource Requirements and Financial Projections</w:t>
      </w:r>
    </w:p>
    <w:p w14:paraId="612478C7" w14:textId="77777777" w:rsidR="0079756D" w:rsidRPr="0079756D" w:rsidRDefault="0079756D" w:rsidP="0079756D">
      <w:pPr>
        <w:spacing w:line="480" w:lineRule="auto"/>
        <w:rPr>
          <w:rFonts w:ascii="Times New Roman" w:hAnsi="Times New Roman" w:cs="Times New Roman"/>
        </w:rPr>
      </w:pPr>
      <w:r w:rsidRPr="0079756D">
        <w:rPr>
          <w:rFonts w:ascii="Times New Roman" w:hAnsi="Times New Roman" w:cs="Times New Roman"/>
        </w:rPr>
        <w:t>The financial model for GreenClean Solutions is predicated on conservative estimates that account for initial losses during the scaling phase. Break-even is expected to occur in Year 2 and profitability in Year 3. The projections include a comprehensive budgeting process for operational, marketing, and production expenses.</w:t>
      </w:r>
    </w:p>
    <w:p w14:paraId="0CBE76B6" w14:textId="77777777" w:rsidR="0079756D" w:rsidRPr="0079756D" w:rsidRDefault="0079756D" w:rsidP="0079756D">
      <w:pPr>
        <w:spacing w:line="480" w:lineRule="auto"/>
        <w:rPr>
          <w:rFonts w:ascii="Times New Roman" w:hAnsi="Times New Roman" w:cs="Times New Roman"/>
          <w:b/>
          <w:bCs/>
          <w:u w:val="double"/>
        </w:rPr>
      </w:pPr>
      <w:r w:rsidRPr="0079756D">
        <w:rPr>
          <w:rFonts w:ascii="Times New Roman" w:hAnsi="Times New Roman" w:cs="Times New Roman"/>
          <w:b/>
          <w:bCs/>
          <w:u w:val="double"/>
        </w:rPr>
        <w:t>Financial Projections</w:t>
      </w: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276"/>
        <w:gridCol w:w="2126"/>
        <w:gridCol w:w="2410"/>
        <w:gridCol w:w="2268"/>
      </w:tblGrid>
      <w:tr w:rsidR="0079756D" w14:paraId="1EF4AD72" w14:textId="3D7AF3B6" w:rsidTr="00081B49">
        <w:tblPrEx>
          <w:tblCellMar>
            <w:top w:w="0" w:type="dxa"/>
            <w:bottom w:w="0" w:type="dxa"/>
          </w:tblCellMar>
        </w:tblPrEx>
        <w:trPr>
          <w:trHeight w:val="525"/>
        </w:trPr>
        <w:tc>
          <w:tcPr>
            <w:tcW w:w="1276" w:type="dxa"/>
            <w:shd w:val="clear" w:color="auto" w:fill="D9F2D0" w:themeFill="accent6" w:themeFillTint="33"/>
          </w:tcPr>
          <w:p w14:paraId="4AAE620F" w14:textId="7A773620" w:rsidR="0079756D" w:rsidRPr="00081B49" w:rsidRDefault="0079756D" w:rsidP="00B11ECD">
            <w:pPr>
              <w:spacing w:line="480" w:lineRule="auto"/>
              <w:rPr>
                <w:rFonts w:ascii="Times New Roman" w:hAnsi="Times New Roman" w:cs="Times New Roman"/>
                <w:b/>
                <w:bCs/>
                <w:color w:val="FF0000"/>
              </w:rPr>
            </w:pPr>
            <w:r w:rsidRPr="00081B49">
              <w:rPr>
                <w:rFonts w:ascii="Times New Roman" w:hAnsi="Times New Roman" w:cs="Times New Roman"/>
                <w:b/>
                <w:bCs/>
                <w:color w:val="FF0000"/>
              </w:rPr>
              <w:t xml:space="preserve">Year </w:t>
            </w:r>
          </w:p>
        </w:tc>
        <w:tc>
          <w:tcPr>
            <w:tcW w:w="2126" w:type="dxa"/>
            <w:shd w:val="clear" w:color="auto" w:fill="D9F2D0" w:themeFill="accent6" w:themeFillTint="33"/>
          </w:tcPr>
          <w:p w14:paraId="37B05CA9" w14:textId="35732E52" w:rsidR="0079756D" w:rsidRPr="00081B49" w:rsidRDefault="00B11ECD" w:rsidP="00B11ECD">
            <w:pPr>
              <w:spacing w:line="480" w:lineRule="auto"/>
              <w:rPr>
                <w:rFonts w:ascii="Times New Roman" w:hAnsi="Times New Roman" w:cs="Times New Roman"/>
                <w:b/>
                <w:bCs/>
                <w:color w:val="4C94D8" w:themeColor="text2" w:themeTint="80"/>
              </w:rPr>
            </w:pPr>
            <w:r w:rsidRPr="00081B49">
              <w:rPr>
                <w:rFonts w:ascii="Times New Roman" w:hAnsi="Times New Roman" w:cs="Times New Roman"/>
                <w:b/>
                <w:bCs/>
                <w:color w:val="4C94D8" w:themeColor="text2" w:themeTint="80"/>
              </w:rPr>
              <w:t>Revenue (£)</w:t>
            </w:r>
          </w:p>
        </w:tc>
        <w:tc>
          <w:tcPr>
            <w:tcW w:w="2410" w:type="dxa"/>
            <w:shd w:val="clear" w:color="auto" w:fill="D9F2D0" w:themeFill="accent6" w:themeFillTint="33"/>
          </w:tcPr>
          <w:p w14:paraId="0DB308A7" w14:textId="0CF14EB8" w:rsidR="0079756D" w:rsidRPr="00081B49" w:rsidRDefault="00B11ECD" w:rsidP="00B11ECD">
            <w:pPr>
              <w:spacing w:line="480" w:lineRule="auto"/>
              <w:rPr>
                <w:rFonts w:ascii="Times New Roman" w:hAnsi="Times New Roman" w:cs="Times New Roman"/>
                <w:b/>
                <w:bCs/>
                <w:color w:val="D86DCB" w:themeColor="accent5" w:themeTint="99"/>
              </w:rPr>
            </w:pPr>
            <w:r w:rsidRPr="00081B49">
              <w:rPr>
                <w:rFonts w:ascii="Times New Roman" w:hAnsi="Times New Roman" w:cs="Times New Roman"/>
                <w:b/>
                <w:bCs/>
                <w:color w:val="D86DCB" w:themeColor="accent5" w:themeTint="99"/>
              </w:rPr>
              <w:t>Expenses (£)</w:t>
            </w:r>
          </w:p>
        </w:tc>
        <w:tc>
          <w:tcPr>
            <w:tcW w:w="2268" w:type="dxa"/>
            <w:shd w:val="clear" w:color="auto" w:fill="D9F2D0" w:themeFill="accent6" w:themeFillTint="33"/>
          </w:tcPr>
          <w:p w14:paraId="30E4544D" w14:textId="25F2978C" w:rsidR="0079756D" w:rsidRPr="00081B49" w:rsidRDefault="00B11ECD" w:rsidP="00B11ECD">
            <w:pPr>
              <w:spacing w:line="480" w:lineRule="auto"/>
              <w:rPr>
                <w:rFonts w:ascii="Times New Roman" w:hAnsi="Times New Roman" w:cs="Times New Roman"/>
                <w:b/>
                <w:bCs/>
                <w:color w:val="E97132" w:themeColor="accent2"/>
              </w:rPr>
            </w:pPr>
            <w:r w:rsidRPr="00081B49">
              <w:rPr>
                <w:rFonts w:ascii="Times New Roman" w:hAnsi="Times New Roman" w:cs="Times New Roman"/>
                <w:b/>
                <w:bCs/>
                <w:color w:val="E97132" w:themeColor="accent2"/>
              </w:rPr>
              <w:t>Profit/Loose (£)</w:t>
            </w:r>
          </w:p>
        </w:tc>
      </w:tr>
      <w:tr w:rsidR="0079756D" w14:paraId="49A2B0DD" w14:textId="77777777" w:rsidTr="00081B49">
        <w:tblPrEx>
          <w:tblCellMar>
            <w:top w:w="0" w:type="dxa"/>
            <w:bottom w:w="0" w:type="dxa"/>
          </w:tblCellMar>
        </w:tblPrEx>
        <w:trPr>
          <w:trHeight w:val="685"/>
        </w:trPr>
        <w:tc>
          <w:tcPr>
            <w:tcW w:w="1276" w:type="dxa"/>
            <w:shd w:val="clear" w:color="auto" w:fill="D9F2D0" w:themeFill="accent6" w:themeFillTint="33"/>
          </w:tcPr>
          <w:p w14:paraId="5A2CB0D4" w14:textId="3C63BE6E" w:rsidR="0079756D" w:rsidRPr="00081B49" w:rsidRDefault="0079756D" w:rsidP="00B11ECD">
            <w:pPr>
              <w:spacing w:line="480" w:lineRule="auto"/>
              <w:rPr>
                <w:rFonts w:ascii="Times New Roman" w:hAnsi="Times New Roman" w:cs="Times New Roman"/>
                <w:b/>
                <w:bCs/>
                <w:color w:val="FF0000"/>
              </w:rPr>
            </w:pPr>
            <w:r w:rsidRPr="00081B49">
              <w:rPr>
                <w:rFonts w:ascii="Times New Roman" w:hAnsi="Times New Roman" w:cs="Times New Roman"/>
                <w:b/>
                <w:bCs/>
                <w:color w:val="FF0000"/>
              </w:rPr>
              <w:t xml:space="preserve"> </w:t>
            </w:r>
            <w:r w:rsidR="00B11ECD" w:rsidRPr="00081B49">
              <w:rPr>
                <w:rFonts w:ascii="Times New Roman" w:hAnsi="Times New Roman" w:cs="Times New Roman"/>
                <w:b/>
                <w:bCs/>
                <w:color w:val="FF0000"/>
              </w:rPr>
              <w:t>Year 1</w:t>
            </w:r>
          </w:p>
        </w:tc>
        <w:tc>
          <w:tcPr>
            <w:tcW w:w="2126" w:type="dxa"/>
            <w:shd w:val="clear" w:color="auto" w:fill="D9F2D0" w:themeFill="accent6" w:themeFillTint="33"/>
          </w:tcPr>
          <w:p w14:paraId="7F88A7A7" w14:textId="52A89A2C" w:rsidR="0079756D" w:rsidRPr="00081B49" w:rsidRDefault="00B11ECD" w:rsidP="00B11ECD">
            <w:pPr>
              <w:spacing w:line="480" w:lineRule="auto"/>
              <w:rPr>
                <w:rFonts w:ascii="Times New Roman" w:hAnsi="Times New Roman" w:cs="Times New Roman"/>
                <w:b/>
                <w:bCs/>
                <w:color w:val="4C94D8" w:themeColor="text2" w:themeTint="80"/>
              </w:rPr>
            </w:pPr>
            <w:r w:rsidRPr="00081B49">
              <w:rPr>
                <w:rFonts w:ascii="Times New Roman" w:hAnsi="Times New Roman" w:cs="Times New Roman"/>
                <w:b/>
                <w:bCs/>
                <w:color w:val="4C94D8" w:themeColor="text2" w:themeTint="80"/>
              </w:rPr>
              <w:t>35.000</w:t>
            </w:r>
          </w:p>
        </w:tc>
        <w:tc>
          <w:tcPr>
            <w:tcW w:w="2410" w:type="dxa"/>
            <w:shd w:val="clear" w:color="auto" w:fill="D9F2D0" w:themeFill="accent6" w:themeFillTint="33"/>
          </w:tcPr>
          <w:p w14:paraId="3894AE6D" w14:textId="401912AF" w:rsidR="0079756D" w:rsidRPr="00081B49" w:rsidRDefault="00B11ECD" w:rsidP="00B11ECD">
            <w:pPr>
              <w:spacing w:line="480" w:lineRule="auto"/>
              <w:rPr>
                <w:rFonts w:ascii="Times New Roman" w:hAnsi="Times New Roman" w:cs="Times New Roman"/>
                <w:b/>
                <w:bCs/>
                <w:color w:val="D86DCB" w:themeColor="accent5" w:themeTint="99"/>
              </w:rPr>
            </w:pPr>
            <w:r w:rsidRPr="00081B49">
              <w:rPr>
                <w:rFonts w:ascii="Times New Roman" w:hAnsi="Times New Roman" w:cs="Times New Roman"/>
                <w:b/>
                <w:bCs/>
                <w:color w:val="D86DCB" w:themeColor="accent5" w:themeTint="99"/>
              </w:rPr>
              <w:t>70.000</w:t>
            </w:r>
          </w:p>
        </w:tc>
        <w:tc>
          <w:tcPr>
            <w:tcW w:w="2268" w:type="dxa"/>
            <w:shd w:val="clear" w:color="auto" w:fill="D9F2D0" w:themeFill="accent6" w:themeFillTint="33"/>
          </w:tcPr>
          <w:p w14:paraId="3AF44FB5" w14:textId="6646D1FB" w:rsidR="0079756D" w:rsidRPr="00081B49" w:rsidRDefault="00B11ECD" w:rsidP="00B11ECD">
            <w:pPr>
              <w:spacing w:line="480" w:lineRule="auto"/>
              <w:rPr>
                <w:rFonts w:ascii="Times New Roman" w:hAnsi="Times New Roman" w:cs="Times New Roman"/>
                <w:b/>
                <w:bCs/>
                <w:color w:val="E97132" w:themeColor="accent2"/>
              </w:rPr>
            </w:pPr>
            <w:r w:rsidRPr="00081B49">
              <w:rPr>
                <w:rFonts w:ascii="Times New Roman" w:hAnsi="Times New Roman" w:cs="Times New Roman"/>
                <w:b/>
                <w:bCs/>
                <w:color w:val="E97132" w:themeColor="accent2"/>
              </w:rPr>
              <w:t>-35.000</w:t>
            </w:r>
          </w:p>
        </w:tc>
      </w:tr>
      <w:tr w:rsidR="0079756D" w14:paraId="6F42EFD5" w14:textId="77777777" w:rsidTr="00081B49">
        <w:tblPrEx>
          <w:tblCellMar>
            <w:top w:w="0" w:type="dxa"/>
            <w:bottom w:w="0" w:type="dxa"/>
          </w:tblCellMar>
        </w:tblPrEx>
        <w:trPr>
          <w:trHeight w:val="552"/>
        </w:trPr>
        <w:tc>
          <w:tcPr>
            <w:tcW w:w="1276" w:type="dxa"/>
            <w:shd w:val="clear" w:color="auto" w:fill="D9F2D0" w:themeFill="accent6" w:themeFillTint="33"/>
          </w:tcPr>
          <w:p w14:paraId="2769E7AC" w14:textId="687D5A72" w:rsidR="0079756D" w:rsidRPr="00081B49" w:rsidRDefault="00B11ECD" w:rsidP="00B11ECD">
            <w:pPr>
              <w:spacing w:line="480" w:lineRule="auto"/>
              <w:rPr>
                <w:rFonts w:ascii="Times New Roman" w:hAnsi="Times New Roman" w:cs="Times New Roman"/>
                <w:b/>
                <w:bCs/>
                <w:color w:val="FF0000"/>
              </w:rPr>
            </w:pPr>
            <w:r w:rsidRPr="00081B49">
              <w:rPr>
                <w:rFonts w:ascii="Times New Roman" w:hAnsi="Times New Roman" w:cs="Times New Roman"/>
                <w:b/>
                <w:bCs/>
                <w:color w:val="FF0000"/>
              </w:rPr>
              <w:t>Year 2</w:t>
            </w:r>
          </w:p>
        </w:tc>
        <w:tc>
          <w:tcPr>
            <w:tcW w:w="2126" w:type="dxa"/>
            <w:shd w:val="clear" w:color="auto" w:fill="D9F2D0" w:themeFill="accent6" w:themeFillTint="33"/>
          </w:tcPr>
          <w:p w14:paraId="24E980D6" w14:textId="7D2DFDA3" w:rsidR="0079756D" w:rsidRPr="00081B49" w:rsidRDefault="00B11ECD" w:rsidP="00B11ECD">
            <w:pPr>
              <w:spacing w:line="480" w:lineRule="auto"/>
              <w:rPr>
                <w:rFonts w:ascii="Times New Roman" w:hAnsi="Times New Roman" w:cs="Times New Roman"/>
                <w:b/>
                <w:bCs/>
                <w:color w:val="4C94D8" w:themeColor="text2" w:themeTint="80"/>
              </w:rPr>
            </w:pPr>
            <w:r w:rsidRPr="00081B49">
              <w:rPr>
                <w:rFonts w:ascii="Times New Roman" w:hAnsi="Times New Roman" w:cs="Times New Roman"/>
                <w:b/>
                <w:bCs/>
                <w:color w:val="4C94D8" w:themeColor="text2" w:themeTint="80"/>
              </w:rPr>
              <w:t>110.000</w:t>
            </w:r>
          </w:p>
        </w:tc>
        <w:tc>
          <w:tcPr>
            <w:tcW w:w="2410" w:type="dxa"/>
            <w:shd w:val="clear" w:color="auto" w:fill="D9F2D0" w:themeFill="accent6" w:themeFillTint="33"/>
          </w:tcPr>
          <w:p w14:paraId="2D0052EE" w14:textId="5109A22A" w:rsidR="0079756D" w:rsidRPr="00081B49" w:rsidRDefault="00B11ECD" w:rsidP="00B11ECD">
            <w:pPr>
              <w:spacing w:line="480" w:lineRule="auto"/>
              <w:rPr>
                <w:rFonts w:ascii="Times New Roman" w:hAnsi="Times New Roman" w:cs="Times New Roman"/>
                <w:b/>
                <w:bCs/>
                <w:color w:val="D86DCB" w:themeColor="accent5" w:themeTint="99"/>
              </w:rPr>
            </w:pPr>
            <w:r w:rsidRPr="00081B49">
              <w:rPr>
                <w:rFonts w:ascii="Times New Roman" w:hAnsi="Times New Roman" w:cs="Times New Roman"/>
                <w:b/>
                <w:bCs/>
                <w:color w:val="D86DCB" w:themeColor="accent5" w:themeTint="99"/>
              </w:rPr>
              <w:t>110.000</w:t>
            </w:r>
          </w:p>
        </w:tc>
        <w:tc>
          <w:tcPr>
            <w:tcW w:w="2268" w:type="dxa"/>
            <w:shd w:val="clear" w:color="auto" w:fill="D9F2D0" w:themeFill="accent6" w:themeFillTint="33"/>
          </w:tcPr>
          <w:p w14:paraId="007A4F5A" w14:textId="45F28631" w:rsidR="0079756D" w:rsidRPr="00081B49" w:rsidRDefault="00B11ECD" w:rsidP="00B11ECD">
            <w:pPr>
              <w:spacing w:line="480" w:lineRule="auto"/>
              <w:rPr>
                <w:rFonts w:ascii="Times New Roman" w:hAnsi="Times New Roman" w:cs="Times New Roman"/>
                <w:b/>
                <w:bCs/>
                <w:color w:val="E97132" w:themeColor="accent2"/>
              </w:rPr>
            </w:pPr>
            <w:r w:rsidRPr="00081B49">
              <w:rPr>
                <w:rFonts w:ascii="Times New Roman" w:hAnsi="Times New Roman" w:cs="Times New Roman"/>
                <w:b/>
                <w:bCs/>
                <w:color w:val="E97132" w:themeColor="accent2"/>
              </w:rPr>
              <w:t>0</w:t>
            </w:r>
          </w:p>
        </w:tc>
      </w:tr>
      <w:tr w:rsidR="00B11ECD" w14:paraId="56F48A04" w14:textId="7C52B7F3" w:rsidTr="00081B49">
        <w:tblPrEx>
          <w:tblCellMar>
            <w:top w:w="0" w:type="dxa"/>
            <w:bottom w:w="0" w:type="dxa"/>
          </w:tblCellMar>
        </w:tblPrEx>
        <w:trPr>
          <w:trHeight w:val="689"/>
        </w:trPr>
        <w:tc>
          <w:tcPr>
            <w:tcW w:w="1276" w:type="dxa"/>
            <w:shd w:val="clear" w:color="auto" w:fill="D9F2D0" w:themeFill="accent6" w:themeFillTint="33"/>
          </w:tcPr>
          <w:p w14:paraId="4B85615A" w14:textId="2A441CD3" w:rsidR="00B11ECD" w:rsidRPr="00081B49" w:rsidRDefault="00B11ECD" w:rsidP="00B11ECD">
            <w:pPr>
              <w:spacing w:line="480" w:lineRule="auto"/>
              <w:rPr>
                <w:rFonts w:ascii="Times New Roman" w:hAnsi="Times New Roman" w:cs="Times New Roman"/>
                <w:b/>
                <w:bCs/>
                <w:color w:val="FF0000"/>
              </w:rPr>
            </w:pPr>
            <w:r w:rsidRPr="00081B49">
              <w:rPr>
                <w:rFonts w:ascii="Times New Roman" w:hAnsi="Times New Roman" w:cs="Times New Roman"/>
                <w:b/>
                <w:bCs/>
                <w:color w:val="FF0000"/>
              </w:rPr>
              <w:t>Year 3</w:t>
            </w:r>
          </w:p>
        </w:tc>
        <w:tc>
          <w:tcPr>
            <w:tcW w:w="2126" w:type="dxa"/>
            <w:shd w:val="clear" w:color="auto" w:fill="D9F2D0" w:themeFill="accent6" w:themeFillTint="33"/>
          </w:tcPr>
          <w:p w14:paraId="5D4D0B38" w14:textId="4621334C" w:rsidR="00B11ECD" w:rsidRPr="00081B49" w:rsidRDefault="00B11ECD" w:rsidP="00B11ECD">
            <w:pPr>
              <w:spacing w:line="480" w:lineRule="auto"/>
              <w:rPr>
                <w:rFonts w:ascii="Times New Roman" w:hAnsi="Times New Roman" w:cs="Times New Roman"/>
                <w:b/>
                <w:bCs/>
                <w:color w:val="4C94D8" w:themeColor="text2" w:themeTint="80"/>
              </w:rPr>
            </w:pPr>
            <w:r w:rsidRPr="00081B49">
              <w:rPr>
                <w:rFonts w:ascii="Times New Roman" w:hAnsi="Times New Roman" w:cs="Times New Roman"/>
                <w:b/>
                <w:bCs/>
                <w:color w:val="4C94D8" w:themeColor="text2" w:themeTint="80"/>
              </w:rPr>
              <w:t>250.000</w:t>
            </w:r>
          </w:p>
        </w:tc>
        <w:tc>
          <w:tcPr>
            <w:tcW w:w="2410" w:type="dxa"/>
            <w:shd w:val="clear" w:color="auto" w:fill="D9F2D0" w:themeFill="accent6" w:themeFillTint="33"/>
          </w:tcPr>
          <w:p w14:paraId="3DAEDA2F" w14:textId="5AC08EFB" w:rsidR="00B11ECD" w:rsidRPr="00081B49" w:rsidRDefault="00B11ECD" w:rsidP="00B11ECD">
            <w:pPr>
              <w:spacing w:line="480" w:lineRule="auto"/>
              <w:rPr>
                <w:rFonts w:ascii="Times New Roman" w:hAnsi="Times New Roman" w:cs="Times New Roman"/>
                <w:b/>
                <w:bCs/>
                <w:color w:val="D86DCB" w:themeColor="accent5" w:themeTint="99"/>
              </w:rPr>
            </w:pPr>
            <w:r w:rsidRPr="00081B49">
              <w:rPr>
                <w:rFonts w:ascii="Times New Roman" w:hAnsi="Times New Roman" w:cs="Times New Roman"/>
                <w:b/>
                <w:bCs/>
                <w:color w:val="D86DCB" w:themeColor="accent5" w:themeTint="99"/>
              </w:rPr>
              <w:t>220.000</w:t>
            </w:r>
          </w:p>
        </w:tc>
        <w:tc>
          <w:tcPr>
            <w:tcW w:w="2268" w:type="dxa"/>
            <w:shd w:val="clear" w:color="auto" w:fill="D9F2D0" w:themeFill="accent6" w:themeFillTint="33"/>
          </w:tcPr>
          <w:p w14:paraId="0C67E7E1" w14:textId="4722F464" w:rsidR="00B11ECD" w:rsidRPr="00081B49" w:rsidRDefault="00B11ECD" w:rsidP="00B11ECD">
            <w:pPr>
              <w:spacing w:line="480" w:lineRule="auto"/>
              <w:rPr>
                <w:rFonts w:ascii="Times New Roman" w:hAnsi="Times New Roman" w:cs="Times New Roman"/>
                <w:b/>
                <w:bCs/>
                <w:color w:val="E97132" w:themeColor="accent2"/>
              </w:rPr>
            </w:pPr>
            <w:r w:rsidRPr="00081B49">
              <w:rPr>
                <w:rFonts w:ascii="Times New Roman" w:hAnsi="Times New Roman" w:cs="Times New Roman"/>
                <w:b/>
                <w:bCs/>
                <w:color w:val="E97132" w:themeColor="accent2"/>
              </w:rPr>
              <w:t>+30.000</w:t>
            </w:r>
          </w:p>
        </w:tc>
      </w:tr>
    </w:tbl>
    <w:p w14:paraId="455DE3CD" w14:textId="77777777" w:rsidR="00B11ECD" w:rsidRDefault="00B11ECD" w:rsidP="0079756D">
      <w:pPr>
        <w:spacing w:line="480" w:lineRule="auto"/>
        <w:rPr>
          <w:rFonts w:ascii="Times New Roman" w:hAnsi="Times New Roman" w:cs="Times New Roman"/>
        </w:rPr>
      </w:pPr>
    </w:p>
    <w:p w14:paraId="7BD19DDD" w14:textId="77777777" w:rsidR="00B11ECD" w:rsidRDefault="0079756D" w:rsidP="0079756D">
      <w:pPr>
        <w:spacing w:line="480" w:lineRule="auto"/>
        <w:rPr>
          <w:rFonts w:ascii="Times New Roman" w:hAnsi="Times New Roman" w:cs="Times New Roman"/>
        </w:rPr>
      </w:pPr>
      <w:r w:rsidRPr="0079756D">
        <w:rPr>
          <w:rFonts w:ascii="Times New Roman" w:hAnsi="Times New Roman" w:cs="Times New Roman"/>
        </w:rPr>
        <w:lastRenderedPageBreak/>
        <w:t>Studies support these projections, as they suggest that smaller, agile firms can enhance their performance rapidly as they expand (Kuncová et al., 2016). The initial funding, which is anticipated to be between £50,000 and £75,000, will be obtained through a combination of sources, including government grants, angel investors, crowdfunding initiatives, and founder investment.</w:t>
      </w:r>
    </w:p>
    <w:p w14:paraId="1BD35E99" w14:textId="70A4C2C9" w:rsidR="0079756D" w:rsidRPr="00B11ECD" w:rsidRDefault="0079756D" w:rsidP="0079756D">
      <w:pPr>
        <w:spacing w:line="480" w:lineRule="auto"/>
        <w:rPr>
          <w:rFonts w:ascii="Times New Roman" w:hAnsi="Times New Roman" w:cs="Times New Roman"/>
          <w:b/>
          <w:bCs/>
          <w:u w:val="double"/>
        </w:rPr>
      </w:pPr>
      <w:r w:rsidRPr="00B11ECD">
        <w:rPr>
          <w:rFonts w:ascii="Times New Roman" w:hAnsi="Times New Roman" w:cs="Times New Roman"/>
          <w:b/>
          <w:bCs/>
          <w:u w:val="double"/>
        </w:rPr>
        <w:t>Resource Requirements</w:t>
      </w:r>
    </w:p>
    <w:p w14:paraId="16E0E016" w14:textId="31B9780C" w:rsidR="0079756D" w:rsidRPr="00B11ECD" w:rsidRDefault="0079756D" w:rsidP="00B11ECD">
      <w:pPr>
        <w:pStyle w:val="ListParagraph"/>
        <w:numPr>
          <w:ilvl w:val="0"/>
          <w:numId w:val="7"/>
        </w:numPr>
        <w:spacing w:line="480" w:lineRule="auto"/>
        <w:rPr>
          <w:rFonts w:ascii="Times New Roman" w:hAnsi="Times New Roman" w:cs="Times New Roman"/>
        </w:rPr>
      </w:pPr>
      <w:r w:rsidRPr="00B11ECD">
        <w:rPr>
          <w:rFonts w:ascii="Times New Roman" w:hAnsi="Times New Roman" w:cs="Times New Roman"/>
        </w:rPr>
        <w:t xml:space="preserve">Physical Resources: A 1,000 </w:t>
      </w:r>
      <w:r w:rsidR="00B11ECD" w:rsidRPr="00B11ECD">
        <w:rPr>
          <w:rFonts w:ascii="Times New Roman" w:hAnsi="Times New Roman" w:cs="Times New Roman"/>
        </w:rPr>
        <w:t>sq.</w:t>
      </w:r>
      <w:r w:rsidRPr="00B11ECD">
        <w:rPr>
          <w:rFonts w:ascii="Times New Roman" w:hAnsi="Times New Roman" w:cs="Times New Roman"/>
        </w:rPr>
        <w:t xml:space="preserve"> ft production and warehousing facility, quality testing laboratories, and sustainable packaging equipment.</w:t>
      </w:r>
    </w:p>
    <w:p w14:paraId="4C0170ED" w14:textId="77777777" w:rsidR="0079756D" w:rsidRPr="00B11ECD" w:rsidRDefault="0079756D" w:rsidP="00B11ECD">
      <w:pPr>
        <w:pStyle w:val="ListParagraph"/>
        <w:numPr>
          <w:ilvl w:val="0"/>
          <w:numId w:val="7"/>
        </w:numPr>
        <w:spacing w:line="480" w:lineRule="auto"/>
        <w:rPr>
          <w:rFonts w:ascii="Times New Roman" w:hAnsi="Times New Roman" w:cs="Times New Roman"/>
        </w:rPr>
      </w:pPr>
      <w:r w:rsidRPr="00B11ECD">
        <w:rPr>
          <w:rFonts w:ascii="Times New Roman" w:hAnsi="Times New Roman" w:cs="Times New Roman"/>
        </w:rPr>
        <w:t>Human Resources: A primary team that includes leadership, product development, marketing, operations, and customer service personnel.</w:t>
      </w:r>
    </w:p>
    <w:p w14:paraId="6CA4D47D" w14:textId="77777777" w:rsidR="00B11ECD" w:rsidRDefault="0079756D" w:rsidP="0079756D">
      <w:pPr>
        <w:pStyle w:val="ListParagraph"/>
        <w:numPr>
          <w:ilvl w:val="0"/>
          <w:numId w:val="7"/>
        </w:numPr>
        <w:spacing w:line="480" w:lineRule="auto"/>
        <w:rPr>
          <w:rFonts w:ascii="Times New Roman" w:hAnsi="Times New Roman" w:cs="Times New Roman"/>
        </w:rPr>
      </w:pPr>
      <w:r w:rsidRPr="00B11ECD">
        <w:rPr>
          <w:rFonts w:ascii="Times New Roman" w:hAnsi="Times New Roman" w:cs="Times New Roman"/>
        </w:rPr>
        <w:t>Financial Resources: Capital to cover production costs, marketing expenditures, and initial operational expenses until break-even is achieved.</w:t>
      </w:r>
    </w:p>
    <w:p w14:paraId="77027A9D" w14:textId="3CF70C6F" w:rsidR="0079756D" w:rsidRPr="00B11ECD" w:rsidRDefault="0079756D" w:rsidP="00B11ECD">
      <w:pPr>
        <w:spacing w:line="480" w:lineRule="auto"/>
        <w:rPr>
          <w:rFonts w:ascii="Times New Roman" w:hAnsi="Times New Roman" w:cs="Times New Roman"/>
          <w:b/>
          <w:bCs/>
          <w:u w:val="double"/>
        </w:rPr>
      </w:pPr>
      <w:r w:rsidRPr="00B11ECD">
        <w:rPr>
          <w:rFonts w:ascii="Times New Roman" w:hAnsi="Times New Roman" w:cs="Times New Roman"/>
          <w:b/>
          <w:bCs/>
          <w:u w:val="double"/>
        </w:rPr>
        <w:t>Contingency Planning and Risk Management</w:t>
      </w:r>
    </w:p>
    <w:p w14:paraId="3526D857" w14:textId="6600EAE6" w:rsidR="0079756D" w:rsidRPr="0079756D" w:rsidRDefault="0079756D" w:rsidP="0079756D">
      <w:pPr>
        <w:spacing w:line="480" w:lineRule="auto"/>
        <w:rPr>
          <w:rFonts w:ascii="Times New Roman" w:hAnsi="Times New Roman" w:cs="Times New Roman"/>
        </w:rPr>
      </w:pPr>
      <w:r w:rsidRPr="0079756D">
        <w:rPr>
          <w:rFonts w:ascii="Times New Roman" w:hAnsi="Times New Roman" w:cs="Times New Roman"/>
        </w:rPr>
        <w:t xml:space="preserve">It is imperative to identify and mitigate risks </w:t>
      </w:r>
      <w:r w:rsidR="00B11ECD" w:rsidRPr="0079756D">
        <w:rPr>
          <w:rFonts w:ascii="Times New Roman" w:hAnsi="Times New Roman" w:cs="Times New Roman"/>
        </w:rPr>
        <w:t>to</w:t>
      </w:r>
      <w:r w:rsidRPr="0079756D">
        <w:rPr>
          <w:rFonts w:ascii="Times New Roman" w:hAnsi="Times New Roman" w:cs="Times New Roman"/>
        </w:rPr>
        <w:t xml:space="preserve"> ensure the sustainability of operations. GreenClean Solutions' risk management framework evaluates operational, financial, regulatory, and market risks.</w:t>
      </w:r>
    </w:p>
    <w:p w14:paraId="59F00FF3" w14:textId="77777777" w:rsidR="0079756D" w:rsidRPr="00B11ECD" w:rsidRDefault="0079756D" w:rsidP="0079756D">
      <w:pPr>
        <w:spacing w:line="480" w:lineRule="auto"/>
        <w:rPr>
          <w:rFonts w:ascii="Times New Roman" w:hAnsi="Times New Roman" w:cs="Times New Roman"/>
          <w:b/>
          <w:bCs/>
          <w:u w:val="double"/>
        </w:rPr>
      </w:pPr>
      <w:r w:rsidRPr="00B11ECD">
        <w:rPr>
          <w:rFonts w:ascii="Times New Roman" w:hAnsi="Times New Roman" w:cs="Times New Roman"/>
          <w:b/>
          <w:bCs/>
          <w:u w:val="double"/>
        </w:rPr>
        <w:t>Key Risks and Mitigation Strategies</w:t>
      </w:r>
    </w:p>
    <w:p w14:paraId="69A0C93F" w14:textId="5BE8AE8F" w:rsidR="0079756D" w:rsidRPr="00B11ECD" w:rsidRDefault="0079756D" w:rsidP="00B11ECD">
      <w:pPr>
        <w:pStyle w:val="ListParagraph"/>
        <w:numPr>
          <w:ilvl w:val="0"/>
          <w:numId w:val="8"/>
        </w:numPr>
        <w:spacing w:line="480" w:lineRule="auto"/>
        <w:rPr>
          <w:rFonts w:ascii="Times New Roman" w:hAnsi="Times New Roman" w:cs="Times New Roman"/>
        </w:rPr>
      </w:pPr>
      <w:r w:rsidRPr="00B11ECD">
        <w:rPr>
          <w:rFonts w:ascii="Times New Roman" w:hAnsi="Times New Roman" w:cs="Times New Roman"/>
        </w:rPr>
        <w:t xml:space="preserve">Sales Underperformance: </w:t>
      </w:r>
      <w:r w:rsidR="00B11ECD" w:rsidRPr="00B11ECD">
        <w:rPr>
          <w:rFonts w:ascii="Times New Roman" w:hAnsi="Times New Roman" w:cs="Times New Roman"/>
        </w:rPr>
        <w:t>If</w:t>
      </w:r>
      <w:r w:rsidRPr="00B11ECD">
        <w:rPr>
          <w:rFonts w:ascii="Times New Roman" w:hAnsi="Times New Roman" w:cs="Times New Roman"/>
        </w:rPr>
        <w:t xml:space="preserve"> product sales do not meet expectations, the organisation will increase its marketing initiatives and investigate alternative distribution channels, such as B2B sales to hotels and offices. Timely strategy adjustments will be informed by consistent market research.</w:t>
      </w:r>
    </w:p>
    <w:p w14:paraId="58556C46" w14:textId="77777777" w:rsidR="0079756D" w:rsidRPr="00B11ECD" w:rsidRDefault="0079756D" w:rsidP="00B11ECD">
      <w:pPr>
        <w:pStyle w:val="ListParagraph"/>
        <w:numPr>
          <w:ilvl w:val="0"/>
          <w:numId w:val="8"/>
        </w:numPr>
        <w:spacing w:line="480" w:lineRule="auto"/>
        <w:rPr>
          <w:rFonts w:ascii="Times New Roman" w:hAnsi="Times New Roman" w:cs="Times New Roman"/>
        </w:rPr>
      </w:pPr>
      <w:r w:rsidRPr="00B11ECD">
        <w:rPr>
          <w:rFonts w:ascii="Times New Roman" w:hAnsi="Times New Roman" w:cs="Times New Roman"/>
        </w:rPr>
        <w:t xml:space="preserve">Challenges with Cash Flow: In the event of cash flow issues, the business will obtain emergency funding through bridging loans or additional crowdfunding campaigns. </w:t>
      </w:r>
      <w:r w:rsidRPr="00B11ECD">
        <w:rPr>
          <w:rFonts w:ascii="Times New Roman" w:hAnsi="Times New Roman" w:cs="Times New Roman"/>
        </w:rPr>
        <w:lastRenderedPageBreak/>
        <w:t>The company's strategy will be characterised by rigorous financial surveillance and flexible budgeting.</w:t>
      </w:r>
    </w:p>
    <w:p w14:paraId="602792F8" w14:textId="4E827297" w:rsidR="0079756D" w:rsidRPr="00B11ECD" w:rsidRDefault="0079756D" w:rsidP="00B11ECD">
      <w:pPr>
        <w:pStyle w:val="ListParagraph"/>
        <w:numPr>
          <w:ilvl w:val="0"/>
          <w:numId w:val="8"/>
        </w:numPr>
        <w:spacing w:line="480" w:lineRule="auto"/>
        <w:rPr>
          <w:rFonts w:ascii="Times New Roman" w:hAnsi="Times New Roman" w:cs="Times New Roman"/>
        </w:rPr>
      </w:pPr>
      <w:r w:rsidRPr="00B11ECD">
        <w:rPr>
          <w:rFonts w:ascii="Times New Roman" w:hAnsi="Times New Roman" w:cs="Times New Roman"/>
        </w:rPr>
        <w:t xml:space="preserve">Supply Chain Disruptions: </w:t>
      </w:r>
      <w:r w:rsidR="00B11ECD" w:rsidRPr="00B11ECD">
        <w:rPr>
          <w:rFonts w:ascii="Times New Roman" w:hAnsi="Times New Roman" w:cs="Times New Roman"/>
        </w:rPr>
        <w:t>To</w:t>
      </w:r>
      <w:r w:rsidRPr="00B11ECD">
        <w:rPr>
          <w:rFonts w:ascii="Times New Roman" w:hAnsi="Times New Roman" w:cs="Times New Roman"/>
        </w:rPr>
        <w:t xml:space="preserve"> prevent supply chain bottlenecks, an inventory buffer will be </w:t>
      </w:r>
      <w:r w:rsidR="00B11ECD" w:rsidRPr="00B11ECD">
        <w:rPr>
          <w:rFonts w:ascii="Times New Roman" w:hAnsi="Times New Roman" w:cs="Times New Roman"/>
        </w:rPr>
        <w:t>maintained,</w:t>
      </w:r>
      <w:r w:rsidRPr="00B11ECD">
        <w:rPr>
          <w:rFonts w:ascii="Times New Roman" w:hAnsi="Times New Roman" w:cs="Times New Roman"/>
        </w:rPr>
        <w:t xml:space="preserve"> and multiple supplier contracts will be established.</w:t>
      </w:r>
    </w:p>
    <w:p w14:paraId="693E1041" w14:textId="77777777" w:rsidR="0079756D" w:rsidRPr="00B11ECD" w:rsidRDefault="0079756D" w:rsidP="00B11ECD">
      <w:pPr>
        <w:pStyle w:val="ListParagraph"/>
        <w:numPr>
          <w:ilvl w:val="0"/>
          <w:numId w:val="8"/>
        </w:numPr>
        <w:spacing w:line="480" w:lineRule="auto"/>
        <w:rPr>
          <w:rFonts w:ascii="Times New Roman" w:hAnsi="Times New Roman" w:cs="Times New Roman"/>
        </w:rPr>
      </w:pPr>
      <w:r w:rsidRPr="00B11ECD">
        <w:rPr>
          <w:rFonts w:ascii="Times New Roman" w:hAnsi="Times New Roman" w:cs="Times New Roman"/>
        </w:rPr>
        <w:t>Regulatory Changes: To prevent operations from being disrupted by changes in UK environmental regulations, proactive compliance measures and continuous legal consultation will be implemented.</w:t>
      </w:r>
    </w:p>
    <w:p w14:paraId="0D02777E" w14:textId="77777777" w:rsidR="0079756D" w:rsidRPr="00B11ECD" w:rsidRDefault="0079756D" w:rsidP="00B11ECD">
      <w:pPr>
        <w:pStyle w:val="ListParagraph"/>
        <w:numPr>
          <w:ilvl w:val="0"/>
          <w:numId w:val="8"/>
        </w:numPr>
        <w:spacing w:line="480" w:lineRule="auto"/>
        <w:rPr>
          <w:rFonts w:ascii="Times New Roman" w:hAnsi="Times New Roman" w:cs="Times New Roman"/>
        </w:rPr>
      </w:pPr>
      <w:r w:rsidRPr="00B11ECD">
        <w:rPr>
          <w:rFonts w:ascii="Times New Roman" w:hAnsi="Times New Roman" w:cs="Times New Roman"/>
        </w:rPr>
        <w:t>Competitive Pressures: The company's dedication to sustainability, which is bolstered by transparent operations and credible certifications, will serve to distinguish its products. Ongoing stakeholder engagement will also contribute to the preservation of a competitive advantage (Freeman, 1984).</w:t>
      </w:r>
    </w:p>
    <w:p w14:paraId="11B090F3" w14:textId="77777777" w:rsidR="00B11ECD" w:rsidRDefault="00B11ECD" w:rsidP="0079756D">
      <w:pPr>
        <w:spacing w:line="480" w:lineRule="auto"/>
        <w:rPr>
          <w:rFonts w:ascii="Times New Roman" w:hAnsi="Times New Roman" w:cs="Times New Roman"/>
        </w:rPr>
      </w:pPr>
    </w:p>
    <w:p w14:paraId="731E03D8" w14:textId="77777777" w:rsidR="00B11ECD" w:rsidRDefault="00B11ECD" w:rsidP="0079756D">
      <w:pPr>
        <w:spacing w:line="480" w:lineRule="auto"/>
        <w:rPr>
          <w:rFonts w:ascii="Times New Roman" w:hAnsi="Times New Roman" w:cs="Times New Roman"/>
        </w:rPr>
      </w:pPr>
    </w:p>
    <w:p w14:paraId="7D6E83E3" w14:textId="77777777" w:rsidR="00B11ECD" w:rsidRDefault="00B11ECD" w:rsidP="0079756D">
      <w:pPr>
        <w:spacing w:line="480" w:lineRule="auto"/>
        <w:rPr>
          <w:rFonts w:ascii="Times New Roman" w:hAnsi="Times New Roman" w:cs="Times New Roman"/>
        </w:rPr>
      </w:pPr>
    </w:p>
    <w:p w14:paraId="44C1E748" w14:textId="77777777" w:rsidR="00B11ECD" w:rsidRDefault="00B11ECD" w:rsidP="0079756D">
      <w:pPr>
        <w:spacing w:line="480" w:lineRule="auto"/>
        <w:rPr>
          <w:rFonts w:ascii="Times New Roman" w:hAnsi="Times New Roman" w:cs="Times New Roman"/>
        </w:rPr>
      </w:pPr>
    </w:p>
    <w:p w14:paraId="6F8E57C8" w14:textId="77777777" w:rsidR="00B11ECD" w:rsidRDefault="00B11ECD" w:rsidP="0079756D">
      <w:pPr>
        <w:spacing w:line="480" w:lineRule="auto"/>
        <w:rPr>
          <w:rFonts w:ascii="Times New Roman" w:hAnsi="Times New Roman" w:cs="Times New Roman"/>
        </w:rPr>
      </w:pPr>
    </w:p>
    <w:p w14:paraId="717486A2" w14:textId="77777777" w:rsidR="00B11ECD" w:rsidRDefault="00B11ECD" w:rsidP="0079756D">
      <w:pPr>
        <w:spacing w:line="480" w:lineRule="auto"/>
        <w:rPr>
          <w:rFonts w:ascii="Times New Roman" w:hAnsi="Times New Roman" w:cs="Times New Roman"/>
        </w:rPr>
      </w:pPr>
    </w:p>
    <w:p w14:paraId="13EE1EAA" w14:textId="77777777" w:rsidR="00B11ECD" w:rsidRDefault="00B11ECD" w:rsidP="0079756D">
      <w:pPr>
        <w:spacing w:line="480" w:lineRule="auto"/>
        <w:rPr>
          <w:rFonts w:ascii="Times New Roman" w:hAnsi="Times New Roman" w:cs="Times New Roman"/>
        </w:rPr>
      </w:pPr>
    </w:p>
    <w:p w14:paraId="76535B40" w14:textId="77777777" w:rsidR="00B11ECD" w:rsidRDefault="00B11ECD" w:rsidP="0079756D">
      <w:pPr>
        <w:spacing w:line="480" w:lineRule="auto"/>
        <w:rPr>
          <w:rFonts w:ascii="Times New Roman" w:hAnsi="Times New Roman" w:cs="Times New Roman"/>
        </w:rPr>
      </w:pPr>
    </w:p>
    <w:p w14:paraId="2327E446" w14:textId="77777777" w:rsidR="00B11ECD" w:rsidRDefault="00B11ECD" w:rsidP="0079756D">
      <w:pPr>
        <w:spacing w:line="480" w:lineRule="auto"/>
        <w:rPr>
          <w:rFonts w:ascii="Times New Roman" w:hAnsi="Times New Roman" w:cs="Times New Roman"/>
        </w:rPr>
      </w:pPr>
    </w:p>
    <w:p w14:paraId="0D9007E3" w14:textId="77777777" w:rsidR="00B11ECD" w:rsidRDefault="00B11ECD" w:rsidP="0079756D">
      <w:pPr>
        <w:spacing w:line="480" w:lineRule="auto"/>
        <w:rPr>
          <w:rFonts w:ascii="Times New Roman" w:hAnsi="Times New Roman" w:cs="Times New Roman"/>
        </w:rPr>
      </w:pPr>
    </w:p>
    <w:p w14:paraId="71F80E49" w14:textId="77777777" w:rsidR="00B11ECD" w:rsidRDefault="00B11ECD" w:rsidP="0079756D">
      <w:pPr>
        <w:spacing w:line="480" w:lineRule="auto"/>
        <w:rPr>
          <w:rFonts w:ascii="Times New Roman" w:hAnsi="Times New Roman" w:cs="Times New Roman"/>
        </w:rPr>
      </w:pPr>
    </w:p>
    <w:p w14:paraId="32AEC323" w14:textId="5449055F" w:rsidR="0079756D" w:rsidRPr="00B11ECD" w:rsidRDefault="00B11ECD" w:rsidP="0079756D">
      <w:pPr>
        <w:spacing w:line="480" w:lineRule="auto"/>
        <w:rPr>
          <w:rFonts w:ascii="Times New Roman" w:hAnsi="Times New Roman" w:cs="Times New Roman"/>
          <w:b/>
          <w:bCs/>
          <w:u w:val="double"/>
        </w:rPr>
      </w:pPr>
      <w:r w:rsidRPr="00B11ECD">
        <w:rPr>
          <w:rFonts w:ascii="Times New Roman" w:hAnsi="Times New Roman" w:cs="Times New Roman"/>
          <w:b/>
          <w:bCs/>
          <w:u w:val="double"/>
        </w:rPr>
        <w:lastRenderedPageBreak/>
        <w:t>C</w:t>
      </w:r>
      <w:r w:rsidR="0079756D" w:rsidRPr="00B11ECD">
        <w:rPr>
          <w:rFonts w:ascii="Times New Roman" w:hAnsi="Times New Roman" w:cs="Times New Roman"/>
          <w:b/>
          <w:bCs/>
          <w:u w:val="double"/>
        </w:rPr>
        <w:t>onclusion</w:t>
      </w:r>
    </w:p>
    <w:p w14:paraId="00152D7B" w14:textId="77777777" w:rsidR="00B11ECD" w:rsidRDefault="0079756D" w:rsidP="0079756D">
      <w:pPr>
        <w:spacing w:line="480" w:lineRule="auto"/>
        <w:rPr>
          <w:rFonts w:ascii="Times New Roman" w:hAnsi="Times New Roman" w:cs="Times New Roman"/>
        </w:rPr>
      </w:pPr>
      <w:r w:rsidRPr="0079756D">
        <w:rPr>
          <w:rFonts w:ascii="Times New Roman" w:hAnsi="Times New Roman" w:cs="Times New Roman"/>
        </w:rPr>
        <w:t xml:space="preserve">GreenClean Solutions is in a favourable position to revolutionise the UK domestic cleaning market by offering eco-friendly, sustainable products that are consistent with contemporary consumer values. The business plan, which is based on the principles of the triple bottom line (Elkington, 1994) and informed by leadership theories (Fiedler, 1967), delineates a straightforward plan for market entry, growth, and profitability. The company is on the brink of long-term success and a positive impact on the environment </w:t>
      </w:r>
      <w:r w:rsidR="00B11ECD" w:rsidRPr="0079756D">
        <w:rPr>
          <w:rFonts w:ascii="Times New Roman" w:hAnsi="Times New Roman" w:cs="Times New Roman"/>
        </w:rPr>
        <w:t>because of</w:t>
      </w:r>
      <w:r w:rsidRPr="0079756D">
        <w:rPr>
          <w:rFonts w:ascii="Times New Roman" w:hAnsi="Times New Roman" w:cs="Times New Roman"/>
        </w:rPr>
        <w:t xml:space="preserve"> strategic operational planning, active stakeholder engagement, and rigorous sustainability practices.</w:t>
      </w:r>
    </w:p>
    <w:p w14:paraId="66154960" w14:textId="77777777" w:rsidR="00B11ECD" w:rsidRDefault="0079756D" w:rsidP="0079756D">
      <w:pPr>
        <w:spacing w:line="480" w:lineRule="auto"/>
        <w:rPr>
          <w:rFonts w:ascii="Times New Roman" w:hAnsi="Times New Roman" w:cs="Times New Roman"/>
        </w:rPr>
      </w:pPr>
      <w:r w:rsidRPr="0079756D">
        <w:rPr>
          <w:rFonts w:ascii="Times New Roman" w:hAnsi="Times New Roman" w:cs="Times New Roman"/>
        </w:rPr>
        <w:t>Contemporary research in CSR and sustainable business practices (Kucharska &amp; Kowalczyk, 2019) as well as studies that emphasise the impact of firm scale on performance (Kuncová et al., 2016) validate the approach implemented by GreenClean Solutions. Furthermore, the financial and operational strategies are consistent with the most effective environmental, social, and governance standards (La Torre et al., 2021). Continuous innovation, proactive risk management, and an unwavering dedication to sustainability will be the foundation of the company's success as it continues to grow.</w:t>
      </w:r>
    </w:p>
    <w:p w14:paraId="3662B421" w14:textId="5B083CE7" w:rsidR="0079756D" w:rsidRDefault="0079756D" w:rsidP="0079756D">
      <w:pPr>
        <w:spacing w:line="480" w:lineRule="auto"/>
        <w:rPr>
          <w:rFonts w:ascii="Times New Roman" w:hAnsi="Times New Roman" w:cs="Times New Roman"/>
        </w:rPr>
      </w:pPr>
      <w:r w:rsidRPr="0079756D">
        <w:rPr>
          <w:rFonts w:ascii="Times New Roman" w:hAnsi="Times New Roman" w:cs="Times New Roman"/>
        </w:rPr>
        <w:t>The journey towards economic success, as well as the promotion of environmental responsibility and social equity, is open to investors, partners, and customers. GreenClean Solutions is not merely a business; it is a dedication to a future that is both cleaner and more environmentally friendly, and that benefits all stakeholders. The company is poised to establish an enduring influence in the marketplace and beyond by employing a strategic approach, ethical leadership, and a commitment to sustainable practices.</w:t>
      </w:r>
    </w:p>
    <w:p w14:paraId="55EBFFFE" w14:textId="77777777" w:rsidR="00B11ECD" w:rsidRDefault="00B11ECD" w:rsidP="0079756D">
      <w:pPr>
        <w:spacing w:line="480" w:lineRule="auto"/>
        <w:rPr>
          <w:rFonts w:ascii="Times New Roman" w:hAnsi="Times New Roman" w:cs="Times New Roman"/>
        </w:rPr>
      </w:pPr>
    </w:p>
    <w:p w14:paraId="0052C6C2" w14:textId="77777777" w:rsidR="00B11ECD" w:rsidRDefault="00B11ECD" w:rsidP="0079756D">
      <w:pPr>
        <w:spacing w:line="480" w:lineRule="auto"/>
        <w:rPr>
          <w:rFonts w:ascii="Times New Roman" w:hAnsi="Times New Roman" w:cs="Times New Roman"/>
        </w:rPr>
      </w:pPr>
    </w:p>
    <w:p w14:paraId="10EF87A2" w14:textId="77777777" w:rsidR="00B11ECD" w:rsidRDefault="00B11ECD" w:rsidP="0079756D">
      <w:pPr>
        <w:spacing w:line="480" w:lineRule="auto"/>
        <w:rPr>
          <w:rFonts w:ascii="Times New Roman" w:hAnsi="Times New Roman" w:cs="Times New Roman"/>
        </w:rPr>
      </w:pPr>
    </w:p>
    <w:p w14:paraId="52FDFB0E" w14:textId="5DE16185" w:rsidR="00B11ECD" w:rsidRPr="00625E6D" w:rsidRDefault="00B11ECD" w:rsidP="0079756D">
      <w:pPr>
        <w:spacing w:line="480" w:lineRule="auto"/>
        <w:rPr>
          <w:rFonts w:ascii="Times New Roman" w:hAnsi="Times New Roman" w:cs="Times New Roman"/>
          <w:b/>
          <w:bCs/>
          <w:u w:val="double"/>
        </w:rPr>
      </w:pPr>
      <w:r w:rsidRPr="00625E6D">
        <w:rPr>
          <w:rFonts w:ascii="Times New Roman" w:hAnsi="Times New Roman" w:cs="Times New Roman"/>
          <w:b/>
          <w:bCs/>
          <w:u w:val="double"/>
        </w:rPr>
        <w:lastRenderedPageBreak/>
        <w:t xml:space="preserve">References list in APA style </w:t>
      </w:r>
    </w:p>
    <w:p w14:paraId="3D00F3BF"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Bansal, P., &amp; Roth, K. (2000). Why companies go green: A model of ecological responsiveness. </w:t>
      </w:r>
      <w:r w:rsidRPr="00625E6D">
        <w:rPr>
          <w:rFonts w:ascii="Times New Roman" w:hAnsi="Times New Roman" w:cs="Times New Roman"/>
          <w:i/>
          <w:iCs/>
        </w:rPr>
        <w:t>Academy of Management Journal, 43</w:t>
      </w:r>
      <w:r w:rsidRPr="00625E6D">
        <w:rPr>
          <w:rFonts w:ascii="Times New Roman" w:hAnsi="Times New Roman" w:cs="Times New Roman"/>
        </w:rPr>
        <w:t>(4), 717–736.</w:t>
      </w:r>
    </w:p>
    <w:p w14:paraId="065C4D18"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Baumgartner, R. J. (2014). Managing corporate sustainability and CSR: A conceptual framework combining values, strategies, and instruments contributing to sustainable development. </w:t>
      </w:r>
      <w:r w:rsidRPr="00625E6D">
        <w:rPr>
          <w:rFonts w:ascii="Times New Roman" w:hAnsi="Times New Roman" w:cs="Times New Roman"/>
          <w:i/>
          <w:iCs/>
        </w:rPr>
        <w:t>Corporate Social Responsibility and Environmental Management, 21</w:t>
      </w:r>
      <w:r w:rsidRPr="00625E6D">
        <w:rPr>
          <w:rFonts w:ascii="Times New Roman" w:hAnsi="Times New Roman" w:cs="Times New Roman"/>
        </w:rPr>
        <w:t>(5), 258–271.</w:t>
      </w:r>
    </w:p>
    <w:p w14:paraId="6F323C82"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Carroll, A. B. (1991). The pyramid of corporate social responsibility: Toward the moral management of organizational stakeholders. </w:t>
      </w:r>
      <w:r w:rsidRPr="00625E6D">
        <w:rPr>
          <w:rFonts w:ascii="Times New Roman" w:hAnsi="Times New Roman" w:cs="Times New Roman"/>
          <w:i/>
          <w:iCs/>
        </w:rPr>
        <w:t>Business Horizons, 34</w:t>
      </w:r>
      <w:r w:rsidRPr="00625E6D">
        <w:rPr>
          <w:rFonts w:ascii="Times New Roman" w:hAnsi="Times New Roman" w:cs="Times New Roman"/>
        </w:rPr>
        <w:t>(4), 39–48.</w:t>
      </w:r>
    </w:p>
    <w:p w14:paraId="70C69A42"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Doppelt, B. (2017). </w:t>
      </w:r>
      <w:r w:rsidRPr="00625E6D">
        <w:rPr>
          <w:rFonts w:ascii="Times New Roman" w:hAnsi="Times New Roman" w:cs="Times New Roman"/>
          <w:i/>
          <w:iCs/>
        </w:rPr>
        <w:t>Leading change toward sustainability: A change-management guide for business, government, and civil society.</w:t>
      </w:r>
      <w:r w:rsidRPr="00625E6D">
        <w:rPr>
          <w:rFonts w:ascii="Times New Roman" w:hAnsi="Times New Roman" w:cs="Times New Roman"/>
        </w:rPr>
        <w:t xml:space="preserve"> Greenleaf Publishing.</w:t>
      </w:r>
    </w:p>
    <w:p w14:paraId="66C41826"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Epstein, M. J. (2008). </w:t>
      </w:r>
      <w:r w:rsidRPr="00625E6D">
        <w:rPr>
          <w:rFonts w:ascii="Times New Roman" w:hAnsi="Times New Roman" w:cs="Times New Roman"/>
          <w:i/>
          <w:iCs/>
        </w:rPr>
        <w:t>Making sustainability work: Best practices in managing and measuring corporate social, environmental, and economic impacts</w:t>
      </w:r>
      <w:r w:rsidRPr="00625E6D">
        <w:rPr>
          <w:rFonts w:ascii="Times New Roman" w:hAnsi="Times New Roman" w:cs="Times New Roman"/>
        </w:rPr>
        <w:t>. Greenleaf Publishing.</w:t>
      </w:r>
    </w:p>
    <w:p w14:paraId="13E74C6E"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Elkington, J. (1994). Towards the sustainable corporation: Win–win–win business strategies for sustainable development. </w:t>
      </w:r>
      <w:r w:rsidRPr="00625E6D">
        <w:rPr>
          <w:rFonts w:ascii="Times New Roman" w:hAnsi="Times New Roman" w:cs="Times New Roman"/>
          <w:i/>
          <w:iCs/>
        </w:rPr>
        <w:t>California Management Review, 36</w:t>
      </w:r>
      <w:r w:rsidRPr="00625E6D">
        <w:rPr>
          <w:rFonts w:ascii="Times New Roman" w:hAnsi="Times New Roman" w:cs="Times New Roman"/>
        </w:rPr>
        <w:t>(2), 90–100.</w:t>
      </w:r>
    </w:p>
    <w:p w14:paraId="6148BAC8"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Fiedler, F. E. (1967). </w:t>
      </w:r>
      <w:r w:rsidRPr="00625E6D">
        <w:rPr>
          <w:rFonts w:ascii="Times New Roman" w:hAnsi="Times New Roman" w:cs="Times New Roman"/>
          <w:i/>
          <w:iCs/>
        </w:rPr>
        <w:t>A theory of leadership effectiveness</w:t>
      </w:r>
      <w:r w:rsidRPr="00625E6D">
        <w:rPr>
          <w:rFonts w:ascii="Times New Roman" w:hAnsi="Times New Roman" w:cs="Times New Roman"/>
        </w:rPr>
        <w:t>. McGraw-Hill.</w:t>
      </w:r>
    </w:p>
    <w:p w14:paraId="2F40428F"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Freeman, R. E. (1984). </w:t>
      </w:r>
      <w:r w:rsidRPr="00625E6D">
        <w:rPr>
          <w:rFonts w:ascii="Times New Roman" w:hAnsi="Times New Roman" w:cs="Times New Roman"/>
          <w:i/>
          <w:iCs/>
        </w:rPr>
        <w:t>Strategic management: A stakeholder approach</w:t>
      </w:r>
      <w:r w:rsidRPr="00625E6D">
        <w:rPr>
          <w:rFonts w:ascii="Times New Roman" w:hAnsi="Times New Roman" w:cs="Times New Roman"/>
        </w:rPr>
        <w:t>. Pitman.</w:t>
      </w:r>
    </w:p>
    <w:p w14:paraId="5348ABB8"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Hart, S. L. (1995). A natural-resource-based view of the firm. </w:t>
      </w:r>
      <w:r w:rsidRPr="00625E6D">
        <w:rPr>
          <w:rFonts w:ascii="Times New Roman" w:hAnsi="Times New Roman" w:cs="Times New Roman"/>
          <w:i/>
          <w:iCs/>
        </w:rPr>
        <w:t>Academy of Management Review, 20</w:t>
      </w:r>
      <w:r w:rsidRPr="00625E6D">
        <w:rPr>
          <w:rFonts w:ascii="Times New Roman" w:hAnsi="Times New Roman" w:cs="Times New Roman"/>
        </w:rPr>
        <w:t>(4), 986–1014.</w:t>
      </w:r>
    </w:p>
    <w:p w14:paraId="2770695F" w14:textId="77777777" w:rsid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Kucharska, W., &amp; Kowalczyk, R. (2019). How to achieve sustainability? Employee's point of view on company's culture and CSR practice. </w:t>
      </w:r>
      <w:r w:rsidRPr="00625E6D">
        <w:rPr>
          <w:rFonts w:ascii="Times New Roman" w:hAnsi="Times New Roman" w:cs="Times New Roman"/>
          <w:i/>
          <w:iCs/>
        </w:rPr>
        <w:t>Corporate Social Responsibility and Environmental Management, 26</w:t>
      </w:r>
      <w:r w:rsidRPr="00625E6D">
        <w:rPr>
          <w:rFonts w:ascii="Times New Roman" w:hAnsi="Times New Roman" w:cs="Times New Roman"/>
        </w:rPr>
        <w:t>(2), 453–467.</w:t>
      </w:r>
    </w:p>
    <w:p w14:paraId="19E96123" w14:textId="0A317C0B"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lastRenderedPageBreak/>
        <w:t xml:space="preserve">Kuncová, M., </w:t>
      </w:r>
      <w:proofErr w:type="spellStart"/>
      <w:r w:rsidRPr="00625E6D">
        <w:rPr>
          <w:rFonts w:ascii="Times New Roman" w:hAnsi="Times New Roman" w:cs="Times New Roman"/>
        </w:rPr>
        <w:t>Hedija</w:t>
      </w:r>
      <w:proofErr w:type="spellEnd"/>
      <w:r w:rsidRPr="00625E6D">
        <w:rPr>
          <w:rFonts w:ascii="Times New Roman" w:hAnsi="Times New Roman" w:cs="Times New Roman"/>
        </w:rPr>
        <w:t xml:space="preserve">, V., &amp; Fiala, R. (2016). Firm size as a determinant of firm performance: The case of swine raising. </w:t>
      </w:r>
      <w:r w:rsidRPr="00625E6D">
        <w:rPr>
          <w:rFonts w:ascii="Times New Roman" w:hAnsi="Times New Roman" w:cs="Times New Roman"/>
          <w:i/>
          <w:iCs/>
        </w:rPr>
        <w:t>Agris on-line Papers in Economics and Informatics, 8</w:t>
      </w:r>
      <w:r w:rsidRPr="00625E6D">
        <w:rPr>
          <w:rFonts w:ascii="Times New Roman" w:hAnsi="Times New Roman" w:cs="Times New Roman"/>
        </w:rPr>
        <w:t>(3), 77–89.</w:t>
      </w:r>
    </w:p>
    <w:p w14:paraId="1FCF2BEC"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La Torre, M., Leo, S., &amp; Panetta, I. C. (2021). Banks and environmental, social, and governance drivers: Follow the market or the authorities? </w:t>
      </w:r>
      <w:r w:rsidRPr="00625E6D">
        <w:rPr>
          <w:rFonts w:ascii="Times New Roman" w:hAnsi="Times New Roman" w:cs="Times New Roman"/>
          <w:i/>
          <w:iCs/>
        </w:rPr>
        <w:t>Corporate Social Responsibility and Environmental Management, 12</w:t>
      </w:r>
      <w:r w:rsidRPr="00625E6D">
        <w:rPr>
          <w:rFonts w:ascii="Times New Roman" w:hAnsi="Times New Roman" w:cs="Times New Roman"/>
        </w:rPr>
        <w:t>(16), 6387–1634.</w:t>
      </w:r>
    </w:p>
    <w:p w14:paraId="20D78983"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Lozano, R. (2012). Towards better embedding sustainability into companies’ systems: An analysis of voluntary corporate initiatives. </w:t>
      </w:r>
      <w:r w:rsidRPr="00625E6D">
        <w:rPr>
          <w:rFonts w:ascii="Times New Roman" w:hAnsi="Times New Roman" w:cs="Times New Roman"/>
          <w:i/>
          <w:iCs/>
        </w:rPr>
        <w:t>Journal of Cleaner Production, 25</w:t>
      </w:r>
      <w:r w:rsidRPr="00625E6D">
        <w:rPr>
          <w:rFonts w:ascii="Times New Roman" w:hAnsi="Times New Roman" w:cs="Times New Roman"/>
        </w:rPr>
        <w:t>, 14–26.</w:t>
      </w:r>
    </w:p>
    <w:p w14:paraId="67DF1564"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Porter, M. E., &amp; Kramer, M. R. (2006). Strategy and society: The link between competitive advantage and corporate social responsibility. </w:t>
      </w:r>
      <w:r w:rsidRPr="00625E6D">
        <w:rPr>
          <w:rFonts w:ascii="Times New Roman" w:hAnsi="Times New Roman" w:cs="Times New Roman"/>
          <w:i/>
          <w:iCs/>
        </w:rPr>
        <w:t>Harvard Business Review, 84</w:t>
      </w:r>
      <w:r w:rsidRPr="00625E6D">
        <w:rPr>
          <w:rFonts w:ascii="Times New Roman" w:hAnsi="Times New Roman" w:cs="Times New Roman"/>
        </w:rPr>
        <w:t>(12), 78–92.</w:t>
      </w:r>
    </w:p>
    <w:p w14:paraId="041AA196" w14:textId="77777777" w:rsidR="00625E6D" w:rsidRPr="00625E6D" w:rsidRDefault="00625E6D" w:rsidP="00625E6D">
      <w:pPr>
        <w:spacing w:line="480" w:lineRule="auto"/>
        <w:ind w:left="720" w:hanging="720"/>
        <w:rPr>
          <w:rFonts w:ascii="Times New Roman" w:hAnsi="Times New Roman" w:cs="Times New Roman"/>
        </w:rPr>
      </w:pPr>
      <w:proofErr w:type="spellStart"/>
      <w:r w:rsidRPr="00625E6D">
        <w:rPr>
          <w:rFonts w:ascii="Times New Roman" w:hAnsi="Times New Roman" w:cs="Times New Roman"/>
        </w:rPr>
        <w:t>Schaltegger</w:t>
      </w:r>
      <w:proofErr w:type="spellEnd"/>
      <w:r w:rsidRPr="00625E6D">
        <w:rPr>
          <w:rFonts w:ascii="Times New Roman" w:hAnsi="Times New Roman" w:cs="Times New Roman"/>
        </w:rPr>
        <w:t xml:space="preserve">, S., &amp; Burritt, R. (2000). </w:t>
      </w:r>
      <w:r w:rsidRPr="00625E6D">
        <w:rPr>
          <w:rFonts w:ascii="Times New Roman" w:hAnsi="Times New Roman" w:cs="Times New Roman"/>
          <w:i/>
          <w:iCs/>
        </w:rPr>
        <w:t>Contemporary environmental accounting: Issues, concepts and practice.</w:t>
      </w:r>
      <w:r w:rsidRPr="00625E6D">
        <w:rPr>
          <w:rFonts w:ascii="Times New Roman" w:hAnsi="Times New Roman" w:cs="Times New Roman"/>
        </w:rPr>
        <w:t xml:space="preserve"> Greenleaf Publishing.</w:t>
      </w:r>
    </w:p>
    <w:p w14:paraId="313BB475" w14:textId="77777777" w:rsidR="00625E6D" w:rsidRPr="00625E6D" w:rsidRDefault="00625E6D" w:rsidP="00625E6D">
      <w:pPr>
        <w:spacing w:line="480" w:lineRule="auto"/>
        <w:ind w:left="720" w:hanging="720"/>
        <w:rPr>
          <w:rFonts w:ascii="Times New Roman" w:hAnsi="Times New Roman" w:cs="Times New Roman"/>
        </w:rPr>
      </w:pPr>
      <w:r w:rsidRPr="00625E6D">
        <w:rPr>
          <w:rFonts w:ascii="Times New Roman" w:hAnsi="Times New Roman" w:cs="Times New Roman"/>
        </w:rPr>
        <w:t xml:space="preserve">Schreck, P. (2011). Revisiting the foundations of sustainability: A holistic approach to corporate social responsibility. </w:t>
      </w:r>
      <w:r w:rsidRPr="00625E6D">
        <w:rPr>
          <w:rFonts w:ascii="Times New Roman" w:hAnsi="Times New Roman" w:cs="Times New Roman"/>
          <w:i/>
          <w:iCs/>
        </w:rPr>
        <w:t>Journal of Business Ethics, 105</w:t>
      </w:r>
      <w:r w:rsidRPr="00625E6D">
        <w:rPr>
          <w:rFonts w:ascii="Times New Roman" w:hAnsi="Times New Roman" w:cs="Times New Roman"/>
        </w:rPr>
        <w:t>(4), 533–553.</w:t>
      </w:r>
    </w:p>
    <w:p w14:paraId="5A86A9B8" w14:textId="77777777" w:rsidR="00625E6D" w:rsidRPr="00625E6D" w:rsidRDefault="00625E6D" w:rsidP="00625E6D">
      <w:pPr>
        <w:spacing w:line="480" w:lineRule="auto"/>
        <w:rPr>
          <w:rFonts w:ascii="Times New Roman" w:hAnsi="Times New Roman" w:cs="Times New Roman"/>
        </w:rPr>
      </w:pPr>
    </w:p>
    <w:p w14:paraId="7B29E10A" w14:textId="77777777" w:rsidR="00625E6D" w:rsidRPr="00625E6D" w:rsidRDefault="00625E6D" w:rsidP="00625E6D">
      <w:pPr>
        <w:spacing w:line="480" w:lineRule="auto"/>
        <w:rPr>
          <w:rFonts w:ascii="Times New Roman" w:hAnsi="Times New Roman" w:cs="Times New Roman"/>
        </w:rPr>
      </w:pPr>
    </w:p>
    <w:p w14:paraId="10AB3DBD" w14:textId="77777777" w:rsidR="00625E6D" w:rsidRPr="00625E6D" w:rsidRDefault="00625E6D" w:rsidP="00625E6D">
      <w:pPr>
        <w:spacing w:line="480" w:lineRule="auto"/>
        <w:rPr>
          <w:rFonts w:ascii="Times New Roman" w:hAnsi="Times New Roman" w:cs="Times New Roman"/>
        </w:rPr>
      </w:pPr>
    </w:p>
    <w:p w14:paraId="146C2DF1" w14:textId="77777777" w:rsidR="00625E6D" w:rsidRPr="00625E6D" w:rsidRDefault="00625E6D" w:rsidP="00625E6D">
      <w:pPr>
        <w:spacing w:line="480" w:lineRule="auto"/>
        <w:rPr>
          <w:rFonts w:ascii="Times New Roman" w:hAnsi="Times New Roman" w:cs="Times New Roman"/>
        </w:rPr>
      </w:pPr>
    </w:p>
    <w:p w14:paraId="152B2575" w14:textId="77777777" w:rsidR="00625E6D" w:rsidRPr="00625E6D" w:rsidRDefault="00625E6D" w:rsidP="00625E6D">
      <w:pPr>
        <w:spacing w:line="480" w:lineRule="auto"/>
        <w:rPr>
          <w:rFonts w:ascii="Times New Roman" w:hAnsi="Times New Roman" w:cs="Times New Roman"/>
        </w:rPr>
      </w:pPr>
    </w:p>
    <w:p w14:paraId="59371D65" w14:textId="77777777" w:rsidR="00625E6D" w:rsidRPr="0079756D" w:rsidRDefault="00625E6D" w:rsidP="0079756D">
      <w:pPr>
        <w:spacing w:line="480" w:lineRule="auto"/>
        <w:rPr>
          <w:rFonts w:ascii="Times New Roman" w:hAnsi="Times New Roman" w:cs="Times New Roman"/>
        </w:rPr>
      </w:pPr>
    </w:p>
    <w:sectPr w:rsidR="00625E6D" w:rsidRPr="0079756D" w:rsidSect="00625E6D">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73ABF" w14:textId="77777777" w:rsidR="00D00593" w:rsidRDefault="00D00593" w:rsidP="00625E6D">
      <w:pPr>
        <w:spacing w:after="0" w:line="240" w:lineRule="auto"/>
      </w:pPr>
      <w:r>
        <w:separator/>
      </w:r>
    </w:p>
  </w:endnote>
  <w:endnote w:type="continuationSeparator" w:id="0">
    <w:p w14:paraId="410754A0" w14:textId="77777777" w:rsidR="00D00593" w:rsidRDefault="00D00593" w:rsidP="00625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6BAFC" w14:textId="77777777" w:rsidR="00D00593" w:rsidRDefault="00D00593" w:rsidP="00625E6D">
      <w:pPr>
        <w:spacing w:after="0" w:line="240" w:lineRule="auto"/>
      </w:pPr>
      <w:r>
        <w:separator/>
      </w:r>
    </w:p>
  </w:footnote>
  <w:footnote w:type="continuationSeparator" w:id="0">
    <w:p w14:paraId="1A73BB90" w14:textId="77777777" w:rsidR="00D00593" w:rsidRDefault="00D00593" w:rsidP="00625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82814802"/>
      <w:docPartObj>
        <w:docPartGallery w:val="Page Numbers (Top of Page)"/>
        <w:docPartUnique/>
      </w:docPartObj>
    </w:sdtPr>
    <w:sdtEndPr>
      <w:rPr>
        <w:b/>
        <w:bCs/>
        <w:noProof/>
        <w:color w:val="auto"/>
        <w:spacing w:val="0"/>
      </w:rPr>
    </w:sdtEndPr>
    <w:sdtContent>
      <w:p w14:paraId="34EC45A7" w14:textId="7227AFDC" w:rsidR="00625E6D" w:rsidRDefault="00625E6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32306C4" w14:textId="77777777" w:rsidR="00625E6D" w:rsidRDefault="00625E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21EF3"/>
    <w:multiLevelType w:val="hybridMultilevel"/>
    <w:tmpl w:val="FB22EA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740AD"/>
    <w:multiLevelType w:val="hybridMultilevel"/>
    <w:tmpl w:val="D8468E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03F2A"/>
    <w:multiLevelType w:val="hybridMultilevel"/>
    <w:tmpl w:val="FCA25F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4489E"/>
    <w:multiLevelType w:val="hybridMultilevel"/>
    <w:tmpl w:val="337687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304A4"/>
    <w:multiLevelType w:val="hybridMultilevel"/>
    <w:tmpl w:val="93664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EE23A1"/>
    <w:multiLevelType w:val="hybridMultilevel"/>
    <w:tmpl w:val="2CA8A6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352A21"/>
    <w:multiLevelType w:val="hybridMultilevel"/>
    <w:tmpl w:val="F4F853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3C5D9A"/>
    <w:multiLevelType w:val="hybridMultilevel"/>
    <w:tmpl w:val="3B020F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8582070">
    <w:abstractNumId w:val="3"/>
  </w:num>
  <w:num w:numId="2" w16cid:durableId="472067298">
    <w:abstractNumId w:val="1"/>
  </w:num>
  <w:num w:numId="3" w16cid:durableId="1226646377">
    <w:abstractNumId w:val="2"/>
  </w:num>
  <w:num w:numId="4" w16cid:durableId="1392801637">
    <w:abstractNumId w:val="4"/>
  </w:num>
  <w:num w:numId="5" w16cid:durableId="722293619">
    <w:abstractNumId w:val="5"/>
  </w:num>
  <w:num w:numId="6" w16cid:durableId="702681117">
    <w:abstractNumId w:val="7"/>
  </w:num>
  <w:num w:numId="7" w16cid:durableId="1061951397">
    <w:abstractNumId w:val="6"/>
  </w:num>
  <w:num w:numId="8" w16cid:durableId="41442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56D"/>
    <w:rsid w:val="00081B49"/>
    <w:rsid w:val="00625E6D"/>
    <w:rsid w:val="0079756D"/>
    <w:rsid w:val="008357AF"/>
    <w:rsid w:val="00A83AEF"/>
    <w:rsid w:val="00B11ECD"/>
    <w:rsid w:val="00D00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49063"/>
  <w15:chartTrackingRefBased/>
  <w15:docId w15:val="{D03910E6-1CCA-4CF2-8F0E-5F5A9690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5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5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5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5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5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5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5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5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5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5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5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5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5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5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5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5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5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56D"/>
    <w:rPr>
      <w:rFonts w:eastAsiaTheme="majorEastAsia" w:cstheme="majorBidi"/>
      <w:color w:val="272727" w:themeColor="text1" w:themeTint="D8"/>
    </w:rPr>
  </w:style>
  <w:style w:type="paragraph" w:styleId="Title">
    <w:name w:val="Title"/>
    <w:basedOn w:val="Normal"/>
    <w:next w:val="Normal"/>
    <w:link w:val="TitleChar"/>
    <w:uiPriority w:val="10"/>
    <w:qFormat/>
    <w:rsid w:val="007975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5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5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5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56D"/>
    <w:pPr>
      <w:spacing w:before="160"/>
      <w:jc w:val="center"/>
    </w:pPr>
    <w:rPr>
      <w:i/>
      <w:iCs/>
      <w:color w:val="404040" w:themeColor="text1" w:themeTint="BF"/>
    </w:rPr>
  </w:style>
  <w:style w:type="character" w:customStyle="1" w:styleId="QuoteChar">
    <w:name w:val="Quote Char"/>
    <w:basedOn w:val="DefaultParagraphFont"/>
    <w:link w:val="Quote"/>
    <w:uiPriority w:val="29"/>
    <w:rsid w:val="0079756D"/>
    <w:rPr>
      <w:i/>
      <w:iCs/>
      <w:color w:val="404040" w:themeColor="text1" w:themeTint="BF"/>
    </w:rPr>
  </w:style>
  <w:style w:type="paragraph" w:styleId="ListParagraph">
    <w:name w:val="List Paragraph"/>
    <w:basedOn w:val="Normal"/>
    <w:uiPriority w:val="34"/>
    <w:qFormat/>
    <w:rsid w:val="0079756D"/>
    <w:pPr>
      <w:ind w:left="720"/>
      <w:contextualSpacing/>
    </w:pPr>
  </w:style>
  <w:style w:type="character" w:styleId="IntenseEmphasis">
    <w:name w:val="Intense Emphasis"/>
    <w:basedOn w:val="DefaultParagraphFont"/>
    <w:uiPriority w:val="21"/>
    <w:qFormat/>
    <w:rsid w:val="0079756D"/>
    <w:rPr>
      <w:i/>
      <w:iCs/>
      <w:color w:val="0F4761" w:themeColor="accent1" w:themeShade="BF"/>
    </w:rPr>
  </w:style>
  <w:style w:type="paragraph" w:styleId="IntenseQuote">
    <w:name w:val="Intense Quote"/>
    <w:basedOn w:val="Normal"/>
    <w:next w:val="Normal"/>
    <w:link w:val="IntenseQuoteChar"/>
    <w:uiPriority w:val="30"/>
    <w:qFormat/>
    <w:rsid w:val="007975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56D"/>
    <w:rPr>
      <w:i/>
      <w:iCs/>
      <w:color w:val="0F4761" w:themeColor="accent1" w:themeShade="BF"/>
    </w:rPr>
  </w:style>
  <w:style w:type="character" w:styleId="IntenseReference">
    <w:name w:val="Intense Reference"/>
    <w:basedOn w:val="DefaultParagraphFont"/>
    <w:uiPriority w:val="32"/>
    <w:qFormat/>
    <w:rsid w:val="0079756D"/>
    <w:rPr>
      <w:b/>
      <w:bCs/>
      <w:smallCaps/>
      <w:color w:val="0F4761" w:themeColor="accent1" w:themeShade="BF"/>
      <w:spacing w:val="5"/>
    </w:rPr>
  </w:style>
  <w:style w:type="paragraph" w:styleId="Header">
    <w:name w:val="header"/>
    <w:basedOn w:val="Normal"/>
    <w:link w:val="HeaderChar"/>
    <w:uiPriority w:val="99"/>
    <w:unhideWhenUsed/>
    <w:rsid w:val="00625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E6D"/>
  </w:style>
  <w:style w:type="paragraph" w:styleId="Footer">
    <w:name w:val="footer"/>
    <w:basedOn w:val="Normal"/>
    <w:link w:val="FooterChar"/>
    <w:uiPriority w:val="99"/>
    <w:unhideWhenUsed/>
    <w:rsid w:val="00625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E6D"/>
  </w:style>
  <w:style w:type="paragraph" w:styleId="NoSpacing">
    <w:name w:val="No Spacing"/>
    <w:link w:val="NoSpacingChar"/>
    <w:uiPriority w:val="1"/>
    <w:qFormat/>
    <w:rsid w:val="00625E6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25E6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2762</Words>
  <Characters>15747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Sustainable Enterprise/ Social Enterprise Management</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GreenClean Solutions: A Sustainable Business Plan</dc:title>
  <dc:subject>Sustainable Enterprise</dc:subject>
  <dc:creator>Madalina Denisa Dumitru</dc:creator>
  <cp:keywords/>
  <dc:description/>
  <cp:lastModifiedBy>Mirabela Voican (1907947)</cp:lastModifiedBy>
  <cp:revision>2</cp:revision>
  <dcterms:created xsi:type="dcterms:W3CDTF">2025-03-09T22:20:00Z</dcterms:created>
  <dcterms:modified xsi:type="dcterms:W3CDTF">2025-03-09T23:27:00Z</dcterms:modified>
</cp:coreProperties>
</file>