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2A97C3" w14:textId="78DCBCBB" w:rsidR="00B4346E" w:rsidRDefault="0086775F" w:rsidP="003A3CD7">
      <w:pPr>
        <w:pStyle w:val="NormalWeb"/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sz w:val="52"/>
          <w:szCs w:val="52"/>
        </w:rPr>
        <w:t xml:space="preserve">   </w:t>
      </w:r>
      <w:r w:rsidRPr="0086775F">
        <w:rPr>
          <w:rFonts w:ascii="Arial" w:hAnsi="Arial" w:cs="Arial"/>
          <w:b/>
          <w:bCs/>
          <w:sz w:val="52"/>
          <w:szCs w:val="52"/>
        </w:rPr>
        <w:t>Empowering the Older Person</w:t>
      </w:r>
    </w:p>
    <w:p w14:paraId="095725D1" w14:textId="77777777" w:rsidR="00094E54" w:rsidRDefault="00094E54" w:rsidP="003A3CD7">
      <w:pPr>
        <w:pStyle w:val="NormalWeb"/>
        <w:rPr>
          <w:rFonts w:ascii="Arial" w:hAnsi="Arial" w:cs="Arial"/>
          <w:b/>
          <w:bCs/>
          <w:sz w:val="52"/>
          <w:szCs w:val="52"/>
        </w:rPr>
      </w:pPr>
    </w:p>
    <w:p w14:paraId="716E0F58" w14:textId="37993968" w:rsidR="00301E02" w:rsidRDefault="003B7E9B" w:rsidP="003A3CD7">
      <w:pPr>
        <w:pStyle w:val="NormalWeb"/>
        <w:rPr>
          <w:rFonts w:ascii="Arial" w:hAnsi="Arial" w:cs="Arial"/>
          <w:b/>
          <w:bCs/>
          <w:noProof/>
          <w:sz w:val="52"/>
          <w:szCs w:val="52"/>
        </w:rPr>
      </w:pPr>
      <w:r>
        <w:rPr>
          <w:rFonts w:ascii="Arial" w:hAnsi="Arial" w:cs="Arial"/>
          <w:b/>
          <w:bCs/>
          <w:noProof/>
          <w:sz w:val="52"/>
          <w:szCs w:val="52"/>
        </w:rPr>
        <w:t xml:space="preserve">            Debate/Discussion</w:t>
      </w:r>
    </w:p>
    <w:p w14:paraId="5597B957" w14:textId="77777777" w:rsidR="00094E54" w:rsidRDefault="00094E54" w:rsidP="003A3CD7">
      <w:pPr>
        <w:pStyle w:val="NormalWeb"/>
        <w:rPr>
          <w:rFonts w:ascii="Arial" w:hAnsi="Arial" w:cs="Arial"/>
          <w:b/>
          <w:bCs/>
          <w:noProof/>
          <w:sz w:val="52"/>
          <w:szCs w:val="52"/>
        </w:rPr>
      </w:pPr>
    </w:p>
    <w:p w14:paraId="78618FEF" w14:textId="39573F19" w:rsidR="003B7E9B" w:rsidRDefault="00094E54" w:rsidP="003A3CD7">
      <w:pPr>
        <w:pStyle w:val="NormalWeb"/>
        <w:rPr>
          <w:rFonts w:ascii="Arial" w:hAnsi="Arial" w:cs="Arial"/>
          <w:b/>
          <w:bCs/>
          <w:noProof/>
          <w:sz w:val="52"/>
          <w:szCs w:val="52"/>
        </w:rPr>
      </w:pPr>
      <w:r>
        <w:rPr>
          <w:rFonts w:ascii="Arial" w:hAnsi="Arial" w:cs="Arial"/>
          <w:b/>
          <w:bCs/>
          <w:noProof/>
          <w:sz w:val="52"/>
          <w:szCs w:val="52"/>
        </w:rPr>
        <w:t xml:space="preserve">               Component 2</w:t>
      </w:r>
    </w:p>
    <w:p w14:paraId="3BF07465" w14:textId="77777777" w:rsidR="00513861" w:rsidRDefault="00513861" w:rsidP="003A3CD7">
      <w:pPr>
        <w:pStyle w:val="NormalWeb"/>
        <w:rPr>
          <w:rFonts w:ascii="Arial" w:hAnsi="Arial" w:cs="Arial"/>
          <w:b/>
          <w:bCs/>
          <w:noProof/>
          <w:sz w:val="52"/>
          <w:szCs w:val="52"/>
        </w:rPr>
      </w:pPr>
    </w:p>
    <w:p w14:paraId="04E924C9" w14:textId="5C14A833" w:rsidR="00513861" w:rsidRPr="00513861" w:rsidRDefault="00513861" w:rsidP="003A3CD7">
      <w:pPr>
        <w:pStyle w:val="NormalWeb"/>
        <w:rPr>
          <w:rFonts w:ascii="Arial" w:hAnsi="Arial" w:cs="Arial"/>
          <w:b/>
          <w:bCs/>
          <w:sz w:val="36"/>
          <w:szCs w:val="36"/>
        </w:rPr>
      </w:pPr>
      <w:r w:rsidRPr="00513861">
        <w:rPr>
          <w:rFonts w:ascii="Arial" w:hAnsi="Arial" w:cs="Arial"/>
          <w:b/>
          <w:bCs/>
          <w:sz w:val="36"/>
          <w:szCs w:val="36"/>
        </w:rPr>
        <w:t>Which Setting Better Promotes Empowerment in Older Adults: Domiciliary Care or Residential Care</w:t>
      </w:r>
    </w:p>
    <w:p w14:paraId="4E16E959" w14:textId="77777777" w:rsidR="00CB3795" w:rsidRDefault="00CB3795" w:rsidP="003A3CD7">
      <w:pPr>
        <w:pStyle w:val="NormalWeb"/>
        <w:rPr>
          <w:rFonts w:ascii="Arial" w:hAnsi="Arial" w:cs="Arial"/>
          <w:b/>
          <w:bCs/>
          <w:sz w:val="52"/>
          <w:szCs w:val="52"/>
        </w:rPr>
      </w:pPr>
    </w:p>
    <w:p w14:paraId="4A0340E5" w14:textId="77777777" w:rsidR="00CB3795" w:rsidRDefault="00CB3795" w:rsidP="003A3CD7">
      <w:pPr>
        <w:pStyle w:val="NormalWeb"/>
        <w:rPr>
          <w:rFonts w:ascii="Arial" w:hAnsi="Arial" w:cs="Arial"/>
          <w:b/>
          <w:bCs/>
          <w:sz w:val="52"/>
          <w:szCs w:val="52"/>
        </w:rPr>
      </w:pPr>
    </w:p>
    <w:p w14:paraId="5C39E2E9" w14:textId="77777777" w:rsidR="00094E54" w:rsidRDefault="00094E54" w:rsidP="003A3CD7">
      <w:pPr>
        <w:pStyle w:val="NormalWeb"/>
        <w:rPr>
          <w:rFonts w:ascii="Arial" w:hAnsi="Arial" w:cs="Arial"/>
          <w:b/>
          <w:bCs/>
          <w:sz w:val="52"/>
          <w:szCs w:val="52"/>
        </w:rPr>
      </w:pPr>
    </w:p>
    <w:p w14:paraId="56036B09" w14:textId="77777777" w:rsidR="00094E54" w:rsidRDefault="00094E54" w:rsidP="003A3CD7">
      <w:pPr>
        <w:pStyle w:val="NormalWeb"/>
        <w:rPr>
          <w:rFonts w:ascii="Arial" w:hAnsi="Arial" w:cs="Arial"/>
          <w:b/>
          <w:bCs/>
          <w:sz w:val="52"/>
          <w:szCs w:val="52"/>
        </w:rPr>
      </w:pPr>
    </w:p>
    <w:p w14:paraId="14B8DBE6" w14:textId="77777777" w:rsidR="00094E54" w:rsidRDefault="00094E54" w:rsidP="003A3CD7">
      <w:pPr>
        <w:pStyle w:val="NormalWeb"/>
        <w:rPr>
          <w:rFonts w:ascii="Arial" w:hAnsi="Arial" w:cs="Arial"/>
          <w:b/>
          <w:bCs/>
          <w:sz w:val="52"/>
          <w:szCs w:val="52"/>
        </w:rPr>
      </w:pPr>
    </w:p>
    <w:p w14:paraId="7A8329B3" w14:textId="77777777" w:rsidR="00D55AE1" w:rsidRPr="00094E54" w:rsidRDefault="00D55AE1" w:rsidP="005C6C59">
      <w:pPr>
        <w:pStyle w:val="NormalWeb"/>
        <w:rPr>
          <w:rFonts w:ascii="Arial" w:hAnsi="Arial" w:cs="Arial"/>
          <w:b/>
          <w:bCs/>
          <w:sz w:val="32"/>
          <w:szCs w:val="32"/>
          <w:lang w:val="en-US"/>
        </w:rPr>
      </w:pPr>
      <w:r w:rsidRPr="00094E54">
        <w:rPr>
          <w:rFonts w:ascii="Arial" w:hAnsi="Arial" w:cs="Arial"/>
          <w:b/>
          <w:bCs/>
          <w:sz w:val="32"/>
          <w:szCs w:val="32"/>
          <w:lang w:val="en-US"/>
        </w:rPr>
        <w:t>Name: Carlington Swaby​</w:t>
      </w:r>
    </w:p>
    <w:p w14:paraId="14E3A8B9" w14:textId="77777777" w:rsidR="00D55AE1" w:rsidRPr="00094E54" w:rsidRDefault="00D55AE1" w:rsidP="005C6C59">
      <w:pPr>
        <w:pStyle w:val="NormalWeb"/>
        <w:rPr>
          <w:rFonts w:ascii="Arial" w:hAnsi="Arial" w:cs="Arial"/>
          <w:b/>
          <w:bCs/>
          <w:sz w:val="32"/>
          <w:szCs w:val="32"/>
          <w:lang w:val="en-US"/>
        </w:rPr>
      </w:pPr>
      <w:r w:rsidRPr="00094E54">
        <w:rPr>
          <w:rFonts w:ascii="Arial" w:hAnsi="Arial" w:cs="Arial"/>
          <w:b/>
          <w:bCs/>
          <w:sz w:val="32"/>
          <w:szCs w:val="32"/>
          <w:lang w:val="en-US"/>
        </w:rPr>
        <w:t>Student number:2320978​</w:t>
      </w:r>
    </w:p>
    <w:p w14:paraId="7CCC7BDF" w14:textId="767E87A2" w:rsidR="00D55AE1" w:rsidRPr="00094E54" w:rsidRDefault="00D55AE1" w:rsidP="005C6C59">
      <w:pPr>
        <w:pStyle w:val="NormalWeb"/>
        <w:rPr>
          <w:rFonts w:ascii="Arial" w:hAnsi="Arial" w:cs="Arial"/>
          <w:b/>
          <w:bCs/>
          <w:sz w:val="32"/>
          <w:szCs w:val="32"/>
          <w:lang w:val="en-US"/>
        </w:rPr>
      </w:pPr>
      <w:r w:rsidRPr="00094E54">
        <w:rPr>
          <w:rFonts w:ascii="Arial" w:hAnsi="Arial" w:cs="Arial"/>
          <w:b/>
          <w:bCs/>
          <w:sz w:val="32"/>
          <w:szCs w:val="32"/>
          <w:lang w:val="en-US"/>
        </w:rPr>
        <w:t>Module</w:t>
      </w:r>
      <w:r w:rsidR="004B7E18" w:rsidRPr="00094E54">
        <w:rPr>
          <w:rFonts w:ascii="Arial" w:hAnsi="Arial" w:cs="Arial"/>
          <w:b/>
          <w:bCs/>
          <w:sz w:val="32"/>
          <w:szCs w:val="32"/>
          <w:lang w:val="en-US"/>
        </w:rPr>
        <w:t xml:space="preserve"> Code: BMHP</w:t>
      </w:r>
      <w:r w:rsidRPr="00094E54">
        <w:rPr>
          <w:rFonts w:ascii="Arial" w:hAnsi="Arial" w:cs="Arial"/>
          <w:b/>
          <w:bCs/>
          <w:sz w:val="32"/>
          <w:szCs w:val="32"/>
          <w:lang w:val="en-US"/>
        </w:rPr>
        <w:t>6027​</w:t>
      </w:r>
    </w:p>
    <w:p w14:paraId="56CB3F43" w14:textId="77777777" w:rsidR="005C6C59" w:rsidRPr="00094E54" w:rsidRDefault="00D55AE1" w:rsidP="005C6C59">
      <w:pPr>
        <w:pStyle w:val="NormalWeb"/>
        <w:rPr>
          <w:rFonts w:ascii="Arial" w:hAnsi="Arial" w:cs="Arial"/>
          <w:b/>
          <w:bCs/>
          <w:sz w:val="32"/>
          <w:szCs w:val="32"/>
          <w:lang w:val="en-US"/>
        </w:rPr>
      </w:pPr>
      <w:r w:rsidRPr="00094E54">
        <w:rPr>
          <w:rFonts w:ascii="Arial" w:hAnsi="Arial" w:cs="Arial"/>
          <w:b/>
          <w:bCs/>
          <w:sz w:val="32"/>
          <w:szCs w:val="32"/>
          <w:lang w:val="en-US"/>
        </w:rPr>
        <w:t>Date of presentation: 06/07/26​</w:t>
      </w:r>
    </w:p>
    <w:p w14:paraId="3FE1C92A" w14:textId="77777777" w:rsidR="009637BC" w:rsidRDefault="00D55AE1" w:rsidP="003A3CD7">
      <w:pPr>
        <w:pStyle w:val="NormalWeb"/>
        <w:rPr>
          <w:rFonts w:ascii="Arial" w:hAnsi="Arial" w:cs="Arial"/>
          <w:b/>
          <w:bCs/>
          <w:sz w:val="32"/>
          <w:szCs w:val="32"/>
          <w:lang w:val="en-US"/>
        </w:rPr>
      </w:pPr>
      <w:r w:rsidRPr="00094E54">
        <w:rPr>
          <w:rFonts w:ascii="Arial" w:hAnsi="Arial" w:cs="Arial"/>
          <w:b/>
          <w:bCs/>
          <w:sz w:val="32"/>
          <w:szCs w:val="32"/>
          <w:lang w:val="en-US"/>
        </w:rPr>
        <w:t>Name of Lecturer</w:t>
      </w:r>
      <w:r w:rsidR="005C6C59" w:rsidRPr="00094E54">
        <w:rPr>
          <w:rFonts w:ascii="Arial" w:hAnsi="Arial" w:cs="Arial"/>
          <w:b/>
          <w:bCs/>
          <w:sz w:val="32"/>
          <w:szCs w:val="32"/>
          <w:lang w:val="en-US"/>
        </w:rPr>
        <w:t>:</w:t>
      </w:r>
      <w:r w:rsidR="00CB3795" w:rsidRPr="00094E54">
        <w:rPr>
          <w:rFonts w:ascii="Arial" w:eastAsia="Arial" w:hAnsi="Arial" w:cs="Arial"/>
          <w:b/>
          <w:bCs/>
          <w:color w:val="000000" w:themeColor="text1"/>
          <w:kern w:val="2"/>
          <w:sz w:val="32"/>
          <w:szCs w:val="32"/>
          <w:lang w:eastAsia="en-US"/>
          <w14:ligatures w14:val="standardContextual"/>
        </w:rPr>
        <w:t xml:space="preserve"> </w:t>
      </w:r>
      <w:r w:rsidR="00CB3795" w:rsidRPr="00094E54">
        <w:rPr>
          <w:rFonts w:ascii="Arial" w:hAnsi="Arial" w:cs="Arial"/>
          <w:b/>
          <w:bCs/>
          <w:sz w:val="32"/>
          <w:szCs w:val="32"/>
        </w:rPr>
        <w:t xml:space="preserve">Kennedy </w:t>
      </w:r>
      <w:proofErr w:type="spellStart"/>
      <w:r w:rsidR="00CB3795" w:rsidRPr="00094E54">
        <w:rPr>
          <w:rFonts w:ascii="Arial" w:hAnsi="Arial" w:cs="Arial"/>
          <w:b/>
          <w:bCs/>
          <w:sz w:val="32"/>
          <w:szCs w:val="32"/>
        </w:rPr>
        <w:t>Obohwemu</w:t>
      </w:r>
      <w:proofErr w:type="spellEnd"/>
    </w:p>
    <w:p w14:paraId="3E06E3B7" w14:textId="5E74BF75" w:rsidR="003A3CD7" w:rsidRPr="00625B9E" w:rsidRDefault="003A3CD7" w:rsidP="003A3CD7">
      <w:pPr>
        <w:pStyle w:val="NormalWeb"/>
        <w:rPr>
          <w:rFonts w:ascii="Arial" w:hAnsi="Arial" w:cs="Arial"/>
          <w:b/>
          <w:bCs/>
          <w:sz w:val="32"/>
          <w:szCs w:val="32"/>
          <w:lang w:val="en-US"/>
        </w:rPr>
      </w:pPr>
      <w:r w:rsidRPr="003A3CD7">
        <w:rPr>
          <w:rFonts w:ascii="Arial" w:hAnsi="Arial" w:cs="Arial"/>
          <w:sz w:val="22"/>
          <w:szCs w:val="22"/>
          <w:u w:val="single"/>
        </w:rPr>
        <w:lastRenderedPageBreak/>
        <w:t>References</w:t>
      </w:r>
    </w:p>
    <w:p w14:paraId="61DEAD48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Beauchamp, T.L. and Childress, J.F. (2019) </w:t>
      </w:r>
      <w:r w:rsidRPr="003A3CD7">
        <w:rPr>
          <w:rStyle w:val="Emphasis"/>
          <w:rFonts w:ascii="Arial" w:hAnsi="Arial" w:cs="Arial"/>
          <w:sz w:val="22"/>
          <w:szCs w:val="22"/>
        </w:rPr>
        <w:t>Principles of Biomedical Ethics</w:t>
      </w:r>
      <w:r w:rsidRPr="003A3CD7">
        <w:rPr>
          <w:rFonts w:ascii="Arial" w:hAnsi="Arial" w:cs="Arial"/>
          <w:sz w:val="22"/>
          <w:szCs w:val="22"/>
        </w:rPr>
        <w:t xml:space="preserve">. 8th </w:t>
      </w:r>
      <w:proofErr w:type="spellStart"/>
      <w:r w:rsidRPr="003A3CD7">
        <w:rPr>
          <w:rFonts w:ascii="Arial" w:hAnsi="Arial" w:cs="Arial"/>
          <w:sz w:val="22"/>
          <w:szCs w:val="22"/>
        </w:rPr>
        <w:t>edn</w:t>
      </w:r>
      <w:proofErr w:type="spellEnd"/>
      <w:r w:rsidRPr="003A3CD7">
        <w:rPr>
          <w:rFonts w:ascii="Arial" w:hAnsi="Arial" w:cs="Arial"/>
          <w:sz w:val="22"/>
          <w:szCs w:val="22"/>
        </w:rPr>
        <w:t>. Oxford: Oxford University Press.</w:t>
      </w:r>
    </w:p>
    <w:p w14:paraId="36AA93C6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>Care Act 2014. c.23. London: The Stationery Office.</w:t>
      </w:r>
    </w:p>
    <w:p w14:paraId="50D7B2D9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Clegg, A., Young, J., Iliffe, S., Rikkert, M.O. and Rockwood, K. (2013) ‘Frailty in elderly people’, </w:t>
      </w:r>
      <w:r w:rsidRPr="003A3CD7">
        <w:rPr>
          <w:rStyle w:val="Emphasis"/>
          <w:rFonts w:ascii="Arial" w:hAnsi="Arial" w:cs="Arial"/>
          <w:sz w:val="22"/>
          <w:szCs w:val="22"/>
        </w:rPr>
        <w:t>The Lancet</w:t>
      </w:r>
      <w:r w:rsidRPr="003A3CD7">
        <w:rPr>
          <w:rFonts w:ascii="Arial" w:hAnsi="Arial" w:cs="Arial"/>
          <w:sz w:val="22"/>
          <w:szCs w:val="22"/>
        </w:rPr>
        <w:t>, 381(9868), pp. 752–762.</w:t>
      </w:r>
    </w:p>
    <w:p w14:paraId="7DF52238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Department of Health and Social Care (2022) </w:t>
      </w:r>
      <w:r w:rsidRPr="003A3CD7">
        <w:rPr>
          <w:rStyle w:val="Emphasis"/>
          <w:rFonts w:ascii="Arial" w:hAnsi="Arial" w:cs="Arial"/>
          <w:sz w:val="22"/>
          <w:szCs w:val="22"/>
        </w:rPr>
        <w:t>Adult Social Care Reform White Paper</w:t>
      </w:r>
      <w:r w:rsidRPr="003A3CD7">
        <w:rPr>
          <w:rFonts w:ascii="Arial" w:hAnsi="Arial" w:cs="Arial"/>
          <w:sz w:val="22"/>
          <w:szCs w:val="22"/>
        </w:rPr>
        <w:t>. London: DHSC.</w:t>
      </w:r>
    </w:p>
    <w:p w14:paraId="402EB40E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Ellmers, T.J., Cocks, A.J. and Young, W.R. (2018) ‘The role of fear of falling in older adults’, </w:t>
      </w:r>
      <w:r w:rsidRPr="003A3CD7">
        <w:rPr>
          <w:rStyle w:val="Emphasis"/>
          <w:rFonts w:ascii="Arial" w:hAnsi="Arial" w:cs="Arial"/>
          <w:sz w:val="22"/>
          <w:szCs w:val="22"/>
        </w:rPr>
        <w:t>Age and Ageing</w:t>
      </w:r>
      <w:r w:rsidRPr="003A3CD7">
        <w:rPr>
          <w:rFonts w:ascii="Arial" w:hAnsi="Arial" w:cs="Arial"/>
          <w:sz w:val="22"/>
          <w:szCs w:val="22"/>
        </w:rPr>
        <w:t>, 47(5), pp. 673–678.</w:t>
      </w:r>
    </w:p>
    <w:p w14:paraId="5ABE64B6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>Mental Capacity Act 2005. c.9. London: The Stationery Office.</w:t>
      </w:r>
    </w:p>
    <w:p w14:paraId="6FFEBB89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Office for National Statistics (2023) </w:t>
      </w:r>
      <w:r w:rsidRPr="003A3CD7">
        <w:rPr>
          <w:rStyle w:val="Emphasis"/>
          <w:rFonts w:ascii="Arial" w:hAnsi="Arial" w:cs="Arial"/>
          <w:sz w:val="22"/>
          <w:szCs w:val="22"/>
        </w:rPr>
        <w:t>Adult Social Care Funding Trends in England</w:t>
      </w:r>
      <w:r w:rsidRPr="003A3CD7">
        <w:rPr>
          <w:rFonts w:ascii="Arial" w:hAnsi="Arial" w:cs="Arial"/>
          <w:sz w:val="22"/>
          <w:szCs w:val="22"/>
        </w:rPr>
        <w:t>. London: ONS.</w:t>
      </w:r>
    </w:p>
    <w:p w14:paraId="1A6D6D15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Oliver, D., Healey, F. and Haines, T.P. (2010) ‘Preventing falls and fall-related injuries in hospitals’, </w:t>
      </w:r>
      <w:r w:rsidRPr="003A3CD7">
        <w:rPr>
          <w:rStyle w:val="Emphasis"/>
          <w:rFonts w:ascii="Arial" w:hAnsi="Arial" w:cs="Arial"/>
          <w:sz w:val="22"/>
          <w:szCs w:val="22"/>
        </w:rPr>
        <w:t>Clinical Geriatric Medicine</w:t>
      </w:r>
      <w:r w:rsidRPr="003A3CD7">
        <w:rPr>
          <w:rFonts w:ascii="Arial" w:hAnsi="Arial" w:cs="Arial"/>
          <w:sz w:val="22"/>
          <w:szCs w:val="22"/>
        </w:rPr>
        <w:t>, 26(4), pp. 645–692.</w:t>
      </w:r>
    </w:p>
    <w:p w14:paraId="72FE9146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Person-Centred Care Institute (2023) </w:t>
      </w:r>
      <w:r w:rsidRPr="003A3CD7">
        <w:rPr>
          <w:rStyle w:val="Emphasis"/>
          <w:rFonts w:ascii="Arial" w:hAnsi="Arial" w:cs="Arial"/>
          <w:sz w:val="22"/>
          <w:szCs w:val="22"/>
        </w:rPr>
        <w:t>Implementing Person-Centred Residential Care</w:t>
      </w:r>
      <w:r w:rsidRPr="003A3CD7">
        <w:rPr>
          <w:rFonts w:ascii="Arial" w:hAnsi="Arial" w:cs="Arial"/>
          <w:sz w:val="22"/>
          <w:szCs w:val="22"/>
        </w:rPr>
        <w:t>. London: PCCI.</w:t>
      </w:r>
    </w:p>
    <w:p w14:paraId="2B1811AF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Royal College of Nursing (2023) </w:t>
      </w:r>
      <w:r w:rsidRPr="003A3CD7">
        <w:rPr>
          <w:rStyle w:val="Emphasis"/>
          <w:rFonts w:ascii="Arial" w:hAnsi="Arial" w:cs="Arial"/>
          <w:sz w:val="22"/>
          <w:szCs w:val="22"/>
        </w:rPr>
        <w:t>Safeguarding Adults in Care Settings</w:t>
      </w:r>
      <w:r w:rsidRPr="003A3CD7">
        <w:rPr>
          <w:rFonts w:ascii="Arial" w:hAnsi="Arial" w:cs="Arial"/>
          <w:sz w:val="22"/>
          <w:szCs w:val="22"/>
        </w:rPr>
        <w:t>. London: RCN.</w:t>
      </w:r>
    </w:p>
    <w:p w14:paraId="556B25BD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Skills for Care (2024) </w:t>
      </w:r>
      <w:r w:rsidRPr="003A3CD7">
        <w:rPr>
          <w:rStyle w:val="Emphasis"/>
          <w:rFonts w:ascii="Arial" w:hAnsi="Arial" w:cs="Arial"/>
          <w:sz w:val="22"/>
          <w:szCs w:val="22"/>
        </w:rPr>
        <w:t>The State of the Adult Social Care Sector and Workforce in England</w:t>
      </w:r>
      <w:r w:rsidRPr="003A3CD7">
        <w:rPr>
          <w:rFonts w:ascii="Arial" w:hAnsi="Arial" w:cs="Arial"/>
          <w:sz w:val="22"/>
          <w:szCs w:val="22"/>
        </w:rPr>
        <w:t>. Leeds: Skills for Care.</w:t>
      </w:r>
    </w:p>
    <w:p w14:paraId="0A93A239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Talerico, K.A., O’Brien, J.A. and Swafford, K.L. (2003) ‘Person-centred care practices in long-term care’, </w:t>
      </w:r>
      <w:r w:rsidRPr="003A3CD7">
        <w:rPr>
          <w:rStyle w:val="Emphasis"/>
          <w:rFonts w:ascii="Arial" w:hAnsi="Arial" w:cs="Arial"/>
          <w:sz w:val="22"/>
          <w:szCs w:val="22"/>
        </w:rPr>
        <w:t>Journal of Gerontological Nursing</w:t>
      </w:r>
      <w:r w:rsidRPr="003A3CD7">
        <w:rPr>
          <w:rFonts w:ascii="Arial" w:hAnsi="Arial" w:cs="Arial"/>
          <w:sz w:val="22"/>
          <w:szCs w:val="22"/>
        </w:rPr>
        <w:t>, 29(3), pp. 12–19.</w:t>
      </w:r>
    </w:p>
    <w:p w14:paraId="7E630BDF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World Health Organization (2021) </w:t>
      </w:r>
      <w:r w:rsidRPr="003A3CD7">
        <w:rPr>
          <w:rStyle w:val="Emphasis"/>
          <w:rFonts w:ascii="Arial" w:hAnsi="Arial" w:cs="Arial"/>
          <w:sz w:val="22"/>
          <w:szCs w:val="22"/>
        </w:rPr>
        <w:t>Global Report on Ageing and Health</w:t>
      </w:r>
      <w:r w:rsidRPr="003A3CD7">
        <w:rPr>
          <w:rFonts w:ascii="Arial" w:hAnsi="Arial" w:cs="Arial"/>
          <w:sz w:val="22"/>
          <w:szCs w:val="22"/>
        </w:rPr>
        <w:t>. Geneva: WHO.</w:t>
      </w:r>
    </w:p>
    <w:p w14:paraId="6DD93BC2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Care Quality Commission (2022) </w:t>
      </w:r>
      <w:r w:rsidRPr="003A3CD7">
        <w:rPr>
          <w:rStyle w:val="Emphasis"/>
          <w:rFonts w:ascii="Arial" w:hAnsi="Arial" w:cs="Arial"/>
          <w:sz w:val="22"/>
          <w:szCs w:val="22"/>
        </w:rPr>
        <w:t>Safeguarding Adults Annual Review</w:t>
      </w:r>
      <w:r w:rsidRPr="003A3CD7">
        <w:rPr>
          <w:rFonts w:ascii="Arial" w:hAnsi="Arial" w:cs="Arial"/>
          <w:sz w:val="22"/>
          <w:szCs w:val="22"/>
        </w:rPr>
        <w:t>. London: CQC.</w:t>
      </w:r>
    </w:p>
    <w:p w14:paraId="41D67338" w14:textId="77777777" w:rsidR="003A3CD7" w:rsidRPr="003A3CD7" w:rsidRDefault="003A3CD7" w:rsidP="003A3CD7">
      <w:pPr>
        <w:pStyle w:val="NormalWeb"/>
        <w:rPr>
          <w:rFonts w:ascii="Arial" w:hAnsi="Arial" w:cs="Arial"/>
          <w:sz w:val="22"/>
          <w:szCs w:val="22"/>
        </w:rPr>
      </w:pPr>
      <w:r w:rsidRPr="003A3CD7">
        <w:rPr>
          <w:rFonts w:ascii="Arial" w:hAnsi="Arial" w:cs="Arial"/>
          <w:sz w:val="22"/>
          <w:szCs w:val="22"/>
        </w:rPr>
        <w:t xml:space="preserve">British Geriatrics Society (2023) </w:t>
      </w:r>
      <w:r w:rsidRPr="003A3CD7">
        <w:rPr>
          <w:rStyle w:val="Emphasis"/>
          <w:rFonts w:ascii="Arial" w:hAnsi="Arial" w:cs="Arial"/>
          <w:sz w:val="22"/>
          <w:szCs w:val="22"/>
        </w:rPr>
        <w:t>Falls Prevention Guidance for Older Adults</w:t>
      </w:r>
      <w:r w:rsidRPr="003A3CD7">
        <w:rPr>
          <w:rFonts w:ascii="Arial" w:hAnsi="Arial" w:cs="Arial"/>
          <w:sz w:val="22"/>
          <w:szCs w:val="22"/>
        </w:rPr>
        <w:t>. London: BGS.</w:t>
      </w:r>
    </w:p>
    <w:p w14:paraId="26340EBB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Age UK (2024) </w:t>
      </w:r>
      <w:r w:rsidRPr="00F058F5">
        <w:rPr>
          <w:rFonts w:ascii="Arial" w:hAnsi="Arial" w:cs="Arial"/>
          <w:i/>
          <w:iCs/>
          <w:sz w:val="22"/>
          <w:szCs w:val="22"/>
        </w:rPr>
        <w:t>Later Life in the United Kingdom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5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https://www.ageuk.org.uk/information-advice/work-learning/retirement/later-life-in-the-uk/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3625EDD5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Alzheimer’s Society (2024) </w:t>
      </w:r>
      <w:r w:rsidRPr="00F058F5">
        <w:rPr>
          <w:rFonts w:ascii="Arial" w:hAnsi="Arial" w:cs="Arial"/>
          <w:i/>
          <w:iCs/>
          <w:sz w:val="22"/>
          <w:szCs w:val="22"/>
        </w:rPr>
        <w:t>Dementia UK: Facts and Figures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6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https://www.alzheimers.org.uk/about-us/policy-and-influencing/dementia-scale-impact-numbers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6821CC4F" w14:textId="0751205C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Care Quality Commission (2023) </w:t>
      </w:r>
      <w:r w:rsidRPr="00F058F5">
        <w:rPr>
          <w:rFonts w:ascii="Arial" w:hAnsi="Arial" w:cs="Arial"/>
          <w:i/>
          <w:iCs/>
          <w:sz w:val="22"/>
          <w:szCs w:val="22"/>
        </w:rPr>
        <w:t>The State of Health Care and Adult Social Care in England 2022/23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7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https://www.cqc.org.uk/publications/major-report/state-care</w:t>
        </w:r>
      </w:hyperlink>
      <w:r w:rsidRPr="00F058F5">
        <w:rPr>
          <w:rFonts w:ascii="Arial" w:hAnsi="Arial" w:cs="Arial"/>
          <w:sz w:val="22"/>
          <w:szCs w:val="22"/>
        </w:rPr>
        <w:t> (Accessed: 2</w:t>
      </w:r>
      <w:r w:rsidR="00F06A3E">
        <w:rPr>
          <w:rFonts w:ascii="Arial" w:hAnsi="Arial" w:cs="Arial"/>
          <w:sz w:val="22"/>
          <w:szCs w:val="22"/>
        </w:rPr>
        <w:t>5</w:t>
      </w:r>
      <w:r w:rsidRPr="00F058F5">
        <w:rPr>
          <w:rFonts w:ascii="Arial" w:hAnsi="Arial" w:cs="Arial"/>
          <w:sz w:val="22"/>
          <w:szCs w:val="22"/>
        </w:rPr>
        <w:t xml:space="preserve"> June 2026). </w:t>
      </w:r>
    </w:p>
    <w:p w14:paraId="73A7DAEC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lastRenderedPageBreak/>
        <w:t>Department of Health (2005) </w:t>
      </w:r>
      <w:r w:rsidRPr="00F058F5">
        <w:rPr>
          <w:rFonts w:ascii="Arial" w:hAnsi="Arial" w:cs="Arial"/>
          <w:i/>
          <w:iCs/>
          <w:sz w:val="22"/>
          <w:szCs w:val="22"/>
        </w:rPr>
        <w:t>Mental Capacity Act 2005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8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https://www.legislation.gov.uk/ukpga/2005/9/contents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098682FA" w14:textId="596355D3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Department of Health and Social Care (2014) </w:t>
      </w:r>
      <w:r w:rsidRPr="00F058F5">
        <w:rPr>
          <w:rFonts w:ascii="Arial" w:hAnsi="Arial" w:cs="Arial"/>
          <w:i/>
          <w:iCs/>
          <w:sz w:val="22"/>
          <w:szCs w:val="22"/>
        </w:rPr>
        <w:t>Care Act 2014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9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https://www.legislation.gov.uk/ukpga/2014/23/contents</w:t>
        </w:r>
      </w:hyperlink>
      <w:r w:rsidRPr="00F058F5">
        <w:rPr>
          <w:rFonts w:ascii="Arial" w:hAnsi="Arial" w:cs="Arial"/>
          <w:sz w:val="22"/>
          <w:szCs w:val="22"/>
        </w:rPr>
        <w:t> (Accessed: 2</w:t>
      </w:r>
      <w:r w:rsidR="00F06A3E">
        <w:rPr>
          <w:rFonts w:ascii="Arial" w:hAnsi="Arial" w:cs="Arial"/>
          <w:sz w:val="22"/>
          <w:szCs w:val="22"/>
        </w:rPr>
        <w:t>6</w:t>
      </w:r>
      <w:r w:rsidRPr="00F058F5">
        <w:rPr>
          <w:rFonts w:ascii="Arial" w:hAnsi="Arial" w:cs="Arial"/>
          <w:sz w:val="22"/>
          <w:szCs w:val="22"/>
        </w:rPr>
        <w:t xml:space="preserve"> June 2026). </w:t>
      </w:r>
    </w:p>
    <w:p w14:paraId="085B7263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Edvardsson, D., Winblad, B. and Sandman, P.O. (2008) ‘Person-centred care of people with severe Alzheimer’s disease’, </w:t>
      </w:r>
      <w:r w:rsidRPr="00F058F5">
        <w:rPr>
          <w:rFonts w:ascii="Arial" w:hAnsi="Arial" w:cs="Arial"/>
          <w:i/>
          <w:iCs/>
          <w:sz w:val="22"/>
          <w:szCs w:val="22"/>
        </w:rPr>
        <w:t>The Lancet Neurology</w:t>
      </w:r>
      <w:r w:rsidRPr="00F058F5">
        <w:rPr>
          <w:rFonts w:ascii="Arial" w:hAnsi="Arial" w:cs="Arial"/>
          <w:sz w:val="22"/>
          <w:szCs w:val="22"/>
        </w:rPr>
        <w:t>, 7(4), pp. 362–367. Available at: </w:t>
      </w:r>
      <w:hyperlink r:id="rId10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https://doi.org/10.1016/S1474-4422(08)70063-2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373FF0F8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Glasby, J. (2017) </w:t>
      </w:r>
      <w:r w:rsidRPr="00F058F5">
        <w:rPr>
          <w:rFonts w:ascii="Arial" w:hAnsi="Arial" w:cs="Arial"/>
          <w:i/>
          <w:iCs/>
          <w:sz w:val="22"/>
          <w:szCs w:val="22"/>
        </w:rPr>
        <w:t>Understanding Health and Social Care</w:t>
      </w:r>
      <w:r w:rsidRPr="00F058F5">
        <w:rPr>
          <w:rFonts w:ascii="Arial" w:hAnsi="Arial" w:cs="Arial"/>
          <w:sz w:val="22"/>
          <w:szCs w:val="22"/>
        </w:rPr>
        <w:t>. 3rd </w:t>
      </w:r>
      <w:proofErr w:type="spellStart"/>
      <w:r w:rsidRPr="00F058F5">
        <w:rPr>
          <w:rFonts w:ascii="Arial" w:hAnsi="Arial" w:cs="Arial"/>
          <w:sz w:val="22"/>
          <w:szCs w:val="22"/>
        </w:rPr>
        <w:t>edn</w:t>
      </w:r>
      <w:proofErr w:type="spellEnd"/>
      <w:r w:rsidRPr="00F058F5">
        <w:rPr>
          <w:rFonts w:ascii="Arial" w:hAnsi="Arial" w:cs="Arial"/>
          <w:sz w:val="22"/>
          <w:szCs w:val="22"/>
        </w:rPr>
        <w:t>. Bristol: Policy Press. Available at: </w:t>
      </w:r>
      <w:hyperlink r:id="rId11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https://policy.bristoluniversitypress.co.uk/understanding-health-and-social-care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2B0C2BFE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proofErr w:type="spellStart"/>
      <w:r w:rsidRPr="00F058F5">
        <w:rPr>
          <w:rFonts w:ascii="Arial" w:hAnsi="Arial" w:cs="Arial"/>
          <w:sz w:val="22"/>
          <w:szCs w:val="22"/>
        </w:rPr>
        <w:t>Kitwood</w:t>
      </w:r>
      <w:proofErr w:type="spellEnd"/>
      <w:r w:rsidRPr="00F058F5">
        <w:rPr>
          <w:rFonts w:ascii="Arial" w:hAnsi="Arial" w:cs="Arial"/>
          <w:sz w:val="22"/>
          <w:szCs w:val="22"/>
        </w:rPr>
        <w:t>, T. (1997) </w:t>
      </w:r>
      <w:r w:rsidRPr="00F058F5">
        <w:rPr>
          <w:rFonts w:ascii="Arial" w:hAnsi="Arial" w:cs="Arial"/>
          <w:i/>
          <w:iCs/>
          <w:sz w:val="22"/>
          <w:szCs w:val="22"/>
        </w:rPr>
        <w:t>Dementia Reconsidered: The Person Comes First</w:t>
      </w:r>
      <w:r w:rsidRPr="00F058F5">
        <w:rPr>
          <w:rFonts w:ascii="Arial" w:hAnsi="Arial" w:cs="Arial"/>
          <w:sz w:val="22"/>
          <w:szCs w:val="22"/>
        </w:rPr>
        <w:t>. Buckingham: Open University Press. Available at: </w:t>
      </w:r>
      <w:hyperlink r:id="rId12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https://www.mheducation.co.uk/dementia-reconsidered-the-person-comes-first-9780335198553-emea-group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0D007735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Lloyd, L. (2010) </w:t>
      </w:r>
      <w:r w:rsidRPr="00F058F5">
        <w:rPr>
          <w:rFonts w:ascii="Arial" w:hAnsi="Arial" w:cs="Arial"/>
          <w:i/>
          <w:iCs/>
          <w:sz w:val="22"/>
          <w:szCs w:val="22"/>
        </w:rPr>
        <w:t>The Individual in Social Care: The Ethics of Care and Empowerment</w:t>
      </w:r>
      <w:r w:rsidRPr="00F058F5">
        <w:rPr>
          <w:rFonts w:ascii="Arial" w:hAnsi="Arial" w:cs="Arial"/>
          <w:sz w:val="22"/>
          <w:szCs w:val="22"/>
        </w:rPr>
        <w:t>. Bristol: Policy Press. Available at: </w:t>
      </w:r>
      <w:hyperlink r:id="rId13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https://policy.bristoluniversitypress.co.uk/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65E9EE1D" w14:textId="20223A8F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National Institute for Health and Care Excellence (2015) </w:t>
      </w:r>
      <w:r w:rsidRPr="00F058F5">
        <w:rPr>
          <w:rFonts w:ascii="Arial" w:hAnsi="Arial" w:cs="Arial"/>
          <w:i/>
          <w:iCs/>
          <w:sz w:val="22"/>
          <w:szCs w:val="22"/>
        </w:rPr>
        <w:t>Home Care: Delivering Personal Care and Practical Support to Older People Living in Their Own Homes (NG21).</w:t>
      </w:r>
      <w:r w:rsidRPr="00F058F5">
        <w:rPr>
          <w:rFonts w:ascii="Arial" w:hAnsi="Arial" w:cs="Arial"/>
          <w:sz w:val="22"/>
          <w:szCs w:val="22"/>
        </w:rPr>
        <w:t> Available at: </w:t>
      </w:r>
      <w:hyperlink r:id="rId14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https://www.nice.org.uk/guidance/ng21</w:t>
        </w:r>
      </w:hyperlink>
      <w:r w:rsidRPr="00F058F5">
        <w:rPr>
          <w:rFonts w:ascii="Arial" w:hAnsi="Arial" w:cs="Arial"/>
          <w:sz w:val="22"/>
          <w:szCs w:val="22"/>
        </w:rPr>
        <w:t> (Accessed: 2</w:t>
      </w:r>
      <w:r w:rsidR="007C4D61">
        <w:rPr>
          <w:rFonts w:ascii="Arial" w:hAnsi="Arial" w:cs="Arial"/>
          <w:sz w:val="22"/>
          <w:szCs w:val="22"/>
        </w:rPr>
        <w:t>6</w:t>
      </w:r>
      <w:r w:rsidRPr="00F058F5">
        <w:rPr>
          <w:rFonts w:ascii="Arial" w:hAnsi="Arial" w:cs="Arial"/>
          <w:sz w:val="22"/>
          <w:szCs w:val="22"/>
        </w:rPr>
        <w:t xml:space="preserve"> June 2026). </w:t>
      </w:r>
    </w:p>
    <w:p w14:paraId="5A60C1C6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National Institute for Health and Care Excellence (2018) </w:t>
      </w:r>
      <w:r w:rsidRPr="00F058F5">
        <w:rPr>
          <w:rFonts w:ascii="Arial" w:hAnsi="Arial" w:cs="Arial"/>
          <w:i/>
          <w:iCs/>
          <w:sz w:val="22"/>
          <w:szCs w:val="22"/>
        </w:rPr>
        <w:t>Dementia: Assessment, Management and Support for People Living with Dementia and Their Carers (NG97).</w:t>
      </w:r>
      <w:r w:rsidRPr="00F058F5">
        <w:rPr>
          <w:rFonts w:ascii="Arial" w:hAnsi="Arial" w:cs="Arial"/>
          <w:sz w:val="22"/>
          <w:szCs w:val="22"/>
        </w:rPr>
        <w:t> Available at: </w:t>
      </w:r>
      <w:hyperlink r:id="rId15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https://www.nice.org.uk/guidance/ng97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4CF6B0B4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Nolan, M., Davies, S., Brown, J., Keady, J. and Nolan, J. (2004) ‘Beyond person-centred care: A new vision for gerontological nursing’, </w:t>
      </w:r>
      <w:r w:rsidRPr="00F058F5">
        <w:rPr>
          <w:rFonts w:ascii="Arial" w:hAnsi="Arial" w:cs="Arial"/>
          <w:i/>
          <w:iCs/>
          <w:sz w:val="22"/>
          <w:szCs w:val="22"/>
        </w:rPr>
        <w:t>Journal of Clinical Nursing</w:t>
      </w:r>
      <w:r w:rsidRPr="00F058F5">
        <w:rPr>
          <w:rFonts w:ascii="Arial" w:hAnsi="Arial" w:cs="Arial"/>
          <w:sz w:val="22"/>
          <w:szCs w:val="22"/>
        </w:rPr>
        <w:t>, 13(S1), pp. 45–53. Available at: </w:t>
      </w:r>
      <w:hyperlink r:id="rId16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https://doi.org/10.1111/j.1365-2702.2004.00926.x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2EE5D92F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Sixsmith, A. and Sixsmith, J. (2008) ‘Ageing in place in the United Kingdom’, </w:t>
      </w:r>
      <w:r w:rsidRPr="00F058F5">
        <w:rPr>
          <w:rFonts w:ascii="Arial" w:hAnsi="Arial" w:cs="Arial"/>
          <w:i/>
          <w:iCs/>
          <w:sz w:val="22"/>
          <w:szCs w:val="22"/>
        </w:rPr>
        <w:t>Ageing International</w:t>
      </w:r>
      <w:r w:rsidRPr="00F058F5">
        <w:rPr>
          <w:rFonts w:ascii="Arial" w:hAnsi="Arial" w:cs="Arial"/>
          <w:sz w:val="22"/>
          <w:szCs w:val="22"/>
        </w:rPr>
        <w:t>, 32(3), pp. 219–235. Available at: </w:t>
      </w:r>
      <w:hyperlink r:id="rId17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https://doi.org/10.1007/s12126-008-9020-y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42C9BA37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Skills for Care (2024) </w:t>
      </w:r>
      <w:r w:rsidRPr="00F058F5">
        <w:rPr>
          <w:rFonts w:ascii="Arial" w:hAnsi="Arial" w:cs="Arial"/>
          <w:i/>
          <w:iCs/>
          <w:sz w:val="22"/>
          <w:szCs w:val="22"/>
        </w:rPr>
        <w:t>The State of the Adult Social Care Sector and Workforce in England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18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https://www.skillsforcare.org.uk/Adult-Social-Care-Workforce-Data/Workforce-intelligence/publications/state-of-the-adult-social-care-sector-and-workforce.aspx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4FF99729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Social Care Institute for Excellence (2024) </w:t>
      </w:r>
      <w:r w:rsidRPr="00F058F5">
        <w:rPr>
          <w:rFonts w:ascii="Arial" w:hAnsi="Arial" w:cs="Arial"/>
          <w:i/>
          <w:iCs/>
          <w:sz w:val="22"/>
          <w:szCs w:val="22"/>
        </w:rPr>
        <w:t>Person-centred Care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19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https://www.scie.org.uk/person-centred-care/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3528EF2A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The King’s Fund (2023) </w:t>
      </w:r>
      <w:r w:rsidRPr="00F058F5">
        <w:rPr>
          <w:rFonts w:ascii="Arial" w:hAnsi="Arial" w:cs="Arial"/>
          <w:i/>
          <w:iCs/>
          <w:sz w:val="22"/>
          <w:szCs w:val="22"/>
        </w:rPr>
        <w:t>Social Care 360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20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https://www.kingsfund.org.uk/publications/social-care-360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7E6BEDFA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Victor, C.R. (2018) </w:t>
      </w:r>
      <w:r w:rsidRPr="00F058F5">
        <w:rPr>
          <w:rFonts w:ascii="Arial" w:hAnsi="Arial" w:cs="Arial"/>
          <w:i/>
          <w:iCs/>
          <w:sz w:val="22"/>
          <w:szCs w:val="22"/>
        </w:rPr>
        <w:t>Ageing, Health and Care</w:t>
      </w:r>
      <w:r w:rsidRPr="00F058F5">
        <w:rPr>
          <w:rFonts w:ascii="Arial" w:hAnsi="Arial" w:cs="Arial"/>
          <w:sz w:val="22"/>
          <w:szCs w:val="22"/>
        </w:rPr>
        <w:t>. Bristol: Policy Press. Available at: </w:t>
      </w:r>
      <w:hyperlink r:id="rId21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https://policy.bristoluniversitypress.co.uk/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0D959A37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Wiles, J.L., </w:t>
      </w:r>
      <w:proofErr w:type="spellStart"/>
      <w:r w:rsidRPr="00F058F5">
        <w:rPr>
          <w:rFonts w:ascii="Arial" w:hAnsi="Arial" w:cs="Arial"/>
          <w:sz w:val="22"/>
          <w:szCs w:val="22"/>
        </w:rPr>
        <w:t>Leibing</w:t>
      </w:r>
      <w:proofErr w:type="spellEnd"/>
      <w:r w:rsidRPr="00F058F5">
        <w:rPr>
          <w:rFonts w:ascii="Arial" w:hAnsi="Arial" w:cs="Arial"/>
          <w:sz w:val="22"/>
          <w:szCs w:val="22"/>
        </w:rPr>
        <w:t>, A., Guberman, N., Reeve, J. and Allen, R.E.S. (2012) ‘The meaning of “ageing in place” to older people’, </w:t>
      </w:r>
      <w:r w:rsidRPr="00F058F5">
        <w:rPr>
          <w:rFonts w:ascii="Arial" w:hAnsi="Arial" w:cs="Arial"/>
          <w:i/>
          <w:iCs/>
          <w:sz w:val="22"/>
          <w:szCs w:val="22"/>
        </w:rPr>
        <w:t>The Gerontologist</w:t>
      </w:r>
      <w:r w:rsidRPr="00F058F5">
        <w:rPr>
          <w:rFonts w:ascii="Arial" w:hAnsi="Arial" w:cs="Arial"/>
          <w:sz w:val="22"/>
          <w:szCs w:val="22"/>
        </w:rPr>
        <w:t>, 52(3), pp. 357–366. Available at: </w:t>
      </w:r>
      <w:hyperlink r:id="rId22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https://doi.org/10.1093/geront/gnr098</w:t>
        </w:r>
      </w:hyperlink>
      <w:r w:rsidRPr="00F058F5">
        <w:rPr>
          <w:rFonts w:ascii="Arial" w:hAnsi="Arial" w:cs="Arial"/>
          <w:sz w:val="22"/>
          <w:szCs w:val="22"/>
        </w:rPr>
        <w:t> </w:t>
      </w:r>
    </w:p>
    <w:p w14:paraId="3F49F657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lastRenderedPageBreak/>
        <w:t>World Health Organization (2020) </w:t>
      </w:r>
      <w:r w:rsidRPr="00F058F5">
        <w:rPr>
          <w:rFonts w:ascii="Arial" w:hAnsi="Arial" w:cs="Arial"/>
          <w:i/>
          <w:iCs/>
          <w:sz w:val="22"/>
          <w:szCs w:val="22"/>
        </w:rPr>
        <w:t>Decade of Healthy Ageing: Baseline Report</w:t>
      </w:r>
      <w:r w:rsidRPr="00F058F5">
        <w:rPr>
          <w:rFonts w:ascii="Arial" w:hAnsi="Arial" w:cs="Arial"/>
          <w:sz w:val="22"/>
          <w:szCs w:val="22"/>
        </w:rPr>
        <w:t>. Available at: </w:t>
      </w:r>
      <w:hyperlink r:id="rId23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https://www.who.int/publications/i/item/9789240017900</w:t>
        </w:r>
      </w:hyperlink>
      <w:r w:rsidRPr="00F058F5">
        <w:rPr>
          <w:rFonts w:ascii="Arial" w:hAnsi="Arial" w:cs="Arial"/>
          <w:sz w:val="22"/>
          <w:szCs w:val="22"/>
        </w:rPr>
        <w:t> (Accessed: 27 June 2026). </w:t>
      </w:r>
    </w:p>
    <w:p w14:paraId="137C3097" w14:textId="77777777" w:rsidR="00F058F5" w:rsidRPr="00F058F5" w:rsidRDefault="00F058F5" w:rsidP="00F058F5">
      <w:pPr>
        <w:pStyle w:val="NormalWeb"/>
        <w:rPr>
          <w:rFonts w:ascii="Arial" w:hAnsi="Arial" w:cs="Arial"/>
          <w:sz w:val="22"/>
          <w:szCs w:val="22"/>
        </w:rPr>
      </w:pPr>
      <w:r w:rsidRPr="00F058F5">
        <w:rPr>
          <w:rFonts w:ascii="Arial" w:hAnsi="Arial" w:cs="Arial"/>
          <w:sz w:val="22"/>
          <w:szCs w:val="22"/>
        </w:rPr>
        <w:t>World Health Organization (2021) </w:t>
      </w:r>
      <w:r w:rsidRPr="00F058F5">
        <w:rPr>
          <w:rFonts w:ascii="Arial" w:hAnsi="Arial" w:cs="Arial"/>
          <w:i/>
          <w:iCs/>
          <w:sz w:val="22"/>
          <w:szCs w:val="22"/>
        </w:rPr>
        <w:t>Decade of Healthy Ageing (2021–2030).</w:t>
      </w:r>
      <w:r w:rsidRPr="00F058F5">
        <w:rPr>
          <w:rFonts w:ascii="Arial" w:hAnsi="Arial" w:cs="Arial"/>
          <w:sz w:val="22"/>
          <w:szCs w:val="22"/>
        </w:rPr>
        <w:t> Available at: </w:t>
      </w:r>
      <w:hyperlink r:id="rId24" w:tgtFrame="_blank" w:history="1">
        <w:r w:rsidRPr="00F058F5">
          <w:rPr>
            <w:rStyle w:val="Hyperlink"/>
            <w:rFonts w:ascii="Arial" w:hAnsi="Arial" w:cs="Arial"/>
            <w:sz w:val="22"/>
            <w:szCs w:val="22"/>
          </w:rPr>
          <w:t>https://www.who.int/initiatives/decade-of-healthy-ageing</w:t>
        </w:r>
      </w:hyperlink>
      <w:r w:rsidRPr="00F058F5">
        <w:rPr>
          <w:rFonts w:ascii="Arial" w:hAnsi="Arial" w:cs="Arial"/>
          <w:sz w:val="22"/>
          <w:szCs w:val="22"/>
        </w:rPr>
        <w:t> (Accessed: 27 June 2026).</w:t>
      </w:r>
    </w:p>
    <w:p w14:paraId="1CC36C18" w14:textId="77777777" w:rsidR="00B7636C" w:rsidRPr="00871F15" w:rsidRDefault="00B7636C" w:rsidP="00871F15">
      <w:pPr>
        <w:pStyle w:val="NormalWeb"/>
        <w:rPr>
          <w:rFonts w:ascii="Arial" w:hAnsi="Arial" w:cs="Arial"/>
          <w:sz w:val="22"/>
          <w:szCs w:val="22"/>
        </w:rPr>
      </w:pPr>
    </w:p>
    <w:p w14:paraId="2478C0E4" w14:textId="77777777" w:rsidR="00871F15" w:rsidRPr="003A3CD7" w:rsidRDefault="00871F15" w:rsidP="003A3CD7">
      <w:pPr>
        <w:pStyle w:val="NormalWeb"/>
        <w:rPr>
          <w:rFonts w:ascii="Arial" w:hAnsi="Arial" w:cs="Arial"/>
          <w:sz w:val="22"/>
          <w:szCs w:val="22"/>
        </w:rPr>
      </w:pPr>
    </w:p>
    <w:p w14:paraId="445EC8BF" w14:textId="77777777" w:rsidR="00B861E1" w:rsidRDefault="00B861E1"/>
    <w:sectPr w:rsidR="00B861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CE0149"/>
    <w:multiLevelType w:val="multilevel"/>
    <w:tmpl w:val="DFD2F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791591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CD7"/>
    <w:rsid w:val="000502A5"/>
    <w:rsid w:val="00066DF2"/>
    <w:rsid w:val="00094E54"/>
    <w:rsid w:val="000A60B0"/>
    <w:rsid w:val="000E4276"/>
    <w:rsid w:val="000E6DE8"/>
    <w:rsid w:val="001B4F90"/>
    <w:rsid w:val="001D3B84"/>
    <w:rsid w:val="00301E02"/>
    <w:rsid w:val="00322282"/>
    <w:rsid w:val="003A3CD7"/>
    <w:rsid w:val="003B7E9B"/>
    <w:rsid w:val="004B7E18"/>
    <w:rsid w:val="00513861"/>
    <w:rsid w:val="00537C5F"/>
    <w:rsid w:val="005C6C59"/>
    <w:rsid w:val="00617399"/>
    <w:rsid w:val="00625B9E"/>
    <w:rsid w:val="007A6477"/>
    <w:rsid w:val="007C4D61"/>
    <w:rsid w:val="0086775F"/>
    <w:rsid w:val="00871F15"/>
    <w:rsid w:val="008E6CC2"/>
    <w:rsid w:val="0094723C"/>
    <w:rsid w:val="009637BC"/>
    <w:rsid w:val="009D7BFB"/>
    <w:rsid w:val="00AC3B64"/>
    <w:rsid w:val="00B4346E"/>
    <w:rsid w:val="00B7636C"/>
    <w:rsid w:val="00B861E1"/>
    <w:rsid w:val="00BD0868"/>
    <w:rsid w:val="00CB3795"/>
    <w:rsid w:val="00CF7E96"/>
    <w:rsid w:val="00D55AE1"/>
    <w:rsid w:val="00E20D12"/>
    <w:rsid w:val="00F058F5"/>
    <w:rsid w:val="00F06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A6859"/>
  <w15:chartTrackingRefBased/>
  <w15:docId w15:val="{05FBA149-1A73-4BC6-9548-4E3D88146B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3C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3C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C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C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C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C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C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C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C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3C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3C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3C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C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3C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C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C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C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C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3C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3C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C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3C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3C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3C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3C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3C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C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C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3CD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A3C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3A3CD7"/>
    <w:rPr>
      <w:i/>
      <w:iCs/>
    </w:rPr>
  </w:style>
  <w:style w:type="character" w:styleId="Hyperlink">
    <w:name w:val="Hyperlink"/>
    <w:basedOn w:val="DefaultParagraphFont"/>
    <w:uiPriority w:val="99"/>
    <w:unhideWhenUsed/>
    <w:rsid w:val="00871F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1F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legislation.gov.uk%2Fukpga%2F2005%2F9%2Fcontents&amp;data=05%7C02%7C2320978%40student.uwtsd.ac.uk%7C97e6aaa0062549a0a14808ded4474377%7C4e0f11f9046e45059cb8db2152311e21%7C0%7C0%7C639181599726884671%7CUnknown%7CTWFpbGZsb3d8eyJFbXB0eU1hcGkiOnRydWUsIlYiOiIwLjAuMDAwMCIsIlAiOiJXaW4zMiIsIkFOIjoiTWFpbCIsIldUIjoyfQ%3D%3D%7C0%7C%7C%7C&amp;sdata=YB2Vf%2FlzaAmgFTScEZ3MkRWDzax12E1wZQCQ51OplH8%3D&amp;reserved=0" TargetMode="External"/><Relationship Id="rId13" Type="http://schemas.openxmlformats.org/officeDocument/2006/relationships/hyperlink" Target="https://eur01.safelinks.protection.outlook.com/?url=https%3A%2F%2Fpolicy.bristoluniversitypress.co.uk%2F&amp;data=05%7C02%7C2320978%40student.uwtsd.ac.uk%7C97e6aaa0062549a0a14808ded4474377%7C4e0f11f9046e45059cb8db2152311e21%7C0%7C0%7C639181599726970052%7CUnknown%7CTWFpbGZsb3d8eyJFbXB0eU1hcGkiOnRydWUsIlYiOiIwLjAuMDAwMCIsIlAiOiJXaW4zMiIsIkFOIjoiTWFpbCIsIldUIjoyfQ%3D%3D%7C0%7C%7C%7C&amp;sdata=I01pWk15lEZw69sYGsRFHFk%2BkabnCHYl%2B%2FTXnlMpT7I%3D&amp;reserved=0" TargetMode="External"/><Relationship Id="rId18" Type="http://schemas.openxmlformats.org/officeDocument/2006/relationships/hyperlink" Target="https://eur01.safelinks.protection.outlook.com/?url=https%3A%2F%2Fwww.skillsforcare.org.uk%2FAdult-Social-Care-Workforce-Data%2FWorkforce-intelligence%2Fpublications%2Fstate-of-the-adult-social-care-sector-and-workforce.aspx&amp;data=05%7C02%7C2320978%40student.uwtsd.ac.uk%7C97e6aaa0062549a0a14808ded4474377%7C4e0f11f9046e45059cb8db2152311e21%7C0%7C0%7C639181599727046169%7CUnknown%7CTWFpbGZsb3d8eyJFbXB0eU1hcGkiOnRydWUsIlYiOiIwLjAuMDAwMCIsIlAiOiJXaW4zMiIsIkFOIjoiTWFpbCIsIldUIjoyfQ%3D%3D%7C0%7C%7C%7C&amp;sdata=wV9FA7GnZoUytPsNcvT%2FYFLQCW2yBMiEg7pAPJIn7uQ%3D&amp;reserved=0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eur01.safelinks.protection.outlook.com/?url=https%3A%2F%2Fpolicy.bristoluniversitypress.co.uk%2F&amp;data=05%7C02%7C2320978%40student.uwtsd.ac.uk%7C97e6aaa0062549a0a14808ded4474377%7C4e0f11f9046e45059cb8db2152311e21%7C0%7C0%7C639181599727097964%7CUnknown%7CTWFpbGZsb3d8eyJFbXB0eU1hcGkiOnRydWUsIlYiOiIwLjAuMDAwMCIsIlAiOiJXaW4zMiIsIkFOIjoiTWFpbCIsIldUIjoyfQ%3D%3D%7C0%7C%7C%7C&amp;sdata=KnIoCL9sXE3f7jHsqIglTF139t8aphFeyyf9u%2FbzJWU%3D&amp;reserved=0" TargetMode="External"/><Relationship Id="rId7" Type="http://schemas.openxmlformats.org/officeDocument/2006/relationships/hyperlink" Target="https://eur01.safelinks.protection.outlook.com/?url=https%3A%2F%2Fwww.cqc.org.uk%2Fpublications%2Fmajor-report%2Fstate-care&amp;data=05%7C02%7C2320978%40student.uwtsd.ac.uk%7C97e6aaa0062549a0a14808ded4474377%7C4e0f11f9046e45059cb8db2152311e21%7C0%7C0%7C639181599726867356%7CUnknown%7CTWFpbGZsb3d8eyJFbXB0eU1hcGkiOnRydWUsIlYiOiIwLjAuMDAwMCIsIlAiOiJXaW4zMiIsIkFOIjoiTWFpbCIsIldUIjoyfQ%3D%3D%7C0%7C%7C%7C&amp;sdata=izKUOJgeVu6ER12ZmZNBlLv8QqpGHIgqBxwupvbIE48%3D&amp;reserved=0" TargetMode="External"/><Relationship Id="rId12" Type="http://schemas.openxmlformats.org/officeDocument/2006/relationships/hyperlink" Target="https://eur01.safelinks.protection.outlook.com/?url=https%3A%2F%2Fwww.mheducation.co.uk%2Fdementia-reconsidered-the-person-comes-first-9780335198553-emea-group&amp;data=05%7C02%7C2320978%40student.uwtsd.ac.uk%7C97e6aaa0062549a0a14808ded4474377%7C4e0f11f9046e45059cb8db2152311e21%7C0%7C0%7C639181599726953983%7CUnknown%7CTWFpbGZsb3d8eyJFbXB0eU1hcGkiOnRydWUsIlYiOiIwLjAuMDAwMCIsIlAiOiJXaW4zMiIsIkFOIjoiTWFpbCIsIldUIjoyfQ%3D%3D%7C0%7C%7C%7C&amp;sdata=iZdpTY0xIJjXDhtXqTQFRBIiKIeBRNaXEjgo%2B62PE84%3D&amp;reserved=0" TargetMode="External"/><Relationship Id="rId17" Type="http://schemas.openxmlformats.org/officeDocument/2006/relationships/hyperlink" Target="https://eur01.safelinks.protection.outlook.com/?url=https%3A%2F%2Fdoi.org%2F10.1007%2Fs12126-008-9020-y&amp;data=05%7C02%7C2320978%40student.uwtsd.ac.uk%7C97e6aaa0062549a0a14808ded4474377%7C4e0f11f9046e45059cb8db2152311e21%7C0%7C0%7C639181599727030838%7CUnknown%7CTWFpbGZsb3d8eyJFbXB0eU1hcGkiOnRydWUsIlYiOiIwLjAuMDAwMCIsIlAiOiJXaW4zMiIsIkFOIjoiTWFpbCIsIldUIjoyfQ%3D%3D%7C0%7C%7C%7C&amp;sdata=1Iiq5Cw3LTcTUnV9sNLdd03Bas%2FkljTzhCb%2BCR4YWIw%3D&amp;reserved=0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eur01.safelinks.protection.outlook.com/?url=https%3A%2F%2Fdoi.org%2F10.1111%2Fj.1365-2702.2004.00926.x&amp;data=05%7C02%7C2320978%40student.uwtsd.ac.uk%7C97e6aaa0062549a0a14808ded4474377%7C4e0f11f9046e45059cb8db2152311e21%7C0%7C0%7C639181599727015599%7CUnknown%7CTWFpbGZsb3d8eyJFbXB0eU1hcGkiOnRydWUsIlYiOiIwLjAuMDAwMCIsIlAiOiJXaW4zMiIsIkFOIjoiTWFpbCIsIldUIjoyfQ%3D%3D%7C0%7C%7C%7C&amp;sdata=OVPJhRjQB0iFesNhyJJHzAxv3PwjoMcG1MCsB07Be8s%3D&amp;reserved=0" TargetMode="External"/><Relationship Id="rId20" Type="http://schemas.openxmlformats.org/officeDocument/2006/relationships/hyperlink" Target="https://eur01.safelinks.protection.outlook.com/?url=https%3A%2F%2Fwww.kingsfund.org.uk%2Fpublications%2Fsocial-care-360&amp;data=05%7C02%7C2320978%40student.uwtsd.ac.uk%7C97e6aaa0062549a0a14808ded4474377%7C4e0f11f9046e45059cb8db2152311e21%7C0%7C0%7C639181599727081407%7CUnknown%7CTWFpbGZsb3d8eyJFbXB0eU1hcGkiOnRydWUsIlYiOiIwLjAuMDAwMCIsIlAiOiJXaW4zMiIsIkFOIjoiTWFpbCIsIldUIjoyfQ%3D%3D%7C0%7C%7C%7C&amp;sdata=oiCikrn%2Fv8Ue0cNcIh%2B3SVdZBQw2jt%2FI0SnnYTS2djw%3D&amp;reserved=0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www.alzheimers.org.uk%2Fabout-us%2Fpolicy-and-influencing%2Fdementia-scale-impact-numbers&amp;data=05%7C02%7C2320978%40student.uwtsd.ac.uk%7C97e6aaa0062549a0a14808ded4474377%7C4e0f11f9046e45059cb8db2152311e21%7C0%7C0%7C639181599726850265%7CUnknown%7CTWFpbGZsb3d8eyJFbXB0eU1hcGkiOnRydWUsIlYiOiIwLjAuMDAwMCIsIlAiOiJXaW4zMiIsIkFOIjoiTWFpbCIsIldUIjoyfQ%3D%3D%7C0%7C%7C%7C&amp;sdata=c%2FRccJzDDfTHvz%2FU7pcSlk5npFV3XA3fi3pTOPjlg3o%3D&amp;reserved=0" TargetMode="External"/><Relationship Id="rId11" Type="http://schemas.openxmlformats.org/officeDocument/2006/relationships/hyperlink" Target="https://eur01.safelinks.protection.outlook.com/?url=https%3A%2F%2Fpolicy.bristoluniversitypress.co.uk%2Funderstanding-health-and-social-care&amp;data=05%7C02%7C2320978%40student.uwtsd.ac.uk%7C97e6aaa0062549a0a14808ded4474377%7C4e0f11f9046e45059cb8db2152311e21%7C0%7C0%7C639181599726937767%7CUnknown%7CTWFpbGZsb3d8eyJFbXB0eU1hcGkiOnRydWUsIlYiOiIwLjAuMDAwMCIsIlAiOiJXaW4zMiIsIkFOIjoiTWFpbCIsIldUIjoyfQ%3D%3D%7C0%7C%7C%7C&amp;sdata=KJkTIuW%2BY%2BtDEYHpbXReAhTQHhMIZ8xo0NOG4%2B8mE08%3D&amp;reserved=0" TargetMode="External"/><Relationship Id="rId24" Type="http://schemas.openxmlformats.org/officeDocument/2006/relationships/hyperlink" Target="https://eur01.safelinks.protection.outlook.com/?url=https%3A%2F%2Fwww.who.int%2Finitiatives%2Fdecade-of-healthy-ageing&amp;data=05%7C02%7C2320978%40student.uwtsd.ac.uk%7C97e6aaa0062549a0a14808ded4474377%7C4e0f11f9046e45059cb8db2152311e21%7C0%7C0%7C639181599727149363%7CUnknown%7CTWFpbGZsb3d8eyJFbXB0eU1hcGkiOnRydWUsIlYiOiIwLjAuMDAwMCIsIlAiOiJXaW4zMiIsIkFOIjoiTWFpbCIsIldUIjoyfQ%3D%3D%7C0%7C%7C%7C&amp;sdata=t2k4OjWqFvVyy%2BsYtZmiWzzFIljIXcvdiHOLCIw4xOM%3D&amp;reserved=0" TargetMode="External"/><Relationship Id="rId5" Type="http://schemas.openxmlformats.org/officeDocument/2006/relationships/hyperlink" Target="https://eur01.safelinks.protection.outlook.com/?url=https%3A%2F%2Fwww.ageuk.org.uk%2Finformation-advice%2Fwork-learning%2Fretirement%2Flater-life-in-the-uk%2F&amp;data=05%7C02%7C2320978%40student.uwtsd.ac.uk%7C97e6aaa0062549a0a14808ded4474377%7C4e0f11f9046e45059cb8db2152311e21%7C0%7C0%7C639181599726820671%7CUnknown%7CTWFpbGZsb3d8eyJFbXB0eU1hcGkiOnRydWUsIlYiOiIwLjAuMDAwMCIsIlAiOiJXaW4zMiIsIkFOIjoiTWFpbCIsIldUIjoyfQ%3D%3D%7C0%7C%7C%7C&amp;sdata=tc4S%2BTSyShZaPKLcBbw3I30iYiG6wJ5sty46SkIKDlI%3D&amp;reserved=0" TargetMode="External"/><Relationship Id="rId15" Type="http://schemas.openxmlformats.org/officeDocument/2006/relationships/hyperlink" Target="https://eur01.safelinks.protection.outlook.com/?url=https%3A%2F%2Fwww.nice.org.uk%2Fguidance%2Fng97&amp;data=05%7C02%7C2320978%40student.uwtsd.ac.uk%7C97e6aaa0062549a0a14808ded4474377%7C4e0f11f9046e45059cb8db2152311e21%7C0%7C0%7C639181599727000327%7CUnknown%7CTWFpbGZsb3d8eyJFbXB0eU1hcGkiOnRydWUsIlYiOiIwLjAuMDAwMCIsIlAiOiJXaW4zMiIsIkFOIjoiTWFpbCIsIldUIjoyfQ%3D%3D%7C0%7C%7C%7C&amp;sdata=wyWiUyuQ5L2sDB2Tp4AyfBwfiorNTeQjmoJUs2BDp38%3D&amp;reserved=0" TargetMode="External"/><Relationship Id="rId23" Type="http://schemas.openxmlformats.org/officeDocument/2006/relationships/hyperlink" Target="https://eur01.safelinks.protection.outlook.com/?url=https%3A%2F%2Fwww.who.int%2Fpublications%2Fi%2Fitem%2F9789240017900&amp;data=05%7C02%7C2320978%40student.uwtsd.ac.uk%7C97e6aaa0062549a0a14808ded4474377%7C4e0f11f9046e45059cb8db2152311e21%7C0%7C0%7C639181599727132938%7CUnknown%7CTWFpbGZsb3d8eyJFbXB0eU1hcGkiOnRydWUsIlYiOiIwLjAuMDAwMCIsIlAiOiJXaW4zMiIsIkFOIjoiTWFpbCIsIldUIjoyfQ%3D%3D%7C0%7C%7C%7C&amp;sdata=geqahD4TUYBa%2F0pcQN9MZUf5jP%2FlXRd5A4KFYW0oUlk%3D&amp;reserved=0" TargetMode="External"/><Relationship Id="rId10" Type="http://schemas.openxmlformats.org/officeDocument/2006/relationships/hyperlink" Target="https://eur01.safelinks.protection.outlook.com/?url=https%3A%2F%2Fdoi.org%2F10.1016%2FS1474-4422%252808%252970063-2&amp;data=05%7C02%7C2320978%40student.uwtsd.ac.uk%7C97e6aaa0062549a0a14808ded4474377%7C4e0f11f9046e45059cb8db2152311e21%7C0%7C0%7C639181599726920811%7CUnknown%7CTWFpbGZsb3d8eyJFbXB0eU1hcGkiOnRydWUsIlYiOiIwLjAuMDAwMCIsIlAiOiJXaW4zMiIsIkFOIjoiTWFpbCIsIldUIjoyfQ%3D%3D%7C0%7C%7C%7C&amp;sdata=xG%2F2U7WDrrkH3fJWc33SRSzr1eOTs9OOheSI2TuCmMQ%3D&amp;reserved=0" TargetMode="External"/><Relationship Id="rId19" Type="http://schemas.openxmlformats.org/officeDocument/2006/relationships/hyperlink" Target="https://eur01.safelinks.protection.outlook.com/?url=https%3A%2F%2Fwww.scie.org.uk%2Fperson-centred-care%2F&amp;data=05%7C02%7C2320978%40student.uwtsd.ac.uk%7C97e6aaa0062549a0a14808ded4474377%7C4e0f11f9046e45059cb8db2152311e21%7C0%7C0%7C639181599727064169%7CUnknown%7CTWFpbGZsb3d8eyJFbXB0eU1hcGkiOnRydWUsIlYiOiIwLjAuMDAwMCIsIlAiOiJXaW4zMiIsIkFOIjoiTWFpbCIsIldUIjoyfQ%3D%3D%7C0%7C%7C%7C&amp;sdata=cFKPnv1TS9BXKinxhRxVbSpDPjualx1EPAYB9Pr3ik8%3D&amp;reserved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www.legislation.gov.uk%2Fukpga%2F2014%2F23%2Fcontents&amp;data=05%7C02%7C2320978%40student.uwtsd.ac.uk%7C97e6aaa0062549a0a14808ded4474377%7C4e0f11f9046e45059cb8db2152311e21%7C0%7C0%7C639181599726903466%7CUnknown%7CTWFpbGZsb3d8eyJFbXB0eU1hcGkiOnRydWUsIlYiOiIwLjAuMDAwMCIsIlAiOiJXaW4zMiIsIkFOIjoiTWFpbCIsIldUIjoyfQ%3D%3D%7C0%7C%7C%7C&amp;sdata=2JDy7wWYS%2F2Jgb0zwUhSkU0Qy8sR8ePZSHYcsmFHxWE%3D&amp;reserved=0" TargetMode="External"/><Relationship Id="rId14" Type="http://schemas.openxmlformats.org/officeDocument/2006/relationships/hyperlink" Target="https://eur01.safelinks.protection.outlook.com/?url=https%3A%2F%2Fwww.nice.org.uk%2Fguidance%2Fng21&amp;data=05%7C02%7C2320978%40student.uwtsd.ac.uk%7C97e6aaa0062549a0a14808ded4474377%7C4e0f11f9046e45059cb8db2152311e21%7C0%7C0%7C639181599726985051%7CUnknown%7CTWFpbGZsb3d8eyJFbXB0eU1hcGkiOnRydWUsIlYiOiIwLjAuMDAwMCIsIlAiOiJXaW4zMiIsIkFOIjoiTWFpbCIsIldUIjoyfQ%3D%3D%7C0%7C%7C%7C&amp;sdata=zI%2FikOVetdYqXCeWRoaFRSrHGgykU8b3Nn4L4BvYFvI%3D&amp;reserved=0" TargetMode="External"/><Relationship Id="rId22" Type="http://schemas.openxmlformats.org/officeDocument/2006/relationships/hyperlink" Target="https://eur01.safelinks.protection.outlook.com/?url=https%3A%2F%2Fdoi.org%2F10.1093%2Fgeront%2Fgnr098&amp;data=05%7C02%7C2320978%40student.uwtsd.ac.uk%7C97e6aaa0062549a0a14808ded4474377%7C4e0f11f9046e45059cb8db2152311e21%7C0%7C0%7C639181599727115382%7CUnknown%7CTWFpbGZsb3d8eyJFbXB0eU1hcGkiOnRydWUsIlYiOiIwLjAuMDAwMCIsIlAiOiJXaW4zMiIsIkFOIjoiTWFpbCIsIldUIjoyfQ%3D%3D%7C0%7C%7C%7C&amp;sdata=6Qpemd1Cezr2FJGR4vDl%2Fk5xrJQLvGmn1j4tmxCP03Y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2327</Words>
  <Characters>13270</Characters>
  <Application>Microsoft Office Word</Application>
  <DocSecurity>0</DocSecurity>
  <Lines>110</Lines>
  <Paragraphs>31</Paragraphs>
  <ScaleCrop>false</ScaleCrop>
  <Company/>
  <LinksUpToDate>false</LinksUpToDate>
  <CharactersWithSpaces>15566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Anika Hussain</dc:creator>
  <cp:keywords/>
  <dc:description/>
  <cp:lastModifiedBy>carlington swaby</cp:lastModifiedBy>
  <cp:revision>2</cp:revision>
  <dcterms:created xsi:type="dcterms:W3CDTF">2026-07-05T12:50:00Z</dcterms:created>
  <dcterms:modified xsi:type="dcterms:W3CDTF">2026-07-05T12:50:00Z</dcterms:modified>
</cp:coreProperties>
</file>