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03714" w:rsidRDefault="000E2E7E">
      <w:r>
        <w:rPr>
          <w:noProof/>
          <w:lang w:eastAsia="en-GB"/>
        </w:rPr>
        <w:drawing>
          <wp:inline distT="0" distB="0" distL="0" distR="0">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523794" cy="1402201"/>
                    </a:xfrm>
                    <a:prstGeom prst="rect">
                      <a:avLst/>
                    </a:prstGeom>
                  </pic:spPr>
                </pic:pic>
              </a:graphicData>
            </a:graphic>
          </wp:inline>
        </w:drawing>
      </w:r>
    </w:p>
    <w:p w:rsidR="000E2E7E" w:rsidRDefault="000E2E7E"/>
    <w:p w:rsidR="000E2E7E" w:rsidRDefault="000E2E7E">
      <w:pPr>
        <w:rPr>
          <w:sz w:val="52"/>
          <w:szCs w:val="52"/>
        </w:rPr>
      </w:pPr>
    </w:p>
    <w:p w:rsidR="000E2E7E" w:rsidRPr="000E2E7E" w:rsidRDefault="000E2E7E">
      <w:pPr>
        <w:rPr>
          <w:b/>
          <w:bCs/>
          <w:sz w:val="52"/>
          <w:szCs w:val="52"/>
        </w:rPr>
      </w:pPr>
      <w:r w:rsidRPr="000E2E7E">
        <w:rPr>
          <w:b/>
          <w:bCs/>
          <w:sz w:val="52"/>
          <w:szCs w:val="52"/>
        </w:rPr>
        <w:t>Module Code:</w:t>
      </w:r>
      <w:r w:rsidRPr="000E2E7E">
        <w:rPr>
          <w:b/>
          <w:bCs/>
          <w:sz w:val="48"/>
          <w:szCs w:val="48"/>
        </w:rPr>
        <w:t>ECAD6017</w:t>
      </w:r>
    </w:p>
    <w:p w:rsidR="000E2E7E" w:rsidRPr="000E2E7E" w:rsidRDefault="000E2E7E">
      <w:pPr>
        <w:rPr>
          <w:b/>
          <w:bCs/>
          <w:sz w:val="52"/>
          <w:szCs w:val="52"/>
        </w:rPr>
      </w:pPr>
    </w:p>
    <w:p w:rsidR="000E2E7E" w:rsidRDefault="000E2E7E">
      <w:pPr>
        <w:rPr>
          <w:b/>
          <w:bCs/>
          <w:sz w:val="52"/>
          <w:szCs w:val="52"/>
        </w:rPr>
      </w:pPr>
      <w:r w:rsidRPr="000E2E7E">
        <w:rPr>
          <w:b/>
          <w:bCs/>
          <w:sz w:val="52"/>
          <w:szCs w:val="52"/>
        </w:rPr>
        <w:t>Assignment Title:</w:t>
      </w:r>
    </w:p>
    <w:p w:rsidR="000E2E7E" w:rsidRPr="000E2E7E" w:rsidRDefault="000E2E7E">
      <w:pPr>
        <w:rPr>
          <w:b/>
          <w:bCs/>
          <w:sz w:val="52"/>
          <w:szCs w:val="52"/>
        </w:rPr>
      </w:pPr>
      <w:r w:rsidRPr="000E2E7E">
        <w:rPr>
          <w:b/>
          <w:bCs/>
          <w:sz w:val="44"/>
          <w:szCs w:val="44"/>
        </w:rPr>
        <w:t>Research Project: Case Study based on Electives Experience</w:t>
      </w:r>
    </w:p>
    <w:p w:rsidR="000E2E7E" w:rsidRPr="000E2E7E" w:rsidRDefault="000E2E7E">
      <w:pPr>
        <w:rPr>
          <w:b/>
          <w:bCs/>
          <w:sz w:val="52"/>
          <w:szCs w:val="52"/>
        </w:rPr>
      </w:pPr>
    </w:p>
    <w:p w:rsidR="000E2E7E" w:rsidRPr="000E2E7E" w:rsidRDefault="000E2E7E">
      <w:pPr>
        <w:rPr>
          <w:b/>
          <w:bCs/>
          <w:sz w:val="52"/>
          <w:szCs w:val="52"/>
        </w:rPr>
      </w:pPr>
      <w:r w:rsidRPr="000E2E7E">
        <w:rPr>
          <w:b/>
          <w:bCs/>
          <w:sz w:val="52"/>
          <w:szCs w:val="52"/>
        </w:rPr>
        <w:t>Student Name:</w:t>
      </w:r>
      <w:r w:rsidR="00B121F2">
        <w:rPr>
          <w:b/>
          <w:bCs/>
          <w:sz w:val="52"/>
          <w:szCs w:val="52"/>
        </w:rPr>
        <w:t xml:space="preserve"> Megan Hoskins</w:t>
      </w:r>
    </w:p>
    <w:p w:rsidR="000E2E7E" w:rsidRPr="000E2E7E" w:rsidRDefault="000E2E7E">
      <w:pPr>
        <w:rPr>
          <w:b/>
          <w:bCs/>
          <w:sz w:val="52"/>
          <w:szCs w:val="52"/>
        </w:rPr>
      </w:pPr>
    </w:p>
    <w:p w:rsidR="000E2E7E" w:rsidRPr="000E2E7E" w:rsidRDefault="000E2E7E">
      <w:pPr>
        <w:rPr>
          <w:b/>
          <w:bCs/>
          <w:sz w:val="52"/>
          <w:szCs w:val="52"/>
        </w:rPr>
      </w:pPr>
      <w:r w:rsidRPr="000E2E7E">
        <w:rPr>
          <w:b/>
          <w:bCs/>
          <w:sz w:val="52"/>
          <w:szCs w:val="52"/>
        </w:rPr>
        <w:t>Student Number:</w:t>
      </w:r>
      <w:r w:rsidR="00B121F2">
        <w:rPr>
          <w:b/>
          <w:bCs/>
          <w:sz w:val="52"/>
          <w:szCs w:val="52"/>
        </w:rPr>
        <w:t xml:space="preserve"> 2200608</w:t>
      </w:r>
    </w:p>
    <w:p w:rsidR="000E2E7E" w:rsidRPr="000E2E7E" w:rsidRDefault="000E2E7E">
      <w:pPr>
        <w:rPr>
          <w:b/>
          <w:bCs/>
          <w:sz w:val="52"/>
          <w:szCs w:val="52"/>
        </w:rPr>
      </w:pPr>
    </w:p>
    <w:p w:rsidR="000E2E7E" w:rsidRPr="000E2E7E" w:rsidRDefault="000E2E7E">
      <w:pPr>
        <w:rPr>
          <w:b/>
          <w:bCs/>
          <w:sz w:val="52"/>
          <w:szCs w:val="52"/>
        </w:rPr>
      </w:pPr>
    </w:p>
    <w:p w:rsidR="000E2E7E" w:rsidRDefault="000E2E7E">
      <w:pPr>
        <w:rPr>
          <w:b/>
          <w:bCs/>
          <w:sz w:val="52"/>
          <w:szCs w:val="52"/>
        </w:rPr>
      </w:pPr>
      <w:r w:rsidRPr="000E2E7E">
        <w:rPr>
          <w:b/>
          <w:bCs/>
          <w:sz w:val="52"/>
          <w:szCs w:val="52"/>
        </w:rPr>
        <w:t>BA Primary Education (QTS)</w:t>
      </w:r>
    </w:p>
    <w:p w:rsidR="000E2E7E" w:rsidRPr="000E2E7E" w:rsidRDefault="000E2E7E">
      <w:pPr>
        <w:rPr>
          <w:b/>
          <w:bCs/>
          <w:sz w:val="52"/>
          <w:szCs w:val="52"/>
        </w:rPr>
      </w:pPr>
    </w:p>
    <w:p w:rsidR="000E2E7E" w:rsidRPr="00E243A8" w:rsidRDefault="000E2E7E" w:rsidP="000E2E7E">
      <w:pPr>
        <w:rPr>
          <w:b/>
          <w:bCs/>
          <w:sz w:val="32"/>
          <w:szCs w:val="32"/>
          <w:u w:val="single"/>
        </w:rPr>
      </w:pPr>
      <w:r w:rsidRPr="00E243A8">
        <w:rPr>
          <w:b/>
          <w:bCs/>
          <w:sz w:val="32"/>
          <w:szCs w:val="32"/>
          <w:u w:val="single"/>
        </w:rPr>
        <w:t>AI Acknowledgement</w:t>
      </w:r>
    </w:p>
    <w:p w:rsidR="000E2E7E" w:rsidRDefault="000E2E7E" w:rsidP="000E2E7E"/>
    <w:p w:rsidR="000E2E7E" w:rsidRPr="00DD5969" w:rsidRDefault="000E2E7E" w:rsidP="007B4B33">
      <w:pPr>
        <w:spacing w:before="240"/>
      </w:pPr>
      <w:r w:rsidRPr="00DD5969">
        <w:t xml:space="preserve">I </w:t>
      </w:r>
      <w:r w:rsidR="007B4B33">
        <w:t>acknowledge the use of ChatGPT (</w:t>
      </w:r>
      <w:hyperlink r:id="rId7" w:history="1">
        <w:r w:rsidR="007B4B33" w:rsidRPr="001219F1">
          <w:rPr>
            <w:rStyle w:val="Hyperlink"/>
          </w:rPr>
          <w:t>https://openai.com/index/chatgpt/</w:t>
        </w:r>
      </w:hyperlink>
      <w:r w:rsidR="007B4B33">
        <w:t>) on 18/12/24 to find education theorists for my literature review</w:t>
      </w:r>
      <w:r w:rsidRPr="00DD5969">
        <w:t xml:space="preserve">. I used the prompt(s): </w:t>
      </w:r>
    </w:p>
    <w:p w:rsidR="000E2E7E" w:rsidRPr="00DD5969" w:rsidRDefault="007B4B33" w:rsidP="000E2E7E">
      <w:r>
        <w:t>1. Give the names of educational theorists and an explanation of their theory.</w:t>
      </w:r>
    </w:p>
    <w:p w:rsidR="000E2E7E" w:rsidRPr="007B4B33" w:rsidRDefault="000E2E7E" w:rsidP="000E2E7E">
      <w:r w:rsidRPr="00DD5969">
        <w:t xml:space="preserve">I confirm that I have not presented any AI generated text as my own work. </w:t>
      </w:r>
    </w:p>
    <w:p w:rsidR="000E2E7E" w:rsidRDefault="000E2E7E" w:rsidP="000E2E7E">
      <w:pPr>
        <w:rPr>
          <w:sz w:val="16"/>
          <w:szCs w:val="16"/>
        </w:rPr>
      </w:pPr>
    </w:p>
    <w:tbl>
      <w:tblPr>
        <w:tblStyle w:val="TableGrid"/>
        <w:tblW w:w="9282" w:type="dxa"/>
        <w:tblLook w:val="04A0"/>
      </w:tblPr>
      <w:tblGrid>
        <w:gridCol w:w="4013"/>
        <w:gridCol w:w="3098"/>
        <w:gridCol w:w="2171"/>
      </w:tblGrid>
      <w:tr w:rsidR="000E2E7E" w:rsidRPr="001B4AB4" w:rsidTr="00853373">
        <w:trPr>
          <w:trHeight w:val="360"/>
        </w:trPr>
        <w:tc>
          <w:tcPr>
            <w:tcW w:w="4013" w:type="dxa"/>
          </w:tcPr>
          <w:p w:rsidR="000E2E7E" w:rsidRPr="00121BB2" w:rsidRDefault="000E2E7E" w:rsidP="00877FC3">
            <w:pPr>
              <w:rPr>
                <w:b/>
                <w:bCs/>
                <w:color w:val="FFFFFF"/>
                <w:sz w:val="28"/>
                <w:szCs w:val="28"/>
                <w:lang w:val="cy-GB"/>
              </w:rPr>
            </w:pPr>
            <w:r w:rsidRPr="00121BB2">
              <w:rPr>
                <w:b/>
                <w:bCs/>
                <w:sz w:val="28"/>
                <w:szCs w:val="28"/>
                <w:lang w:val="cy-GB"/>
              </w:rPr>
              <w:t>Targetsfrompreviousmodule</w:t>
            </w:r>
          </w:p>
        </w:tc>
        <w:tc>
          <w:tcPr>
            <w:tcW w:w="3098" w:type="dxa"/>
          </w:tcPr>
          <w:p w:rsidR="000E2E7E" w:rsidRPr="00121BB2" w:rsidRDefault="000E2E7E" w:rsidP="00877FC3">
            <w:pPr>
              <w:rPr>
                <w:b/>
                <w:bCs/>
                <w:color w:val="FFFFFF"/>
                <w:sz w:val="28"/>
                <w:szCs w:val="28"/>
                <w:lang w:val="cy-GB"/>
              </w:rPr>
            </w:pPr>
            <w:r w:rsidRPr="00121BB2">
              <w:rPr>
                <w:b/>
                <w:bCs/>
                <w:sz w:val="28"/>
                <w:szCs w:val="28"/>
                <w:lang w:val="cy-GB"/>
              </w:rPr>
              <w:t>How I haveworkedonthese?</w:t>
            </w:r>
          </w:p>
        </w:tc>
        <w:tc>
          <w:tcPr>
            <w:tcW w:w="2171" w:type="dxa"/>
          </w:tcPr>
          <w:p w:rsidR="000E2E7E" w:rsidRPr="00121BB2" w:rsidRDefault="000E2E7E" w:rsidP="00877FC3">
            <w:pPr>
              <w:rPr>
                <w:rFonts w:ascii="Calibri" w:hAnsi="Calibri" w:cs="Calibri"/>
                <w:b/>
                <w:bCs/>
                <w:sz w:val="28"/>
                <w:szCs w:val="28"/>
                <w:lang w:val="cy-GB"/>
              </w:rPr>
            </w:pPr>
            <w:r w:rsidRPr="00121BB2">
              <w:rPr>
                <w:rFonts w:ascii="Calibri" w:hAnsi="Calibri" w:cs="Calibri"/>
                <w:b/>
                <w:bCs/>
                <w:sz w:val="28"/>
                <w:szCs w:val="28"/>
                <w:lang w:val="cy-GB"/>
              </w:rPr>
              <w:t>Anexample can be seenon…</w:t>
            </w:r>
          </w:p>
          <w:p w:rsidR="000E2E7E" w:rsidRPr="00121BB2" w:rsidRDefault="000E2E7E" w:rsidP="00877FC3">
            <w:pPr>
              <w:rPr>
                <w:b/>
                <w:bCs/>
                <w:color w:val="FFFFFF"/>
                <w:sz w:val="28"/>
                <w:szCs w:val="28"/>
                <w:lang w:val="cy-GB"/>
              </w:rPr>
            </w:pPr>
          </w:p>
        </w:tc>
      </w:tr>
      <w:tr w:rsidR="000E2E7E" w:rsidRPr="001B4AB4" w:rsidTr="00853373">
        <w:trPr>
          <w:trHeight w:val="338"/>
        </w:trPr>
        <w:tc>
          <w:tcPr>
            <w:tcW w:w="4013" w:type="dxa"/>
          </w:tcPr>
          <w:p w:rsidR="000E2E7E" w:rsidRPr="00853373" w:rsidRDefault="00853373" w:rsidP="00877FC3">
            <w:pPr>
              <w:rPr>
                <w:rFonts w:ascii="Arial" w:hAnsi="Arial" w:cs="Arial"/>
                <w:lang w:val="cy-GB"/>
              </w:rPr>
            </w:pPr>
            <w:r w:rsidRPr="00853373">
              <w:rPr>
                <w:rFonts w:ascii="Arial" w:hAnsi="Arial" w:cs="Arial"/>
                <w:shd w:val="clear" w:color="auto" w:fill="FFFFFF"/>
              </w:rPr>
              <w:t> Careful proofreading is needed to eliminate spelling/punctuation errors. Also, please use the Harvard Referencing Handbook to enhance your referencing skills</w:t>
            </w:r>
          </w:p>
          <w:p w:rsidR="000E2E7E" w:rsidRPr="001B4AB4" w:rsidRDefault="000E2E7E" w:rsidP="00877FC3">
            <w:pPr>
              <w:rPr>
                <w:lang w:val="cy-GB"/>
              </w:rPr>
            </w:pPr>
          </w:p>
        </w:tc>
        <w:tc>
          <w:tcPr>
            <w:tcW w:w="3098" w:type="dxa"/>
          </w:tcPr>
          <w:p w:rsidR="000E2E7E" w:rsidRDefault="007B4B33" w:rsidP="00877FC3">
            <w:pPr>
              <w:rPr>
                <w:lang w:val="cy-GB"/>
              </w:rPr>
            </w:pPr>
            <w:r>
              <w:rPr>
                <w:lang w:val="cy-GB"/>
              </w:rPr>
              <w:t>Within my writing I have tried to be more careful with my referencing, ensuring I constantly refer back to the referencing guide.</w:t>
            </w:r>
          </w:p>
          <w:p w:rsidR="007B4B33" w:rsidRPr="001B4AB4" w:rsidRDefault="007B4B33" w:rsidP="00877FC3">
            <w:pPr>
              <w:rPr>
                <w:lang w:val="cy-GB"/>
              </w:rPr>
            </w:pPr>
            <w:r>
              <w:rPr>
                <w:lang w:val="cy-GB"/>
              </w:rPr>
              <w:t xml:space="preserve">I have also tried to improve my quality of writing throughout. </w:t>
            </w:r>
          </w:p>
        </w:tc>
        <w:tc>
          <w:tcPr>
            <w:tcW w:w="2171" w:type="dxa"/>
          </w:tcPr>
          <w:p w:rsidR="000E2E7E" w:rsidRPr="001B4AB4" w:rsidRDefault="007B4B33" w:rsidP="00877FC3">
            <w:pPr>
              <w:rPr>
                <w:lang w:val="cy-GB"/>
              </w:rPr>
            </w:pPr>
            <w:r>
              <w:rPr>
                <w:lang w:val="cy-GB"/>
              </w:rPr>
              <w:t>Throughout this writing.</w:t>
            </w:r>
          </w:p>
        </w:tc>
      </w:tr>
      <w:tr w:rsidR="000E2E7E" w:rsidRPr="001B4AB4" w:rsidTr="00853373">
        <w:trPr>
          <w:trHeight w:val="338"/>
        </w:trPr>
        <w:tc>
          <w:tcPr>
            <w:tcW w:w="4013" w:type="dxa"/>
          </w:tcPr>
          <w:p w:rsidR="000E2E7E" w:rsidRPr="00853373" w:rsidRDefault="00853373" w:rsidP="00877FC3">
            <w:pPr>
              <w:rPr>
                <w:rFonts w:ascii="Arial" w:hAnsi="Arial" w:cs="Arial"/>
                <w:lang w:val="cy-GB"/>
              </w:rPr>
            </w:pPr>
            <w:r w:rsidRPr="00853373">
              <w:rPr>
                <w:rFonts w:ascii="Arial" w:hAnsi="Arial" w:cs="Arial"/>
                <w:shd w:val="clear" w:color="auto" w:fill="FFFFFF"/>
              </w:rPr>
              <w:t>Moving forward, continue to read widely on your chosen strategies and include different perspectives of recent studies. Consider expanding further what are the potential ways to address the challenges and barriers when implementing those methods, suggested by policy, good practice and research?</w:t>
            </w:r>
          </w:p>
          <w:p w:rsidR="000E2E7E" w:rsidRPr="001B4AB4" w:rsidRDefault="000E2E7E" w:rsidP="00877FC3">
            <w:pPr>
              <w:rPr>
                <w:lang w:val="cy-GB"/>
              </w:rPr>
            </w:pPr>
          </w:p>
        </w:tc>
        <w:tc>
          <w:tcPr>
            <w:tcW w:w="3098" w:type="dxa"/>
          </w:tcPr>
          <w:p w:rsidR="000E2E7E" w:rsidRPr="001B4AB4" w:rsidRDefault="007B4B33" w:rsidP="00877FC3">
            <w:pPr>
              <w:rPr>
                <w:lang w:val="cy-GB"/>
              </w:rPr>
            </w:pPr>
            <w:r>
              <w:rPr>
                <w:lang w:val="cy-GB"/>
              </w:rPr>
              <w:t xml:space="preserve">To improve this target I have tried to be more critical throughout my writing, ensuring I include both the strenghts and weaknesses of strategies. </w:t>
            </w:r>
          </w:p>
        </w:tc>
        <w:tc>
          <w:tcPr>
            <w:tcW w:w="2171" w:type="dxa"/>
          </w:tcPr>
          <w:p w:rsidR="000E2E7E" w:rsidRPr="001B4AB4" w:rsidRDefault="007B4B33" w:rsidP="00877FC3">
            <w:pPr>
              <w:rPr>
                <w:lang w:val="cy-GB"/>
              </w:rPr>
            </w:pPr>
            <w:r>
              <w:rPr>
                <w:lang w:val="cy-GB"/>
              </w:rPr>
              <w:t>Within the literature review and research methods</w:t>
            </w:r>
          </w:p>
        </w:tc>
      </w:tr>
    </w:tbl>
    <w:p w:rsidR="000E2E7E" w:rsidRPr="000E2E7E" w:rsidRDefault="000E2E7E" w:rsidP="000E2E7E">
      <w:pPr>
        <w:rPr>
          <w:sz w:val="16"/>
          <w:szCs w:val="16"/>
          <w:lang w:val="cy-GB"/>
        </w:rPr>
      </w:pPr>
    </w:p>
    <w:p w:rsidR="000E2E7E" w:rsidRDefault="000E2E7E" w:rsidP="000E2E7E">
      <w:pPr>
        <w:rPr>
          <w:sz w:val="16"/>
          <w:szCs w:val="16"/>
        </w:rPr>
      </w:pPr>
    </w:p>
    <w:p w:rsidR="000E2E7E" w:rsidRDefault="000E2E7E" w:rsidP="000E2E7E">
      <w:pPr>
        <w:rPr>
          <w:sz w:val="16"/>
          <w:szCs w:val="16"/>
        </w:rPr>
      </w:pPr>
    </w:p>
    <w:p w:rsidR="000E2E7E" w:rsidRPr="000E2E7E" w:rsidRDefault="000E2E7E" w:rsidP="000E2E7E">
      <w:pPr>
        <w:rPr>
          <w:sz w:val="36"/>
          <w:szCs w:val="36"/>
        </w:rPr>
      </w:pPr>
      <w:r w:rsidRPr="000E2E7E">
        <w:rPr>
          <w:sz w:val="36"/>
          <w:szCs w:val="36"/>
        </w:rPr>
        <w:t>Research Question</w:t>
      </w:r>
    </w:p>
    <w:p w:rsidR="000E2E7E" w:rsidRPr="000E2E7E" w:rsidRDefault="000E2E7E" w:rsidP="000E2E7E">
      <w:pPr>
        <w:rPr>
          <w:sz w:val="36"/>
          <w:szCs w:val="36"/>
        </w:rPr>
      </w:pPr>
    </w:p>
    <w:p w:rsidR="000E2E7E" w:rsidRDefault="000E2E7E" w:rsidP="000E2E7E">
      <w:pPr>
        <w:rPr>
          <w:sz w:val="28"/>
          <w:szCs w:val="28"/>
        </w:rPr>
      </w:pPr>
      <w:r w:rsidRPr="000E2E7E">
        <w:rPr>
          <w:sz w:val="28"/>
          <w:szCs w:val="28"/>
        </w:rPr>
        <w:t>Introductio</w:t>
      </w:r>
      <w:r>
        <w:rPr>
          <w:sz w:val="28"/>
          <w:szCs w:val="28"/>
        </w:rPr>
        <w:t>n</w:t>
      </w:r>
    </w:p>
    <w:p w:rsidR="000E2E7E" w:rsidRPr="0089492D" w:rsidRDefault="001F5FD6" w:rsidP="000E2E7E">
      <w:pPr>
        <w:rPr>
          <w:rFonts w:ascii="Arial" w:hAnsi="Arial" w:cs="Arial"/>
        </w:rPr>
      </w:pPr>
      <w:r w:rsidRPr="0089492D">
        <w:rPr>
          <w:rFonts w:ascii="Arial" w:hAnsi="Arial" w:cs="Arial"/>
        </w:rPr>
        <w:t>The resear</w:t>
      </w:r>
      <w:r w:rsidR="00F26973" w:rsidRPr="0089492D">
        <w:rPr>
          <w:rFonts w:ascii="Arial" w:hAnsi="Arial" w:cs="Arial"/>
        </w:rPr>
        <w:t>ch question that this writing focuses on is</w:t>
      </w:r>
      <w:r w:rsidRPr="0089492D">
        <w:rPr>
          <w:rFonts w:ascii="Arial" w:hAnsi="Arial" w:cs="Arial"/>
        </w:rPr>
        <w:t>: In what ways do</w:t>
      </w:r>
      <w:r w:rsidR="0023146B">
        <w:rPr>
          <w:rFonts w:ascii="Arial" w:hAnsi="Arial" w:cs="Arial"/>
        </w:rPr>
        <w:t>es parental engagement impact</w:t>
      </w:r>
      <w:r w:rsidRPr="0089492D">
        <w:rPr>
          <w:rFonts w:ascii="Arial" w:hAnsi="Arial" w:cs="Arial"/>
        </w:rPr>
        <w:t xml:space="preserve"> the holistic development of KS2 children? </w:t>
      </w:r>
      <w:r w:rsidR="001B2740" w:rsidRPr="0089492D">
        <w:rPr>
          <w:rFonts w:ascii="Arial" w:hAnsi="Arial" w:cs="Arial"/>
        </w:rPr>
        <w:t xml:space="preserve">The Welsh Government (2023) highlights the distinction between the terms ‘parental involvement’ and ‘parental engagement’. Although they are similar terms, they outline </w:t>
      </w:r>
      <w:r w:rsidR="001B2740" w:rsidRPr="0089492D">
        <w:rPr>
          <w:rFonts w:ascii="Arial" w:hAnsi="Arial" w:cs="Arial"/>
        </w:rPr>
        <w:lastRenderedPageBreak/>
        <w:t xml:space="preserve">the differences the two phrases hold. They explain that ‘parental involvement’ emphasises the help of parents towards the school and attending the school building, whereas ‘parental engagement’ is when parental figures help to support a child’s learning and encourages the use of learning within the home environment.                                                                                           After comparing the two, it was decided that the importance of ‘parental engagement’ would be the focus of this writing and how it’s involvement in a child’s life </w:t>
      </w:r>
      <w:r w:rsidR="00226EDB" w:rsidRPr="0089492D">
        <w:rPr>
          <w:rFonts w:ascii="Arial" w:hAnsi="Arial" w:cs="Arial"/>
        </w:rPr>
        <w:t xml:space="preserve">can </w:t>
      </w:r>
      <w:r w:rsidR="003D7AF7" w:rsidRPr="0089492D">
        <w:rPr>
          <w:rFonts w:ascii="Arial" w:hAnsi="Arial" w:cs="Arial"/>
        </w:rPr>
        <w:t>a</w:t>
      </w:r>
      <w:r w:rsidR="00226EDB" w:rsidRPr="0089492D">
        <w:rPr>
          <w:rFonts w:ascii="Arial" w:hAnsi="Arial" w:cs="Arial"/>
        </w:rPr>
        <w:t>ffect their overall holistic development.</w:t>
      </w:r>
      <w:r w:rsidR="005F1D64">
        <w:rPr>
          <w:rFonts w:ascii="Arial" w:hAnsi="Arial" w:cs="Arial"/>
        </w:rPr>
        <w:t xml:space="preserve"> The Cambridge Dictionary (2025) defines the term holistic as treating someone or a thing as a whole and not just in part. Within education this means focusing on pupil’s social and emotional, cognitive and physical development.      </w:t>
      </w:r>
      <w:r w:rsidR="0089492D" w:rsidRPr="0089492D">
        <w:rPr>
          <w:rFonts w:ascii="Arial" w:hAnsi="Arial" w:cs="Arial"/>
        </w:rPr>
        <w:t xml:space="preserve">                                                                                                       The research took place in a school within South Wales in a</w:t>
      </w:r>
      <w:r w:rsidR="0023146B">
        <w:rPr>
          <w:rFonts w:ascii="Arial" w:hAnsi="Arial" w:cs="Arial"/>
        </w:rPr>
        <w:t>n</w:t>
      </w:r>
      <w:r w:rsidR="0089492D" w:rsidRPr="0089492D">
        <w:rPr>
          <w:rFonts w:ascii="Arial" w:hAnsi="Arial" w:cs="Arial"/>
        </w:rPr>
        <w:t xml:space="preserve"> </w:t>
      </w:r>
      <w:r w:rsidR="0023146B" w:rsidRPr="0089492D">
        <w:rPr>
          <w:rFonts w:ascii="Arial" w:hAnsi="Arial" w:cs="Arial"/>
        </w:rPr>
        <w:t>urban</w:t>
      </w:r>
      <w:r w:rsidR="0089492D" w:rsidRPr="0089492D">
        <w:rPr>
          <w:rFonts w:ascii="Arial" w:hAnsi="Arial" w:cs="Arial"/>
        </w:rPr>
        <w:t xml:space="preserve"> town. The research is conducted in the form of a case study, with the inclusion of research tools such as semi-structured interviews and a questionnaire. </w:t>
      </w:r>
      <w:r w:rsidR="003D7AF7" w:rsidRPr="0089492D">
        <w:rPr>
          <w:rFonts w:ascii="Arial" w:hAnsi="Arial" w:cs="Arial"/>
        </w:rPr>
        <w:t xml:space="preserve">                                                                                                          </w:t>
      </w:r>
    </w:p>
    <w:p w:rsidR="000E2E7E" w:rsidRPr="0089492D" w:rsidRDefault="000E2E7E" w:rsidP="000E2E7E">
      <w:pPr>
        <w:rPr>
          <w:rFonts w:ascii="Arial" w:hAnsi="Arial" w:cs="Arial"/>
        </w:rPr>
      </w:pPr>
    </w:p>
    <w:p w:rsidR="000E2E7E" w:rsidRPr="0089492D" w:rsidRDefault="000E2E7E" w:rsidP="000E2E7E">
      <w:pPr>
        <w:rPr>
          <w:rFonts w:ascii="Arial" w:hAnsi="Arial" w:cs="Arial"/>
        </w:rPr>
      </w:pPr>
      <w:r w:rsidRPr="0089492D">
        <w:rPr>
          <w:rFonts w:ascii="Arial" w:hAnsi="Arial" w:cs="Arial"/>
        </w:rPr>
        <w:t>Literature Review</w:t>
      </w:r>
    </w:p>
    <w:p w:rsidR="00306AE0" w:rsidRPr="0089492D" w:rsidRDefault="00306AE0" w:rsidP="000E2E7E">
      <w:pPr>
        <w:rPr>
          <w:rFonts w:ascii="Arial" w:hAnsi="Arial" w:cs="Arial"/>
        </w:rPr>
      </w:pPr>
      <w:r w:rsidRPr="0089492D">
        <w:rPr>
          <w:rFonts w:ascii="Arial" w:hAnsi="Arial" w:cs="Arial"/>
        </w:rPr>
        <w:t>When designing a curriculum t</w:t>
      </w:r>
      <w:r w:rsidR="0079522B" w:rsidRPr="0089492D">
        <w:rPr>
          <w:rFonts w:ascii="Arial" w:hAnsi="Arial" w:cs="Arial"/>
        </w:rPr>
        <w:t xml:space="preserve">o meet the needs of pupils within </w:t>
      </w:r>
      <w:r w:rsidRPr="0089492D">
        <w:rPr>
          <w:rFonts w:ascii="Arial" w:hAnsi="Arial" w:cs="Arial"/>
        </w:rPr>
        <w:t xml:space="preserve">a classroom, Curriculum for Wales (2023) highlights the importance of holistic development/ learning taking place. </w:t>
      </w:r>
      <w:r w:rsidR="0079522B" w:rsidRPr="0089492D">
        <w:rPr>
          <w:rFonts w:ascii="Arial" w:hAnsi="Arial" w:cs="Arial"/>
        </w:rPr>
        <w:t>The three main elements of holistic development that schools help to develop w</w:t>
      </w:r>
      <w:r w:rsidR="00CD7267" w:rsidRPr="0089492D">
        <w:rPr>
          <w:rFonts w:ascii="Arial" w:hAnsi="Arial" w:cs="Arial"/>
        </w:rPr>
        <w:t>ithin their pupils are: Social and emotional, physical</w:t>
      </w:r>
      <w:r w:rsidR="0079522B" w:rsidRPr="0089492D">
        <w:rPr>
          <w:rFonts w:ascii="Arial" w:hAnsi="Arial" w:cs="Arial"/>
        </w:rPr>
        <w:t xml:space="preserve"> and Cognitive. Taking a holistic approach to children’s learning allows a teacher to view a pupil as a whole, without focussing all attention to their academic attainment. This research strives to establish whether the inclusion of parents/ carers within the school environment can help to further develop these three elements within pupils. </w:t>
      </w:r>
    </w:p>
    <w:p w:rsidR="00085B29" w:rsidRPr="0089492D" w:rsidRDefault="00AB0792" w:rsidP="000E2E7E">
      <w:pPr>
        <w:rPr>
          <w:rFonts w:ascii="Arial" w:hAnsi="Arial" w:cs="Arial"/>
        </w:rPr>
      </w:pPr>
      <w:r w:rsidRPr="0089492D">
        <w:rPr>
          <w:rFonts w:ascii="Arial" w:hAnsi="Arial" w:cs="Arial"/>
        </w:rPr>
        <w:t>According to Emerson et al. (2012</w:t>
      </w:r>
      <w:r w:rsidR="001448B9" w:rsidRPr="0089492D">
        <w:rPr>
          <w:rFonts w:ascii="Arial" w:hAnsi="Arial" w:cs="Arial"/>
        </w:rPr>
        <w:t>, p.7</w:t>
      </w:r>
      <w:r w:rsidRPr="0089492D">
        <w:rPr>
          <w:rFonts w:ascii="Arial" w:hAnsi="Arial" w:cs="Arial"/>
        </w:rPr>
        <w:t>), parental engagement is a partnership between families, schools and communities. Following this, they continue to explain the role that parents play within their children’s overall development</w:t>
      </w:r>
      <w:r w:rsidR="001448B9" w:rsidRPr="0089492D">
        <w:rPr>
          <w:rFonts w:ascii="Arial" w:hAnsi="Arial" w:cs="Arial"/>
        </w:rPr>
        <w:t>,</w:t>
      </w:r>
      <w:r w:rsidRPr="0089492D">
        <w:rPr>
          <w:rFonts w:ascii="Arial" w:hAnsi="Arial" w:cs="Arial"/>
        </w:rPr>
        <w:t xml:space="preserve"> and how this roles importance in a child’s life increases the more a parent facilitates learning opportunities outside of the school environment. </w:t>
      </w:r>
      <w:r w:rsidR="00F57EB7" w:rsidRPr="0089492D">
        <w:rPr>
          <w:rFonts w:ascii="Arial" w:hAnsi="Arial" w:cs="Arial"/>
        </w:rPr>
        <w:t>Sharing a similar view to this is Lev Vygotski and his theory of Scaffolding. Rachel and Van Der Stuyf (2002, p.2) explain the works of Vygotski explaining that scaffolding includes the participation of a More Knowledgeable Other. A more knowledgeable other is someone who’s participation to facilitate</w:t>
      </w:r>
      <w:r w:rsidR="003C01CD" w:rsidRPr="0089492D">
        <w:rPr>
          <w:rFonts w:ascii="Arial" w:hAnsi="Arial" w:cs="Arial"/>
        </w:rPr>
        <w:t>,</w:t>
      </w:r>
      <w:r w:rsidR="00F57EB7" w:rsidRPr="0089492D">
        <w:rPr>
          <w:rFonts w:ascii="Arial" w:hAnsi="Arial" w:cs="Arial"/>
        </w:rPr>
        <w:t xml:space="preserve"> aids the develop</w:t>
      </w:r>
      <w:r w:rsidR="00F913AC" w:rsidRPr="0089492D">
        <w:rPr>
          <w:rFonts w:ascii="Arial" w:hAnsi="Arial" w:cs="Arial"/>
        </w:rPr>
        <w:t xml:space="preserve">ment of learners. In this circumstance the more knowledgeable other is the parent who is involved in the learning experiences of their children in an environment which is external to that of the school. </w:t>
      </w:r>
      <w:r w:rsidR="0024438C" w:rsidRPr="0089492D">
        <w:rPr>
          <w:rFonts w:ascii="Arial" w:hAnsi="Arial" w:cs="Arial"/>
        </w:rPr>
        <w:t>Vygotski’s work is highly relevant to this topic of research, highlighting the importance of children learning from those around them. Vygotski is a highly respected theorist within education theory, therefore suggesting that his work is credible and a useful research tool. Following this, sharing a similar view is another educa</w:t>
      </w:r>
      <w:r w:rsidR="00BF334E" w:rsidRPr="0089492D">
        <w:rPr>
          <w:rFonts w:ascii="Arial" w:hAnsi="Arial" w:cs="Arial"/>
        </w:rPr>
        <w:t xml:space="preserve">tion theorist: Bandura. The work of Bandura (cited in </w:t>
      </w:r>
      <w:r w:rsidR="00DC3926" w:rsidRPr="0089492D">
        <w:rPr>
          <w:rFonts w:ascii="Arial" w:hAnsi="Arial" w:cs="Arial"/>
        </w:rPr>
        <w:t xml:space="preserve">McLeod, 2024), is based on the premise that people learn new behaviours and ideas through observing those around them. In the context of this research, Bandura’s theory could be adapted to the idea that pupils </w:t>
      </w:r>
      <w:r w:rsidR="00DC3926" w:rsidRPr="0089492D">
        <w:rPr>
          <w:rFonts w:ascii="Arial" w:hAnsi="Arial" w:cs="Arial"/>
        </w:rPr>
        <w:lastRenderedPageBreak/>
        <w:t xml:space="preserve">will adapt their ideology about education based on the mindset of those who care for them. Therefore, if a parent holds a negative attitude towards education, the child will also mirror this mindset. </w:t>
      </w:r>
    </w:p>
    <w:p w:rsidR="003C01CD" w:rsidRPr="0089492D" w:rsidRDefault="00085B29" w:rsidP="000E2E7E">
      <w:pPr>
        <w:rPr>
          <w:rFonts w:ascii="Arial" w:hAnsi="Arial" w:cs="Arial"/>
        </w:rPr>
      </w:pPr>
      <w:r w:rsidRPr="0089492D">
        <w:rPr>
          <w:rFonts w:ascii="Arial" w:hAnsi="Arial" w:cs="Arial"/>
        </w:rPr>
        <w:t>The process of parental engagement within a child’s learning journey begins within the home environment where parents provide a safe space for exploration, appropriate learning experiences and a positive attitude towards school according to Durisic and Bunijevac (2017, p.140). Expanding on this they also highlight that children who receive large levels of parental engagement within their day to day lives have increased academic achievement scores. It is clear from this that parental engagement within the education of children has a positive impact on their cognitive development.</w:t>
      </w:r>
      <w:r w:rsidR="00FE3A81" w:rsidRPr="0089492D">
        <w:rPr>
          <w:rFonts w:ascii="Arial" w:hAnsi="Arial" w:cs="Arial"/>
        </w:rPr>
        <w:t xml:space="preserve"> It’s inclusion within a child’s life allows them to expand their cognitive knowledge independently with the reassurance</w:t>
      </w:r>
      <w:r w:rsidR="0023146B">
        <w:rPr>
          <w:rFonts w:ascii="Arial" w:hAnsi="Arial" w:cs="Arial"/>
        </w:rPr>
        <w:t xml:space="preserve"> that</w:t>
      </w:r>
      <w:r w:rsidR="00FE3A81" w:rsidRPr="0089492D">
        <w:rPr>
          <w:rFonts w:ascii="Arial" w:hAnsi="Arial" w:cs="Arial"/>
        </w:rPr>
        <w:t xml:space="preserve"> they are within the boundaries of a safe environment external to the school building.</w:t>
      </w:r>
      <w:r w:rsidRPr="0089492D">
        <w:rPr>
          <w:rFonts w:ascii="Arial" w:hAnsi="Arial" w:cs="Arial"/>
        </w:rPr>
        <w:t xml:space="preserve"> </w:t>
      </w:r>
      <w:r w:rsidR="00AF2BBD" w:rsidRPr="0089492D">
        <w:rPr>
          <w:rFonts w:ascii="Arial" w:hAnsi="Arial" w:cs="Arial"/>
        </w:rPr>
        <w:t xml:space="preserve">Agreeing with this is Wilders (2014, quoted in Jones and Palikara, 2023, p.2) who found a positive relationship between parental engagement and the academic achievement scores of students. </w:t>
      </w:r>
      <w:r w:rsidR="00F913AC" w:rsidRPr="0089492D">
        <w:rPr>
          <w:rFonts w:ascii="Arial" w:hAnsi="Arial" w:cs="Arial"/>
        </w:rPr>
        <w:t xml:space="preserve">      </w:t>
      </w:r>
    </w:p>
    <w:p w:rsidR="000E2E7E" w:rsidRPr="0089492D" w:rsidRDefault="003C01CD" w:rsidP="000E2E7E">
      <w:pPr>
        <w:rPr>
          <w:rFonts w:ascii="Arial" w:hAnsi="Arial" w:cs="Arial"/>
        </w:rPr>
      </w:pPr>
      <w:r w:rsidRPr="0089492D">
        <w:rPr>
          <w:rFonts w:ascii="Arial" w:hAnsi="Arial" w:cs="Arial"/>
        </w:rPr>
        <w:t xml:space="preserve">The increased use of family engagement within a school environment allows for parents to gain a deeper understanding of the learning taking place within their child’s life, as stated by ESTYN (2020). </w:t>
      </w:r>
      <w:r w:rsidR="004C2254" w:rsidRPr="0089492D">
        <w:rPr>
          <w:rFonts w:ascii="Arial" w:hAnsi="Arial" w:cs="Arial"/>
        </w:rPr>
        <w:t>Following on from this, they also commented on an increased confidence from both the pupils and parents who came alongs</w:t>
      </w:r>
      <w:r w:rsidR="007D0AEB" w:rsidRPr="0089492D">
        <w:rPr>
          <w:rFonts w:ascii="Arial" w:hAnsi="Arial" w:cs="Arial"/>
        </w:rPr>
        <w:t xml:space="preserve">ide them. The idea that the inclusion of parents within learning provides learners with a new confidence suggests that it is an inclusive strategy to ensure all learners are progressing within their learning. Supporting this view is Goodall (2018, p.144), who highlights that one of the best ways to support under achieving learners is to collaborate with their families. </w:t>
      </w:r>
      <w:r w:rsidR="004D28E6" w:rsidRPr="0089492D">
        <w:rPr>
          <w:rFonts w:ascii="Arial" w:hAnsi="Arial" w:cs="Arial"/>
        </w:rPr>
        <w:t xml:space="preserve">Further supporting this view is the Welsh Government (2023), who highlight many of the benefits that parental engagement hold. They state that with the correct amount of time and commitment, parental engagement can help pupils progress in their attainment scores, community cohesion, emotional and physical wellbeing and their attendance. </w:t>
      </w:r>
      <w:r w:rsidR="00CD7267" w:rsidRPr="0089492D">
        <w:rPr>
          <w:rFonts w:ascii="Arial" w:hAnsi="Arial" w:cs="Arial"/>
        </w:rPr>
        <w:t xml:space="preserve">This list clearly supports the argument that parental engagement does in fact positively impact a child holistically as they suggest it benefits each of the three elements towards holistic development. </w:t>
      </w:r>
      <w:r w:rsidR="00F913AC" w:rsidRPr="0089492D">
        <w:rPr>
          <w:rFonts w:ascii="Arial" w:hAnsi="Arial" w:cs="Arial"/>
        </w:rPr>
        <w:t xml:space="preserve">                                                               </w:t>
      </w:r>
    </w:p>
    <w:p w:rsidR="000E2E7E" w:rsidRPr="0089492D" w:rsidRDefault="000E2E7E" w:rsidP="000E2E7E">
      <w:pPr>
        <w:rPr>
          <w:rFonts w:ascii="Arial" w:hAnsi="Arial" w:cs="Arial"/>
        </w:rPr>
      </w:pPr>
      <w:r w:rsidRPr="0089492D">
        <w:rPr>
          <w:rFonts w:ascii="Arial" w:hAnsi="Arial" w:cs="Arial"/>
        </w:rPr>
        <w:t>Explanation of Case Study</w:t>
      </w:r>
    </w:p>
    <w:p w:rsidR="000E2E7E" w:rsidRPr="0089492D" w:rsidRDefault="00AB54B6" w:rsidP="000E2E7E">
      <w:pPr>
        <w:rPr>
          <w:rFonts w:ascii="Arial" w:hAnsi="Arial" w:cs="Arial"/>
        </w:rPr>
      </w:pPr>
      <w:r w:rsidRPr="0089492D">
        <w:rPr>
          <w:rFonts w:ascii="Arial" w:hAnsi="Arial" w:cs="Arial"/>
        </w:rPr>
        <w:t xml:space="preserve">The purpose of this research project was to explore the role of parental participation within the school community. To gain a deeper understanding into this topic the researcher conducted a case study. Oxford English Dictionary (2024) defines a case study as a process of research which aims to seek the development of a specific person, group or situation. </w:t>
      </w:r>
      <w:r w:rsidR="00834B1E" w:rsidRPr="0089492D">
        <w:rPr>
          <w:rFonts w:ascii="Arial" w:hAnsi="Arial" w:cs="Arial"/>
        </w:rPr>
        <w:t xml:space="preserve">Furthermore, </w:t>
      </w:r>
      <w:r w:rsidR="00A93DD7" w:rsidRPr="0089492D">
        <w:rPr>
          <w:rFonts w:ascii="Arial" w:hAnsi="Arial" w:cs="Arial"/>
        </w:rPr>
        <w:t xml:space="preserve">Thomas (2023, p.591) defines a case study as an in-depth form of research, which seeks various perspectives on the various aspects of a particular topic. </w:t>
      </w:r>
      <w:r w:rsidRPr="0089492D">
        <w:rPr>
          <w:rFonts w:ascii="Arial" w:hAnsi="Arial" w:cs="Arial"/>
        </w:rPr>
        <w:t xml:space="preserve">It was decided that a case study approach was the most appropriate tool to seek further knowledge on the topic, in following and developing on the QTS standards also. The </w:t>
      </w:r>
      <w:r w:rsidR="00B937D5" w:rsidRPr="0089492D">
        <w:rPr>
          <w:rFonts w:ascii="Arial" w:hAnsi="Arial" w:cs="Arial"/>
        </w:rPr>
        <w:t xml:space="preserve">Welsh Government’s </w:t>
      </w:r>
      <w:r w:rsidRPr="0089492D">
        <w:rPr>
          <w:rFonts w:ascii="Arial" w:hAnsi="Arial" w:cs="Arial"/>
        </w:rPr>
        <w:t>QTS standards</w:t>
      </w:r>
      <w:r w:rsidR="00B937D5" w:rsidRPr="0089492D">
        <w:rPr>
          <w:rFonts w:ascii="Arial" w:hAnsi="Arial" w:cs="Arial"/>
        </w:rPr>
        <w:t xml:space="preserve"> (2019)</w:t>
      </w:r>
      <w:r w:rsidRPr="0089492D">
        <w:rPr>
          <w:rFonts w:ascii="Arial" w:hAnsi="Arial" w:cs="Arial"/>
        </w:rPr>
        <w:t xml:space="preserve"> are standards in which teachers should strive to achieve. Within these, there is a </w:t>
      </w:r>
      <w:r w:rsidRPr="0089492D">
        <w:rPr>
          <w:rFonts w:ascii="Arial" w:hAnsi="Arial" w:cs="Arial"/>
        </w:rPr>
        <w:lastRenderedPageBreak/>
        <w:t xml:space="preserve">standard which focuses on engagement with the wider school community, this being the parents/ families surrounding the school community. </w:t>
      </w:r>
      <w:r w:rsidR="00B937D5" w:rsidRPr="0089492D">
        <w:rPr>
          <w:rFonts w:ascii="Arial" w:hAnsi="Arial" w:cs="Arial"/>
        </w:rPr>
        <w:t>Therefore, by completing this research, the researcher is able to strengthen their knowledge within this area, striving further towards completing this standard within their professional practice through the adaptation of the data found.</w:t>
      </w:r>
      <w:r w:rsidRPr="0089492D">
        <w:rPr>
          <w:rFonts w:ascii="Arial" w:hAnsi="Arial" w:cs="Arial"/>
        </w:rPr>
        <w:t xml:space="preserve"> </w:t>
      </w:r>
      <w:r w:rsidR="00A93DD7" w:rsidRPr="0089492D">
        <w:rPr>
          <w:rFonts w:ascii="Arial" w:hAnsi="Arial" w:cs="Arial"/>
        </w:rPr>
        <w:t xml:space="preserve">There </w:t>
      </w:r>
      <w:r w:rsidR="0039452E" w:rsidRPr="0089492D">
        <w:rPr>
          <w:rFonts w:ascii="Arial" w:hAnsi="Arial" w:cs="Arial"/>
        </w:rPr>
        <w:t>are</w:t>
      </w:r>
      <w:r w:rsidR="00A93DD7" w:rsidRPr="0089492D">
        <w:rPr>
          <w:rFonts w:ascii="Arial" w:hAnsi="Arial" w:cs="Arial"/>
        </w:rPr>
        <w:t xml:space="preserve"> however limitations following the use of a case study to complete this research. </w:t>
      </w:r>
      <w:r w:rsidR="0039452E" w:rsidRPr="0089492D">
        <w:rPr>
          <w:rFonts w:ascii="Arial" w:hAnsi="Arial" w:cs="Arial"/>
        </w:rPr>
        <w:t xml:space="preserve">Some of the main risks include: ethical concerns, misinterpretation of data findings and a researcher bias. As well as this, Simon and Goes (2013, p.2) also highlight the risk of accepting that the perspective found in one research </w:t>
      </w:r>
      <w:r w:rsidR="0023146B">
        <w:rPr>
          <w:rFonts w:ascii="Arial" w:hAnsi="Arial" w:cs="Arial"/>
        </w:rPr>
        <w:t xml:space="preserve">sample will also be the same view held in various other samples </w:t>
      </w:r>
      <w:r w:rsidR="0039452E" w:rsidRPr="0089492D">
        <w:rPr>
          <w:rFonts w:ascii="Arial" w:hAnsi="Arial" w:cs="Arial"/>
        </w:rPr>
        <w:t xml:space="preserve">also. </w:t>
      </w:r>
      <w:r w:rsidRPr="0089492D">
        <w:rPr>
          <w:rFonts w:ascii="Arial" w:hAnsi="Arial" w:cs="Arial"/>
        </w:rPr>
        <w:t xml:space="preserve">Following this, the researcher took an inductive approach when conducting this research, ensuring that they held few prior perceptions on the topic. </w:t>
      </w:r>
      <w:r w:rsidR="0039452E" w:rsidRPr="0089492D">
        <w:rPr>
          <w:rFonts w:ascii="Arial" w:hAnsi="Arial" w:cs="Arial"/>
        </w:rPr>
        <w:t>In order to receive multiple different perspectives on the topic, the resea</w:t>
      </w:r>
      <w:r w:rsidR="002E1C05" w:rsidRPr="0089492D">
        <w:rPr>
          <w:rFonts w:ascii="Arial" w:hAnsi="Arial" w:cs="Arial"/>
        </w:rPr>
        <w:t>rcher used three research tools within the case study.</w:t>
      </w:r>
      <w:r w:rsidR="0039452E" w:rsidRPr="0089492D">
        <w:rPr>
          <w:rFonts w:ascii="Arial" w:hAnsi="Arial" w:cs="Arial"/>
        </w:rPr>
        <w:t xml:space="preserve"> These </w:t>
      </w:r>
      <w:r w:rsidR="002E1C05" w:rsidRPr="0089492D">
        <w:rPr>
          <w:rFonts w:ascii="Arial" w:hAnsi="Arial" w:cs="Arial"/>
        </w:rPr>
        <w:t>research tools were: literature, a questionnaire and semi- structured interviews. In order to gain a representative sample, the researcher interviewed members of staff from both foundation phase and key stage two, in order to compare and contrast any differing views between the two stages. As well as this, the researcher also sent all staff members within the school a questionnaire, to get a further representative sample of the shar</w:t>
      </w:r>
      <w:r w:rsidR="0023146B">
        <w:rPr>
          <w:rFonts w:ascii="Arial" w:hAnsi="Arial" w:cs="Arial"/>
        </w:rPr>
        <w:t>e</w:t>
      </w:r>
      <w:r w:rsidR="002E1C05" w:rsidRPr="0089492D">
        <w:rPr>
          <w:rFonts w:ascii="Arial" w:hAnsi="Arial" w:cs="Arial"/>
        </w:rPr>
        <w:t xml:space="preserve">d school views on the topic. </w:t>
      </w:r>
    </w:p>
    <w:p w:rsidR="000E2E7E" w:rsidRPr="0089492D" w:rsidRDefault="000E2E7E" w:rsidP="000E2E7E">
      <w:pPr>
        <w:rPr>
          <w:rFonts w:ascii="Arial" w:hAnsi="Arial" w:cs="Arial"/>
        </w:rPr>
      </w:pPr>
    </w:p>
    <w:p w:rsidR="000E2E7E" w:rsidRPr="0089492D" w:rsidRDefault="000E2E7E" w:rsidP="000E2E7E">
      <w:pPr>
        <w:rPr>
          <w:rFonts w:ascii="Arial" w:hAnsi="Arial" w:cs="Arial"/>
        </w:rPr>
      </w:pPr>
      <w:r w:rsidRPr="0089492D">
        <w:rPr>
          <w:rFonts w:ascii="Arial" w:hAnsi="Arial" w:cs="Arial"/>
        </w:rPr>
        <w:t>Research methods</w:t>
      </w:r>
    </w:p>
    <w:p w:rsidR="000E2E7E" w:rsidRPr="0089492D" w:rsidRDefault="006E4B7D" w:rsidP="000E2E7E">
      <w:pPr>
        <w:rPr>
          <w:rFonts w:ascii="Arial" w:hAnsi="Arial" w:cs="Arial"/>
        </w:rPr>
      </w:pPr>
      <w:r w:rsidRPr="0089492D">
        <w:rPr>
          <w:rFonts w:ascii="Arial" w:hAnsi="Arial" w:cs="Arial"/>
        </w:rPr>
        <w:t xml:space="preserve">Within this case study, the researcher used three different research tools. The three research tools used were literature, semi-structured interviews and a questionnaire. Each of the tools offered a unique source perspective of the research topic, providing the researcher with an even larger and varied breadth of knowledge on the subject. </w:t>
      </w:r>
    </w:p>
    <w:p w:rsidR="006E4B7D" w:rsidRPr="0089492D" w:rsidRDefault="006E4B7D" w:rsidP="000E2E7E">
      <w:pPr>
        <w:rPr>
          <w:rFonts w:ascii="Arial" w:hAnsi="Arial" w:cs="Arial"/>
        </w:rPr>
      </w:pPr>
      <w:r w:rsidRPr="0089492D">
        <w:rPr>
          <w:rFonts w:ascii="Arial" w:hAnsi="Arial" w:cs="Arial"/>
        </w:rPr>
        <w:t xml:space="preserve">The first of the three research tools used was literature. Using literature a research tool provided the researcher with a foundation of prior data findings based on case studies made by various other people within education. </w:t>
      </w:r>
      <w:r w:rsidR="000C2F99" w:rsidRPr="0089492D">
        <w:rPr>
          <w:rFonts w:ascii="Arial" w:hAnsi="Arial" w:cs="Arial"/>
        </w:rPr>
        <w:t xml:space="preserve">Following this, literature allowed the researcher to explore different methodologies and approaches they could take towards completing their research. Through reviewing the perspectives of others </w:t>
      </w:r>
      <w:r w:rsidR="00CC37B0" w:rsidRPr="0089492D">
        <w:rPr>
          <w:rFonts w:ascii="Arial" w:hAnsi="Arial" w:cs="Arial"/>
        </w:rPr>
        <w:t xml:space="preserve">the researcher was able to find reoccurring views to help plan their research to ensure they were using methods that had proven reliable to others within their research. Despite this however, literature also has some limitations which question </w:t>
      </w:r>
      <w:r w:rsidR="00692E33" w:rsidRPr="0089492D">
        <w:rPr>
          <w:rFonts w:ascii="Arial" w:hAnsi="Arial" w:cs="Arial"/>
        </w:rPr>
        <w:t>its</w:t>
      </w:r>
      <w:r w:rsidR="00CC37B0" w:rsidRPr="0089492D">
        <w:rPr>
          <w:rFonts w:ascii="Arial" w:hAnsi="Arial" w:cs="Arial"/>
        </w:rPr>
        <w:t xml:space="preserve"> credibility. The largest limitation to the use of literature as a research tool is the date of publication. Within research, a researcher strives to use up to date literature in order to ensure that the information they are collating is relevant and up to date. Unfortunately, </w:t>
      </w:r>
      <w:r w:rsidR="00692E33" w:rsidRPr="0089492D">
        <w:rPr>
          <w:rFonts w:ascii="Arial" w:hAnsi="Arial" w:cs="Arial"/>
        </w:rPr>
        <w:t xml:space="preserve">a lot of educational theory was made many years ago and may not be as relevant now as it was then. </w:t>
      </w:r>
    </w:p>
    <w:p w:rsidR="00692E33" w:rsidRPr="0089492D" w:rsidRDefault="00692E33" w:rsidP="000E2E7E">
      <w:pPr>
        <w:rPr>
          <w:rFonts w:ascii="Arial" w:hAnsi="Arial" w:cs="Arial"/>
        </w:rPr>
      </w:pPr>
      <w:r w:rsidRPr="0089492D">
        <w:rPr>
          <w:rFonts w:ascii="Arial" w:hAnsi="Arial" w:cs="Arial"/>
        </w:rPr>
        <w:t xml:space="preserve">The second research tool used was semi-structured interviews. In order to ensure the researcher found the correct information, they planned to interview a sample size of up to eight people to be interviewed individually. </w:t>
      </w:r>
      <w:r w:rsidR="00F25241" w:rsidRPr="0089492D">
        <w:rPr>
          <w:rFonts w:ascii="Arial" w:hAnsi="Arial" w:cs="Arial"/>
        </w:rPr>
        <w:t xml:space="preserve">Within this sample, the </w:t>
      </w:r>
      <w:r w:rsidR="00F25241" w:rsidRPr="0089492D">
        <w:rPr>
          <w:rFonts w:ascii="Arial" w:hAnsi="Arial" w:cs="Arial"/>
        </w:rPr>
        <w:lastRenderedPageBreak/>
        <w:t xml:space="preserve">researcher interviewed teachers from both foundation phase and key stage two. In doing so, the researcher was able to see a whole school perspective, as well a find any differences in views from foundation phase compared to key stage two. By comparing the two the researcher was then able to source the relevant similarities and </w:t>
      </w:r>
      <w:r w:rsidR="004B6070">
        <w:rPr>
          <w:rFonts w:ascii="Arial" w:hAnsi="Arial" w:cs="Arial"/>
        </w:rPr>
        <w:t>differences and link them</w:t>
      </w:r>
      <w:r w:rsidR="00A12DD9" w:rsidRPr="0089492D">
        <w:rPr>
          <w:rFonts w:ascii="Arial" w:hAnsi="Arial" w:cs="Arial"/>
        </w:rPr>
        <w:t xml:space="preserve"> back to the research question. Semi- structured interviews are a flexible research tool, allowing a researcher to pre-plan and adapt/expand on questions in the moment to collate the information they need. </w:t>
      </w:r>
      <w:r w:rsidR="00951685" w:rsidRPr="0089492D">
        <w:rPr>
          <w:rFonts w:ascii="Arial" w:hAnsi="Arial" w:cs="Arial"/>
        </w:rPr>
        <w:t xml:space="preserve">They provide qualitative in-depth meaningful information. Denscombe (2014, p.367) describes qualitative data as being presented in the form of words, and is usually associated with research methods like case studies. </w:t>
      </w:r>
      <w:r w:rsidR="00A12DD9" w:rsidRPr="0089492D">
        <w:rPr>
          <w:rFonts w:ascii="Arial" w:hAnsi="Arial" w:cs="Arial"/>
        </w:rPr>
        <w:t>Using semi-structured interviews allowed the researcher to conduct informal conversations with the staff</w:t>
      </w:r>
      <w:r w:rsidR="004B6070">
        <w:rPr>
          <w:rFonts w:ascii="Arial" w:hAnsi="Arial" w:cs="Arial"/>
        </w:rPr>
        <w:t xml:space="preserve"> from the school, where they could</w:t>
      </w:r>
      <w:r w:rsidR="00A12DD9" w:rsidRPr="0089492D">
        <w:rPr>
          <w:rFonts w:ascii="Arial" w:hAnsi="Arial" w:cs="Arial"/>
        </w:rPr>
        <w:t xml:space="preserve"> share their expertise and experiences. This collaboration not only provided information relating back to the case study, but also provided insight and advice for the researcher’s future practice. Agreeing with this view is Richit et al. (2021, p.3) who further expand suggesting that this collaboration allows teachers to reflect, diversity and grow within their professional practice. </w:t>
      </w:r>
      <w:r w:rsidR="00E00B9D" w:rsidRPr="0089492D">
        <w:rPr>
          <w:rFonts w:ascii="Arial" w:hAnsi="Arial" w:cs="Arial"/>
        </w:rPr>
        <w:t xml:space="preserve">Also agreeing with this view is Cajkler et al. (2014, p.194) who suggests that with a willingness to participate, a participant is able to share their knowledge, resources and skills in order to help build a successful partnership between staff. </w:t>
      </w:r>
      <w:r w:rsidR="003325EB" w:rsidRPr="0089492D">
        <w:rPr>
          <w:rFonts w:ascii="Arial" w:hAnsi="Arial" w:cs="Arial"/>
        </w:rPr>
        <w:t xml:space="preserve">However, it is important to consider the limitations of this tool also. A large limiting factor following the use of semi-structured interviews is that people may answer in a way in which they feel necessary to please the interviewer. In this circumstance a participant may have chosen not to share any negative views they had on the research topic. Supporting this view is Karatsareas (2022, p.102) who suggested that when participating in a semi-structured interview, an interviewee may not want to be associated with a negative view and therefore share false views on the subject. </w:t>
      </w:r>
    </w:p>
    <w:p w:rsidR="000E2E7E" w:rsidRPr="0089492D" w:rsidRDefault="00946D16" w:rsidP="000E2E7E">
      <w:pPr>
        <w:rPr>
          <w:rFonts w:ascii="Arial" w:hAnsi="Arial" w:cs="Arial"/>
        </w:rPr>
      </w:pPr>
      <w:r w:rsidRPr="0089492D">
        <w:rPr>
          <w:rFonts w:ascii="Arial" w:hAnsi="Arial" w:cs="Arial"/>
        </w:rPr>
        <w:t>The final research tool used was an online questionnaire. The questionnaire was sent to all of the teaching staff within the research school. The researcher chose to send it to those within the foundation phase and key stage two in order to again see if there were any clear differences in parental</w:t>
      </w:r>
      <w:r w:rsidR="0053040E" w:rsidRPr="0089492D">
        <w:rPr>
          <w:rFonts w:ascii="Arial" w:hAnsi="Arial" w:cs="Arial"/>
        </w:rPr>
        <w:t xml:space="preserve"> engagement within the two areas</w:t>
      </w:r>
      <w:r w:rsidRPr="0089492D">
        <w:rPr>
          <w:rFonts w:ascii="Arial" w:hAnsi="Arial" w:cs="Arial"/>
        </w:rPr>
        <w:t>. Although the semi-structured interviews proved to be successful in acquiring data, the researcher felt it would be beneficial to also conduct a questionnaire to receive data fro</w:t>
      </w:r>
      <w:r w:rsidR="00152D62" w:rsidRPr="0089492D">
        <w:rPr>
          <w:rFonts w:ascii="Arial" w:hAnsi="Arial" w:cs="Arial"/>
        </w:rPr>
        <w:t xml:space="preserve">m a larger sample size also in a time efficient manner. According to Mukherji and Albon (2023, p.255), questionnaires are </w:t>
      </w:r>
      <w:r w:rsidR="004B6070">
        <w:rPr>
          <w:rFonts w:ascii="Arial" w:hAnsi="Arial" w:cs="Arial"/>
        </w:rPr>
        <w:t xml:space="preserve">a </w:t>
      </w:r>
      <w:r w:rsidR="00152D62" w:rsidRPr="0089492D">
        <w:rPr>
          <w:rFonts w:ascii="Arial" w:hAnsi="Arial" w:cs="Arial"/>
        </w:rPr>
        <w:t xml:space="preserve">useful tool which can help a researcher gain knowledge of various attitudes, experiences, opinions and behaviours towards a specific topic. </w:t>
      </w:r>
      <w:r w:rsidR="009D14AB" w:rsidRPr="0089492D">
        <w:rPr>
          <w:rFonts w:ascii="Arial" w:hAnsi="Arial" w:cs="Arial"/>
        </w:rPr>
        <w:t>The questionnaire consists of many different types of questions in order to ensure participants were engaged throughout.</w:t>
      </w:r>
      <w:r w:rsidR="0053040E" w:rsidRPr="0089492D">
        <w:rPr>
          <w:rFonts w:ascii="Arial" w:hAnsi="Arial" w:cs="Arial"/>
        </w:rPr>
        <w:t xml:space="preserve"> A questionnaire is also a cost effective way for data collection to be conducted by a researcher. The researcher ensured that the questionnaire followed ethical guidelines ensuring all participants remained anonymous and included an introduction reminding participants of their right to withdraw at any point. </w:t>
      </w:r>
      <w:r w:rsidR="009D14AB" w:rsidRPr="0089492D">
        <w:rPr>
          <w:rFonts w:ascii="Arial" w:hAnsi="Arial" w:cs="Arial"/>
        </w:rPr>
        <w:t xml:space="preserve"> Following this, the </w:t>
      </w:r>
      <w:r w:rsidR="0081546A" w:rsidRPr="0089492D">
        <w:rPr>
          <w:rFonts w:ascii="Arial" w:hAnsi="Arial" w:cs="Arial"/>
        </w:rPr>
        <w:t xml:space="preserve">researcher ensured they asked a variety of open and closed ended questions to ensure that the questionnaire would not be a timely chore, but also </w:t>
      </w:r>
      <w:r w:rsidR="0081546A" w:rsidRPr="0089492D">
        <w:rPr>
          <w:rFonts w:ascii="Arial" w:hAnsi="Arial" w:cs="Arial"/>
        </w:rPr>
        <w:lastRenderedPageBreak/>
        <w:t>remains</w:t>
      </w:r>
      <w:r w:rsidR="009D14AB" w:rsidRPr="0089492D">
        <w:rPr>
          <w:rFonts w:ascii="Arial" w:hAnsi="Arial" w:cs="Arial"/>
        </w:rPr>
        <w:t xml:space="preserve"> as an efficient source of in depth data. </w:t>
      </w:r>
      <w:r w:rsidR="006C7533" w:rsidRPr="0089492D">
        <w:rPr>
          <w:rFonts w:ascii="Arial" w:hAnsi="Arial" w:cs="Arial"/>
        </w:rPr>
        <w:t xml:space="preserve">Ensuring that this questionnaire was engaging and time effective was very important to the researcher as it would encourage those within the school to participate. </w:t>
      </w:r>
      <w:r w:rsidR="00F26FFC" w:rsidRPr="0089492D">
        <w:rPr>
          <w:rFonts w:ascii="Arial" w:hAnsi="Arial" w:cs="Arial"/>
        </w:rPr>
        <w:t>Evans and Mather (</w:t>
      </w:r>
      <w:r w:rsidR="001F7B6F" w:rsidRPr="0089492D">
        <w:rPr>
          <w:rFonts w:ascii="Arial" w:hAnsi="Arial" w:cs="Arial"/>
        </w:rPr>
        <w:t>2005</w:t>
      </w:r>
      <w:r w:rsidR="00F26FFC" w:rsidRPr="0089492D">
        <w:rPr>
          <w:rFonts w:ascii="Arial" w:hAnsi="Arial" w:cs="Arial"/>
        </w:rPr>
        <w:t xml:space="preserve">, p.202) highlights that online surveys usually receive a low response rate similarly to paper surveys also. </w:t>
      </w:r>
      <w:r w:rsidR="00931A5A" w:rsidRPr="0089492D">
        <w:rPr>
          <w:rFonts w:ascii="Arial" w:hAnsi="Arial" w:cs="Arial"/>
        </w:rPr>
        <w:t xml:space="preserve">With this in mind it was vital that the researcher made the questionnaire as accessible and easy to answer, for as high a response rate possible from the sample size. </w:t>
      </w:r>
      <w:r w:rsidR="005B04DF" w:rsidRPr="0089492D">
        <w:rPr>
          <w:rFonts w:ascii="Arial" w:hAnsi="Arial" w:cs="Arial"/>
        </w:rPr>
        <w:t>Also</w:t>
      </w:r>
      <w:r w:rsidR="00BE75E4" w:rsidRPr="0089492D">
        <w:rPr>
          <w:rFonts w:ascii="Arial" w:hAnsi="Arial" w:cs="Arial"/>
        </w:rPr>
        <w:t xml:space="preserve"> agreeing with this view is Cohen (2017, p.557) who comments on the need to consider the welfare of the participant. Cohen highlights that a researcher needs to consider factors such as: the sensitivity of the topic, how understandable the questions are, and how long will the questionnaire take to complete? </w:t>
      </w:r>
    </w:p>
    <w:p w:rsidR="000E2E7E" w:rsidRPr="0089492D" w:rsidRDefault="000E2E7E" w:rsidP="000E2E7E">
      <w:pPr>
        <w:rPr>
          <w:rFonts w:ascii="Arial" w:hAnsi="Arial" w:cs="Arial"/>
        </w:rPr>
      </w:pPr>
      <w:r w:rsidRPr="0089492D">
        <w:rPr>
          <w:rFonts w:ascii="Arial" w:hAnsi="Arial" w:cs="Arial"/>
        </w:rPr>
        <w:t>Data presentation and Analysis Method(s)</w:t>
      </w:r>
    </w:p>
    <w:p w:rsidR="000E2E7E" w:rsidRPr="0089492D" w:rsidRDefault="00E85A32" w:rsidP="000E2E7E">
      <w:pPr>
        <w:rPr>
          <w:rFonts w:ascii="Arial" w:hAnsi="Arial" w:cs="Arial"/>
        </w:rPr>
      </w:pPr>
      <w:r w:rsidRPr="0089492D">
        <w:rPr>
          <w:rFonts w:ascii="Arial" w:hAnsi="Arial" w:cs="Arial"/>
        </w:rPr>
        <w:t xml:space="preserve">Once the relevant data was collected through the use of the various research tools, the researcher needed to analyse the data found. In order to do this the researcher followed the steps of </w:t>
      </w:r>
      <w:r w:rsidR="00E01301" w:rsidRPr="0089492D">
        <w:rPr>
          <w:rFonts w:ascii="Arial" w:hAnsi="Arial" w:cs="Arial"/>
        </w:rPr>
        <w:t xml:space="preserve">Braun and Clark’s </w:t>
      </w:r>
      <w:r w:rsidRPr="0089492D">
        <w:rPr>
          <w:rFonts w:ascii="Arial" w:hAnsi="Arial" w:cs="Arial"/>
        </w:rPr>
        <w:t xml:space="preserve">Thematic Analysis. </w:t>
      </w:r>
      <w:r w:rsidR="004A2A1B" w:rsidRPr="0089492D">
        <w:rPr>
          <w:rFonts w:ascii="Arial" w:hAnsi="Arial" w:cs="Arial"/>
        </w:rPr>
        <w:t xml:space="preserve">Thematic analysis includes six steps in order to establish any themes and anomalies within the data found. </w:t>
      </w:r>
      <w:r w:rsidR="009238A1" w:rsidRPr="0089492D">
        <w:rPr>
          <w:rFonts w:ascii="Arial" w:hAnsi="Arial" w:cs="Arial"/>
        </w:rPr>
        <w:t>Byrne</w:t>
      </w:r>
      <w:r w:rsidR="00A87091" w:rsidRPr="0089492D">
        <w:rPr>
          <w:rFonts w:ascii="Arial" w:hAnsi="Arial" w:cs="Arial"/>
        </w:rPr>
        <w:t xml:space="preserve"> (2022</w:t>
      </w:r>
      <w:r w:rsidR="009238A1" w:rsidRPr="0089492D">
        <w:rPr>
          <w:rFonts w:ascii="Arial" w:hAnsi="Arial" w:cs="Arial"/>
        </w:rPr>
        <w:t xml:space="preserve">, p.1393) lists each of the steps, explaining the role of the researcher throughout. </w:t>
      </w:r>
      <w:r w:rsidR="004A2A1B" w:rsidRPr="0089492D">
        <w:rPr>
          <w:rFonts w:ascii="Arial" w:hAnsi="Arial" w:cs="Arial"/>
        </w:rPr>
        <w:t xml:space="preserve">The first step within thematic analysis includes the researcher familiarising themselves with the data collected. Once this step has been completed the researcher can then begin the second step which consists of generating initial codes. Generating initial codes allows a researcher to break down the large sum of data into smaller subsections, making it easier to establish themes later within the process. Following this, the researcher will then begin searching these subsections for any reoccurring themes. </w:t>
      </w:r>
      <w:r w:rsidR="00E7101B" w:rsidRPr="0089492D">
        <w:rPr>
          <w:rFonts w:ascii="Arial" w:hAnsi="Arial" w:cs="Arial"/>
        </w:rPr>
        <w:t xml:space="preserve">Once the themes have been established the researcher can then review them and define/ name them. Once each of these </w:t>
      </w:r>
      <w:r w:rsidR="004B6070" w:rsidRPr="0089492D">
        <w:rPr>
          <w:rFonts w:ascii="Arial" w:hAnsi="Arial" w:cs="Arial"/>
        </w:rPr>
        <w:t>is</w:t>
      </w:r>
      <w:r w:rsidR="00E7101B" w:rsidRPr="0089492D">
        <w:rPr>
          <w:rFonts w:ascii="Arial" w:hAnsi="Arial" w:cs="Arial"/>
        </w:rPr>
        <w:t xml:space="preserve"> completed the researcher can then produce their final report on the findings. Thematic analysis is flexible and therefore means that the researcher can adapt it to meet their needs in how they would like to analyse their data. The process allows a researcher to </w:t>
      </w:r>
      <w:r w:rsidR="009238A1" w:rsidRPr="0089492D">
        <w:rPr>
          <w:rFonts w:ascii="Arial" w:hAnsi="Arial" w:cs="Arial"/>
        </w:rPr>
        <w:t xml:space="preserve">take the raw data and gain a richer/ deeper understanding to the respondent’s views, understanding the complexities, experiences and opinions within each answer. Thematic analysis is individual to every researcher who uses it. This means that the research is able to be repeated by </w:t>
      </w:r>
      <w:r w:rsidR="004B6070">
        <w:rPr>
          <w:rFonts w:ascii="Arial" w:hAnsi="Arial" w:cs="Arial"/>
        </w:rPr>
        <w:t xml:space="preserve">another and their data could </w:t>
      </w:r>
      <w:r w:rsidR="009238A1" w:rsidRPr="0089492D">
        <w:rPr>
          <w:rFonts w:ascii="Arial" w:hAnsi="Arial" w:cs="Arial"/>
        </w:rPr>
        <w:t xml:space="preserve">show differences to that of the other. This is because this analysis process is individual and unique to each researcher, and each researcher may interpret the data differently. </w:t>
      </w:r>
    </w:p>
    <w:p w:rsidR="000E2E7E" w:rsidRPr="0089492D" w:rsidRDefault="000E2E7E" w:rsidP="000E2E7E">
      <w:pPr>
        <w:rPr>
          <w:rFonts w:ascii="Arial" w:hAnsi="Arial" w:cs="Arial"/>
        </w:rPr>
      </w:pPr>
      <w:r w:rsidRPr="0089492D">
        <w:rPr>
          <w:rFonts w:ascii="Arial" w:hAnsi="Arial" w:cs="Arial"/>
        </w:rPr>
        <w:t>Ethical considerations</w:t>
      </w:r>
    </w:p>
    <w:p w:rsidR="000E2E7E" w:rsidRPr="0089492D" w:rsidRDefault="0068361E" w:rsidP="000E2E7E">
      <w:pPr>
        <w:rPr>
          <w:rFonts w:ascii="Arial" w:hAnsi="Arial" w:cs="Arial"/>
        </w:rPr>
      </w:pPr>
      <w:r w:rsidRPr="0089492D">
        <w:rPr>
          <w:rFonts w:ascii="Arial" w:hAnsi="Arial" w:cs="Arial"/>
        </w:rPr>
        <w:t xml:space="preserve">According to </w:t>
      </w:r>
      <w:r w:rsidR="003A554D" w:rsidRPr="0089492D">
        <w:rPr>
          <w:rFonts w:ascii="Arial" w:hAnsi="Arial" w:cs="Arial"/>
        </w:rPr>
        <w:t>Simons (200</w:t>
      </w:r>
      <w:r w:rsidR="004B6070">
        <w:rPr>
          <w:rFonts w:ascii="Arial" w:hAnsi="Arial" w:cs="Arial"/>
        </w:rPr>
        <w:t>5, p.116) the use</w:t>
      </w:r>
      <w:r w:rsidR="004A2A1B" w:rsidRPr="0089492D">
        <w:rPr>
          <w:rFonts w:ascii="Arial" w:hAnsi="Arial" w:cs="Arial"/>
        </w:rPr>
        <w:t xml:space="preserve"> of</w:t>
      </w:r>
      <w:r w:rsidR="003A554D" w:rsidRPr="0089492D">
        <w:rPr>
          <w:rFonts w:ascii="Arial" w:hAnsi="Arial" w:cs="Arial"/>
        </w:rPr>
        <w:t xml:space="preserve"> human research and human decision making will have the limitation of ethical risks. Simons continues, specifically focusing on </w:t>
      </w:r>
      <w:r w:rsidR="000C6BAF" w:rsidRPr="0089492D">
        <w:rPr>
          <w:rFonts w:ascii="Arial" w:hAnsi="Arial" w:cs="Arial"/>
        </w:rPr>
        <w:t>the use of case studies, explaining that with their use of social aspects there are defi</w:t>
      </w:r>
      <w:r w:rsidR="00637F52" w:rsidRPr="0089492D">
        <w:rPr>
          <w:rFonts w:ascii="Arial" w:hAnsi="Arial" w:cs="Arial"/>
        </w:rPr>
        <w:t>nite ethical factors to expect. Following this</w:t>
      </w:r>
      <w:r w:rsidR="00E85A32" w:rsidRPr="0089492D">
        <w:rPr>
          <w:rFonts w:ascii="Arial" w:hAnsi="Arial" w:cs="Arial"/>
        </w:rPr>
        <w:t>,</w:t>
      </w:r>
      <w:r w:rsidR="00637F52" w:rsidRPr="0089492D">
        <w:rPr>
          <w:rFonts w:ascii="Arial" w:hAnsi="Arial" w:cs="Arial"/>
        </w:rPr>
        <w:t xml:space="preserve"> the BERA (2018, p.18) ethical guidelines for research, highlight the importance of the welfare of those </w:t>
      </w:r>
      <w:r w:rsidR="00637F52" w:rsidRPr="0089492D">
        <w:rPr>
          <w:rFonts w:ascii="Arial" w:hAnsi="Arial" w:cs="Arial"/>
        </w:rPr>
        <w:lastRenderedPageBreak/>
        <w:t>participating in the research. BERA informs researchers that when working with others to gain various viewpoints on a topic, a researcher must remind a participant of their right to withdraw.</w:t>
      </w:r>
      <w:r w:rsidR="00D3082D" w:rsidRPr="0089492D">
        <w:rPr>
          <w:rFonts w:ascii="Arial" w:hAnsi="Arial" w:cs="Arial"/>
        </w:rPr>
        <w:t xml:space="preserve"> As well as this, BERA reminds researchers to ensure that the anonyminity of their participants is kept at all times. This not only keeps in line with ethical guidelines, but also provides participants with reassurance that their name and any information that could reveal their identity will not be included within the research.                                                                                                                        These ethical considerations were included within th</w:t>
      </w:r>
      <w:r w:rsidR="00EF647A">
        <w:rPr>
          <w:rFonts w:ascii="Arial" w:hAnsi="Arial" w:cs="Arial"/>
        </w:rPr>
        <w:t>is case study.</w:t>
      </w:r>
      <w:r w:rsidR="00D3082D" w:rsidRPr="0089492D">
        <w:rPr>
          <w:rFonts w:ascii="Arial" w:hAnsi="Arial" w:cs="Arial"/>
        </w:rPr>
        <w:t xml:space="preserve"> The researcher completed an ethics form (see appendix A), which allowed them to consider all ethical risks to the research, the researcher and the participants. Before and during the semi- structured interviews, all participants were reminded of their right to withdraw at any point without the need to provide a reason why. Following this a similar approach was adapted to the questionnaire. Within the introduction to the questionnaire, participants were informed of what the research was about, their right to withdraw, and that their data p</w:t>
      </w:r>
      <w:r w:rsidR="00255C60" w:rsidRPr="0089492D">
        <w:rPr>
          <w:rFonts w:ascii="Arial" w:hAnsi="Arial" w:cs="Arial"/>
        </w:rPr>
        <w:t>rovided would remain anonymous. In order to ensure no data would be traced back to specific participants the researcher also ensured that no raw data was shared with anyone other than themselves. Instead, the researcher has included a blank copy of the semi-structured interviews</w:t>
      </w:r>
      <w:r w:rsidR="004B6070">
        <w:rPr>
          <w:rFonts w:ascii="Arial" w:hAnsi="Arial" w:cs="Arial"/>
        </w:rPr>
        <w:t xml:space="preserve"> questions</w:t>
      </w:r>
      <w:r w:rsidR="00255C60" w:rsidRPr="0089492D">
        <w:rPr>
          <w:rFonts w:ascii="Arial" w:hAnsi="Arial" w:cs="Arial"/>
        </w:rPr>
        <w:t xml:space="preserve"> (see appendix B), and a blank copy of the questionnaire (see appendix C). </w:t>
      </w:r>
    </w:p>
    <w:p w:rsidR="000E2E7E" w:rsidRPr="0089492D" w:rsidRDefault="000E2E7E" w:rsidP="000E2E7E">
      <w:pPr>
        <w:rPr>
          <w:rFonts w:ascii="Arial" w:hAnsi="Arial" w:cs="Arial"/>
        </w:rPr>
      </w:pPr>
    </w:p>
    <w:p w:rsidR="000E2E7E" w:rsidRPr="0089492D" w:rsidRDefault="000E2E7E" w:rsidP="000E2E7E">
      <w:pPr>
        <w:rPr>
          <w:rFonts w:ascii="Arial" w:hAnsi="Arial" w:cs="Arial"/>
        </w:rPr>
      </w:pPr>
      <w:r w:rsidRPr="0089492D">
        <w:rPr>
          <w:rFonts w:ascii="Arial" w:hAnsi="Arial" w:cs="Arial"/>
        </w:rPr>
        <w:t>Findings and discussions</w:t>
      </w:r>
    </w:p>
    <w:p w:rsidR="0058073E" w:rsidRPr="0089492D" w:rsidRDefault="0058073E" w:rsidP="000E2E7E">
      <w:pPr>
        <w:rPr>
          <w:rFonts w:ascii="Arial" w:hAnsi="Arial" w:cs="Arial"/>
        </w:rPr>
      </w:pPr>
      <w:r w:rsidRPr="0089492D">
        <w:rPr>
          <w:rFonts w:ascii="Arial" w:hAnsi="Arial" w:cs="Arial"/>
        </w:rPr>
        <w:t xml:space="preserve">With the use of the semi-structured interviews and questionnaire, a sufficient amount of data was collected. After using Thematic analysis to establish any reoccurring answers the researcher defined four main themes. These themes were: the use of ClassDojo, the use of a Family engagement officer, </w:t>
      </w:r>
      <w:r w:rsidR="00EF647A" w:rsidRPr="0089492D">
        <w:rPr>
          <w:rFonts w:ascii="Arial" w:hAnsi="Arial" w:cs="Arial"/>
        </w:rPr>
        <w:t>pupil’s</w:t>
      </w:r>
      <w:r w:rsidRPr="0089492D">
        <w:rPr>
          <w:rFonts w:ascii="Arial" w:hAnsi="Arial" w:cs="Arial"/>
        </w:rPr>
        <w:t xml:space="preserve"> holistic development and creating meaningful and informal interaction opportunities.</w:t>
      </w:r>
    </w:p>
    <w:p w:rsidR="000E2E7E" w:rsidRPr="0089492D" w:rsidRDefault="0058073E" w:rsidP="000E2E7E">
      <w:pPr>
        <w:rPr>
          <w:rFonts w:ascii="Arial" w:hAnsi="Arial" w:cs="Arial"/>
        </w:rPr>
      </w:pPr>
      <w:r w:rsidRPr="0089492D">
        <w:rPr>
          <w:rFonts w:ascii="Arial" w:hAnsi="Arial" w:cs="Arial"/>
        </w:rPr>
        <w:t xml:space="preserve">The most commonly mentioned strategy to increase family engagement across the school was the use of an online platform called ClassDojo. ClassDojo allows parents and teachers to have constant communication, enabling participants to share pictures, videos and updates as to what pupils are learning both within school and at home. </w:t>
      </w:r>
      <w:r w:rsidR="005126F5" w:rsidRPr="0089492D">
        <w:rPr>
          <w:rFonts w:ascii="Arial" w:hAnsi="Arial" w:cs="Arial"/>
        </w:rPr>
        <w:t>The online platform works as a communication enhancer as well as a behaviour management strategy within the classroom. Although this feature is available, the research school explained that they’re main use for the platform is to ensure they continue to communicate with all parents and carers surrounding the school. Through the use of the interviews, the researcher found that the platform is very useful to continue communication with the parents who very rarely attend school meetings (like parents evenings), ensuring they are still inclu</w:t>
      </w:r>
      <w:r w:rsidR="00EF647A">
        <w:rPr>
          <w:rFonts w:ascii="Arial" w:hAnsi="Arial" w:cs="Arial"/>
        </w:rPr>
        <w:t xml:space="preserve">ded within the school community. </w:t>
      </w:r>
      <w:r w:rsidR="005126F5" w:rsidRPr="0089492D">
        <w:rPr>
          <w:rFonts w:ascii="Arial" w:hAnsi="Arial" w:cs="Arial"/>
        </w:rPr>
        <w:t xml:space="preserve">Despite these benefits however, some members of staff did feel that the use of ClassDojo can become very overwhelming, especially after working hours. One member of staff highlighted that they felt guilty if they saw a message come through after their working hours and did not respond. They said that this </w:t>
      </w:r>
      <w:r w:rsidR="005126F5" w:rsidRPr="0089492D">
        <w:rPr>
          <w:rFonts w:ascii="Arial" w:hAnsi="Arial" w:cs="Arial"/>
        </w:rPr>
        <w:lastRenderedPageBreak/>
        <w:t xml:space="preserve">continued communication after school hours could be very stressful and lead to potential burnout. Mihaela et al. (2022, p.603) </w:t>
      </w:r>
      <w:r w:rsidR="00877FC3" w:rsidRPr="0089492D">
        <w:rPr>
          <w:rFonts w:ascii="Arial" w:hAnsi="Arial" w:cs="Arial"/>
        </w:rPr>
        <w:t xml:space="preserve">talks about the effects that burnout can have on a teacher. They highlight that burnout can cause fatigue, emotional-exhaustion, lack of empathy, and a lack of passion. Each of these negative factors contributes to a lack of effective teaching from the teacher, which therefore negatively impacts the progression in learning of all learners. </w:t>
      </w:r>
      <w:r w:rsidR="005126F5" w:rsidRPr="0089492D">
        <w:rPr>
          <w:rFonts w:ascii="Arial" w:hAnsi="Arial" w:cs="Arial"/>
        </w:rPr>
        <w:t xml:space="preserve">Building on this, another limitation mentioned was that with the increased use of the platform, there was a lack of in-person interactions with some parents. This meant that any ‘sensitive’ conversations were being conducted on the platform and could easily be misinterpreted. </w:t>
      </w:r>
      <w:r w:rsidR="00EF647A">
        <w:rPr>
          <w:rFonts w:ascii="Arial" w:hAnsi="Arial" w:cs="Arial"/>
        </w:rPr>
        <w:t xml:space="preserve">                                                                                                                                 Due to the use of this platform, when asked if there were any noticeable differences in parental engagement from foundation phase to key stage two, the answer was always no. This was because they felt the use of ClassDojo allowed parents to constantly communicate with the school, and organise any </w:t>
      </w:r>
      <w:r w:rsidR="00586D65">
        <w:rPr>
          <w:rFonts w:ascii="Arial" w:hAnsi="Arial" w:cs="Arial"/>
        </w:rPr>
        <w:t xml:space="preserve">in person communication if they felt necessary. </w:t>
      </w:r>
    </w:p>
    <w:p w:rsidR="000E2E7E" w:rsidRPr="0089492D" w:rsidRDefault="00877FC3" w:rsidP="000E2E7E">
      <w:pPr>
        <w:rPr>
          <w:rFonts w:ascii="Arial" w:hAnsi="Arial" w:cs="Arial"/>
        </w:rPr>
      </w:pPr>
      <w:r w:rsidRPr="0089492D">
        <w:rPr>
          <w:rFonts w:ascii="Arial" w:hAnsi="Arial" w:cs="Arial"/>
        </w:rPr>
        <w:t xml:space="preserve">The second most successful tool shared by the staff was the use of the Family Engagement Officer (FEO). The FEO is a member of staff within the school whose role is dedicated to communicating and supporting the families within the school. According to the FEO, the most important tool to ensure parents are engaged is to be an informal and trustworthy figure. </w:t>
      </w:r>
      <w:r w:rsidR="00604E51" w:rsidRPr="0089492D">
        <w:rPr>
          <w:rFonts w:ascii="Arial" w:hAnsi="Arial" w:cs="Arial"/>
        </w:rPr>
        <w:t xml:space="preserve">Leading on from this, the FEO explained that having these qualities makes a member of staff relatable and more approachable for a parent. Every participant included in both the semi-structured interviews and questionnaire mentioned that the FEO was the most efficient tool to ensure parental engagement continued. Some mentioned that if they were finding it difficult to contact certain families, the FEO would take control and ensure contact was made.                                                                      Although the role is extremely useful, the FEO mentioned some limitations that follow the role. The main limitation mentioned was that some staff members will use the FEO to continue communication with their </w:t>
      </w:r>
      <w:r w:rsidR="00EF647A" w:rsidRPr="0089492D">
        <w:rPr>
          <w:rFonts w:ascii="Arial" w:hAnsi="Arial" w:cs="Arial"/>
        </w:rPr>
        <w:t>student’s</w:t>
      </w:r>
      <w:r w:rsidR="00604E51" w:rsidRPr="0089492D">
        <w:rPr>
          <w:rFonts w:ascii="Arial" w:hAnsi="Arial" w:cs="Arial"/>
        </w:rPr>
        <w:t xml:space="preserve"> parents, rather than contacting themselves. This meant that communication would be completely lost between the parent and teacher and could potentially negatively impact the learning of the pupil involved. </w:t>
      </w:r>
    </w:p>
    <w:p w:rsidR="00604E51" w:rsidRPr="0089492D" w:rsidRDefault="00DF2574" w:rsidP="000E2E7E">
      <w:pPr>
        <w:rPr>
          <w:rFonts w:ascii="Arial" w:hAnsi="Arial" w:cs="Arial"/>
        </w:rPr>
      </w:pPr>
      <w:r w:rsidRPr="0089492D">
        <w:rPr>
          <w:rFonts w:ascii="Arial" w:hAnsi="Arial" w:cs="Arial"/>
        </w:rPr>
        <w:t>The third theme established was the increased benefits towards the holistic development of pupils. This theme also links with the implementation of theme four: creating meaningful informal interactions. According to the staff within the research school, the implementation of parental engagement improves student’s social, emotional and cognitive development. They suggested that each of th</w:t>
      </w:r>
      <w:r w:rsidR="00D70EB6" w:rsidRPr="0089492D">
        <w:rPr>
          <w:rFonts w:ascii="Arial" w:hAnsi="Arial" w:cs="Arial"/>
        </w:rPr>
        <w:t>e</w:t>
      </w:r>
      <w:r w:rsidRPr="0089492D">
        <w:rPr>
          <w:rFonts w:ascii="Arial" w:hAnsi="Arial" w:cs="Arial"/>
        </w:rPr>
        <w:t xml:space="preserve">se was improved through the implementation of </w:t>
      </w:r>
      <w:r w:rsidR="00D70EB6" w:rsidRPr="0089492D">
        <w:rPr>
          <w:rFonts w:ascii="Arial" w:hAnsi="Arial" w:cs="Arial"/>
        </w:rPr>
        <w:t xml:space="preserve">various parent and child activities conducted by the school. These were informal activities in which parents could take part with their child, allowing for meaningful interactions to take place. Some of the activities mentioned were cooking sessions and </w:t>
      </w:r>
      <w:r w:rsidR="00EF647A">
        <w:rPr>
          <w:rFonts w:ascii="Arial" w:hAnsi="Arial" w:cs="Arial"/>
        </w:rPr>
        <w:t>Read W</w:t>
      </w:r>
      <w:r w:rsidR="00D70EB6" w:rsidRPr="0089492D">
        <w:rPr>
          <w:rFonts w:ascii="Arial" w:hAnsi="Arial" w:cs="Arial"/>
        </w:rPr>
        <w:t xml:space="preserve">rite Inc sessions. By using these sessions, the school hoped to achieve a level of success which encouraged parents to continue these sessions within the home environment. Supporting these strategies </w:t>
      </w:r>
      <w:r w:rsidR="00D70EB6" w:rsidRPr="0089492D">
        <w:rPr>
          <w:rFonts w:ascii="Arial" w:hAnsi="Arial" w:cs="Arial"/>
        </w:rPr>
        <w:lastRenderedPageBreak/>
        <w:t xml:space="preserve">is Syakhrani (2024, p.624), who suggests that continued parental engagement within the home environment allows children to explore and express their emotions within a safe and supported environment. </w:t>
      </w:r>
      <w:r w:rsidR="00EF647A">
        <w:rPr>
          <w:rFonts w:ascii="Arial" w:hAnsi="Arial" w:cs="Arial"/>
        </w:rPr>
        <w:t xml:space="preserve">                                                                                               It was mentioned however that there was a gap in the benefits towards pupil’s holistic developments. It was acknowledged that the school doesn’t offer any parental engagement opportunities towards the health and wellbeing of their pupils. They saw this as an opportunity to reflect and improve to ensure they met each of the needs of their pupils.</w:t>
      </w:r>
    </w:p>
    <w:p w:rsidR="000E2E7E" w:rsidRPr="0089492D" w:rsidRDefault="000E2E7E" w:rsidP="000E2E7E">
      <w:pPr>
        <w:rPr>
          <w:rFonts w:ascii="Arial" w:hAnsi="Arial" w:cs="Arial"/>
        </w:rPr>
      </w:pPr>
      <w:r w:rsidRPr="0089492D">
        <w:rPr>
          <w:rFonts w:ascii="Arial" w:hAnsi="Arial" w:cs="Arial"/>
        </w:rPr>
        <w:t>Conclusions</w:t>
      </w:r>
    </w:p>
    <w:p w:rsidR="000E2E7E" w:rsidRPr="0089492D" w:rsidRDefault="006267B5" w:rsidP="000E2E7E">
      <w:pPr>
        <w:rPr>
          <w:rFonts w:ascii="Arial" w:hAnsi="Arial" w:cs="Arial"/>
        </w:rPr>
      </w:pPr>
      <w:r w:rsidRPr="0089492D">
        <w:rPr>
          <w:rFonts w:ascii="Arial" w:hAnsi="Arial" w:cs="Arial"/>
        </w:rPr>
        <w:t>To conclude, this case study was successful in implementing the use of literature to influence research methodologies. The literature provided a foundation of knowledge which could then be adapted by the researcher in order to find the relevant data needed. It helped to provide commonly shared views within education theory, as well as gaps within knowledge. These gaps allowed the researcher to conduct semi-structured interviews and a questionnaire, which provided deeper insight into the focus schools shared views on the research topic. These two research tools provided a large sample</w:t>
      </w:r>
      <w:r w:rsidR="00037AB0" w:rsidRPr="0089492D">
        <w:rPr>
          <w:rFonts w:ascii="Arial" w:hAnsi="Arial" w:cs="Arial"/>
        </w:rPr>
        <w:t xml:space="preserve"> of qualitative and quantitative </w:t>
      </w:r>
      <w:r w:rsidRPr="0089492D">
        <w:rPr>
          <w:rFonts w:ascii="Arial" w:hAnsi="Arial" w:cs="Arial"/>
        </w:rPr>
        <w:t xml:space="preserve">data making the research findings more reliable and consistent. By interviewing various members of staff, the researcher was able to not only </w:t>
      </w:r>
      <w:r w:rsidR="00037AB0" w:rsidRPr="0089492D">
        <w:rPr>
          <w:rFonts w:ascii="Arial" w:hAnsi="Arial" w:cs="Arial"/>
        </w:rPr>
        <w:t xml:space="preserve">identify commonly shared views by the staff within the school, but highlight any outlier/ anomalies within the data, where some members of staff shared a differing view to the majority of the sample. Following this, the researcher was provided with rich and credible information in which they will later be able to adapt to their own professional practice, as well as gaining confidence in conducting a case study. </w:t>
      </w:r>
      <w:r w:rsidR="00E0181D" w:rsidRPr="0089492D">
        <w:rPr>
          <w:rFonts w:ascii="Arial" w:hAnsi="Arial" w:cs="Arial"/>
        </w:rPr>
        <w:t xml:space="preserve">                                                                      </w:t>
      </w:r>
    </w:p>
    <w:p w:rsidR="00E0181D" w:rsidRPr="0089492D" w:rsidRDefault="00E0181D" w:rsidP="000E2E7E">
      <w:pPr>
        <w:rPr>
          <w:rFonts w:ascii="Arial" w:hAnsi="Arial" w:cs="Arial"/>
        </w:rPr>
      </w:pPr>
      <w:r w:rsidRPr="0089492D">
        <w:rPr>
          <w:rFonts w:ascii="Arial" w:hAnsi="Arial" w:cs="Arial"/>
        </w:rPr>
        <w:t>If the opportunity arose to complete similar research within the future, the researcher intends to adapt similar research methods, as well as expand further within this area. The researcher would like to participate in various other research tools like observation and interviewing school pupils also, which would provide a deeper more rel</w:t>
      </w:r>
      <w:r w:rsidR="0089492D">
        <w:rPr>
          <w:rFonts w:ascii="Arial" w:hAnsi="Arial" w:cs="Arial"/>
        </w:rPr>
        <w:t>iable set of data.</w:t>
      </w:r>
      <w:r w:rsidRPr="0089492D">
        <w:rPr>
          <w:rFonts w:ascii="Arial" w:hAnsi="Arial" w:cs="Arial"/>
        </w:rPr>
        <w:t xml:space="preserve"> Following this, the researcher would like to continue to complete research like this within their future practice to ensure they continue to strive for success, rather than becoming </w:t>
      </w:r>
      <w:r w:rsidR="00357C6B" w:rsidRPr="0089492D">
        <w:rPr>
          <w:rFonts w:ascii="Arial" w:hAnsi="Arial" w:cs="Arial"/>
        </w:rPr>
        <w:t>content in what they feel works well in the moment.</w:t>
      </w:r>
    </w:p>
    <w:p w:rsidR="000E2E7E" w:rsidRPr="0089492D" w:rsidRDefault="000E2E7E" w:rsidP="000E2E7E">
      <w:pPr>
        <w:rPr>
          <w:rFonts w:ascii="Arial" w:hAnsi="Arial" w:cs="Arial"/>
        </w:rPr>
      </w:pPr>
    </w:p>
    <w:p w:rsidR="000E2E7E" w:rsidRPr="0089492D" w:rsidRDefault="000E2E7E" w:rsidP="000E2E7E">
      <w:pPr>
        <w:rPr>
          <w:rFonts w:ascii="Arial" w:hAnsi="Arial" w:cs="Arial"/>
        </w:rPr>
      </w:pPr>
      <w:r w:rsidRPr="0089492D">
        <w:rPr>
          <w:rFonts w:ascii="Arial" w:hAnsi="Arial" w:cs="Arial"/>
        </w:rPr>
        <w:t>Recommendations</w:t>
      </w:r>
    </w:p>
    <w:p w:rsidR="000E2E7E" w:rsidRPr="0089492D" w:rsidRDefault="00BE15EA" w:rsidP="000E2E7E">
      <w:pPr>
        <w:rPr>
          <w:rFonts w:ascii="Arial" w:hAnsi="Arial" w:cs="Arial"/>
        </w:rPr>
      </w:pPr>
      <w:r w:rsidRPr="0089492D">
        <w:rPr>
          <w:rFonts w:ascii="Arial" w:hAnsi="Arial" w:cs="Arial"/>
        </w:rPr>
        <w:t xml:space="preserve">After completing the research study the researcher was able to recognise the high level of family engagement taking place within the research focus school. Despite this however, the researcher was able to establish some recommendations for the school in which could further develop the already successful strategies.                                                         The first recommendation offered was for the school to offer parents and carers with more flexible engagement opportunities. Within the data, it was clear that lots of the family engagement within the school community took place digitally. Some pupils </w:t>
      </w:r>
      <w:r w:rsidRPr="0089492D">
        <w:rPr>
          <w:rFonts w:ascii="Arial" w:hAnsi="Arial" w:cs="Arial"/>
        </w:rPr>
        <w:lastRenderedPageBreak/>
        <w:t xml:space="preserve">may be living with </w:t>
      </w:r>
      <w:r w:rsidR="00E0181D" w:rsidRPr="0089492D">
        <w:rPr>
          <w:rFonts w:ascii="Arial" w:hAnsi="Arial" w:cs="Arial"/>
        </w:rPr>
        <w:t>grandparent</w:t>
      </w:r>
      <w:r w:rsidRPr="0089492D">
        <w:rPr>
          <w:rFonts w:ascii="Arial" w:hAnsi="Arial" w:cs="Arial"/>
        </w:rPr>
        <w:t xml:space="preserve">, or </w:t>
      </w:r>
      <w:r w:rsidR="00E0181D" w:rsidRPr="0089492D">
        <w:rPr>
          <w:rFonts w:ascii="Arial" w:hAnsi="Arial" w:cs="Arial"/>
        </w:rPr>
        <w:t xml:space="preserve">be living with very limited access to technology. This could make this regular engagement very difficult for these families. Therefore, the researcher suggests that the school continues to engage digitally but also find various other ways in which this can be achieved. Following this, the researcher suggests that the school provides the staff with training on how to support and foster positive relationships with the parents/ families surrounding the school community. This training could include a deeper understanding of the various communities pupils come from, various communication strategies in order to support those surrounding the school.                                                                                          </w:t>
      </w:r>
      <w:r w:rsidR="0089492D">
        <w:rPr>
          <w:rFonts w:ascii="Arial" w:hAnsi="Arial" w:cs="Arial"/>
        </w:rPr>
        <w:t xml:space="preserve">                     </w:t>
      </w:r>
      <w:r w:rsidR="00E0181D" w:rsidRPr="0089492D">
        <w:rPr>
          <w:rFonts w:ascii="Arial" w:hAnsi="Arial" w:cs="Arial"/>
        </w:rPr>
        <w:t xml:space="preserve">  The final recommendation is that the school integrates the use of surveys/ questionnaires more frequently into their engagement process. This allows the parent/ carers voices to be heard in their preferred engagement strategies, and any other matters linking to family engagement. </w:t>
      </w:r>
    </w:p>
    <w:p w:rsidR="000E2E7E" w:rsidRPr="0089492D" w:rsidRDefault="000E2E7E" w:rsidP="000E2E7E">
      <w:pPr>
        <w:rPr>
          <w:rFonts w:ascii="Arial" w:hAnsi="Arial" w:cs="Arial"/>
        </w:rPr>
      </w:pPr>
    </w:p>
    <w:p w:rsidR="000E2E7E" w:rsidRPr="0089492D" w:rsidRDefault="000E2E7E" w:rsidP="000E2E7E">
      <w:pPr>
        <w:rPr>
          <w:rFonts w:ascii="Arial" w:hAnsi="Arial" w:cs="Arial"/>
        </w:rPr>
      </w:pPr>
      <w:r w:rsidRPr="0089492D">
        <w:rPr>
          <w:rFonts w:ascii="Arial" w:hAnsi="Arial" w:cs="Arial"/>
        </w:rPr>
        <w:t>Reference List</w:t>
      </w:r>
    </w:p>
    <w:p w:rsidR="000E2E7E" w:rsidRPr="0089492D" w:rsidRDefault="000E2E7E" w:rsidP="000E2E7E">
      <w:pPr>
        <w:rPr>
          <w:rFonts w:ascii="Arial" w:hAnsi="Arial" w:cs="Arial"/>
        </w:rPr>
      </w:pPr>
    </w:p>
    <w:p w:rsidR="00CD7FA4" w:rsidRPr="0089492D" w:rsidRDefault="00CD7FA4" w:rsidP="0089492D">
      <w:pPr>
        <w:rPr>
          <w:rFonts w:ascii="Arial" w:hAnsi="Arial" w:cs="Arial"/>
        </w:rPr>
      </w:pPr>
      <w:r w:rsidRPr="0089492D">
        <w:rPr>
          <w:rFonts w:ascii="Arial" w:hAnsi="Arial" w:cs="Arial"/>
        </w:rPr>
        <w:t xml:space="preserve">BERA (2018), </w:t>
      </w:r>
      <w:r w:rsidRPr="0089492D">
        <w:rPr>
          <w:rFonts w:ascii="Arial" w:hAnsi="Arial" w:cs="Arial"/>
          <w:i/>
        </w:rPr>
        <w:t xml:space="preserve">Ethical guidelines for educational research. </w:t>
      </w:r>
      <w:r w:rsidRPr="0089492D">
        <w:rPr>
          <w:rFonts w:ascii="Arial" w:hAnsi="Arial" w:cs="Arial"/>
        </w:rPr>
        <w:t xml:space="preserve">Available at: </w:t>
      </w:r>
      <w:hyperlink r:id="rId8" w:history="1">
        <w:r w:rsidRPr="0089492D">
          <w:rPr>
            <w:rStyle w:val="Hyperlink"/>
            <w:rFonts w:ascii="Arial" w:hAnsi="Arial" w:cs="Arial"/>
            <w:color w:val="auto"/>
          </w:rPr>
          <w:t>https://www.bera.ac.uk/wp-content/uploads/2018/06/BERA-Ethical-Guidelines-for-Educational-Research_4thEdn_2018.pdf?noredirect=1</w:t>
        </w:r>
      </w:hyperlink>
      <w:r w:rsidRPr="0089492D">
        <w:rPr>
          <w:rFonts w:ascii="Arial" w:hAnsi="Arial" w:cs="Arial"/>
        </w:rPr>
        <w:t xml:space="preserve">     Accessed: 31/12/24.</w:t>
      </w:r>
    </w:p>
    <w:p w:rsidR="00CD7FA4" w:rsidRPr="0089492D" w:rsidRDefault="00CD7FA4" w:rsidP="0089492D">
      <w:pPr>
        <w:rPr>
          <w:rFonts w:ascii="Arial" w:hAnsi="Arial" w:cs="Arial"/>
          <w:shd w:val="clear" w:color="auto" w:fill="FFFFFF"/>
        </w:rPr>
      </w:pPr>
      <w:r w:rsidRPr="0089492D">
        <w:rPr>
          <w:rFonts w:ascii="Arial" w:hAnsi="Arial" w:cs="Arial"/>
          <w:shd w:val="clear" w:color="auto" w:fill="FFFFFF"/>
        </w:rPr>
        <w:t xml:space="preserve">Byrne, D., (2022). </w:t>
      </w:r>
      <w:r w:rsidRPr="0089492D">
        <w:rPr>
          <w:rFonts w:ascii="Arial" w:hAnsi="Arial" w:cs="Arial"/>
          <w:i/>
          <w:shd w:val="clear" w:color="auto" w:fill="FFFFFF"/>
        </w:rPr>
        <w:t>A worked example of Braun and Clarke’s approach to reflexive thematic analysis.</w:t>
      </w:r>
      <w:r w:rsidRPr="0089492D">
        <w:rPr>
          <w:rFonts w:ascii="Arial" w:hAnsi="Arial" w:cs="Arial"/>
          <w:shd w:val="clear" w:color="auto" w:fill="FFFFFF"/>
        </w:rPr>
        <w:t> </w:t>
      </w:r>
      <w:r w:rsidRPr="0089492D">
        <w:rPr>
          <w:rFonts w:ascii="Arial" w:hAnsi="Arial" w:cs="Arial"/>
          <w:i/>
          <w:iCs/>
          <w:shd w:val="clear" w:color="auto" w:fill="FFFFFF"/>
        </w:rPr>
        <w:t>Quality &amp; quantity</w:t>
      </w:r>
      <w:r w:rsidRPr="0089492D">
        <w:rPr>
          <w:rFonts w:ascii="Arial" w:hAnsi="Arial" w:cs="Arial"/>
          <w:shd w:val="clear" w:color="auto" w:fill="FFFFFF"/>
        </w:rPr>
        <w:t>, </w:t>
      </w:r>
      <w:r w:rsidRPr="0089492D">
        <w:rPr>
          <w:rFonts w:ascii="Arial" w:hAnsi="Arial" w:cs="Arial"/>
          <w:i/>
          <w:iCs/>
          <w:shd w:val="clear" w:color="auto" w:fill="FFFFFF"/>
        </w:rPr>
        <w:t>56</w:t>
      </w:r>
      <w:r w:rsidRPr="0089492D">
        <w:rPr>
          <w:rFonts w:ascii="Arial" w:hAnsi="Arial" w:cs="Arial"/>
          <w:shd w:val="clear" w:color="auto" w:fill="FFFFFF"/>
        </w:rPr>
        <w:t>(3), pp.1391-1412.</w:t>
      </w:r>
    </w:p>
    <w:p w:rsidR="00CD7FA4" w:rsidRPr="0089492D" w:rsidRDefault="00CD7FA4" w:rsidP="0089492D">
      <w:pPr>
        <w:rPr>
          <w:rFonts w:ascii="Arial" w:hAnsi="Arial" w:cs="Arial"/>
        </w:rPr>
      </w:pPr>
      <w:r w:rsidRPr="0089492D">
        <w:rPr>
          <w:rFonts w:ascii="Arial" w:hAnsi="Arial" w:cs="Arial"/>
        </w:rPr>
        <w:t xml:space="preserve">Cajkler, W., Wood, P., Norton, J., Pedder, D., &amp; xu, H. (2014), </w:t>
      </w:r>
      <w:r w:rsidRPr="0089492D">
        <w:rPr>
          <w:rFonts w:ascii="Arial" w:hAnsi="Arial" w:cs="Arial"/>
          <w:i/>
        </w:rPr>
        <w:t xml:space="preserve">Teacher perspectives about lesson study in secondary school department. </w:t>
      </w:r>
      <w:r w:rsidRPr="0089492D">
        <w:rPr>
          <w:rFonts w:ascii="Arial" w:hAnsi="Arial" w:cs="Arial"/>
        </w:rPr>
        <w:t xml:space="preserve">Research papers in education, 30(2), 192-213. </w:t>
      </w:r>
      <w:hyperlink r:id="rId9" w:history="1">
        <w:r w:rsidRPr="0089492D">
          <w:rPr>
            <w:rStyle w:val="Hyperlink"/>
            <w:rFonts w:ascii="Arial" w:hAnsi="Arial" w:cs="Arial"/>
            <w:color w:val="auto"/>
          </w:rPr>
          <w:t>https://doi.org/10.1080/02671522.2014.887139</w:t>
        </w:r>
      </w:hyperlink>
      <w:r w:rsidRPr="0089492D">
        <w:rPr>
          <w:rFonts w:ascii="Arial" w:hAnsi="Arial" w:cs="Arial"/>
        </w:rPr>
        <w:t>.</w:t>
      </w:r>
    </w:p>
    <w:p w:rsidR="00CD7FA4" w:rsidRPr="00CD7FA4" w:rsidRDefault="00CD7FA4" w:rsidP="0089492D">
      <w:pPr>
        <w:rPr>
          <w:rFonts w:ascii="Arial" w:hAnsi="Arial" w:cs="Arial"/>
        </w:rPr>
      </w:pPr>
      <w:r>
        <w:rPr>
          <w:rFonts w:ascii="Arial" w:hAnsi="Arial" w:cs="Arial"/>
        </w:rPr>
        <w:t xml:space="preserve">Cambridge Dictionary (2025), </w:t>
      </w:r>
      <w:r>
        <w:rPr>
          <w:rFonts w:ascii="Arial" w:hAnsi="Arial" w:cs="Arial"/>
          <w:i/>
        </w:rPr>
        <w:t xml:space="preserve">Meaning of Holistic in English. </w:t>
      </w:r>
      <w:r>
        <w:rPr>
          <w:rFonts w:ascii="Arial" w:hAnsi="Arial" w:cs="Arial"/>
        </w:rPr>
        <w:t xml:space="preserve">Available at: </w:t>
      </w:r>
      <w:hyperlink r:id="rId10" w:history="1">
        <w:r w:rsidRPr="00CD7FA4">
          <w:rPr>
            <w:rStyle w:val="Hyperlink"/>
            <w:rFonts w:ascii="Arial" w:hAnsi="Arial" w:cs="Arial"/>
            <w:color w:val="auto"/>
          </w:rPr>
          <w:t>https://dictionary.cambridge.org/dictionary/english/holistic</w:t>
        </w:r>
      </w:hyperlink>
      <w:r>
        <w:rPr>
          <w:rFonts w:ascii="Arial" w:hAnsi="Arial" w:cs="Arial"/>
        </w:rPr>
        <w:t xml:space="preserve">  Accessed: 4/1/25.</w:t>
      </w:r>
    </w:p>
    <w:p w:rsidR="00CD7FA4" w:rsidRPr="0089492D" w:rsidRDefault="00CD7FA4" w:rsidP="0089492D">
      <w:pPr>
        <w:rPr>
          <w:rFonts w:ascii="Arial" w:hAnsi="Arial" w:cs="Arial"/>
        </w:rPr>
      </w:pPr>
      <w:r w:rsidRPr="0089492D">
        <w:rPr>
          <w:rFonts w:ascii="Arial" w:hAnsi="Arial" w:cs="Arial"/>
        </w:rPr>
        <w:t xml:space="preserve">Cohen (2017), </w:t>
      </w:r>
      <w:r w:rsidRPr="0089492D">
        <w:rPr>
          <w:rFonts w:ascii="Arial" w:hAnsi="Arial" w:cs="Arial"/>
          <w:i/>
        </w:rPr>
        <w:t xml:space="preserve">Research methods in education. </w:t>
      </w:r>
      <w:r w:rsidRPr="0089492D">
        <w:rPr>
          <w:rFonts w:ascii="Arial" w:hAnsi="Arial" w:cs="Arial"/>
        </w:rPr>
        <w:t xml:space="preserve">Routledge. </w:t>
      </w:r>
    </w:p>
    <w:p w:rsidR="00CD7FA4" w:rsidRPr="0089492D" w:rsidRDefault="00CD7FA4" w:rsidP="0089492D">
      <w:pPr>
        <w:rPr>
          <w:rFonts w:ascii="Arial" w:hAnsi="Arial" w:cs="Arial"/>
        </w:rPr>
      </w:pPr>
      <w:r w:rsidRPr="0089492D">
        <w:rPr>
          <w:rFonts w:ascii="Arial" w:hAnsi="Arial" w:cs="Arial"/>
        </w:rPr>
        <w:t xml:space="preserve">Curriculum for Wales (2023), </w:t>
      </w:r>
      <w:r w:rsidRPr="0089492D">
        <w:rPr>
          <w:rFonts w:ascii="Arial" w:hAnsi="Arial" w:cs="Arial"/>
          <w:i/>
        </w:rPr>
        <w:t xml:space="preserve">Enabling Learning. </w:t>
      </w:r>
      <w:r w:rsidRPr="0089492D">
        <w:rPr>
          <w:rFonts w:ascii="Arial" w:hAnsi="Arial" w:cs="Arial"/>
        </w:rPr>
        <w:t xml:space="preserve">Available at: </w:t>
      </w:r>
      <w:hyperlink r:id="rId11" w:history="1">
        <w:r w:rsidRPr="0089492D">
          <w:rPr>
            <w:rStyle w:val="Hyperlink"/>
            <w:rFonts w:ascii="Arial" w:hAnsi="Arial" w:cs="Arial"/>
            <w:color w:val="auto"/>
          </w:rPr>
          <w:t>https://hwb.gov.wales/curriculum-for-wales/designing-your-curriculum/enabling-learning/</w:t>
        </w:r>
      </w:hyperlink>
      <w:r w:rsidRPr="0089492D">
        <w:rPr>
          <w:rFonts w:ascii="Arial" w:hAnsi="Arial" w:cs="Arial"/>
        </w:rPr>
        <w:t xml:space="preserve">   Accessed: 29/12/24.</w:t>
      </w:r>
    </w:p>
    <w:p w:rsidR="00CD7FA4" w:rsidRPr="0089492D" w:rsidRDefault="00CD7FA4" w:rsidP="0089492D">
      <w:pPr>
        <w:rPr>
          <w:rFonts w:ascii="Arial" w:hAnsi="Arial" w:cs="Arial"/>
        </w:rPr>
      </w:pPr>
      <w:r w:rsidRPr="0089492D">
        <w:rPr>
          <w:rFonts w:ascii="Arial" w:hAnsi="Arial" w:cs="Arial"/>
        </w:rPr>
        <w:t xml:space="preserve">Denscombe (2014), </w:t>
      </w:r>
      <w:r w:rsidRPr="0089492D">
        <w:rPr>
          <w:rFonts w:ascii="Arial" w:hAnsi="Arial" w:cs="Arial"/>
          <w:i/>
        </w:rPr>
        <w:t xml:space="preserve">The good research guide. </w:t>
      </w:r>
      <w:r w:rsidRPr="0089492D">
        <w:rPr>
          <w:rFonts w:ascii="Arial" w:hAnsi="Arial" w:cs="Arial"/>
        </w:rPr>
        <w:t>Open university press.</w:t>
      </w:r>
    </w:p>
    <w:p w:rsidR="00CD7FA4" w:rsidRPr="0089492D" w:rsidRDefault="00CD7FA4" w:rsidP="0089492D">
      <w:pPr>
        <w:rPr>
          <w:rFonts w:ascii="Arial" w:hAnsi="Arial" w:cs="Arial"/>
          <w:shd w:val="clear" w:color="auto" w:fill="FFFFFF"/>
        </w:rPr>
      </w:pPr>
      <w:r w:rsidRPr="0089492D">
        <w:rPr>
          <w:rFonts w:ascii="Arial" w:hAnsi="Arial" w:cs="Arial"/>
          <w:shd w:val="clear" w:color="auto" w:fill="FFFFFF"/>
        </w:rPr>
        <w:t>Durisic, M., &amp; Bunijevac, M. (2017). Parental involvement as an important factor for successful education. </w:t>
      </w:r>
      <w:r w:rsidRPr="0089492D">
        <w:rPr>
          <w:rFonts w:ascii="Arial" w:hAnsi="Arial" w:cs="Arial"/>
          <w:i/>
          <w:iCs/>
          <w:shd w:val="clear" w:color="auto" w:fill="FFFFFF"/>
        </w:rPr>
        <w:t>CEPS Journal</w:t>
      </w:r>
      <w:r w:rsidRPr="0089492D">
        <w:rPr>
          <w:rFonts w:ascii="Arial" w:hAnsi="Arial" w:cs="Arial"/>
          <w:shd w:val="clear" w:color="auto" w:fill="FFFFFF"/>
        </w:rPr>
        <w:t>, </w:t>
      </w:r>
      <w:r w:rsidRPr="0089492D">
        <w:rPr>
          <w:rFonts w:ascii="Arial" w:hAnsi="Arial" w:cs="Arial"/>
          <w:i/>
          <w:iCs/>
          <w:shd w:val="clear" w:color="auto" w:fill="FFFFFF"/>
        </w:rPr>
        <w:t>7</w:t>
      </w:r>
      <w:r w:rsidRPr="0089492D">
        <w:rPr>
          <w:rFonts w:ascii="Arial" w:hAnsi="Arial" w:cs="Arial"/>
          <w:shd w:val="clear" w:color="auto" w:fill="FFFFFF"/>
        </w:rPr>
        <w:t xml:space="preserve">(3), 137–153. </w:t>
      </w:r>
      <w:hyperlink r:id="rId12" w:history="1">
        <w:r w:rsidRPr="0089492D">
          <w:rPr>
            <w:rStyle w:val="Hyperlink"/>
            <w:rFonts w:ascii="Arial" w:hAnsi="Arial" w:cs="Arial"/>
            <w:color w:val="auto"/>
            <w:shd w:val="clear" w:color="auto" w:fill="FFFFFF"/>
          </w:rPr>
          <w:t>https://doi.org/10.26529/cepsj.291</w:t>
        </w:r>
      </w:hyperlink>
    </w:p>
    <w:p w:rsidR="00CD7FA4" w:rsidRPr="0089492D" w:rsidRDefault="00CD7FA4" w:rsidP="0089492D">
      <w:pPr>
        <w:rPr>
          <w:rFonts w:ascii="Arial" w:hAnsi="Arial" w:cs="Arial"/>
        </w:rPr>
      </w:pPr>
      <w:r w:rsidRPr="0089492D">
        <w:rPr>
          <w:rFonts w:ascii="Arial" w:hAnsi="Arial" w:cs="Arial"/>
        </w:rPr>
        <w:t xml:space="preserve">Emerson, Fear, Fox, Sanders, (2012), </w:t>
      </w:r>
      <w:r w:rsidRPr="0089492D">
        <w:rPr>
          <w:rFonts w:ascii="Arial" w:hAnsi="Arial" w:cs="Arial"/>
          <w:i/>
        </w:rPr>
        <w:t xml:space="preserve">Parent engagement in learning and schooling: lessons from research. </w:t>
      </w:r>
      <w:r w:rsidRPr="0089492D">
        <w:rPr>
          <w:rFonts w:ascii="Arial" w:hAnsi="Arial" w:cs="Arial"/>
        </w:rPr>
        <w:t xml:space="preserve">Available at: </w:t>
      </w:r>
      <w:hyperlink r:id="rId13" w:history="1">
        <w:r w:rsidRPr="0089492D">
          <w:rPr>
            <w:rStyle w:val="Hyperlink"/>
            <w:rFonts w:ascii="Arial" w:hAnsi="Arial" w:cs="Arial"/>
            <w:color w:val="auto"/>
          </w:rPr>
          <w:t>https://www.communityhubs.org.au/wp-</w:t>
        </w:r>
        <w:r w:rsidRPr="0089492D">
          <w:rPr>
            <w:rStyle w:val="Hyperlink"/>
            <w:rFonts w:ascii="Arial" w:hAnsi="Arial" w:cs="Arial"/>
            <w:color w:val="auto"/>
          </w:rPr>
          <w:lastRenderedPageBreak/>
          <w:t>content/uploads/2017/10/Parental_engagement_in_learning_and_schooling_Lessons_from_research_BUREAU_ARACY_August_2012.pdf</w:t>
        </w:r>
      </w:hyperlink>
      <w:r w:rsidRPr="0089492D">
        <w:rPr>
          <w:rFonts w:ascii="Arial" w:hAnsi="Arial" w:cs="Arial"/>
        </w:rPr>
        <w:t xml:space="preserve">  Accessed: 18/12/24.</w:t>
      </w:r>
    </w:p>
    <w:p w:rsidR="00CD7FA4" w:rsidRPr="0089492D" w:rsidRDefault="00CD7FA4" w:rsidP="0089492D">
      <w:pPr>
        <w:rPr>
          <w:rFonts w:ascii="Arial" w:hAnsi="Arial" w:cs="Arial"/>
        </w:rPr>
      </w:pPr>
      <w:r w:rsidRPr="0089492D">
        <w:rPr>
          <w:rFonts w:ascii="Arial" w:hAnsi="Arial" w:cs="Arial"/>
        </w:rPr>
        <w:t xml:space="preserve">ESTYN (2020), </w:t>
      </w:r>
      <w:r w:rsidRPr="0089492D">
        <w:rPr>
          <w:rFonts w:ascii="Arial" w:hAnsi="Arial" w:cs="Arial"/>
          <w:i/>
        </w:rPr>
        <w:t xml:space="preserve">Parental engagement sessions promote continuity in children’s learning experiences.  </w:t>
      </w:r>
      <w:r w:rsidRPr="0089492D">
        <w:rPr>
          <w:rFonts w:ascii="Arial" w:hAnsi="Arial" w:cs="Arial"/>
        </w:rPr>
        <w:t xml:space="preserve">Available at: </w:t>
      </w:r>
      <w:hyperlink r:id="rId14" w:history="1">
        <w:r w:rsidRPr="0089492D">
          <w:rPr>
            <w:rStyle w:val="Hyperlink"/>
            <w:rFonts w:ascii="Arial" w:hAnsi="Arial" w:cs="Arial"/>
            <w:color w:val="auto"/>
          </w:rPr>
          <w:t>https://estyn.gov.wales/improvement-resources/parental-engagement-sessions-promote-continuity-in-childrens-learning-experiences/</w:t>
        </w:r>
      </w:hyperlink>
      <w:r w:rsidRPr="0089492D">
        <w:rPr>
          <w:rFonts w:ascii="Arial" w:hAnsi="Arial" w:cs="Arial"/>
        </w:rPr>
        <w:t xml:space="preserve">   Accessed: 29/12/24.</w:t>
      </w:r>
    </w:p>
    <w:p w:rsidR="00CD7FA4" w:rsidRPr="0089492D" w:rsidRDefault="00CD7FA4" w:rsidP="0089492D">
      <w:pPr>
        <w:rPr>
          <w:rFonts w:ascii="Arial" w:hAnsi="Arial" w:cs="Arial"/>
          <w:shd w:val="clear" w:color="auto" w:fill="FFFFFF"/>
        </w:rPr>
      </w:pPr>
      <w:r w:rsidRPr="0089492D">
        <w:rPr>
          <w:rFonts w:ascii="Arial" w:hAnsi="Arial" w:cs="Arial"/>
          <w:shd w:val="clear" w:color="auto" w:fill="FFFFFF"/>
        </w:rPr>
        <w:t xml:space="preserve">Evans, J.R. and Mathur, A., (2005). </w:t>
      </w:r>
      <w:r w:rsidRPr="0089492D">
        <w:rPr>
          <w:rFonts w:ascii="Arial" w:hAnsi="Arial" w:cs="Arial"/>
          <w:i/>
          <w:shd w:val="clear" w:color="auto" w:fill="FFFFFF"/>
        </w:rPr>
        <w:t>The value of online surveys.</w:t>
      </w:r>
      <w:r w:rsidRPr="0089492D">
        <w:rPr>
          <w:rFonts w:ascii="Arial" w:hAnsi="Arial" w:cs="Arial"/>
          <w:shd w:val="clear" w:color="auto" w:fill="FFFFFF"/>
        </w:rPr>
        <w:t> </w:t>
      </w:r>
      <w:r w:rsidRPr="0089492D">
        <w:rPr>
          <w:rFonts w:ascii="Arial" w:hAnsi="Arial" w:cs="Arial"/>
          <w:i/>
          <w:iCs/>
          <w:shd w:val="clear" w:color="auto" w:fill="FFFFFF"/>
        </w:rPr>
        <w:t>Internet research</w:t>
      </w:r>
      <w:r w:rsidRPr="0089492D">
        <w:rPr>
          <w:rFonts w:ascii="Arial" w:hAnsi="Arial" w:cs="Arial"/>
          <w:shd w:val="clear" w:color="auto" w:fill="FFFFFF"/>
        </w:rPr>
        <w:t>, </w:t>
      </w:r>
      <w:r w:rsidRPr="0089492D">
        <w:rPr>
          <w:rFonts w:ascii="Arial" w:hAnsi="Arial" w:cs="Arial"/>
          <w:i/>
          <w:iCs/>
          <w:shd w:val="clear" w:color="auto" w:fill="FFFFFF"/>
        </w:rPr>
        <w:t>15</w:t>
      </w:r>
      <w:r w:rsidRPr="0089492D">
        <w:rPr>
          <w:rFonts w:ascii="Arial" w:hAnsi="Arial" w:cs="Arial"/>
          <w:shd w:val="clear" w:color="auto" w:fill="FFFFFF"/>
        </w:rPr>
        <w:t>(2), pp.195-219.</w:t>
      </w:r>
    </w:p>
    <w:p w:rsidR="00CD7FA4" w:rsidRPr="0089492D" w:rsidRDefault="00CD7FA4" w:rsidP="0089492D">
      <w:pPr>
        <w:rPr>
          <w:rFonts w:ascii="Arial" w:hAnsi="Arial" w:cs="Arial"/>
        </w:rPr>
      </w:pPr>
      <w:r w:rsidRPr="0089492D">
        <w:rPr>
          <w:rFonts w:ascii="Arial" w:hAnsi="Arial" w:cs="Arial"/>
        </w:rPr>
        <w:t xml:space="preserve">Goodall, Janet (2018), </w:t>
      </w:r>
      <w:r w:rsidRPr="0089492D">
        <w:rPr>
          <w:rFonts w:ascii="Arial" w:hAnsi="Arial" w:cs="Arial"/>
          <w:i/>
        </w:rPr>
        <w:t xml:space="preserve">Leading for parental engagement working towards partnership. School leadership management. </w:t>
      </w:r>
      <w:r w:rsidRPr="0089492D">
        <w:rPr>
          <w:rFonts w:ascii="Arial" w:hAnsi="Arial" w:cs="Arial"/>
        </w:rPr>
        <w:t>38.2 (2018): 143-146.</w:t>
      </w:r>
    </w:p>
    <w:p w:rsidR="00CD7FA4" w:rsidRPr="0089492D" w:rsidRDefault="00CD7FA4" w:rsidP="0089492D">
      <w:pPr>
        <w:rPr>
          <w:rFonts w:ascii="Arial" w:hAnsi="Arial" w:cs="Arial"/>
          <w:shd w:val="clear" w:color="auto" w:fill="FFFFFF"/>
        </w:rPr>
      </w:pPr>
      <w:r w:rsidRPr="0089492D">
        <w:rPr>
          <w:rFonts w:ascii="Arial" w:hAnsi="Arial" w:cs="Arial"/>
          <w:shd w:val="clear" w:color="auto" w:fill="FFFFFF"/>
        </w:rPr>
        <w:t>Jones, C., &amp; Palikara, O. (2023). How do parents and school staff conceptualize parental engagement? A primary school case study. </w:t>
      </w:r>
      <w:r w:rsidRPr="0089492D">
        <w:rPr>
          <w:rFonts w:ascii="Arial" w:hAnsi="Arial" w:cs="Arial"/>
          <w:i/>
          <w:iCs/>
          <w:shd w:val="clear" w:color="auto" w:fill="FFFFFF"/>
        </w:rPr>
        <w:t>Frontiers in Education</w:t>
      </w:r>
      <w:r w:rsidRPr="0089492D">
        <w:rPr>
          <w:rFonts w:ascii="Arial" w:hAnsi="Arial" w:cs="Arial"/>
          <w:shd w:val="clear" w:color="auto" w:fill="FFFFFF"/>
        </w:rPr>
        <w:t>, </w:t>
      </w:r>
      <w:r w:rsidRPr="0089492D">
        <w:rPr>
          <w:rFonts w:ascii="Arial" w:hAnsi="Arial" w:cs="Arial"/>
          <w:i/>
          <w:iCs/>
          <w:shd w:val="clear" w:color="auto" w:fill="FFFFFF"/>
        </w:rPr>
        <w:t>8</w:t>
      </w:r>
      <w:r w:rsidRPr="0089492D">
        <w:rPr>
          <w:rFonts w:ascii="Arial" w:hAnsi="Arial" w:cs="Arial"/>
          <w:shd w:val="clear" w:color="auto" w:fill="FFFFFF"/>
        </w:rPr>
        <w:t xml:space="preserve">. </w:t>
      </w:r>
      <w:hyperlink r:id="rId15" w:history="1">
        <w:r w:rsidRPr="0089492D">
          <w:rPr>
            <w:rStyle w:val="Hyperlink"/>
            <w:rFonts w:ascii="Arial" w:hAnsi="Arial" w:cs="Arial"/>
            <w:color w:val="auto"/>
            <w:shd w:val="clear" w:color="auto" w:fill="FFFFFF"/>
          </w:rPr>
          <w:t>https://doi.org/10.3389/feduc.2023.990204</w:t>
        </w:r>
      </w:hyperlink>
    </w:p>
    <w:p w:rsidR="00CD7FA4" w:rsidRPr="0089492D" w:rsidRDefault="00CD7FA4" w:rsidP="0089492D">
      <w:pPr>
        <w:rPr>
          <w:rFonts w:ascii="Arial" w:hAnsi="Arial" w:cs="Arial"/>
        </w:rPr>
      </w:pPr>
      <w:r w:rsidRPr="0089492D">
        <w:rPr>
          <w:rFonts w:ascii="Arial" w:hAnsi="Arial" w:cs="Arial"/>
          <w:shd w:val="clear" w:color="auto" w:fill="FFFFFF"/>
        </w:rPr>
        <w:t xml:space="preserve">Karatsareas, P., (2022) </w:t>
      </w:r>
      <w:r w:rsidRPr="0089492D">
        <w:rPr>
          <w:rFonts w:ascii="Arial" w:hAnsi="Arial" w:cs="Arial"/>
          <w:i/>
          <w:shd w:val="clear" w:color="auto" w:fill="FFFFFF"/>
        </w:rPr>
        <w:t>Semi-structured interviews</w:t>
      </w:r>
      <w:r w:rsidRPr="0089492D">
        <w:rPr>
          <w:rFonts w:ascii="Arial" w:hAnsi="Arial" w:cs="Arial"/>
          <w:shd w:val="clear" w:color="auto" w:fill="FFFFFF"/>
        </w:rPr>
        <w:t>. </w:t>
      </w:r>
      <w:r w:rsidRPr="0089492D">
        <w:rPr>
          <w:rFonts w:ascii="Arial" w:hAnsi="Arial" w:cs="Arial"/>
          <w:i/>
          <w:iCs/>
          <w:shd w:val="clear" w:color="auto" w:fill="FFFFFF"/>
        </w:rPr>
        <w:t>Research methods in language attitudes</w:t>
      </w:r>
      <w:r w:rsidRPr="0089492D">
        <w:rPr>
          <w:rFonts w:ascii="Arial" w:hAnsi="Arial" w:cs="Arial"/>
          <w:shd w:val="clear" w:color="auto" w:fill="FFFFFF"/>
        </w:rPr>
        <w:t>, pp.99-113.</w:t>
      </w:r>
    </w:p>
    <w:p w:rsidR="00CD7FA4" w:rsidRPr="0089492D" w:rsidRDefault="00CD7FA4" w:rsidP="0089492D">
      <w:pPr>
        <w:rPr>
          <w:rFonts w:ascii="Arial" w:hAnsi="Arial" w:cs="Arial"/>
        </w:rPr>
      </w:pPr>
      <w:r w:rsidRPr="0089492D">
        <w:rPr>
          <w:rFonts w:ascii="Arial" w:hAnsi="Arial" w:cs="Arial"/>
        </w:rPr>
        <w:t xml:space="preserve">McLeod (2024), </w:t>
      </w:r>
      <w:r w:rsidRPr="0089492D">
        <w:rPr>
          <w:rFonts w:ascii="Arial" w:hAnsi="Arial" w:cs="Arial"/>
          <w:i/>
        </w:rPr>
        <w:t xml:space="preserve">Albert Bandura’s Social Learning Theory. </w:t>
      </w:r>
      <w:r w:rsidRPr="0089492D">
        <w:rPr>
          <w:rFonts w:ascii="Arial" w:hAnsi="Arial" w:cs="Arial"/>
        </w:rPr>
        <w:t xml:space="preserve">Available at: </w:t>
      </w:r>
      <w:hyperlink r:id="rId16" w:history="1">
        <w:r w:rsidRPr="0089492D">
          <w:rPr>
            <w:rStyle w:val="Hyperlink"/>
            <w:rFonts w:ascii="Arial" w:hAnsi="Arial" w:cs="Arial"/>
            <w:color w:val="auto"/>
          </w:rPr>
          <w:t>https://www.simplypsychology.org/bandura.html</w:t>
        </w:r>
      </w:hyperlink>
      <w:r w:rsidRPr="0089492D">
        <w:rPr>
          <w:rFonts w:ascii="Arial" w:hAnsi="Arial" w:cs="Arial"/>
        </w:rPr>
        <w:t xml:space="preserve">   Accessed: 29/12/24.</w:t>
      </w:r>
    </w:p>
    <w:p w:rsidR="00CD7FA4" w:rsidRPr="0089492D" w:rsidRDefault="00CD7FA4" w:rsidP="0089492D">
      <w:pPr>
        <w:rPr>
          <w:rFonts w:ascii="Arial" w:hAnsi="Arial" w:cs="Arial"/>
          <w:shd w:val="clear" w:color="auto" w:fill="FFFFFF"/>
        </w:rPr>
      </w:pPr>
      <w:r w:rsidRPr="0089492D">
        <w:rPr>
          <w:rFonts w:ascii="Arial" w:hAnsi="Arial" w:cs="Arial"/>
          <w:shd w:val="clear" w:color="auto" w:fill="FFFFFF"/>
        </w:rPr>
        <w:t xml:space="preserve">Mihaela, R., Luminita, S.M. and Veronica, B., (2022). </w:t>
      </w:r>
      <w:r w:rsidRPr="0089492D">
        <w:rPr>
          <w:rFonts w:ascii="Arial" w:hAnsi="Arial" w:cs="Arial"/>
          <w:i/>
          <w:shd w:val="clear" w:color="auto" w:fill="FFFFFF"/>
        </w:rPr>
        <w:t>The effects of teachers overworking on educational activity. </w:t>
      </w:r>
      <w:r w:rsidRPr="0089492D">
        <w:rPr>
          <w:rFonts w:ascii="Arial" w:hAnsi="Arial" w:cs="Arial"/>
          <w:i/>
          <w:iCs/>
          <w:shd w:val="clear" w:color="auto" w:fill="FFFFFF"/>
        </w:rPr>
        <w:t>Technium Soc. Sci. J.</w:t>
      </w:r>
      <w:r w:rsidRPr="0089492D">
        <w:rPr>
          <w:rFonts w:ascii="Arial" w:hAnsi="Arial" w:cs="Arial"/>
          <w:shd w:val="clear" w:color="auto" w:fill="FFFFFF"/>
        </w:rPr>
        <w:t>, </w:t>
      </w:r>
      <w:r w:rsidRPr="0089492D">
        <w:rPr>
          <w:rFonts w:ascii="Arial" w:hAnsi="Arial" w:cs="Arial"/>
          <w:i/>
          <w:iCs/>
          <w:shd w:val="clear" w:color="auto" w:fill="FFFFFF"/>
        </w:rPr>
        <w:t>30</w:t>
      </w:r>
      <w:r w:rsidRPr="0089492D">
        <w:rPr>
          <w:rFonts w:ascii="Arial" w:hAnsi="Arial" w:cs="Arial"/>
          <w:shd w:val="clear" w:color="auto" w:fill="FFFFFF"/>
        </w:rPr>
        <w:t>, p.602.</w:t>
      </w:r>
    </w:p>
    <w:p w:rsidR="00CD7FA4" w:rsidRPr="0089492D" w:rsidRDefault="00CD7FA4" w:rsidP="0089492D">
      <w:pPr>
        <w:rPr>
          <w:rFonts w:ascii="Arial" w:hAnsi="Arial" w:cs="Arial"/>
        </w:rPr>
      </w:pPr>
      <w:r w:rsidRPr="0089492D">
        <w:rPr>
          <w:rFonts w:ascii="Arial" w:hAnsi="Arial" w:cs="Arial"/>
          <w:i/>
        </w:rPr>
        <w:t xml:space="preserve"> </w:t>
      </w:r>
      <w:r w:rsidRPr="0089492D">
        <w:rPr>
          <w:rFonts w:ascii="Arial" w:hAnsi="Arial" w:cs="Arial"/>
        </w:rPr>
        <w:t xml:space="preserve">Mukherji and Albon (2023), </w:t>
      </w:r>
      <w:r w:rsidRPr="0089492D">
        <w:rPr>
          <w:rFonts w:ascii="Arial" w:hAnsi="Arial" w:cs="Arial"/>
          <w:i/>
        </w:rPr>
        <w:t xml:space="preserve">Research methods in early childhood. </w:t>
      </w:r>
      <w:r w:rsidRPr="0089492D">
        <w:rPr>
          <w:rFonts w:ascii="Arial" w:hAnsi="Arial" w:cs="Arial"/>
        </w:rPr>
        <w:t xml:space="preserve">Sage. </w:t>
      </w:r>
    </w:p>
    <w:p w:rsidR="00CD7FA4" w:rsidRPr="0089492D" w:rsidRDefault="00CD7FA4" w:rsidP="0089492D">
      <w:pPr>
        <w:rPr>
          <w:rFonts w:ascii="Arial" w:hAnsi="Arial" w:cs="Arial"/>
        </w:rPr>
      </w:pPr>
      <w:r w:rsidRPr="0089492D">
        <w:rPr>
          <w:rFonts w:ascii="Arial" w:hAnsi="Arial" w:cs="Arial"/>
        </w:rPr>
        <w:t xml:space="preserve">Oxford English Dictionary (2024), </w:t>
      </w:r>
      <w:r w:rsidRPr="0089492D">
        <w:rPr>
          <w:rFonts w:ascii="Arial" w:hAnsi="Arial" w:cs="Arial"/>
          <w:i/>
        </w:rPr>
        <w:t xml:space="preserve">Definition of Case Study. </w:t>
      </w:r>
      <w:r w:rsidRPr="0089492D">
        <w:rPr>
          <w:rFonts w:ascii="Arial" w:hAnsi="Arial" w:cs="Arial"/>
        </w:rPr>
        <w:t xml:space="preserve">Available at: </w:t>
      </w:r>
      <w:hyperlink r:id="rId17" w:history="1">
        <w:r w:rsidRPr="0089492D">
          <w:rPr>
            <w:rStyle w:val="Hyperlink"/>
            <w:rFonts w:ascii="Arial" w:hAnsi="Arial" w:cs="Arial"/>
            <w:color w:val="auto"/>
          </w:rPr>
          <w:t>https://www.oed.com/search/dictionary/?scope=Entries&amp;q=case+study</w:t>
        </w:r>
      </w:hyperlink>
      <w:r w:rsidRPr="0089492D">
        <w:rPr>
          <w:rFonts w:ascii="Arial" w:hAnsi="Arial" w:cs="Arial"/>
        </w:rPr>
        <w:t xml:space="preserve">  Accessed: 18/12/2024.</w:t>
      </w:r>
    </w:p>
    <w:p w:rsidR="00CD7FA4" w:rsidRPr="0089492D" w:rsidRDefault="00CD7FA4" w:rsidP="0089492D">
      <w:pPr>
        <w:rPr>
          <w:rFonts w:ascii="Arial" w:hAnsi="Arial" w:cs="Arial"/>
        </w:rPr>
      </w:pPr>
      <w:r w:rsidRPr="0089492D">
        <w:rPr>
          <w:rFonts w:ascii="Arial" w:hAnsi="Arial" w:cs="Arial"/>
        </w:rPr>
        <w:t xml:space="preserve">Rachel R., Van Der Stuyf (2002), </w:t>
      </w:r>
      <w:r w:rsidRPr="0089492D">
        <w:rPr>
          <w:rFonts w:ascii="Arial" w:hAnsi="Arial" w:cs="Arial"/>
          <w:i/>
        </w:rPr>
        <w:t xml:space="preserve">Scaffolding as a teaching strategy. </w:t>
      </w:r>
      <w:r w:rsidRPr="0089492D">
        <w:rPr>
          <w:rFonts w:ascii="Arial" w:hAnsi="Arial" w:cs="Arial"/>
        </w:rPr>
        <w:t>Available at: https://d1wqtxts1xzle7.cloudfront.net/58867028/Scaffolding_as_a_Teaching_Strategy20190411-39375-kajifs-libre.pdf?1555016824=&amp;response-content-disposition=inline%3B+filename%3DScaffolding_as_a_Teaching_Strategy.pdf&amp;Expires=1735489166&amp;Signature=frVyMb2CDRGwgg4TIrHeJcHC-oPpM3m4eYCt7bpNOUK3JMHjFp4RSFu~GTBZstPsgSVhL1W17berlH5u~D3CEX6hN9qbtyfs36~-ra5LkGtvBHf08hArKo85j-c6rGoFIXrFEzPakdZAW~LKKjxyEM9XErnOlgUJWHwk3Qx3~nKFvYRedx5wMThLioUYJocRgOIKY7IXZOYTZQaEH34wU~cXQ0Kuyz6Bq4Bh-m-1MqX2H1-brfzQ5gxsVg4QEWAZhCrdnb-tBmQg8ZfPidNNonQp7kgK5L-~L3ejKATxe1bqtoTfCdAGuh2hq3f0w4LQL9OohUpAMW9hg4QTItiblQ__&amp;Key-Pair-Id=APKAJLOHF5GGSLRBV4ZA  Accessed: 18/12/24.</w:t>
      </w:r>
    </w:p>
    <w:p w:rsidR="00CD7FA4" w:rsidRPr="0089492D" w:rsidRDefault="00CD7FA4" w:rsidP="0089492D">
      <w:pPr>
        <w:rPr>
          <w:rFonts w:ascii="Arial" w:hAnsi="Arial" w:cs="Arial"/>
        </w:rPr>
      </w:pPr>
      <w:r w:rsidRPr="0089492D">
        <w:rPr>
          <w:rFonts w:ascii="Arial" w:hAnsi="Arial" w:cs="Arial"/>
        </w:rPr>
        <w:t xml:space="preserve">Richit, A., Joao Pedro, D.P. and Ana, P.T, (2021), </w:t>
      </w:r>
      <w:r w:rsidRPr="0089492D">
        <w:rPr>
          <w:rFonts w:ascii="Arial" w:hAnsi="Arial" w:cs="Arial"/>
          <w:i/>
        </w:rPr>
        <w:t xml:space="preserve">Aspects of professional collaboration in a lesson study. </w:t>
      </w:r>
      <w:r w:rsidRPr="0089492D">
        <w:rPr>
          <w:rFonts w:ascii="Arial" w:hAnsi="Arial" w:cs="Arial"/>
        </w:rPr>
        <w:t>International electronic journal of mathematics education. 16(2),.</w:t>
      </w:r>
    </w:p>
    <w:p w:rsidR="00CD7FA4" w:rsidRPr="0089492D" w:rsidRDefault="00CD7FA4" w:rsidP="0089492D">
      <w:pPr>
        <w:rPr>
          <w:rFonts w:ascii="Arial" w:hAnsi="Arial" w:cs="Arial"/>
        </w:rPr>
      </w:pPr>
      <w:r w:rsidRPr="0089492D">
        <w:rPr>
          <w:rFonts w:ascii="Arial" w:hAnsi="Arial" w:cs="Arial"/>
        </w:rPr>
        <w:lastRenderedPageBreak/>
        <w:t xml:space="preserve">Simon and Goes (2013), </w:t>
      </w:r>
      <w:r w:rsidRPr="0089492D">
        <w:rPr>
          <w:rFonts w:ascii="Arial" w:hAnsi="Arial" w:cs="Arial"/>
          <w:i/>
        </w:rPr>
        <w:t xml:space="preserve">Scope, Limitations and Delimitations. </w:t>
      </w:r>
      <w:r w:rsidRPr="0089492D">
        <w:rPr>
          <w:rFonts w:ascii="Arial" w:hAnsi="Arial" w:cs="Arial"/>
        </w:rPr>
        <w:t xml:space="preserve">Available at: </w:t>
      </w:r>
      <w:hyperlink r:id="rId18" w:history="1">
        <w:r w:rsidRPr="0089492D">
          <w:rPr>
            <w:rStyle w:val="Hyperlink"/>
            <w:rFonts w:ascii="Arial" w:hAnsi="Arial" w:cs="Arial"/>
            <w:color w:val="auto"/>
          </w:rPr>
          <w:t>https://ders.es/limitationscopedelimitation1.pdf</w:t>
        </w:r>
      </w:hyperlink>
      <w:r w:rsidRPr="0089492D">
        <w:rPr>
          <w:rFonts w:ascii="Arial" w:hAnsi="Arial" w:cs="Arial"/>
        </w:rPr>
        <w:t xml:space="preserve">  Accessed: 31/12/24.</w:t>
      </w:r>
    </w:p>
    <w:p w:rsidR="00CD7FA4" w:rsidRPr="0089492D" w:rsidRDefault="00CD7FA4" w:rsidP="0089492D">
      <w:pPr>
        <w:rPr>
          <w:rFonts w:ascii="Arial" w:hAnsi="Arial" w:cs="Arial"/>
          <w:shd w:val="clear" w:color="auto" w:fill="FFFFFF"/>
        </w:rPr>
      </w:pPr>
      <w:r w:rsidRPr="0089492D">
        <w:rPr>
          <w:rFonts w:ascii="Arial" w:hAnsi="Arial" w:cs="Arial"/>
          <w:shd w:val="clear" w:color="auto" w:fill="FFFFFF"/>
        </w:rPr>
        <w:t>Simons, H., 2005. Ethics of case study in educational research and evaluation. In </w:t>
      </w:r>
      <w:r w:rsidRPr="0089492D">
        <w:rPr>
          <w:rFonts w:ascii="Arial" w:hAnsi="Arial" w:cs="Arial"/>
          <w:i/>
          <w:iCs/>
          <w:shd w:val="clear" w:color="auto" w:fill="FFFFFF"/>
        </w:rPr>
        <w:t>The ethics of educational research</w:t>
      </w:r>
      <w:r w:rsidRPr="0089492D">
        <w:rPr>
          <w:rFonts w:ascii="Arial" w:hAnsi="Arial" w:cs="Arial"/>
          <w:shd w:val="clear" w:color="auto" w:fill="FFFFFF"/>
        </w:rPr>
        <w:t> (pp. 115-138). Routledge.</w:t>
      </w:r>
    </w:p>
    <w:p w:rsidR="00CD7FA4" w:rsidRPr="0089492D" w:rsidRDefault="00CD7FA4" w:rsidP="0089492D">
      <w:pPr>
        <w:rPr>
          <w:rFonts w:ascii="Arial" w:hAnsi="Arial" w:cs="Arial"/>
          <w:shd w:val="clear" w:color="auto" w:fill="FFFFFF"/>
        </w:rPr>
      </w:pPr>
      <w:r w:rsidRPr="0089492D">
        <w:rPr>
          <w:rFonts w:ascii="Arial" w:hAnsi="Arial" w:cs="Arial"/>
          <w:shd w:val="clear" w:color="auto" w:fill="FFFFFF"/>
        </w:rPr>
        <w:t xml:space="preserve">Syakhrani, A.W. and Aslan, A., (2024). </w:t>
      </w:r>
      <w:r w:rsidRPr="0089492D">
        <w:rPr>
          <w:rFonts w:ascii="Arial" w:hAnsi="Arial" w:cs="Arial"/>
          <w:i/>
          <w:shd w:val="clear" w:color="auto" w:fill="FFFFFF"/>
        </w:rPr>
        <w:t>The impact of informal family education on children's social and emotional skills.</w:t>
      </w:r>
      <w:r w:rsidRPr="0089492D">
        <w:rPr>
          <w:rFonts w:ascii="Arial" w:hAnsi="Arial" w:cs="Arial"/>
          <w:shd w:val="clear" w:color="auto" w:fill="FFFFFF"/>
        </w:rPr>
        <w:t> </w:t>
      </w:r>
      <w:r w:rsidRPr="0089492D">
        <w:rPr>
          <w:rFonts w:ascii="Arial" w:hAnsi="Arial" w:cs="Arial"/>
          <w:i/>
          <w:iCs/>
          <w:shd w:val="clear" w:color="auto" w:fill="FFFFFF"/>
        </w:rPr>
        <w:t>Indonesian Journal of Education (INJOE)</w:t>
      </w:r>
      <w:r w:rsidRPr="0089492D">
        <w:rPr>
          <w:rFonts w:ascii="Arial" w:hAnsi="Arial" w:cs="Arial"/>
          <w:shd w:val="clear" w:color="auto" w:fill="FFFFFF"/>
        </w:rPr>
        <w:t>, </w:t>
      </w:r>
      <w:r w:rsidRPr="0089492D">
        <w:rPr>
          <w:rFonts w:ascii="Arial" w:hAnsi="Arial" w:cs="Arial"/>
          <w:i/>
          <w:iCs/>
          <w:shd w:val="clear" w:color="auto" w:fill="FFFFFF"/>
        </w:rPr>
        <w:t>4</w:t>
      </w:r>
      <w:r w:rsidRPr="0089492D">
        <w:rPr>
          <w:rFonts w:ascii="Arial" w:hAnsi="Arial" w:cs="Arial"/>
          <w:shd w:val="clear" w:color="auto" w:fill="FFFFFF"/>
        </w:rPr>
        <w:t>(2), pp.619-631.</w:t>
      </w:r>
    </w:p>
    <w:p w:rsidR="00CD7FA4" w:rsidRPr="0089492D" w:rsidRDefault="00CD7FA4" w:rsidP="0089492D">
      <w:pPr>
        <w:rPr>
          <w:rFonts w:ascii="Arial" w:hAnsi="Arial" w:cs="Arial"/>
        </w:rPr>
      </w:pPr>
      <w:r w:rsidRPr="0089492D">
        <w:rPr>
          <w:rFonts w:ascii="Arial" w:hAnsi="Arial" w:cs="Arial"/>
        </w:rPr>
        <w:t xml:space="preserve">Thomas (2013), </w:t>
      </w:r>
      <w:r w:rsidRPr="0089492D">
        <w:rPr>
          <w:rFonts w:ascii="Arial" w:hAnsi="Arial" w:cs="Arial"/>
          <w:i/>
        </w:rPr>
        <w:t xml:space="preserve">From question to inquiry: operatinalising the case study for research in teaching; </w:t>
      </w:r>
      <w:r w:rsidRPr="0089492D">
        <w:rPr>
          <w:rFonts w:ascii="Arial" w:hAnsi="Arial" w:cs="Arial"/>
        </w:rPr>
        <w:t>Journal of education for teaching, 39(5), pp.590-601. doi: 10.1080/02607476.2013.852299.</w:t>
      </w:r>
    </w:p>
    <w:p w:rsidR="00CD7FA4" w:rsidRPr="0089492D" w:rsidRDefault="00CD7FA4" w:rsidP="0089492D">
      <w:pPr>
        <w:rPr>
          <w:rFonts w:ascii="Arial" w:hAnsi="Arial" w:cs="Arial"/>
        </w:rPr>
      </w:pPr>
      <w:r w:rsidRPr="0089492D">
        <w:rPr>
          <w:rFonts w:ascii="Arial" w:hAnsi="Arial" w:cs="Arial"/>
        </w:rPr>
        <w:t xml:space="preserve">Welsh Government (2019), </w:t>
      </w:r>
      <w:r w:rsidRPr="0089492D">
        <w:rPr>
          <w:rFonts w:ascii="Arial" w:hAnsi="Arial" w:cs="Arial"/>
          <w:i/>
        </w:rPr>
        <w:t xml:space="preserve">Professional standards for teaching and leadership. </w:t>
      </w:r>
      <w:r w:rsidRPr="0089492D">
        <w:rPr>
          <w:rFonts w:ascii="Arial" w:hAnsi="Arial" w:cs="Arial"/>
        </w:rPr>
        <w:t xml:space="preserve">Available at: </w:t>
      </w:r>
      <w:hyperlink r:id="rId19" w:history="1">
        <w:r w:rsidRPr="0089492D">
          <w:rPr>
            <w:rStyle w:val="Hyperlink"/>
            <w:rFonts w:ascii="Arial" w:hAnsi="Arial" w:cs="Arial"/>
            <w:color w:val="auto"/>
          </w:rPr>
          <w:t>https://hwb.gov.wales/api/storage/19bc948b-8a3f-41e0-944a-7bf2cadf7d18/professional-standards-for-teaching-and-leadership-interactive-pdf-for-pc.pdf</w:t>
        </w:r>
      </w:hyperlink>
      <w:r w:rsidRPr="0089492D">
        <w:rPr>
          <w:rFonts w:ascii="Arial" w:hAnsi="Arial" w:cs="Arial"/>
        </w:rPr>
        <w:t xml:space="preserve">    Accessed: 31/12/24.</w:t>
      </w:r>
    </w:p>
    <w:p w:rsidR="00CD7FA4" w:rsidRDefault="00CD7FA4" w:rsidP="0089492D">
      <w:pPr>
        <w:rPr>
          <w:rFonts w:ascii="Arial" w:hAnsi="Arial" w:cs="Arial"/>
        </w:rPr>
      </w:pPr>
      <w:r w:rsidRPr="0089492D">
        <w:rPr>
          <w:rFonts w:ascii="Arial" w:hAnsi="Arial" w:cs="Arial"/>
        </w:rPr>
        <w:t xml:space="preserve">Welsh Government (2023), </w:t>
      </w:r>
      <w:r w:rsidRPr="0089492D">
        <w:rPr>
          <w:rFonts w:ascii="Arial" w:hAnsi="Arial" w:cs="Arial"/>
          <w:i/>
        </w:rPr>
        <w:t xml:space="preserve">Annex 3: Developing family engagement in Community Focused Schools. </w:t>
      </w:r>
      <w:r w:rsidRPr="0089492D">
        <w:rPr>
          <w:rFonts w:ascii="Arial" w:hAnsi="Arial" w:cs="Arial"/>
        </w:rPr>
        <w:t xml:space="preserve">Available at: </w:t>
      </w:r>
      <w:hyperlink r:id="rId20" w:anchor="114079" w:history="1">
        <w:r w:rsidRPr="0089492D">
          <w:rPr>
            <w:rStyle w:val="Hyperlink"/>
            <w:rFonts w:ascii="Arial" w:hAnsi="Arial" w:cs="Arial"/>
            <w:color w:val="auto"/>
          </w:rPr>
          <w:t>https://www.gov.wales/annex-3-developing-family-engagement-community-focused-schools-html#114079</w:t>
        </w:r>
      </w:hyperlink>
      <w:r w:rsidRPr="0089492D">
        <w:rPr>
          <w:rFonts w:ascii="Arial" w:hAnsi="Arial" w:cs="Arial"/>
        </w:rPr>
        <w:t xml:space="preserve"> Accessed: 18/12/24.</w:t>
      </w:r>
    </w:p>
    <w:p w:rsidR="000E2E7E" w:rsidRPr="000E2E7E" w:rsidRDefault="000E2E7E" w:rsidP="000E2E7E">
      <w:pPr>
        <w:rPr>
          <w:sz w:val="28"/>
          <w:szCs w:val="28"/>
        </w:rPr>
      </w:pPr>
    </w:p>
    <w:p w:rsidR="000E2E7E" w:rsidRPr="00B103B9" w:rsidRDefault="000E2E7E" w:rsidP="000E2E7E">
      <w:pPr>
        <w:rPr>
          <w:sz w:val="16"/>
          <w:szCs w:val="16"/>
        </w:rPr>
      </w:pPr>
    </w:p>
    <w:p w:rsidR="000E2E7E" w:rsidRPr="000E2E7E" w:rsidRDefault="000E2E7E">
      <w:pPr>
        <w:rPr>
          <w:sz w:val="52"/>
          <w:szCs w:val="52"/>
        </w:rPr>
      </w:pPr>
    </w:p>
    <w:sectPr w:rsidR="000E2E7E" w:rsidRPr="000E2E7E" w:rsidSect="00BC2E0A">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002B9" w:rsidRDefault="000002B9" w:rsidP="0058073E">
      <w:pPr>
        <w:spacing w:after="0" w:line="240" w:lineRule="auto"/>
      </w:pPr>
      <w:r>
        <w:separator/>
      </w:r>
    </w:p>
  </w:endnote>
  <w:endnote w:type="continuationSeparator" w:id="1">
    <w:p w:rsidR="000002B9" w:rsidRDefault="000002B9" w:rsidP="0058073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002B9" w:rsidRDefault="000002B9" w:rsidP="0058073E">
      <w:pPr>
        <w:spacing w:after="0" w:line="240" w:lineRule="auto"/>
      </w:pPr>
      <w:r>
        <w:separator/>
      </w:r>
    </w:p>
  </w:footnote>
  <w:footnote w:type="continuationSeparator" w:id="1">
    <w:p w:rsidR="000002B9" w:rsidRDefault="000002B9" w:rsidP="0058073E">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0E2E7E"/>
    <w:rsid w:val="000002B9"/>
    <w:rsid w:val="00014C53"/>
    <w:rsid w:val="00026E1E"/>
    <w:rsid w:val="00037AB0"/>
    <w:rsid w:val="00085B29"/>
    <w:rsid w:val="000C2F99"/>
    <w:rsid w:val="000C6BAF"/>
    <w:rsid w:val="000D302D"/>
    <w:rsid w:val="000E2E7E"/>
    <w:rsid w:val="000E6069"/>
    <w:rsid w:val="00121BB2"/>
    <w:rsid w:val="001448B9"/>
    <w:rsid w:val="00152D62"/>
    <w:rsid w:val="00154C83"/>
    <w:rsid w:val="001675AC"/>
    <w:rsid w:val="00191CFB"/>
    <w:rsid w:val="001B2740"/>
    <w:rsid w:val="001E698E"/>
    <w:rsid w:val="001F5FD6"/>
    <w:rsid w:val="001F7B6F"/>
    <w:rsid w:val="00226EDB"/>
    <w:rsid w:val="0023146B"/>
    <w:rsid w:val="0024438C"/>
    <w:rsid w:val="00255C60"/>
    <w:rsid w:val="00287F81"/>
    <w:rsid w:val="002E1C05"/>
    <w:rsid w:val="00304825"/>
    <w:rsid w:val="00306AE0"/>
    <w:rsid w:val="003325EB"/>
    <w:rsid w:val="00357C6B"/>
    <w:rsid w:val="00372668"/>
    <w:rsid w:val="0039452E"/>
    <w:rsid w:val="003A554D"/>
    <w:rsid w:val="003A7750"/>
    <w:rsid w:val="003C01CD"/>
    <w:rsid w:val="003D7AF7"/>
    <w:rsid w:val="00403714"/>
    <w:rsid w:val="00406C02"/>
    <w:rsid w:val="0042431D"/>
    <w:rsid w:val="004A2A1B"/>
    <w:rsid w:val="004B6070"/>
    <w:rsid w:val="004C2254"/>
    <w:rsid w:val="004C6DAC"/>
    <w:rsid w:val="004D28E6"/>
    <w:rsid w:val="00504994"/>
    <w:rsid w:val="005126F5"/>
    <w:rsid w:val="0053040E"/>
    <w:rsid w:val="0058073E"/>
    <w:rsid w:val="00586D65"/>
    <w:rsid w:val="005B04DF"/>
    <w:rsid w:val="005F1D64"/>
    <w:rsid w:val="00604703"/>
    <w:rsid w:val="00604E51"/>
    <w:rsid w:val="006267B5"/>
    <w:rsid w:val="00637F52"/>
    <w:rsid w:val="0068361E"/>
    <w:rsid w:val="00692E33"/>
    <w:rsid w:val="006C7533"/>
    <w:rsid w:val="006E4B7D"/>
    <w:rsid w:val="00711C2B"/>
    <w:rsid w:val="007262E4"/>
    <w:rsid w:val="00790BAE"/>
    <w:rsid w:val="0079522B"/>
    <w:rsid w:val="007B4B33"/>
    <w:rsid w:val="007D0AEB"/>
    <w:rsid w:val="0081546A"/>
    <w:rsid w:val="00834B1E"/>
    <w:rsid w:val="00853373"/>
    <w:rsid w:val="00877FC3"/>
    <w:rsid w:val="008906C5"/>
    <w:rsid w:val="0089492D"/>
    <w:rsid w:val="008F0B48"/>
    <w:rsid w:val="00917260"/>
    <w:rsid w:val="009238A1"/>
    <w:rsid w:val="00931A5A"/>
    <w:rsid w:val="00946D16"/>
    <w:rsid w:val="00951685"/>
    <w:rsid w:val="00965B69"/>
    <w:rsid w:val="009D14AB"/>
    <w:rsid w:val="009D31A8"/>
    <w:rsid w:val="00A0422E"/>
    <w:rsid w:val="00A12DD9"/>
    <w:rsid w:val="00A446D4"/>
    <w:rsid w:val="00A63C7E"/>
    <w:rsid w:val="00A67740"/>
    <w:rsid w:val="00A805E2"/>
    <w:rsid w:val="00A87091"/>
    <w:rsid w:val="00A93DD7"/>
    <w:rsid w:val="00AB0792"/>
    <w:rsid w:val="00AB54B6"/>
    <w:rsid w:val="00AB5565"/>
    <w:rsid w:val="00AF2BBD"/>
    <w:rsid w:val="00B0205E"/>
    <w:rsid w:val="00B121F2"/>
    <w:rsid w:val="00B226D3"/>
    <w:rsid w:val="00B937D5"/>
    <w:rsid w:val="00BC2E0A"/>
    <w:rsid w:val="00BE15EA"/>
    <w:rsid w:val="00BE75E4"/>
    <w:rsid w:val="00BF334E"/>
    <w:rsid w:val="00C0493E"/>
    <w:rsid w:val="00CC37B0"/>
    <w:rsid w:val="00CD0651"/>
    <w:rsid w:val="00CD7267"/>
    <w:rsid w:val="00CD7FA4"/>
    <w:rsid w:val="00D3082D"/>
    <w:rsid w:val="00D70EB6"/>
    <w:rsid w:val="00DC3926"/>
    <w:rsid w:val="00DE0E69"/>
    <w:rsid w:val="00DF09B3"/>
    <w:rsid w:val="00DF2574"/>
    <w:rsid w:val="00E00B9D"/>
    <w:rsid w:val="00E01301"/>
    <w:rsid w:val="00E0181D"/>
    <w:rsid w:val="00E5184C"/>
    <w:rsid w:val="00E7101B"/>
    <w:rsid w:val="00E77F5A"/>
    <w:rsid w:val="00E85A32"/>
    <w:rsid w:val="00EF647A"/>
    <w:rsid w:val="00F25241"/>
    <w:rsid w:val="00F26973"/>
    <w:rsid w:val="00F26FFC"/>
    <w:rsid w:val="00F57EB7"/>
    <w:rsid w:val="00F66413"/>
    <w:rsid w:val="00F913AC"/>
    <w:rsid w:val="00FC3C9D"/>
    <w:rsid w:val="00FD233F"/>
    <w:rsid w:val="00FE3A8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2E0A"/>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B121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1F2"/>
    <w:rPr>
      <w:rFonts w:ascii="Tahoma" w:hAnsi="Tahoma" w:cs="Tahoma"/>
      <w:sz w:val="16"/>
      <w:szCs w:val="16"/>
    </w:rPr>
  </w:style>
  <w:style w:type="paragraph" w:styleId="Header">
    <w:name w:val="header"/>
    <w:basedOn w:val="Normal"/>
    <w:link w:val="HeaderChar"/>
    <w:uiPriority w:val="99"/>
    <w:semiHidden/>
    <w:unhideWhenUsed/>
    <w:rsid w:val="0058073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8073E"/>
  </w:style>
  <w:style w:type="paragraph" w:styleId="Footer">
    <w:name w:val="footer"/>
    <w:basedOn w:val="Normal"/>
    <w:link w:val="FooterChar"/>
    <w:uiPriority w:val="99"/>
    <w:semiHidden/>
    <w:unhideWhenUsed/>
    <w:rsid w:val="0058073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8073E"/>
  </w:style>
  <w:style w:type="character" w:styleId="Hyperlink">
    <w:name w:val="Hyperlink"/>
    <w:basedOn w:val="DefaultParagraphFont"/>
    <w:uiPriority w:val="99"/>
    <w:unhideWhenUsed/>
    <w:rsid w:val="0089492D"/>
    <w:rPr>
      <w:color w:val="467886"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wp-content/uploads/2018/06/BERA-Ethical-Guidelines-for-Educational-Research_4thEdn_2018.pdf?noredirect=1" TargetMode="External"/><Relationship Id="rId13" Type="http://schemas.openxmlformats.org/officeDocument/2006/relationships/hyperlink" Target="https://www.communityhubs.org.au/wp-content/uploads/2017/10/Parental_engagement_in_learning_and_schooling_Lessons_from_research_BUREAU_ARACY_August_2012.pdf" TargetMode="External"/><Relationship Id="rId18" Type="http://schemas.openxmlformats.org/officeDocument/2006/relationships/hyperlink" Target="https://ders.es/limitationscopedelimitation1.pdf"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openai.com/index/chatgpt/" TargetMode="External"/><Relationship Id="rId12" Type="http://schemas.openxmlformats.org/officeDocument/2006/relationships/hyperlink" Target="https://doi.org/10.26529/cepsj.291" TargetMode="External"/><Relationship Id="rId17" Type="http://schemas.openxmlformats.org/officeDocument/2006/relationships/hyperlink" Target="https://www.oed.com/search/dictionary/?scope=Entries&amp;q=case+study" TargetMode="External"/><Relationship Id="rId2" Type="http://schemas.openxmlformats.org/officeDocument/2006/relationships/settings" Target="settings.xml"/><Relationship Id="rId16" Type="http://schemas.openxmlformats.org/officeDocument/2006/relationships/hyperlink" Target="https://www.simplypsychology.org/bandura.html" TargetMode="External"/><Relationship Id="rId20" Type="http://schemas.openxmlformats.org/officeDocument/2006/relationships/hyperlink" Target="https://www.gov.wales/annex-3-developing-family-engagement-community-focused-schools-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hwb.gov.wales/curriculum-for-wales/designing-your-curriculum/enabling-learning/" TargetMode="External"/><Relationship Id="rId5" Type="http://schemas.openxmlformats.org/officeDocument/2006/relationships/endnotes" Target="endnotes.xml"/><Relationship Id="rId15" Type="http://schemas.openxmlformats.org/officeDocument/2006/relationships/hyperlink" Target="https://doi.org/10.3389/feduc.2023.990204" TargetMode="External"/><Relationship Id="rId10" Type="http://schemas.openxmlformats.org/officeDocument/2006/relationships/hyperlink" Target="https://dictionary.cambridge.org/dictionary/english/holistic" TargetMode="External"/><Relationship Id="rId19"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footnotes" Target="footnotes.xml"/><Relationship Id="rId9" Type="http://schemas.openxmlformats.org/officeDocument/2006/relationships/hyperlink" Target="https://doi.org/10.1080/02671522.2014.887139" TargetMode="External"/><Relationship Id="rId14" Type="http://schemas.openxmlformats.org/officeDocument/2006/relationships/hyperlink" Target="https://estyn.gov.wales/improvement-resources/parental-engagement-sessions-promote-continuity-in-childrens-learning-experienc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11554</TotalTime>
  <Pages>13</Pages>
  <Words>5303</Words>
  <Characters>30229</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Andrew Hoskins</cp:lastModifiedBy>
  <cp:revision>68</cp:revision>
  <dcterms:created xsi:type="dcterms:W3CDTF">2024-11-29T09:52:00Z</dcterms:created>
  <dcterms:modified xsi:type="dcterms:W3CDTF">2025-01-05T13:33:00Z</dcterms:modified>
</cp:coreProperties>
</file>