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1B51D" w14:textId="77777777" w:rsidR="007765DF" w:rsidRPr="00F34AB2" w:rsidRDefault="007765DF" w:rsidP="00F34AB2">
      <w:pPr>
        <w:pStyle w:val="Title"/>
        <w:spacing w:line="360" w:lineRule="auto"/>
        <w:rPr>
          <w:rFonts w:ascii="Times New Roman" w:hAnsi="Times New Roman" w:cs="Times New Roman"/>
          <w:sz w:val="24"/>
          <w:szCs w:val="24"/>
        </w:rPr>
      </w:pPr>
      <w:r w:rsidRPr="00F34AB2">
        <w:rPr>
          <w:rFonts w:ascii="Times New Roman" w:hAnsi="Times New Roman" w:cs="Times New Roman"/>
        </w:rPr>
        <w:t>Research Notes: Webster and Burton</w:t>
      </w:r>
    </w:p>
    <w:p w14:paraId="73AA2393" w14:textId="77777777" w:rsidR="007765DF" w:rsidRPr="00F34AB2" w:rsidRDefault="007765DF" w:rsidP="00F34AB2">
      <w:pPr>
        <w:pStyle w:val="Subtitle"/>
        <w:spacing w:line="360" w:lineRule="auto"/>
        <w:rPr>
          <w:rFonts w:ascii="Times New Roman" w:hAnsi="Times New Roman" w:cs="Times New Roman"/>
          <w:color w:val="auto"/>
          <w:sz w:val="24"/>
          <w:szCs w:val="24"/>
        </w:rPr>
      </w:pPr>
      <w:r w:rsidRPr="00F34AB2">
        <w:rPr>
          <w:rFonts w:ascii="Times New Roman" w:hAnsi="Times New Roman" w:cs="Times New Roman"/>
          <w:color w:val="auto"/>
        </w:rPr>
        <w:t>Primary sources, archives, and online resources used in the two articles</w:t>
      </w:r>
    </w:p>
    <w:p w14:paraId="1027F16F" w14:textId="77777777" w:rsidR="007765DF" w:rsidRPr="00F34AB2" w:rsidRDefault="007765DF" w:rsidP="00F34AB2">
      <w:p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Key:</w:t>
      </w:r>
      <w:r w:rsidRPr="00F34AB2">
        <w:rPr>
          <w:rFonts w:ascii="Times New Roman" w:hAnsi="Times New Roman" w:cs="Times New Roman"/>
          <w:sz w:val="24"/>
          <w:szCs w:val="24"/>
        </w:rPr>
        <w:t xml:space="preserve"> “Confirmed” means the article explicitly identifies or cites the material. “Possible” means a reasonable inference rather than a documented fact.</w:t>
      </w:r>
    </w:p>
    <w:p w14:paraId="640C7879" w14:textId="77777777" w:rsidR="007765DF" w:rsidRPr="00F34AB2" w:rsidRDefault="007765DF" w:rsidP="00F34AB2">
      <w:pPr>
        <w:pStyle w:val="Heading1"/>
        <w:spacing w:line="360" w:lineRule="auto"/>
        <w:rPr>
          <w:rFonts w:ascii="Times New Roman" w:hAnsi="Times New Roman" w:cs="Times New Roman"/>
          <w:color w:val="auto"/>
          <w:sz w:val="48"/>
          <w:szCs w:val="48"/>
        </w:rPr>
      </w:pPr>
      <w:r w:rsidRPr="00F34AB2">
        <w:rPr>
          <w:rFonts w:ascii="Times New Roman" w:hAnsi="Times New Roman" w:cs="Times New Roman"/>
          <w:color w:val="auto"/>
        </w:rPr>
        <w:t>Harriett Webster, “The Annals of Dunstable Priory”</w:t>
      </w:r>
    </w:p>
    <w:p w14:paraId="3CA7BE98" w14:textId="77777777" w:rsidR="007765DF" w:rsidRPr="00F34AB2" w:rsidRDefault="007765DF" w:rsidP="00F34AB2">
      <w:pPr>
        <w:pStyle w:val="Heading2"/>
        <w:spacing w:line="360" w:lineRule="auto"/>
        <w:rPr>
          <w:rFonts w:ascii="Times New Roman" w:hAnsi="Times New Roman" w:cs="Times New Roman"/>
          <w:color w:val="auto"/>
          <w:sz w:val="36"/>
          <w:szCs w:val="36"/>
        </w:rPr>
      </w:pPr>
      <w:r w:rsidRPr="00F34AB2">
        <w:rPr>
          <w:rFonts w:ascii="Times New Roman" w:hAnsi="Times New Roman" w:cs="Times New Roman"/>
          <w:color w:val="auto"/>
        </w:rPr>
        <w:t>Types of primary source</w:t>
      </w:r>
    </w:p>
    <w:p w14:paraId="2E49A13D" w14:textId="6404164D" w:rsidR="007765DF" w:rsidRPr="00F34AB2" w:rsidRDefault="007765DF"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Medieval annalistic manuscript:</w:t>
      </w:r>
      <w:r w:rsidRPr="00F34AB2">
        <w:rPr>
          <w:rFonts w:ascii="Times New Roman" w:hAnsi="Times New Roman" w:cs="Times New Roman"/>
          <w:sz w:val="24"/>
          <w:szCs w:val="24"/>
        </w:rPr>
        <w:t xml:space="preserve"> British Library, Cotton MS Tiberius A. X, the sole surviving manuscript of the Dunstable annals and Webster’s principal source.</w:t>
      </w:r>
      <w:r w:rsidR="00CC3D5E" w:rsidRPr="00F34AB2">
        <w:rPr>
          <w:rStyle w:val="FootnoteReference"/>
          <w:rFonts w:ascii="Times New Roman" w:hAnsi="Times New Roman" w:cs="Times New Roman"/>
          <w:sz w:val="24"/>
          <w:szCs w:val="24"/>
        </w:rPr>
        <w:footnoteReference w:id="1"/>
      </w:r>
    </w:p>
    <w:p w14:paraId="59BB7048" w14:textId="73E85C5E" w:rsidR="007765DF" w:rsidRPr="00F34AB2" w:rsidRDefault="007765DF"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Source manuscript used by the medieval compilers:</w:t>
      </w:r>
      <w:r w:rsidRPr="00F34AB2">
        <w:rPr>
          <w:rFonts w:ascii="Times New Roman" w:hAnsi="Times New Roman" w:cs="Times New Roman"/>
          <w:sz w:val="24"/>
          <w:szCs w:val="24"/>
        </w:rPr>
        <w:t xml:space="preserve"> British Library, Royal MS 13 E. VI, containing Ralph of </w:t>
      </w:r>
      <w:proofErr w:type="spellStart"/>
      <w:r w:rsidRPr="00F34AB2">
        <w:rPr>
          <w:rFonts w:ascii="Times New Roman" w:hAnsi="Times New Roman" w:cs="Times New Roman"/>
          <w:sz w:val="24"/>
          <w:szCs w:val="24"/>
        </w:rPr>
        <w:t>Diceto’s</w:t>
      </w:r>
      <w:proofErr w:type="spellEnd"/>
      <w:r w:rsidRPr="00F34AB2">
        <w:rPr>
          <w:rFonts w:ascii="Times New Roman" w:hAnsi="Times New Roman" w:cs="Times New Roman"/>
          <w:sz w:val="24"/>
          <w:szCs w:val="24"/>
        </w:rPr>
        <w:t xml:space="preserve"> </w:t>
      </w:r>
      <w:proofErr w:type="spellStart"/>
      <w:r w:rsidRPr="00F34AB2">
        <w:rPr>
          <w:rFonts w:ascii="Times New Roman" w:hAnsi="Times New Roman" w:cs="Times New Roman"/>
          <w:i/>
          <w:iCs/>
          <w:sz w:val="24"/>
          <w:szCs w:val="24"/>
        </w:rPr>
        <w:t>Ymagines</w:t>
      </w:r>
      <w:proofErr w:type="spellEnd"/>
      <w:r w:rsidRPr="00F34AB2">
        <w:rPr>
          <w:rFonts w:ascii="Times New Roman" w:hAnsi="Times New Roman" w:cs="Times New Roman"/>
          <w:i/>
          <w:iCs/>
          <w:sz w:val="24"/>
          <w:szCs w:val="24"/>
        </w:rPr>
        <w:t xml:space="preserve"> </w:t>
      </w:r>
      <w:proofErr w:type="spellStart"/>
      <w:r w:rsidRPr="00F34AB2">
        <w:rPr>
          <w:rFonts w:ascii="Times New Roman" w:hAnsi="Times New Roman" w:cs="Times New Roman"/>
          <w:i/>
          <w:iCs/>
          <w:sz w:val="24"/>
          <w:szCs w:val="24"/>
        </w:rPr>
        <w:t>historiarum</w:t>
      </w:r>
      <w:proofErr w:type="spellEnd"/>
      <w:r w:rsidRPr="00F34AB2">
        <w:rPr>
          <w:rFonts w:ascii="Times New Roman" w:hAnsi="Times New Roman" w:cs="Times New Roman"/>
          <w:sz w:val="24"/>
          <w:szCs w:val="24"/>
        </w:rPr>
        <w:t>; its marked margins help establish what was copied into the annals.</w:t>
      </w:r>
      <w:r w:rsidR="00CC3D5E" w:rsidRPr="00F34AB2">
        <w:rPr>
          <w:rStyle w:val="FootnoteReference"/>
          <w:rFonts w:ascii="Times New Roman" w:hAnsi="Times New Roman" w:cs="Times New Roman"/>
          <w:sz w:val="24"/>
          <w:szCs w:val="24"/>
        </w:rPr>
        <w:footnoteReference w:id="2"/>
      </w:r>
    </w:p>
    <w:p w14:paraId="06CF732B" w14:textId="623F6FC0" w:rsidR="007765DF" w:rsidRPr="00F34AB2" w:rsidRDefault="007765DF"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Physical manuscript evidence:</w:t>
      </w:r>
      <w:r w:rsidRPr="00F34AB2">
        <w:rPr>
          <w:rFonts w:ascii="Times New Roman" w:hAnsi="Times New Roman" w:cs="Times New Roman"/>
          <w:sz w:val="24"/>
          <w:szCs w:val="24"/>
        </w:rPr>
        <w:t xml:space="preserve"> handwriting, ink changes, quill characteristics, </w:t>
      </w:r>
      <w:proofErr w:type="spellStart"/>
      <w:r w:rsidRPr="00F34AB2">
        <w:rPr>
          <w:rFonts w:ascii="Times New Roman" w:hAnsi="Times New Roman" w:cs="Times New Roman"/>
          <w:sz w:val="24"/>
          <w:szCs w:val="24"/>
        </w:rPr>
        <w:t>rubrication</w:t>
      </w:r>
      <w:proofErr w:type="spellEnd"/>
      <w:r w:rsidRPr="00F34AB2">
        <w:rPr>
          <w:rFonts w:ascii="Times New Roman" w:hAnsi="Times New Roman" w:cs="Times New Roman"/>
          <w:sz w:val="24"/>
          <w:szCs w:val="24"/>
        </w:rPr>
        <w:t xml:space="preserve">, marginalia, headings, erasures, interlinear additions, underlining, decorative brackets, </w:t>
      </w:r>
      <w:proofErr w:type="spellStart"/>
      <w:r w:rsidRPr="00F34AB2">
        <w:rPr>
          <w:rFonts w:ascii="Times New Roman" w:hAnsi="Times New Roman" w:cs="Times New Roman"/>
          <w:sz w:val="24"/>
          <w:szCs w:val="24"/>
        </w:rPr>
        <w:t>manicules</w:t>
      </w:r>
      <w:proofErr w:type="spellEnd"/>
      <w:r w:rsidRPr="00F34AB2">
        <w:rPr>
          <w:rFonts w:ascii="Times New Roman" w:hAnsi="Times New Roman" w:cs="Times New Roman"/>
          <w:sz w:val="24"/>
          <w:szCs w:val="24"/>
        </w:rPr>
        <w:t>, blank spaces, and an inserted folio.</w:t>
      </w:r>
      <w:r w:rsidR="00CC3D5E" w:rsidRPr="00F34AB2">
        <w:rPr>
          <w:rStyle w:val="FootnoteReference"/>
          <w:rFonts w:ascii="Times New Roman" w:hAnsi="Times New Roman" w:cs="Times New Roman"/>
          <w:sz w:val="24"/>
          <w:szCs w:val="24"/>
        </w:rPr>
        <w:footnoteReference w:id="3"/>
      </w:r>
    </w:p>
    <w:p w14:paraId="5F81F982" w14:textId="77777777" w:rsidR="007765DF" w:rsidRPr="00F34AB2" w:rsidRDefault="007765DF"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Historical and institutional narrative:</w:t>
      </w:r>
      <w:r w:rsidRPr="00F34AB2">
        <w:rPr>
          <w:rFonts w:ascii="Times New Roman" w:hAnsi="Times New Roman" w:cs="Times New Roman"/>
          <w:sz w:val="24"/>
          <w:szCs w:val="24"/>
        </w:rPr>
        <w:t xml:space="preserve"> annual accounts of events involving Dunstable Priory, its town, English politics, warfare, ecclesiastical affairs, and international events.</w:t>
      </w:r>
    </w:p>
    <w:p w14:paraId="184DD59B" w14:textId="7F0C6FFE" w:rsidR="007765DF" w:rsidRPr="00F34AB2" w:rsidRDefault="007765DF"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Legal and administrative records copied or cited within the annals:</w:t>
      </w:r>
      <w:r w:rsidRPr="00F34AB2">
        <w:rPr>
          <w:rFonts w:ascii="Times New Roman" w:hAnsi="Times New Roman" w:cs="Times New Roman"/>
          <w:sz w:val="24"/>
          <w:szCs w:val="24"/>
        </w:rPr>
        <w:t xml:space="preserve"> charters, deeds, writs, formal agreements, royal and Exchequer rolls, Chancery enrolments, assize records, inquiries, and records of rights and privileges.</w:t>
      </w:r>
      <w:r w:rsidR="00CC3D5E" w:rsidRPr="00F34AB2">
        <w:rPr>
          <w:rStyle w:val="FootnoteReference"/>
          <w:rFonts w:ascii="Times New Roman" w:hAnsi="Times New Roman" w:cs="Times New Roman"/>
          <w:sz w:val="24"/>
          <w:szCs w:val="24"/>
        </w:rPr>
        <w:footnoteReference w:id="4"/>
      </w:r>
    </w:p>
    <w:p w14:paraId="7D086BEE" w14:textId="43340F3B" w:rsidR="007765DF" w:rsidRPr="00F34AB2" w:rsidRDefault="007765DF"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Estate and economic evidence:</w:t>
      </w:r>
      <w:r w:rsidRPr="00F34AB2">
        <w:rPr>
          <w:rFonts w:ascii="Times New Roman" w:hAnsi="Times New Roman" w:cs="Times New Roman"/>
          <w:sz w:val="24"/>
          <w:szCs w:val="24"/>
        </w:rPr>
        <w:t xml:space="preserve"> rents, tenancies, vicarages, tolls, markets, fairs, pasture and pannage rights, prices of corn and wool, expenditure, food and drink purchases, building costs, and taxation.</w:t>
      </w:r>
      <w:r w:rsidR="00CC3D5E" w:rsidRPr="00F34AB2">
        <w:rPr>
          <w:rStyle w:val="FootnoteReference"/>
          <w:rFonts w:ascii="Times New Roman" w:hAnsi="Times New Roman" w:cs="Times New Roman"/>
          <w:sz w:val="24"/>
          <w:szCs w:val="24"/>
        </w:rPr>
        <w:footnoteReference w:id="5"/>
      </w:r>
    </w:p>
    <w:p w14:paraId="47217462" w14:textId="77777777" w:rsidR="007765DF" w:rsidRPr="00F34AB2" w:rsidRDefault="007765DF"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lastRenderedPageBreak/>
        <w:t>Ecclesiastical evidence:</w:t>
      </w:r>
      <w:r w:rsidRPr="00F34AB2">
        <w:rPr>
          <w:rFonts w:ascii="Times New Roman" w:hAnsi="Times New Roman" w:cs="Times New Roman"/>
          <w:sz w:val="24"/>
          <w:szCs w:val="24"/>
        </w:rPr>
        <w:t xml:space="preserve"> ordinations, episcopal inquiries, appointments of vicars, papal affairs, councils, crusading activity, and monastic visitation.</w:t>
      </w:r>
    </w:p>
    <w:p w14:paraId="4039EAAB" w14:textId="293CB6F7" w:rsidR="006919B1" w:rsidRPr="00F34AB2" w:rsidRDefault="00D56B50"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Reported testimony and local information:</w:t>
      </w:r>
      <w:r w:rsidRPr="00F34AB2">
        <w:rPr>
          <w:rFonts w:ascii="Times New Roman" w:hAnsi="Times New Roman" w:cs="Times New Roman"/>
          <w:sz w:val="24"/>
          <w:szCs w:val="24"/>
        </w:rPr>
        <w:t xml:space="preserve"> </w:t>
      </w:r>
      <w:r w:rsidR="00284D17" w:rsidRPr="00F34AB2">
        <w:rPr>
          <w:rFonts w:ascii="Times New Roman" w:hAnsi="Times New Roman" w:cs="Times New Roman"/>
        </w:rPr>
        <w:t>Webster infers that the annalists drew information</w:t>
      </w:r>
      <w:r w:rsidRPr="00F34AB2">
        <w:rPr>
          <w:rFonts w:ascii="Times New Roman" w:hAnsi="Times New Roman" w:cs="Times New Roman"/>
          <w:sz w:val="24"/>
          <w:szCs w:val="24"/>
        </w:rPr>
        <w:t xml:space="preserve"> from townspeople, priory servants, </w:t>
      </w:r>
      <w:r w:rsidR="00284D17" w:rsidRPr="00F34AB2">
        <w:rPr>
          <w:rFonts w:ascii="Times New Roman" w:hAnsi="Times New Roman" w:cs="Times New Roman"/>
        </w:rPr>
        <w:t>people involved in local conflicts</w:t>
      </w:r>
      <w:r w:rsidRPr="00F34AB2">
        <w:rPr>
          <w:rFonts w:ascii="Times New Roman" w:hAnsi="Times New Roman" w:cs="Times New Roman"/>
          <w:sz w:val="24"/>
          <w:szCs w:val="24"/>
        </w:rPr>
        <w:t xml:space="preserve">, neighbouring </w:t>
      </w:r>
      <w:r w:rsidR="00284D17" w:rsidRPr="00F34AB2">
        <w:rPr>
          <w:rFonts w:ascii="Times New Roman" w:hAnsi="Times New Roman" w:cs="Times New Roman"/>
        </w:rPr>
        <w:t>religious communities</w:t>
      </w:r>
      <w:r w:rsidRPr="00F34AB2">
        <w:rPr>
          <w:rFonts w:ascii="Times New Roman" w:hAnsi="Times New Roman" w:cs="Times New Roman"/>
          <w:sz w:val="24"/>
          <w:szCs w:val="24"/>
        </w:rPr>
        <w:t xml:space="preserve">, and Prior Richard of </w:t>
      </w:r>
      <w:proofErr w:type="spellStart"/>
      <w:r w:rsidRPr="00F34AB2">
        <w:rPr>
          <w:rFonts w:ascii="Times New Roman" w:hAnsi="Times New Roman" w:cs="Times New Roman"/>
          <w:sz w:val="24"/>
          <w:szCs w:val="24"/>
        </w:rPr>
        <w:t>Morins’s</w:t>
      </w:r>
      <w:proofErr w:type="spellEnd"/>
      <w:r w:rsidRPr="00F34AB2">
        <w:rPr>
          <w:rFonts w:ascii="Times New Roman" w:hAnsi="Times New Roman" w:cs="Times New Roman"/>
          <w:sz w:val="24"/>
          <w:szCs w:val="24"/>
        </w:rPr>
        <w:t xml:space="preserve"> political and ecclesiastical contacts.</w:t>
      </w:r>
      <w:r w:rsidR="00504A96" w:rsidRPr="00F34AB2">
        <w:rPr>
          <w:rStyle w:val="FootnoteReference"/>
          <w:rFonts w:ascii="Times New Roman" w:hAnsi="Times New Roman" w:cs="Times New Roman"/>
          <w:sz w:val="24"/>
          <w:szCs w:val="24"/>
        </w:rPr>
        <w:footnoteReference w:id="6"/>
      </w:r>
    </w:p>
    <w:p w14:paraId="23878C46" w14:textId="6DE498C7" w:rsidR="007765DF" w:rsidRPr="00F34AB2" w:rsidRDefault="007765DF" w:rsidP="00F34AB2">
      <w:pPr>
        <w:pStyle w:val="ListParagraph"/>
        <w:numPr>
          <w:ilvl w:val="0"/>
          <w:numId w:val="1"/>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Published primary-source editions and translations:</w:t>
      </w:r>
      <w:r w:rsidRPr="00F34AB2">
        <w:rPr>
          <w:rFonts w:ascii="Times New Roman" w:hAnsi="Times New Roman" w:cs="Times New Roman"/>
          <w:sz w:val="24"/>
          <w:szCs w:val="24"/>
        </w:rPr>
        <w:t xml:space="preserve"> Luard’s Latin edition of the annals, Webster and </w:t>
      </w:r>
      <w:proofErr w:type="spellStart"/>
      <w:r w:rsidRPr="00F34AB2">
        <w:rPr>
          <w:rFonts w:ascii="Times New Roman" w:hAnsi="Times New Roman" w:cs="Times New Roman"/>
          <w:sz w:val="24"/>
          <w:szCs w:val="24"/>
        </w:rPr>
        <w:t>Preest’s</w:t>
      </w:r>
      <w:proofErr w:type="spellEnd"/>
      <w:r w:rsidRPr="00F34AB2">
        <w:rPr>
          <w:rFonts w:ascii="Times New Roman" w:hAnsi="Times New Roman" w:cs="Times New Roman"/>
          <w:sz w:val="24"/>
          <w:szCs w:val="24"/>
        </w:rPr>
        <w:t xml:space="preserve"> English edition, Ralph of </w:t>
      </w:r>
      <w:proofErr w:type="spellStart"/>
      <w:r w:rsidRPr="00F34AB2">
        <w:rPr>
          <w:rFonts w:ascii="Times New Roman" w:hAnsi="Times New Roman" w:cs="Times New Roman"/>
          <w:sz w:val="24"/>
          <w:szCs w:val="24"/>
        </w:rPr>
        <w:t>Diceto’s</w:t>
      </w:r>
      <w:proofErr w:type="spellEnd"/>
      <w:r w:rsidRPr="00F34AB2">
        <w:rPr>
          <w:rFonts w:ascii="Times New Roman" w:hAnsi="Times New Roman" w:cs="Times New Roman"/>
          <w:sz w:val="24"/>
          <w:szCs w:val="24"/>
        </w:rPr>
        <w:t xml:space="preserve"> works, the </w:t>
      </w:r>
      <w:proofErr w:type="spellStart"/>
      <w:r w:rsidRPr="00F34AB2">
        <w:rPr>
          <w:rFonts w:ascii="Times New Roman" w:hAnsi="Times New Roman" w:cs="Times New Roman"/>
          <w:i/>
          <w:iCs/>
          <w:sz w:val="24"/>
          <w:szCs w:val="24"/>
        </w:rPr>
        <w:t>Gesta</w:t>
      </w:r>
      <w:proofErr w:type="spellEnd"/>
      <w:r w:rsidRPr="00F34AB2">
        <w:rPr>
          <w:rFonts w:ascii="Times New Roman" w:hAnsi="Times New Roman" w:cs="Times New Roman"/>
          <w:i/>
          <w:iCs/>
          <w:sz w:val="24"/>
          <w:szCs w:val="24"/>
        </w:rPr>
        <w:t xml:space="preserve"> </w:t>
      </w:r>
      <w:proofErr w:type="spellStart"/>
      <w:r w:rsidRPr="00F34AB2">
        <w:rPr>
          <w:rFonts w:ascii="Times New Roman" w:hAnsi="Times New Roman" w:cs="Times New Roman"/>
          <w:i/>
          <w:iCs/>
          <w:sz w:val="24"/>
          <w:szCs w:val="24"/>
        </w:rPr>
        <w:t>abbatum</w:t>
      </w:r>
      <w:proofErr w:type="spellEnd"/>
      <w:r w:rsidRPr="00F34AB2">
        <w:rPr>
          <w:rFonts w:ascii="Times New Roman" w:hAnsi="Times New Roman" w:cs="Times New Roman"/>
          <w:sz w:val="24"/>
          <w:szCs w:val="24"/>
        </w:rPr>
        <w:t xml:space="preserve"> of St Albans, and the chronicle of Meaux Abbey.</w:t>
      </w:r>
      <w:r w:rsidR="00CC3D5E" w:rsidRPr="00F34AB2">
        <w:rPr>
          <w:rStyle w:val="FootnoteReference"/>
          <w:rFonts w:ascii="Times New Roman" w:hAnsi="Times New Roman" w:cs="Times New Roman"/>
          <w:sz w:val="24"/>
          <w:szCs w:val="24"/>
        </w:rPr>
        <w:footnoteReference w:id="7"/>
      </w:r>
    </w:p>
    <w:p w14:paraId="454627DC" w14:textId="77777777" w:rsidR="007A206B" w:rsidRPr="00F34AB2" w:rsidRDefault="007A206B" w:rsidP="00F34AB2">
      <w:pPr>
        <w:pStyle w:val="ListParagraph"/>
        <w:spacing w:line="360" w:lineRule="auto"/>
        <w:rPr>
          <w:rFonts w:ascii="Times New Roman" w:hAnsi="Times New Roman" w:cs="Times New Roman"/>
          <w:sz w:val="24"/>
          <w:szCs w:val="24"/>
        </w:rPr>
      </w:pPr>
    </w:p>
    <w:p w14:paraId="16C224FA" w14:textId="77777777" w:rsidR="007765DF" w:rsidRPr="00F34AB2" w:rsidRDefault="007765DF" w:rsidP="00F34AB2">
      <w:pPr>
        <w:pStyle w:val="Heading2"/>
        <w:spacing w:line="360" w:lineRule="auto"/>
        <w:rPr>
          <w:rFonts w:ascii="Times New Roman" w:hAnsi="Times New Roman" w:cs="Times New Roman"/>
          <w:color w:val="auto"/>
          <w:sz w:val="36"/>
          <w:szCs w:val="36"/>
        </w:rPr>
      </w:pPr>
      <w:r w:rsidRPr="00F34AB2">
        <w:rPr>
          <w:rFonts w:ascii="Times New Roman" w:hAnsi="Times New Roman" w:cs="Times New Roman"/>
          <w:color w:val="auto"/>
        </w:rPr>
        <w:t>Archives and specialist repositories</w:t>
      </w:r>
    </w:p>
    <w:p w14:paraId="02D9B532" w14:textId="7A392D56" w:rsidR="007765DF" w:rsidRPr="00F34AB2" w:rsidRDefault="007765DF" w:rsidP="00F34AB2">
      <w:pPr>
        <w:pStyle w:val="ListParagraph"/>
        <w:numPr>
          <w:ilvl w:val="0"/>
          <w:numId w:val="2"/>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Confirmed:</w:t>
      </w:r>
      <w:r w:rsidRPr="00F34AB2">
        <w:rPr>
          <w:rFonts w:ascii="Times New Roman" w:hAnsi="Times New Roman" w:cs="Times New Roman"/>
          <w:sz w:val="24"/>
          <w:szCs w:val="24"/>
        </w:rPr>
        <w:t xml:space="preserve"> the British Library, London, holding Cotton MS Tiberius A. X and Royal MS 13 E. VI.</w:t>
      </w:r>
      <w:r w:rsidR="00504A96" w:rsidRPr="00F34AB2">
        <w:rPr>
          <w:rStyle w:val="FootnoteReference"/>
          <w:rFonts w:ascii="Times New Roman" w:hAnsi="Times New Roman" w:cs="Times New Roman"/>
          <w:sz w:val="24"/>
          <w:szCs w:val="24"/>
        </w:rPr>
        <w:footnoteReference w:id="8"/>
      </w:r>
    </w:p>
    <w:p w14:paraId="7508F3C3" w14:textId="77777777" w:rsidR="007765DF" w:rsidRPr="00F34AB2" w:rsidRDefault="007765DF" w:rsidP="00F34AB2">
      <w:pPr>
        <w:pStyle w:val="ListParagraph"/>
        <w:numPr>
          <w:ilvl w:val="0"/>
          <w:numId w:val="2"/>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Possible background repositories:</w:t>
      </w:r>
      <w:r w:rsidRPr="00F34AB2">
        <w:rPr>
          <w:rFonts w:ascii="Times New Roman" w:hAnsi="Times New Roman" w:cs="Times New Roman"/>
          <w:sz w:val="24"/>
          <w:szCs w:val="24"/>
        </w:rPr>
        <w:t xml:space="preserve"> records mentioned inside the annals originated in royal, Exchequer, Chancery, episcopal, and monastic record-keeping systems, but Webster’s bibliography does not show that she consulted their surviving originals for this article.</w:t>
      </w:r>
    </w:p>
    <w:p w14:paraId="2FF2B045" w14:textId="77777777" w:rsidR="00D56B50" w:rsidRPr="00F34AB2" w:rsidRDefault="00AB4022" w:rsidP="00F34AB2">
      <w:pPr>
        <w:pStyle w:val="ListParagraph"/>
        <w:numPr>
          <w:ilvl w:val="0"/>
          <w:numId w:val="2"/>
        </w:numPr>
        <w:spacing w:line="360" w:lineRule="auto"/>
        <w:rPr>
          <w:rFonts w:ascii="Times New Roman" w:hAnsi="Times New Roman" w:cs="Times New Roman"/>
          <w:sz w:val="24"/>
          <w:szCs w:val="24"/>
        </w:rPr>
      </w:pPr>
      <w:r w:rsidRPr="00F34AB2">
        <w:rPr>
          <w:rFonts w:ascii="Times New Roman" w:hAnsi="Times New Roman" w:cs="Times New Roman"/>
          <w:b/>
          <w:bCs/>
        </w:rPr>
        <w:t>Important caution:</w:t>
      </w:r>
      <w:r w:rsidRPr="00F34AB2">
        <w:rPr>
          <w:rFonts w:ascii="Times New Roman" w:hAnsi="Times New Roman" w:cs="Times New Roman"/>
        </w:rPr>
        <w:t xml:space="preserve"> the article states that Cotton MS Tiberius A. X was damaged in the 1731 Cotton Library fire and that its fragile condition makes codicological examination difficult. The article does not specify whether Webster consulted the manuscript directly or through reproductions.</w:t>
      </w:r>
    </w:p>
    <w:p w14:paraId="7D97169F" w14:textId="77777777" w:rsidR="007765DF" w:rsidRPr="00F34AB2" w:rsidRDefault="007765DF" w:rsidP="00F34AB2">
      <w:pPr>
        <w:pStyle w:val="Heading2"/>
        <w:spacing w:line="360" w:lineRule="auto"/>
        <w:rPr>
          <w:rFonts w:ascii="Times New Roman" w:hAnsi="Times New Roman" w:cs="Times New Roman"/>
          <w:color w:val="auto"/>
          <w:sz w:val="36"/>
          <w:szCs w:val="36"/>
        </w:rPr>
      </w:pPr>
      <w:r w:rsidRPr="00F34AB2">
        <w:rPr>
          <w:rFonts w:ascii="Times New Roman" w:hAnsi="Times New Roman" w:cs="Times New Roman"/>
          <w:color w:val="auto"/>
        </w:rPr>
        <w:t>Online sources or databases</w:t>
      </w:r>
    </w:p>
    <w:p w14:paraId="09769352" w14:textId="216727EE" w:rsidR="007765DF" w:rsidRPr="00F34AB2" w:rsidRDefault="007765DF" w:rsidP="00F34AB2">
      <w:pPr>
        <w:pStyle w:val="ListParagraph"/>
        <w:numPr>
          <w:ilvl w:val="0"/>
          <w:numId w:val="3"/>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Confirmed:</w:t>
      </w:r>
      <w:r w:rsidRPr="00F34AB2">
        <w:rPr>
          <w:rFonts w:ascii="Times New Roman" w:hAnsi="Times New Roman" w:cs="Times New Roman"/>
          <w:sz w:val="24"/>
          <w:szCs w:val="24"/>
        </w:rPr>
        <w:t xml:space="preserve"> none is explicitly cited for the research underpinning this article.</w:t>
      </w:r>
      <w:r w:rsidR="00504A96" w:rsidRPr="00F34AB2">
        <w:rPr>
          <w:rStyle w:val="FootnoteReference"/>
          <w:rFonts w:ascii="Times New Roman" w:hAnsi="Times New Roman" w:cs="Times New Roman"/>
          <w:sz w:val="24"/>
          <w:szCs w:val="24"/>
        </w:rPr>
        <w:footnoteReference w:id="9"/>
      </w:r>
    </w:p>
    <w:p w14:paraId="24FE5A87" w14:textId="77777777" w:rsidR="007765DF" w:rsidRPr="00F34AB2" w:rsidRDefault="007765DF" w:rsidP="00F34AB2">
      <w:pPr>
        <w:pStyle w:val="ListParagraph"/>
        <w:numPr>
          <w:ilvl w:val="0"/>
          <w:numId w:val="3"/>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Possible:</w:t>
      </w:r>
      <w:r w:rsidRPr="00F34AB2">
        <w:rPr>
          <w:rFonts w:ascii="Times New Roman" w:hAnsi="Times New Roman" w:cs="Times New Roman"/>
          <w:sz w:val="24"/>
          <w:szCs w:val="24"/>
        </w:rPr>
        <w:t xml:space="preserve"> the British Library’s online catalogue or digitised-manuscript services may have helped with identification or preliminary access, but the article does not state this.</w:t>
      </w:r>
    </w:p>
    <w:p w14:paraId="4CE3A730" w14:textId="77777777" w:rsidR="007765DF" w:rsidRPr="00F34AB2" w:rsidRDefault="007765DF" w:rsidP="00F34AB2">
      <w:pPr>
        <w:pStyle w:val="ListParagraph"/>
        <w:numPr>
          <w:ilvl w:val="0"/>
          <w:numId w:val="3"/>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lastRenderedPageBreak/>
        <w:t>Not evidence for Webster’s article:</w:t>
      </w:r>
      <w:r w:rsidRPr="00F34AB2">
        <w:rPr>
          <w:rFonts w:ascii="Times New Roman" w:hAnsi="Times New Roman" w:cs="Times New Roman"/>
          <w:sz w:val="24"/>
          <w:szCs w:val="24"/>
        </w:rPr>
        <w:t xml:space="preserve"> “Germania Sacra Online” appears elsewhere in the same journal issue, not as one of Webster’s research sources.</w:t>
      </w:r>
    </w:p>
    <w:p w14:paraId="3399F0C4" w14:textId="77777777" w:rsidR="007765DF" w:rsidRPr="00F34AB2" w:rsidRDefault="007765DF" w:rsidP="00F34AB2">
      <w:pPr>
        <w:pStyle w:val="Heading1"/>
        <w:spacing w:line="360" w:lineRule="auto"/>
        <w:rPr>
          <w:rFonts w:ascii="Times New Roman" w:hAnsi="Times New Roman" w:cs="Times New Roman"/>
          <w:color w:val="auto"/>
          <w:sz w:val="48"/>
          <w:szCs w:val="48"/>
        </w:rPr>
      </w:pPr>
      <w:r w:rsidRPr="00F34AB2">
        <w:rPr>
          <w:rFonts w:ascii="Times New Roman" w:hAnsi="Times New Roman" w:cs="Times New Roman"/>
          <w:color w:val="auto"/>
        </w:rPr>
        <w:t>Janet Burton, “Authority and Conflict at the Cistercian Abbey of Strata Florida”</w:t>
      </w:r>
    </w:p>
    <w:p w14:paraId="22728554" w14:textId="77777777" w:rsidR="007765DF" w:rsidRPr="00F34AB2" w:rsidRDefault="007765DF" w:rsidP="00F34AB2">
      <w:pPr>
        <w:pStyle w:val="Heading2"/>
        <w:spacing w:line="360" w:lineRule="auto"/>
        <w:rPr>
          <w:rFonts w:ascii="Times New Roman" w:hAnsi="Times New Roman" w:cs="Times New Roman"/>
          <w:color w:val="auto"/>
          <w:sz w:val="36"/>
          <w:szCs w:val="36"/>
        </w:rPr>
      </w:pPr>
      <w:r w:rsidRPr="00F34AB2">
        <w:rPr>
          <w:rFonts w:ascii="Times New Roman" w:hAnsi="Times New Roman" w:cs="Times New Roman"/>
          <w:color w:val="auto"/>
        </w:rPr>
        <w:t>Types of primary source</w:t>
      </w:r>
    </w:p>
    <w:p w14:paraId="1EADD9BB" w14:textId="5314B47E"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Crown petitions:</w:t>
      </w:r>
      <w:r w:rsidRPr="00F34AB2">
        <w:rPr>
          <w:rFonts w:ascii="Times New Roman" w:hAnsi="Times New Roman" w:cs="Times New Roman"/>
          <w:sz w:val="24"/>
          <w:szCs w:val="24"/>
        </w:rPr>
        <w:t xml:space="preserve"> petitions from abbots, monks, landholders, and rivals seeking royal intervention, protection, confirmation, or redress.</w:t>
      </w:r>
      <w:r w:rsidR="00CC3D5E" w:rsidRPr="00F34AB2">
        <w:rPr>
          <w:rStyle w:val="FootnoteReference"/>
          <w:rFonts w:ascii="Times New Roman" w:hAnsi="Times New Roman" w:cs="Times New Roman"/>
          <w:sz w:val="24"/>
          <w:szCs w:val="24"/>
        </w:rPr>
        <w:footnoteReference w:id="10"/>
      </w:r>
    </w:p>
    <w:p w14:paraId="0E869B60" w14:textId="78DE2B5E"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Royal and governmental records:</w:t>
      </w:r>
      <w:r w:rsidRPr="00F34AB2">
        <w:rPr>
          <w:rFonts w:ascii="Times New Roman" w:hAnsi="Times New Roman" w:cs="Times New Roman"/>
          <w:sz w:val="24"/>
          <w:szCs w:val="24"/>
        </w:rPr>
        <w:t xml:space="preserve"> Patent Rolls, Close Rolls, Charter Rolls, registers of the Black Prince, royal grants, confirmations, pardons, mandates, and letters patent.</w:t>
      </w:r>
      <w:r w:rsidR="00504A96" w:rsidRPr="00F34AB2">
        <w:rPr>
          <w:rStyle w:val="FootnoteReference"/>
          <w:rFonts w:ascii="Times New Roman" w:hAnsi="Times New Roman" w:cs="Times New Roman"/>
          <w:sz w:val="24"/>
          <w:szCs w:val="24"/>
        </w:rPr>
        <w:footnoteReference w:id="11"/>
      </w:r>
    </w:p>
    <w:p w14:paraId="5D036D71" w14:textId="69F83870"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Legal and inquisitorial records:</w:t>
      </w:r>
      <w:r w:rsidRPr="00F34AB2">
        <w:rPr>
          <w:rFonts w:ascii="Times New Roman" w:hAnsi="Times New Roman" w:cs="Times New Roman"/>
          <w:sz w:val="24"/>
          <w:szCs w:val="24"/>
        </w:rPr>
        <w:t xml:space="preserve"> inquisitions post mortem, miscellaneous Chancery inquisitions, proof-of-age material, court proceedings, writs, records of debt, imprisonment, and signification of excommunication.</w:t>
      </w:r>
      <w:r w:rsidR="00504A96" w:rsidRPr="00F34AB2">
        <w:rPr>
          <w:rStyle w:val="FootnoteReference"/>
          <w:rFonts w:ascii="Times New Roman" w:hAnsi="Times New Roman" w:cs="Times New Roman"/>
          <w:sz w:val="24"/>
          <w:szCs w:val="24"/>
        </w:rPr>
        <w:footnoteReference w:id="12"/>
      </w:r>
    </w:p>
    <w:p w14:paraId="678A7166" w14:textId="60E3D457"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Cistercian institutional records:</w:t>
      </w:r>
      <w:r w:rsidRPr="00F34AB2">
        <w:rPr>
          <w:rFonts w:ascii="Times New Roman" w:hAnsi="Times New Roman" w:cs="Times New Roman"/>
          <w:sz w:val="24"/>
          <w:szCs w:val="24"/>
        </w:rPr>
        <w:t xml:space="preserve"> statutes and decisions of the General Chapter, election investigations, confirmations, visitations, disciplinary rulings, and records generated by Strata Florida and related abbeys.</w:t>
      </w:r>
      <w:r w:rsidR="00504A96" w:rsidRPr="00F34AB2">
        <w:rPr>
          <w:rStyle w:val="FootnoteReference"/>
          <w:rFonts w:ascii="Times New Roman" w:hAnsi="Times New Roman" w:cs="Times New Roman"/>
          <w:sz w:val="24"/>
          <w:szCs w:val="24"/>
        </w:rPr>
        <w:footnoteReference w:id="13"/>
      </w:r>
    </w:p>
    <w:p w14:paraId="452D3EBB" w14:textId="10283288"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Episcopal records:</w:t>
      </w:r>
      <w:r w:rsidRPr="00F34AB2">
        <w:rPr>
          <w:rFonts w:ascii="Times New Roman" w:hAnsi="Times New Roman" w:cs="Times New Roman"/>
          <w:sz w:val="24"/>
          <w:szCs w:val="24"/>
        </w:rPr>
        <w:t xml:space="preserve"> bishops’ registers, ordination records, mandates, faculties, excommunication material, and the register of Archbishop Simon Islip.</w:t>
      </w:r>
      <w:r w:rsidR="00504A96" w:rsidRPr="00F34AB2">
        <w:rPr>
          <w:rStyle w:val="FootnoteReference"/>
          <w:rFonts w:ascii="Times New Roman" w:hAnsi="Times New Roman" w:cs="Times New Roman"/>
          <w:sz w:val="24"/>
          <w:szCs w:val="24"/>
        </w:rPr>
        <w:footnoteReference w:id="14"/>
      </w:r>
    </w:p>
    <w:p w14:paraId="73CC5C41" w14:textId="36C231BE"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Papal records:</w:t>
      </w:r>
      <w:r w:rsidRPr="00F34AB2">
        <w:rPr>
          <w:rFonts w:ascii="Times New Roman" w:hAnsi="Times New Roman" w:cs="Times New Roman"/>
          <w:sz w:val="24"/>
          <w:szCs w:val="24"/>
        </w:rPr>
        <w:t xml:space="preserve"> papal bulls, mandates, letters, dispensations, and calendared papal-register entries.</w:t>
      </w:r>
      <w:r w:rsidR="00CC3D5E" w:rsidRPr="00F34AB2">
        <w:rPr>
          <w:rStyle w:val="FootnoteReference"/>
          <w:rFonts w:ascii="Times New Roman" w:hAnsi="Times New Roman" w:cs="Times New Roman"/>
          <w:sz w:val="24"/>
          <w:szCs w:val="24"/>
        </w:rPr>
        <w:footnoteReference w:id="15"/>
      </w:r>
    </w:p>
    <w:p w14:paraId="01FC1F08" w14:textId="77777777"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Monastic and dynastic evidence:</w:t>
      </w:r>
      <w:r w:rsidRPr="00F34AB2">
        <w:rPr>
          <w:rFonts w:ascii="Times New Roman" w:hAnsi="Times New Roman" w:cs="Times New Roman"/>
          <w:sz w:val="24"/>
          <w:szCs w:val="24"/>
        </w:rPr>
        <w:t xml:space="preserve"> foundation and patronage traditions, charters, grants, common seals, property evidence, records of abbots, and affiliations between Cistercian houses.</w:t>
      </w:r>
    </w:p>
    <w:p w14:paraId="47E9893D" w14:textId="780525B3" w:rsidR="006919B1" w:rsidRPr="00F34AB2" w:rsidRDefault="00D56B50"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lastRenderedPageBreak/>
        <w:t>Chronicles:</w:t>
      </w:r>
      <w:r w:rsidRPr="00F34AB2">
        <w:rPr>
          <w:rFonts w:ascii="Times New Roman" w:hAnsi="Times New Roman" w:cs="Times New Roman"/>
          <w:sz w:val="24"/>
          <w:szCs w:val="24"/>
        </w:rPr>
        <w:t xml:space="preserve"> </w:t>
      </w:r>
      <w:r w:rsidRPr="00F34AB2">
        <w:rPr>
          <w:rFonts w:ascii="Times New Roman" w:hAnsi="Times New Roman" w:cs="Times New Roman"/>
          <w:i/>
          <w:iCs/>
          <w:sz w:val="24"/>
          <w:szCs w:val="24"/>
        </w:rPr>
        <w:t xml:space="preserve">Brut y </w:t>
      </w:r>
      <w:proofErr w:type="spellStart"/>
      <w:r w:rsidRPr="00F34AB2">
        <w:rPr>
          <w:rFonts w:ascii="Times New Roman" w:hAnsi="Times New Roman" w:cs="Times New Roman"/>
          <w:i/>
          <w:iCs/>
          <w:sz w:val="24"/>
          <w:szCs w:val="24"/>
        </w:rPr>
        <w:t>Tywysogyon</w:t>
      </w:r>
      <w:proofErr w:type="spellEnd"/>
      <w:r w:rsidR="003D1564" w:rsidRPr="00F34AB2">
        <w:rPr>
          <w:rFonts w:ascii="Times New Roman" w:hAnsi="Times New Roman" w:cs="Times New Roman"/>
        </w:rPr>
        <w:t xml:space="preserve"> and</w:t>
      </w:r>
      <w:r w:rsidRPr="00F34AB2">
        <w:rPr>
          <w:rFonts w:ascii="Times New Roman" w:hAnsi="Times New Roman" w:cs="Times New Roman"/>
          <w:sz w:val="24"/>
          <w:szCs w:val="24"/>
        </w:rPr>
        <w:t xml:space="preserve"> the St Albans chronicle of Thomas Walsingham</w:t>
      </w:r>
      <w:r w:rsidR="003D1564" w:rsidRPr="00F34AB2">
        <w:rPr>
          <w:rFonts w:ascii="Times New Roman" w:hAnsi="Times New Roman" w:cs="Times New Roman"/>
        </w:rPr>
        <w:t xml:space="preserve"> are cited in Burton’s notes. Burton also mentions the </w:t>
      </w:r>
      <w:r w:rsidRPr="00F34AB2">
        <w:rPr>
          <w:rFonts w:ascii="Times New Roman" w:hAnsi="Times New Roman" w:cs="Times New Roman"/>
          <w:sz w:val="24"/>
          <w:szCs w:val="24"/>
        </w:rPr>
        <w:t xml:space="preserve">chronicle of Adam of </w:t>
      </w:r>
      <w:proofErr w:type="spellStart"/>
      <w:r w:rsidRPr="00F34AB2">
        <w:rPr>
          <w:rFonts w:ascii="Times New Roman" w:hAnsi="Times New Roman" w:cs="Times New Roman"/>
          <w:sz w:val="24"/>
          <w:szCs w:val="24"/>
        </w:rPr>
        <w:t>Usk</w:t>
      </w:r>
      <w:proofErr w:type="spellEnd"/>
      <w:r w:rsidR="003D1564" w:rsidRPr="00F34AB2">
        <w:rPr>
          <w:rFonts w:ascii="Times New Roman" w:hAnsi="Times New Roman" w:cs="Times New Roman"/>
        </w:rPr>
        <w:t xml:space="preserve"> as corroborating evidence, without supplying a full bibliographical entry there</w:t>
      </w:r>
      <w:r w:rsidRPr="00F34AB2">
        <w:rPr>
          <w:rFonts w:ascii="Times New Roman" w:hAnsi="Times New Roman" w:cs="Times New Roman"/>
          <w:sz w:val="24"/>
          <w:szCs w:val="24"/>
        </w:rPr>
        <w:t>.</w:t>
      </w:r>
      <w:r w:rsidR="00504A96" w:rsidRPr="00F34AB2">
        <w:rPr>
          <w:rStyle w:val="FootnoteReference"/>
          <w:rFonts w:ascii="Times New Roman" w:hAnsi="Times New Roman" w:cs="Times New Roman"/>
          <w:sz w:val="24"/>
          <w:szCs w:val="24"/>
        </w:rPr>
        <w:footnoteReference w:id="16"/>
      </w:r>
    </w:p>
    <w:p w14:paraId="5006FE97" w14:textId="05C0D8BF"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Welsh literary sources:</w:t>
      </w:r>
      <w:r w:rsidRPr="00F34AB2">
        <w:rPr>
          <w:rFonts w:ascii="Times New Roman" w:hAnsi="Times New Roman" w:cs="Times New Roman"/>
          <w:sz w:val="24"/>
          <w:szCs w:val="24"/>
        </w:rPr>
        <w:t xml:space="preserve"> praise poetry and elegies by Llywelyn Goch ap Meurig Hen, Iolo Goch, </w:t>
      </w:r>
      <w:proofErr w:type="spellStart"/>
      <w:r w:rsidRPr="00F34AB2">
        <w:rPr>
          <w:rFonts w:ascii="Times New Roman" w:hAnsi="Times New Roman" w:cs="Times New Roman"/>
          <w:sz w:val="24"/>
          <w:szCs w:val="24"/>
        </w:rPr>
        <w:t>Guto’r</w:t>
      </w:r>
      <w:proofErr w:type="spellEnd"/>
      <w:r w:rsidRPr="00F34AB2">
        <w:rPr>
          <w:rFonts w:ascii="Times New Roman" w:hAnsi="Times New Roman" w:cs="Times New Roman"/>
          <w:sz w:val="24"/>
          <w:szCs w:val="24"/>
        </w:rPr>
        <w:t xml:space="preserve"> Glyn, and other bardic material.</w:t>
      </w:r>
      <w:r w:rsidR="00504A96" w:rsidRPr="00F34AB2">
        <w:rPr>
          <w:rStyle w:val="FootnoteReference"/>
          <w:rFonts w:ascii="Times New Roman" w:hAnsi="Times New Roman" w:cs="Times New Roman"/>
          <w:sz w:val="24"/>
          <w:szCs w:val="24"/>
        </w:rPr>
        <w:footnoteReference w:id="17"/>
      </w:r>
    </w:p>
    <w:p w14:paraId="7D6A6383" w14:textId="32DE4563" w:rsidR="00D56B50" w:rsidRPr="00F34AB2" w:rsidRDefault="006F1DA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rPr>
        <w:t>Manuscript poetry evidence:</w:t>
      </w:r>
      <w:r w:rsidRPr="00F34AB2">
        <w:rPr>
          <w:rFonts w:ascii="Times New Roman" w:hAnsi="Times New Roman" w:cs="Times New Roman"/>
        </w:rPr>
        <w:t xml:space="preserve"> National Library of Wales MS </w:t>
      </w:r>
      <w:proofErr w:type="spellStart"/>
      <w:r w:rsidRPr="00F34AB2">
        <w:rPr>
          <w:rFonts w:ascii="Times New Roman" w:hAnsi="Times New Roman" w:cs="Times New Roman"/>
        </w:rPr>
        <w:t>Peniarth</w:t>
      </w:r>
      <w:proofErr w:type="spellEnd"/>
      <w:r w:rsidRPr="00F34AB2">
        <w:rPr>
          <w:rFonts w:ascii="Times New Roman" w:hAnsi="Times New Roman" w:cs="Times New Roman"/>
        </w:rPr>
        <w:t xml:space="preserve"> 57 is identified in connection with </w:t>
      </w:r>
      <w:proofErr w:type="spellStart"/>
      <w:r w:rsidRPr="00F34AB2">
        <w:rPr>
          <w:rFonts w:ascii="Times New Roman" w:hAnsi="Times New Roman" w:cs="Times New Roman"/>
        </w:rPr>
        <w:t>Guto’r</w:t>
      </w:r>
      <w:proofErr w:type="spellEnd"/>
      <w:r w:rsidRPr="00F34AB2">
        <w:rPr>
          <w:rFonts w:ascii="Times New Roman" w:hAnsi="Times New Roman" w:cs="Times New Roman"/>
        </w:rPr>
        <w:t xml:space="preserve"> Glyn’s praise poetry. Burton also discusses the White Book of Rhydderch and the </w:t>
      </w:r>
      <w:proofErr w:type="spellStart"/>
      <w:r w:rsidRPr="00F34AB2">
        <w:rPr>
          <w:rFonts w:ascii="Times New Roman" w:hAnsi="Times New Roman" w:cs="Times New Roman"/>
        </w:rPr>
        <w:t>Hendregadredd</w:t>
      </w:r>
      <w:proofErr w:type="spellEnd"/>
      <w:r w:rsidRPr="00F34AB2">
        <w:rPr>
          <w:rFonts w:ascii="Times New Roman" w:hAnsi="Times New Roman" w:cs="Times New Roman"/>
        </w:rPr>
        <w:t xml:space="preserve"> manuscript through secondary scholarship.</w:t>
      </w:r>
      <w:r w:rsidR="00504A96" w:rsidRPr="00F34AB2">
        <w:rPr>
          <w:rStyle w:val="FootnoteReference"/>
          <w:rFonts w:ascii="Times New Roman" w:hAnsi="Times New Roman" w:cs="Times New Roman"/>
        </w:rPr>
        <w:footnoteReference w:id="18"/>
      </w:r>
    </w:p>
    <w:p w14:paraId="3AEB2CB1" w14:textId="77777777"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Financial and administrative evidence:</w:t>
      </w:r>
      <w:r w:rsidRPr="00F34AB2">
        <w:rPr>
          <w:rFonts w:ascii="Times New Roman" w:hAnsi="Times New Roman" w:cs="Times New Roman"/>
          <w:sz w:val="24"/>
          <w:szCs w:val="24"/>
        </w:rPr>
        <w:t xml:space="preserve"> valuations, tenths and subsidies, tax collection, debts, monastic population figures, grants, and records of rebuilding and material damage.</w:t>
      </w:r>
    </w:p>
    <w:p w14:paraId="6B1E58C4" w14:textId="1D029AD1" w:rsidR="007765DF" w:rsidRPr="00F34AB2" w:rsidRDefault="007765DF" w:rsidP="00F34AB2">
      <w:pPr>
        <w:pStyle w:val="ListParagraph"/>
        <w:numPr>
          <w:ilvl w:val="0"/>
          <w:numId w:val="4"/>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Linguistic and palaeographical evidence:</w:t>
      </w:r>
      <w:r w:rsidRPr="00F34AB2">
        <w:rPr>
          <w:rFonts w:ascii="Times New Roman" w:hAnsi="Times New Roman" w:cs="Times New Roman"/>
          <w:sz w:val="24"/>
          <w:szCs w:val="24"/>
        </w:rPr>
        <w:t xml:space="preserve"> Anglo-Norman versus English wording, handwriting, document form, regnal years, and internal dating clues used to reassess an undated petition.</w:t>
      </w:r>
      <w:r w:rsidR="00CC3D5E" w:rsidRPr="00F34AB2">
        <w:rPr>
          <w:rStyle w:val="FootnoteReference"/>
          <w:rFonts w:ascii="Times New Roman" w:hAnsi="Times New Roman" w:cs="Times New Roman"/>
          <w:sz w:val="24"/>
          <w:szCs w:val="24"/>
        </w:rPr>
        <w:footnoteReference w:id="19"/>
      </w:r>
    </w:p>
    <w:p w14:paraId="12E86046" w14:textId="77777777" w:rsidR="007765DF" w:rsidRPr="00F34AB2" w:rsidRDefault="007765DF" w:rsidP="00F34AB2">
      <w:pPr>
        <w:pStyle w:val="Heading2"/>
        <w:spacing w:line="360" w:lineRule="auto"/>
        <w:rPr>
          <w:rFonts w:ascii="Times New Roman" w:hAnsi="Times New Roman" w:cs="Times New Roman"/>
          <w:color w:val="auto"/>
          <w:sz w:val="36"/>
          <w:szCs w:val="36"/>
        </w:rPr>
      </w:pPr>
      <w:r w:rsidRPr="00F34AB2">
        <w:rPr>
          <w:rFonts w:ascii="Times New Roman" w:hAnsi="Times New Roman" w:cs="Times New Roman"/>
          <w:color w:val="auto"/>
        </w:rPr>
        <w:t>Archives and specialist repositories</w:t>
      </w:r>
    </w:p>
    <w:p w14:paraId="689ADDA4" w14:textId="2C903FD5" w:rsidR="007765DF" w:rsidRPr="00F34AB2" w:rsidRDefault="00D56B50" w:rsidP="00F34AB2">
      <w:pPr>
        <w:pStyle w:val="ListParagraph"/>
        <w:numPr>
          <w:ilvl w:val="0"/>
          <w:numId w:val="5"/>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Confirmed:</w:t>
      </w:r>
      <w:r w:rsidRPr="00F34AB2">
        <w:rPr>
          <w:rFonts w:ascii="Times New Roman" w:hAnsi="Times New Roman" w:cs="Times New Roman"/>
          <w:sz w:val="24"/>
          <w:szCs w:val="24"/>
        </w:rPr>
        <w:t xml:space="preserve"> </w:t>
      </w:r>
      <w:r w:rsidR="00F464A7" w:rsidRPr="00F34AB2">
        <w:rPr>
          <w:rFonts w:ascii="Times New Roman" w:hAnsi="Times New Roman" w:cs="Times New Roman"/>
        </w:rPr>
        <w:t xml:space="preserve">London, </w:t>
      </w:r>
      <w:r w:rsidRPr="00F34AB2">
        <w:rPr>
          <w:rFonts w:ascii="Times New Roman" w:hAnsi="Times New Roman" w:cs="Times New Roman"/>
          <w:sz w:val="24"/>
          <w:szCs w:val="24"/>
        </w:rPr>
        <w:t xml:space="preserve">The National Archives, </w:t>
      </w:r>
      <w:r w:rsidR="00F464A7" w:rsidRPr="00F34AB2">
        <w:rPr>
          <w:rFonts w:ascii="Times New Roman" w:hAnsi="Times New Roman" w:cs="Times New Roman"/>
        </w:rPr>
        <w:t xml:space="preserve">including </w:t>
      </w:r>
      <w:r w:rsidRPr="00F34AB2">
        <w:rPr>
          <w:rFonts w:ascii="Times New Roman" w:hAnsi="Times New Roman" w:cs="Times New Roman"/>
          <w:sz w:val="24"/>
          <w:szCs w:val="24"/>
        </w:rPr>
        <w:t xml:space="preserve">records in </w:t>
      </w:r>
      <w:r w:rsidRPr="00F34AB2">
        <w:rPr>
          <w:rFonts w:ascii="Times New Roman" w:hAnsi="Times New Roman" w:cs="Times New Roman"/>
          <w:sz w:val="24"/>
          <w:szCs w:val="24"/>
        </w:rPr>
        <w:t>SC 8, C 66, C 85, C 145, and E 36.</w:t>
      </w:r>
      <w:r w:rsidR="00504A96" w:rsidRPr="00F34AB2">
        <w:rPr>
          <w:rStyle w:val="FootnoteReference"/>
          <w:rFonts w:ascii="Times New Roman" w:hAnsi="Times New Roman" w:cs="Times New Roman"/>
          <w:sz w:val="24"/>
          <w:szCs w:val="24"/>
        </w:rPr>
        <w:footnoteReference w:id="20"/>
      </w:r>
    </w:p>
    <w:p w14:paraId="423AF8E9" w14:textId="1386A32E" w:rsidR="007765DF" w:rsidRPr="00F34AB2" w:rsidRDefault="007765DF" w:rsidP="00F34AB2">
      <w:pPr>
        <w:pStyle w:val="ListParagraph"/>
        <w:numPr>
          <w:ilvl w:val="0"/>
          <w:numId w:val="5"/>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Confirmed:</w:t>
      </w:r>
      <w:r w:rsidRPr="00F34AB2">
        <w:rPr>
          <w:rFonts w:ascii="Times New Roman" w:hAnsi="Times New Roman" w:cs="Times New Roman"/>
          <w:sz w:val="24"/>
          <w:szCs w:val="24"/>
        </w:rPr>
        <w:t xml:space="preserve"> Lambeth Palace Library, London, especially the Register of Archbishop Simon Islip.</w:t>
      </w:r>
      <w:r w:rsidR="00CC3D5E" w:rsidRPr="00F34AB2">
        <w:rPr>
          <w:rStyle w:val="FootnoteReference"/>
          <w:rFonts w:ascii="Times New Roman" w:hAnsi="Times New Roman" w:cs="Times New Roman"/>
          <w:sz w:val="24"/>
          <w:szCs w:val="24"/>
        </w:rPr>
        <w:footnoteReference w:id="21"/>
      </w:r>
    </w:p>
    <w:p w14:paraId="6B6BCB66" w14:textId="1B82DC63" w:rsidR="007765DF" w:rsidRPr="00F34AB2" w:rsidRDefault="007765DF" w:rsidP="00F34AB2">
      <w:pPr>
        <w:pStyle w:val="ListParagraph"/>
        <w:numPr>
          <w:ilvl w:val="0"/>
          <w:numId w:val="5"/>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Confirmed:</w:t>
      </w:r>
      <w:r w:rsidRPr="00F34AB2">
        <w:rPr>
          <w:rFonts w:ascii="Times New Roman" w:hAnsi="Times New Roman" w:cs="Times New Roman"/>
          <w:sz w:val="24"/>
          <w:szCs w:val="24"/>
        </w:rPr>
        <w:t xml:space="preserve"> National Library of Wales, Aberystwyth, through MS </w:t>
      </w:r>
      <w:proofErr w:type="spellStart"/>
      <w:r w:rsidRPr="00F34AB2">
        <w:rPr>
          <w:rFonts w:ascii="Times New Roman" w:hAnsi="Times New Roman" w:cs="Times New Roman"/>
          <w:sz w:val="24"/>
          <w:szCs w:val="24"/>
        </w:rPr>
        <w:t>Peniarth</w:t>
      </w:r>
      <w:proofErr w:type="spellEnd"/>
      <w:r w:rsidRPr="00F34AB2">
        <w:rPr>
          <w:rFonts w:ascii="Times New Roman" w:hAnsi="Times New Roman" w:cs="Times New Roman"/>
          <w:sz w:val="24"/>
          <w:szCs w:val="24"/>
        </w:rPr>
        <w:t xml:space="preserve"> 57.</w:t>
      </w:r>
      <w:r w:rsidR="00504A96" w:rsidRPr="00F34AB2">
        <w:rPr>
          <w:rStyle w:val="FootnoteReference"/>
          <w:rFonts w:ascii="Times New Roman" w:hAnsi="Times New Roman" w:cs="Times New Roman"/>
          <w:sz w:val="24"/>
          <w:szCs w:val="24"/>
        </w:rPr>
        <w:footnoteReference w:id="22"/>
      </w:r>
    </w:p>
    <w:p w14:paraId="5D7C8052" w14:textId="77777777" w:rsidR="006919B1" w:rsidRPr="00F34AB2" w:rsidRDefault="00D56B50" w:rsidP="00F34AB2">
      <w:pPr>
        <w:pStyle w:val="ListParagraph"/>
        <w:numPr>
          <w:ilvl w:val="0"/>
          <w:numId w:val="5"/>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 xml:space="preserve">Specialist edited </w:t>
      </w:r>
      <w:r w:rsidR="006F3962" w:rsidRPr="00F34AB2">
        <w:rPr>
          <w:rFonts w:ascii="Times New Roman" w:hAnsi="Times New Roman" w:cs="Times New Roman"/>
          <w:b/>
          <w:bCs/>
        </w:rPr>
        <w:t>source collections</w:t>
      </w:r>
      <w:r w:rsidRPr="00F34AB2">
        <w:rPr>
          <w:rFonts w:ascii="Times New Roman" w:hAnsi="Times New Roman" w:cs="Times New Roman"/>
          <w:b/>
          <w:bCs/>
          <w:sz w:val="24"/>
          <w:szCs w:val="24"/>
        </w:rPr>
        <w:t>:</w:t>
      </w:r>
      <w:r w:rsidRPr="00F34AB2">
        <w:rPr>
          <w:rFonts w:ascii="Times New Roman" w:hAnsi="Times New Roman" w:cs="Times New Roman"/>
          <w:sz w:val="24"/>
          <w:szCs w:val="24"/>
        </w:rPr>
        <w:t xml:space="preserve"> </w:t>
      </w:r>
      <w:r w:rsidRPr="00F34AB2">
        <w:rPr>
          <w:rFonts w:ascii="Times New Roman" w:hAnsi="Times New Roman" w:cs="Times New Roman"/>
          <w:sz w:val="24"/>
          <w:szCs w:val="24"/>
        </w:rPr>
        <w:t xml:space="preserve">published editions and calendars of </w:t>
      </w:r>
      <w:r w:rsidRPr="00F34AB2">
        <w:rPr>
          <w:rFonts w:ascii="Times New Roman" w:hAnsi="Times New Roman" w:cs="Times New Roman"/>
          <w:sz w:val="24"/>
          <w:szCs w:val="24"/>
        </w:rPr>
        <w:t xml:space="preserve">Cistercian General Chapter records, episcopal </w:t>
      </w:r>
      <w:r w:rsidR="006F3962" w:rsidRPr="00F34AB2">
        <w:rPr>
          <w:rFonts w:ascii="Times New Roman" w:hAnsi="Times New Roman" w:cs="Times New Roman"/>
        </w:rPr>
        <w:t>and</w:t>
      </w:r>
      <w:r w:rsidRPr="00F34AB2">
        <w:rPr>
          <w:rFonts w:ascii="Times New Roman" w:hAnsi="Times New Roman" w:cs="Times New Roman"/>
          <w:sz w:val="24"/>
          <w:szCs w:val="24"/>
        </w:rPr>
        <w:t xml:space="preserve"> papal registers, Patent, Close and Charter Rolls, ancient petitions, inquisitions, and the Black Prince’s register.</w:t>
      </w:r>
    </w:p>
    <w:p w14:paraId="0519E751" w14:textId="2F1CED06" w:rsidR="007765DF" w:rsidRPr="00F34AB2" w:rsidRDefault="007765DF" w:rsidP="00F34AB2">
      <w:pPr>
        <w:pStyle w:val="ListParagraph"/>
        <w:numPr>
          <w:ilvl w:val="0"/>
          <w:numId w:val="5"/>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lastRenderedPageBreak/>
        <w:t>Historical repository noted but unavailable:</w:t>
      </w:r>
      <w:r w:rsidRPr="00F34AB2">
        <w:rPr>
          <w:rFonts w:ascii="Times New Roman" w:hAnsi="Times New Roman" w:cs="Times New Roman"/>
          <w:sz w:val="24"/>
          <w:szCs w:val="24"/>
        </w:rPr>
        <w:t xml:space="preserve"> medieval Court of Arches records formerly kept at St Mary-le-Bow were destroyed in the Great Fire of London; Burton therefore relies on surviving references preserved elsewhere.</w:t>
      </w:r>
      <w:r w:rsidR="00CC3D5E" w:rsidRPr="00F34AB2">
        <w:rPr>
          <w:rStyle w:val="FootnoteReference"/>
          <w:rFonts w:ascii="Times New Roman" w:hAnsi="Times New Roman" w:cs="Times New Roman"/>
          <w:sz w:val="24"/>
          <w:szCs w:val="24"/>
        </w:rPr>
        <w:footnoteReference w:id="23"/>
      </w:r>
    </w:p>
    <w:p w14:paraId="5A0B744F" w14:textId="77777777" w:rsidR="007765DF" w:rsidRPr="00F34AB2" w:rsidRDefault="007765DF" w:rsidP="00F34AB2">
      <w:pPr>
        <w:pStyle w:val="Heading2"/>
        <w:spacing w:line="360" w:lineRule="auto"/>
        <w:rPr>
          <w:rFonts w:ascii="Times New Roman" w:hAnsi="Times New Roman" w:cs="Times New Roman"/>
          <w:color w:val="auto"/>
          <w:sz w:val="36"/>
          <w:szCs w:val="36"/>
        </w:rPr>
      </w:pPr>
      <w:r w:rsidRPr="00F34AB2">
        <w:rPr>
          <w:rFonts w:ascii="Times New Roman" w:hAnsi="Times New Roman" w:cs="Times New Roman"/>
          <w:color w:val="auto"/>
        </w:rPr>
        <w:t>Online sources or databases</w:t>
      </w:r>
    </w:p>
    <w:p w14:paraId="3F1520B7" w14:textId="34038EBD" w:rsidR="007765DF" w:rsidRPr="00F34AB2" w:rsidRDefault="007765DF" w:rsidP="00F34AB2">
      <w:pPr>
        <w:pStyle w:val="ListParagraph"/>
        <w:numPr>
          <w:ilvl w:val="0"/>
          <w:numId w:val="6"/>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Confirmed:</w:t>
      </w:r>
      <w:r w:rsidRPr="00F34AB2">
        <w:rPr>
          <w:rFonts w:ascii="Times New Roman" w:hAnsi="Times New Roman" w:cs="Times New Roman"/>
          <w:sz w:val="24"/>
          <w:szCs w:val="24"/>
        </w:rPr>
        <w:t xml:space="preserve"> The National Archives’ Discovery catalogue. Burton cites a specific catalogue entry and notes that its suggested date helped contextualise, though did not determine, her redating argument.</w:t>
      </w:r>
      <w:r w:rsidR="00CC3D5E" w:rsidRPr="00F34AB2">
        <w:rPr>
          <w:rStyle w:val="FootnoteReference"/>
          <w:rFonts w:ascii="Times New Roman" w:hAnsi="Times New Roman" w:cs="Times New Roman"/>
          <w:sz w:val="24"/>
          <w:szCs w:val="24"/>
        </w:rPr>
        <w:footnoteReference w:id="24"/>
      </w:r>
    </w:p>
    <w:p w14:paraId="2894DC81" w14:textId="49628FFC" w:rsidR="007765DF" w:rsidRPr="00F34AB2" w:rsidRDefault="007765DF" w:rsidP="00F34AB2">
      <w:pPr>
        <w:pStyle w:val="ListParagraph"/>
        <w:numPr>
          <w:ilvl w:val="0"/>
          <w:numId w:val="6"/>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Confirmed:</w:t>
      </w:r>
      <w:r w:rsidRPr="00F34AB2">
        <w:rPr>
          <w:rFonts w:ascii="Times New Roman" w:hAnsi="Times New Roman" w:cs="Times New Roman"/>
          <w:sz w:val="24"/>
          <w:szCs w:val="24"/>
        </w:rPr>
        <w:t xml:space="preserve"> the </w:t>
      </w:r>
      <w:proofErr w:type="spellStart"/>
      <w:r w:rsidRPr="00F34AB2">
        <w:rPr>
          <w:rFonts w:ascii="Times New Roman" w:hAnsi="Times New Roman" w:cs="Times New Roman"/>
          <w:sz w:val="24"/>
          <w:szCs w:val="24"/>
        </w:rPr>
        <w:t>Guto’r</w:t>
      </w:r>
      <w:proofErr w:type="spellEnd"/>
      <w:r w:rsidRPr="00F34AB2">
        <w:rPr>
          <w:rFonts w:ascii="Times New Roman" w:hAnsi="Times New Roman" w:cs="Times New Roman"/>
          <w:sz w:val="24"/>
          <w:szCs w:val="24"/>
        </w:rPr>
        <w:t xml:space="preserve"> Glyn digital edition, used for poems concerning Abbot Rhys, his origins, building work, hospitality, education, and music.</w:t>
      </w:r>
      <w:r w:rsidR="00CC3D5E" w:rsidRPr="00F34AB2">
        <w:rPr>
          <w:rStyle w:val="FootnoteReference"/>
          <w:rFonts w:ascii="Times New Roman" w:hAnsi="Times New Roman" w:cs="Times New Roman"/>
          <w:sz w:val="24"/>
          <w:szCs w:val="24"/>
        </w:rPr>
        <w:footnoteReference w:id="25"/>
      </w:r>
    </w:p>
    <w:p w14:paraId="0AF3D0A0" w14:textId="542BE89D" w:rsidR="00D56B50" w:rsidRPr="00F34AB2" w:rsidRDefault="006919B1" w:rsidP="00F34AB2">
      <w:pPr>
        <w:pStyle w:val="ListParagraph"/>
        <w:numPr>
          <w:ilvl w:val="0"/>
          <w:numId w:val="6"/>
        </w:numPr>
        <w:spacing w:line="360" w:lineRule="auto"/>
        <w:rPr>
          <w:rFonts w:ascii="Times New Roman" w:hAnsi="Times New Roman" w:cs="Times New Roman"/>
          <w:sz w:val="24"/>
          <w:szCs w:val="24"/>
        </w:rPr>
      </w:pPr>
      <w:r w:rsidRPr="00F34AB2">
        <w:rPr>
          <w:rFonts w:ascii="Times New Roman" w:hAnsi="Times New Roman" w:cs="Times New Roman"/>
          <w:b/>
          <w:bCs/>
        </w:rPr>
        <w:t>Confirmed project website:</w:t>
      </w:r>
      <w:r w:rsidRPr="00F34AB2">
        <w:rPr>
          <w:rFonts w:ascii="Times New Roman" w:hAnsi="Times New Roman" w:cs="Times New Roman"/>
        </w:rPr>
        <w:t xml:space="preserve"> Monastic Wales. Burton states that the article formed part of the project and prints the website address.</w:t>
      </w:r>
      <w:r w:rsidR="00504A96" w:rsidRPr="00F34AB2">
        <w:rPr>
          <w:rStyle w:val="FootnoteReference"/>
          <w:rFonts w:ascii="Times New Roman" w:hAnsi="Times New Roman" w:cs="Times New Roman"/>
        </w:rPr>
        <w:footnoteReference w:id="26"/>
      </w:r>
    </w:p>
    <w:p w14:paraId="23EDBD95" w14:textId="77777777" w:rsidR="007765DF" w:rsidRPr="00F34AB2" w:rsidRDefault="007765DF" w:rsidP="00F34AB2">
      <w:pPr>
        <w:pStyle w:val="ListParagraph"/>
        <w:numPr>
          <w:ilvl w:val="0"/>
          <w:numId w:val="6"/>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Possible:</w:t>
      </w:r>
      <w:r w:rsidRPr="00F34AB2">
        <w:rPr>
          <w:rFonts w:ascii="Times New Roman" w:hAnsi="Times New Roman" w:cs="Times New Roman"/>
          <w:sz w:val="24"/>
          <w:szCs w:val="24"/>
        </w:rPr>
        <w:t xml:space="preserve"> digitised calendars, library catalogues, journal databases, and online finding aids may have assisted discovery, but only the resources above are explicit.</w:t>
      </w:r>
    </w:p>
    <w:p w14:paraId="673FAF36" w14:textId="77777777" w:rsidR="007765DF" w:rsidRPr="00F34AB2" w:rsidRDefault="007765DF" w:rsidP="00F34AB2">
      <w:pPr>
        <w:pStyle w:val="Heading1"/>
        <w:spacing w:line="360" w:lineRule="auto"/>
        <w:rPr>
          <w:rFonts w:ascii="Times New Roman" w:hAnsi="Times New Roman" w:cs="Times New Roman"/>
          <w:color w:val="auto"/>
          <w:sz w:val="48"/>
          <w:szCs w:val="48"/>
        </w:rPr>
      </w:pPr>
      <w:r w:rsidRPr="00F34AB2">
        <w:rPr>
          <w:rFonts w:ascii="Times New Roman" w:hAnsi="Times New Roman" w:cs="Times New Roman"/>
          <w:color w:val="auto"/>
        </w:rPr>
        <w:t>Comparative Notes</w:t>
      </w:r>
    </w:p>
    <w:p w14:paraId="6F4C0E6E" w14:textId="6B534211" w:rsidR="007765DF" w:rsidRPr="00F34AB2" w:rsidRDefault="007765DF" w:rsidP="00F34AB2">
      <w:pPr>
        <w:pStyle w:val="ListParagraph"/>
        <w:numPr>
          <w:ilvl w:val="0"/>
          <w:numId w:val="7"/>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Webster’s source base is concentrated and material:</w:t>
      </w:r>
      <w:r w:rsidRPr="00F34AB2">
        <w:rPr>
          <w:rFonts w:ascii="Times New Roman" w:hAnsi="Times New Roman" w:cs="Times New Roman"/>
          <w:sz w:val="24"/>
          <w:szCs w:val="24"/>
        </w:rPr>
        <w:t xml:space="preserve"> she builds a large interpretation from intensive analysis of one principal manuscript and its relationship to another manuscript. Her evidence supports a claim about collective authorship, continued revision, institutional memory, and the growth of written administration.</w:t>
      </w:r>
      <w:r w:rsidR="00CC3D5E" w:rsidRPr="00F34AB2">
        <w:rPr>
          <w:rStyle w:val="FootnoteReference"/>
          <w:rFonts w:ascii="Times New Roman" w:hAnsi="Times New Roman" w:cs="Times New Roman"/>
          <w:sz w:val="24"/>
          <w:szCs w:val="24"/>
        </w:rPr>
        <w:footnoteReference w:id="27"/>
      </w:r>
    </w:p>
    <w:p w14:paraId="53D27FCE" w14:textId="09759613" w:rsidR="007765DF" w:rsidRPr="00F34AB2" w:rsidRDefault="007765DF" w:rsidP="00F34AB2">
      <w:pPr>
        <w:pStyle w:val="ListParagraph"/>
        <w:numPr>
          <w:ilvl w:val="0"/>
          <w:numId w:val="7"/>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Burton’s source base is dispersed and comparative:</w:t>
      </w:r>
      <w:r w:rsidRPr="00F34AB2">
        <w:rPr>
          <w:rFonts w:ascii="Times New Roman" w:hAnsi="Times New Roman" w:cs="Times New Roman"/>
          <w:sz w:val="24"/>
          <w:szCs w:val="24"/>
        </w:rPr>
        <w:t xml:space="preserve"> she reconstructs three conflicts by cross-checking documents produced by rival monastic, royal, episcopal, papal, and local interests. This breadth allows her to correct chronology and expose competing claims.</w:t>
      </w:r>
      <w:r w:rsidR="00CC3D5E" w:rsidRPr="00F34AB2">
        <w:rPr>
          <w:rStyle w:val="FootnoteReference"/>
          <w:rFonts w:ascii="Times New Roman" w:hAnsi="Times New Roman" w:cs="Times New Roman"/>
          <w:sz w:val="24"/>
          <w:szCs w:val="24"/>
        </w:rPr>
        <w:footnoteReference w:id="28"/>
      </w:r>
    </w:p>
    <w:p w14:paraId="4D7DE6C4" w14:textId="26456528" w:rsidR="007765DF" w:rsidRPr="00F34AB2" w:rsidRDefault="007765DF" w:rsidP="00F34AB2">
      <w:pPr>
        <w:pStyle w:val="ListParagraph"/>
        <w:numPr>
          <w:ilvl w:val="0"/>
          <w:numId w:val="7"/>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Both authors read sources as constructed artefacts:</w:t>
      </w:r>
      <w:r w:rsidRPr="00F34AB2">
        <w:rPr>
          <w:rFonts w:ascii="Times New Roman" w:hAnsi="Times New Roman" w:cs="Times New Roman"/>
          <w:sz w:val="24"/>
          <w:szCs w:val="24"/>
        </w:rPr>
        <w:t xml:space="preserve"> Webster examines scribal interventions and manuscript structure; Burton examines petitionary rhetoric, language, dating formulae, handwriting, institutional bias, and the motives of litigants.</w:t>
      </w:r>
      <w:r w:rsidR="00CC3D5E" w:rsidRPr="00F34AB2">
        <w:rPr>
          <w:rStyle w:val="FootnoteReference"/>
          <w:rFonts w:ascii="Times New Roman" w:hAnsi="Times New Roman" w:cs="Times New Roman"/>
          <w:sz w:val="24"/>
          <w:szCs w:val="24"/>
        </w:rPr>
        <w:footnoteReference w:id="29"/>
      </w:r>
    </w:p>
    <w:p w14:paraId="720ABA60" w14:textId="20B0EB95" w:rsidR="007765DF" w:rsidRPr="00F34AB2" w:rsidRDefault="007765DF" w:rsidP="00F34AB2">
      <w:pPr>
        <w:pStyle w:val="ListParagraph"/>
        <w:numPr>
          <w:ilvl w:val="0"/>
          <w:numId w:val="7"/>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lastRenderedPageBreak/>
        <w:t>Both challenge older interpretations:</w:t>
      </w:r>
      <w:r w:rsidRPr="00F34AB2">
        <w:rPr>
          <w:rFonts w:ascii="Times New Roman" w:hAnsi="Times New Roman" w:cs="Times New Roman"/>
          <w:sz w:val="24"/>
          <w:szCs w:val="24"/>
        </w:rPr>
        <w:t xml:space="preserve"> Webster moves beyond using annals merely as repositories of political facts, while Burton rejects the automatic treatment of monastic conflict as evidence of decline.</w:t>
      </w:r>
      <w:r w:rsidR="00504A96" w:rsidRPr="00F34AB2">
        <w:rPr>
          <w:rStyle w:val="FootnoteReference"/>
          <w:rFonts w:ascii="Times New Roman" w:hAnsi="Times New Roman" w:cs="Times New Roman"/>
          <w:sz w:val="24"/>
          <w:szCs w:val="24"/>
        </w:rPr>
        <w:footnoteReference w:id="30"/>
      </w:r>
    </w:p>
    <w:p w14:paraId="720DFCDE" w14:textId="3FB444DB" w:rsidR="007765DF" w:rsidRPr="00F34AB2" w:rsidRDefault="007765DF" w:rsidP="00F34AB2">
      <w:pPr>
        <w:pStyle w:val="ListParagraph"/>
        <w:numPr>
          <w:ilvl w:val="0"/>
          <w:numId w:val="7"/>
        </w:numPr>
        <w:spacing w:line="360" w:lineRule="auto"/>
        <w:rPr>
          <w:rFonts w:ascii="Times New Roman" w:hAnsi="Times New Roman" w:cs="Times New Roman"/>
          <w:sz w:val="24"/>
          <w:szCs w:val="24"/>
        </w:rPr>
      </w:pPr>
      <w:r w:rsidRPr="00F34AB2">
        <w:rPr>
          <w:rFonts w:ascii="Times New Roman" w:hAnsi="Times New Roman" w:cs="Times New Roman"/>
          <w:b/>
          <w:bCs/>
          <w:sz w:val="24"/>
          <w:szCs w:val="24"/>
        </w:rPr>
        <w:t>The primary sources shape the historiography:</w:t>
      </w:r>
      <w:r w:rsidRPr="00F34AB2">
        <w:rPr>
          <w:rFonts w:ascii="Times New Roman" w:hAnsi="Times New Roman" w:cs="Times New Roman"/>
          <w:sz w:val="24"/>
          <w:szCs w:val="24"/>
        </w:rPr>
        <w:t xml:space="preserve"> Webster connects monastic writing to textual communities, memory, literacy, and bureaucratisation; Burton connects disputed elections to prestige, local networks, royal power, Welsh political culture, and the continuing adaptability of late-medieval Cistercian life.</w:t>
      </w:r>
      <w:r w:rsidR="00504A96" w:rsidRPr="00F34AB2">
        <w:rPr>
          <w:rStyle w:val="FootnoteReference"/>
          <w:rFonts w:ascii="Times New Roman" w:hAnsi="Times New Roman" w:cs="Times New Roman"/>
          <w:sz w:val="24"/>
          <w:szCs w:val="24"/>
        </w:rPr>
        <w:footnoteReference w:id="31"/>
      </w:r>
    </w:p>
    <w:p w14:paraId="0E72BA95" w14:textId="77777777" w:rsidR="00F34AB2" w:rsidRPr="00F34AB2" w:rsidRDefault="00F34AB2" w:rsidP="00F34AB2">
      <w:pPr>
        <w:pStyle w:val="Heading1"/>
        <w:spacing w:line="360" w:lineRule="auto"/>
        <w:rPr>
          <w:rFonts w:ascii="Times New Roman" w:hAnsi="Times New Roman" w:cs="Times New Roman"/>
          <w:color w:val="auto"/>
        </w:rPr>
      </w:pPr>
    </w:p>
    <w:p w14:paraId="02C80BBA" w14:textId="77777777" w:rsidR="00F34AB2" w:rsidRPr="00F34AB2" w:rsidRDefault="00F34AB2" w:rsidP="00F34AB2">
      <w:pPr>
        <w:pStyle w:val="Heading1"/>
        <w:spacing w:line="360" w:lineRule="auto"/>
        <w:rPr>
          <w:rFonts w:ascii="Times New Roman" w:hAnsi="Times New Roman" w:cs="Times New Roman"/>
          <w:color w:val="auto"/>
        </w:rPr>
      </w:pPr>
    </w:p>
    <w:p w14:paraId="124C4DDB" w14:textId="77777777" w:rsidR="00F34AB2" w:rsidRPr="00F34AB2" w:rsidRDefault="00F34AB2" w:rsidP="00F34AB2">
      <w:pPr>
        <w:pStyle w:val="Heading1"/>
        <w:spacing w:line="360" w:lineRule="auto"/>
        <w:rPr>
          <w:rFonts w:ascii="Times New Roman" w:hAnsi="Times New Roman" w:cs="Times New Roman"/>
          <w:color w:val="auto"/>
        </w:rPr>
      </w:pPr>
    </w:p>
    <w:p w14:paraId="6483D501" w14:textId="77777777" w:rsidR="00F34AB2" w:rsidRPr="00F34AB2" w:rsidRDefault="00F34AB2" w:rsidP="00F34AB2">
      <w:pPr>
        <w:pStyle w:val="Heading1"/>
        <w:spacing w:line="360" w:lineRule="auto"/>
        <w:rPr>
          <w:rFonts w:ascii="Times New Roman" w:hAnsi="Times New Roman" w:cs="Times New Roman"/>
          <w:color w:val="auto"/>
        </w:rPr>
      </w:pPr>
    </w:p>
    <w:p w14:paraId="0C146594" w14:textId="77777777" w:rsidR="00F34AB2" w:rsidRPr="00F34AB2" w:rsidRDefault="00F34AB2" w:rsidP="00F34AB2">
      <w:pPr>
        <w:pStyle w:val="Heading1"/>
        <w:spacing w:line="360" w:lineRule="auto"/>
        <w:rPr>
          <w:rFonts w:ascii="Times New Roman" w:hAnsi="Times New Roman" w:cs="Times New Roman"/>
          <w:color w:val="auto"/>
        </w:rPr>
      </w:pPr>
    </w:p>
    <w:p w14:paraId="089CB322" w14:textId="77777777" w:rsidR="00F34AB2" w:rsidRPr="00F34AB2" w:rsidRDefault="00F34AB2" w:rsidP="00F34AB2">
      <w:pPr>
        <w:pStyle w:val="Heading1"/>
        <w:spacing w:line="360" w:lineRule="auto"/>
        <w:rPr>
          <w:rFonts w:ascii="Times New Roman" w:hAnsi="Times New Roman" w:cs="Times New Roman"/>
          <w:color w:val="auto"/>
        </w:rPr>
      </w:pPr>
    </w:p>
    <w:p w14:paraId="1368328A" w14:textId="77777777" w:rsidR="00F34AB2" w:rsidRPr="00F34AB2" w:rsidRDefault="00F34AB2" w:rsidP="00F34AB2">
      <w:pPr>
        <w:pStyle w:val="Heading1"/>
        <w:spacing w:line="360" w:lineRule="auto"/>
        <w:rPr>
          <w:rFonts w:ascii="Times New Roman" w:hAnsi="Times New Roman" w:cs="Times New Roman"/>
          <w:color w:val="auto"/>
        </w:rPr>
      </w:pPr>
    </w:p>
    <w:p w14:paraId="614FBDC2" w14:textId="77777777" w:rsidR="00F34AB2" w:rsidRPr="00F34AB2" w:rsidRDefault="00F34AB2" w:rsidP="00F34AB2">
      <w:pPr>
        <w:pStyle w:val="Heading1"/>
        <w:spacing w:line="360" w:lineRule="auto"/>
        <w:rPr>
          <w:rFonts w:ascii="Times New Roman" w:hAnsi="Times New Roman" w:cs="Times New Roman"/>
          <w:color w:val="auto"/>
        </w:rPr>
      </w:pPr>
    </w:p>
    <w:p w14:paraId="546DAD7B" w14:textId="77777777" w:rsidR="00F34AB2" w:rsidRPr="00F34AB2" w:rsidRDefault="00F34AB2" w:rsidP="00F34AB2">
      <w:pPr>
        <w:spacing w:line="360" w:lineRule="auto"/>
        <w:rPr>
          <w:rFonts w:ascii="Times New Roman" w:hAnsi="Times New Roman" w:cs="Times New Roman"/>
        </w:rPr>
      </w:pPr>
    </w:p>
    <w:p w14:paraId="3B34690E" w14:textId="1F67846B" w:rsidR="00E636F5" w:rsidRPr="00F34AB2" w:rsidRDefault="00E636F5" w:rsidP="00F34AB2">
      <w:pPr>
        <w:pStyle w:val="Heading1"/>
        <w:spacing w:line="360" w:lineRule="auto"/>
        <w:rPr>
          <w:rFonts w:ascii="Times New Roman" w:hAnsi="Times New Roman" w:cs="Times New Roman"/>
          <w:color w:val="auto"/>
        </w:rPr>
      </w:pPr>
      <w:r w:rsidRPr="00F34AB2">
        <w:rPr>
          <w:rFonts w:ascii="Times New Roman" w:hAnsi="Times New Roman" w:cs="Times New Roman"/>
          <w:color w:val="auto"/>
        </w:rPr>
        <w:lastRenderedPageBreak/>
        <w:t>Bibliography</w:t>
      </w:r>
    </w:p>
    <w:p w14:paraId="24C0A8D4" w14:textId="77777777" w:rsidR="006919B1" w:rsidRPr="00F34AB2" w:rsidRDefault="00CC191D" w:rsidP="00F34AB2">
      <w:pPr>
        <w:pStyle w:val="Heading2"/>
        <w:spacing w:line="360" w:lineRule="auto"/>
        <w:rPr>
          <w:rFonts w:ascii="Times New Roman" w:hAnsi="Times New Roman" w:cs="Times New Roman"/>
          <w:color w:val="auto"/>
        </w:rPr>
      </w:pPr>
      <w:r w:rsidRPr="00F34AB2">
        <w:rPr>
          <w:rFonts w:ascii="Times New Roman" w:hAnsi="Times New Roman" w:cs="Times New Roman"/>
          <w:color w:val="auto"/>
        </w:rPr>
        <w:t>Manuscripts</w:t>
      </w:r>
    </w:p>
    <w:p w14:paraId="0A1ABE5C" w14:textId="77777777" w:rsidR="006919B1" w:rsidRPr="00F34AB2" w:rsidRDefault="006919B1" w:rsidP="00F34AB2">
      <w:pPr>
        <w:spacing w:line="360" w:lineRule="auto"/>
        <w:rPr>
          <w:rFonts w:ascii="Times New Roman" w:hAnsi="Times New Roman" w:cs="Times New Roman"/>
          <w:sz w:val="24"/>
          <w:szCs w:val="24"/>
        </w:rPr>
      </w:pPr>
      <w:r w:rsidRPr="00F34AB2">
        <w:rPr>
          <w:rFonts w:ascii="Times New Roman" w:hAnsi="Times New Roman" w:cs="Times New Roman"/>
          <w:sz w:val="24"/>
          <w:szCs w:val="24"/>
        </w:rPr>
        <w:t>London, British Library, Cotton MS Tiberius A. X.</w:t>
      </w:r>
    </w:p>
    <w:p w14:paraId="0B20E3BD" w14:textId="77777777" w:rsidR="006919B1" w:rsidRPr="00F34AB2" w:rsidRDefault="006919B1" w:rsidP="00F34AB2">
      <w:pPr>
        <w:spacing w:line="360" w:lineRule="auto"/>
        <w:rPr>
          <w:rFonts w:ascii="Times New Roman" w:hAnsi="Times New Roman" w:cs="Times New Roman"/>
          <w:sz w:val="24"/>
          <w:szCs w:val="24"/>
        </w:rPr>
      </w:pPr>
      <w:r w:rsidRPr="00F34AB2">
        <w:rPr>
          <w:rFonts w:ascii="Times New Roman" w:hAnsi="Times New Roman" w:cs="Times New Roman"/>
          <w:sz w:val="24"/>
          <w:szCs w:val="24"/>
        </w:rPr>
        <w:t>London, British Library, Royal MS 13 E. VI.</w:t>
      </w:r>
    </w:p>
    <w:p w14:paraId="5501AC10" w14:textId="77777777" w:rsidR="006919B1" w:rsidRPr="00F34AB2" w:rsidRDefault="00D56B50" w:rsidP="00F34AB2">
      <w:pPr>
        <w:pStyle w:val="Heading2"/>
        <w:spacing w:line="360" w:lineRule="auto"/>
        <w:rPr>
          <w:rFonts w:ascii="Times New Roman" w:hAnsi="Times New Roman" w:cs="Times New Roman"/>
          <w:color w:val="auto"/>
        </w:rPr>
      </w:pPr>
      <w:r w:rsidRPr="00F34AB2">
        <w:rPr>
          <w:rFonts w:ascii="Times New Roman" w:hAnsi="Times New Roman" w:cs="Times New Roman"/>
          <w:color w:val="auto"/>
        </w:rPr>
        <w:t>Published Primary Sources</w:t>
      </w:r>
    </w:p>
    <w:p w14:paraId="1AB5D389" w14:textId="77777777" w:rsidR="006919B1" w:rsidRPr="00F34AB2" w:rsidRDefault="006919B1" w:rsidP="00F34AB2">
      <w:pPr>
        <w:spacing w:line="360" w:lineRule="auto"/>
        <w:rPr>
          <w:rFonts w:ascii="Times New Roman" w:hAnsi="Times New Roman" w:cs="Times New Roman"/>
          <w:sz w:val="24"/>
          <w:szCs w:val="24"/>
        </w:rPr>
      </w:pPr>
      <w:r w:rsidRPr="00F34AB2">
        <w:rPr>
          <w:rFonts w:ascii="Times New Roman" w:hAnsi="Times New Roman" w:cs="Times New Roman"/>
          <w:i/>
          <w:iCs/>
          <w:sz w:val="24"/>
          <w:szCs w:val="24"/>
        </w:rPr>
        <w:t xml:space="preserve">Annales </w:t>
      </w:r>
      <w:proofErr w:type="spellStart"/>
      <w:r w:rsidRPr="00F34AB2">
        <w:rPr>
          <w:rFonts w:ascii="Times New Roman" w:hAnsi="Times New Roman" w:cs="Times New Roman"/>
          <w:i/>
          <w:iCs/>
          <w:sz w:val="24"/>
          <w:szCs w:val="24"/>
        </w:rPr>
        <w:t>Prioratus</w:t>
      </w:r>
      <w:proofErr w:type="spellEnd"/>
      <w:r w:rsidRPr="00F34AB2">
        <w:rPr>
          <w:rFonts w:ascii="Times New Roman" w:hAnsi="Times New Roman" w:cs="Times New Roman"/>
          <w:i/>
          <w:iCs/>
          <w:sz w:val="24"/>
          <w:szCs w:val="24"/>
        </w:rPr>
        <w:t xml:space="preserve"> de </w:t>
      </w:r>
      <w:proofErr w:type="spellStart"/>
      <w:r w:rsidRPr="00F34AB2">
        <w:rPr>
          <w:rFonts w:ascii="Times New Roman" w:hAnsi="Times New Roman" w:cs="Times New Roman"/>
          <w:i/>
          <w:iCs/>
          <w:sz w:val="24"/>
          <w:szCs w:val="24"/>
        </w:rPr>
        <w:t>Dunstaplia</w:t>
      </w:r>
      <w:proofErr w:type="spellEnd"/>
      <w:r w:rsidRPr="00F34AB2">
        <w:rPr>
          <w:rFonts w:ascii="Times New Roman" w:hAnsi="Times New Roman" w:cs="Times New Roman"/>
          <w:sz w:val="24"/>
          <w:szCs w:val="24"/>
        </w:rPr>
        <w:t xml:space="preserve">, in </w:t>
      </w:r>
      <w:r w:rsidRPr="00F34AB2">
        <w:rPr>
          <w:rFonts w:ascii="Times New Roman" w:hAnsi="Times New Roman" w:cs="Times New Roman"/>
          <w:i/>
          <w:iCs/>
          <w:sz w:val="24"/>
          <w:szCs w:val="24"/>
        </w:rPr>
        <w:t xml:space="preserve">Annales </w:t>
      </w:r>
      <w:proofErr w:type="spellStart"/>
      <w:r w:rsidRPr="00F34AB2">
        <w:rPr>
          <w:rFonts w:ascii="Times New Roman" w:hAnsi="Times New Roman" w:cs="Times New Roman"/>
          <w:i/>
          <w:iCs/>
          <w:sz w:val="24"/>
          <w:szCs w:val="24"/>
        </w:rPr>
        <w:t>monastici</w:t>
      </w:r>
      <w:proofErr w:type="spellEnd"/>
      <w:r w:rsidRPr="00F34AB2">
        <w:rPr>
          <w:rFonts w:ascii="Times New Roman" w:hAnsi="Times New Roman" w:cs="Times New Roman"/>
          <w:sz w:val="24"/>
          <w:szCs w:val="24"/>
        </w:rPr>
        <w:t xml:space="preserve">, III, ed. by Henry Richards Luard, Rerum </w:t>
      </w:r>
      <w:proofErr w:type="spellStart"/>
      <w:r w:rsidRPr="00F34AB2">
        <w:rPr>
          <w:rFonts w:ascii="Times New Roman" w:hAnsi="Times New Roman" w:cs="Times New Roman"/>
          <w:sz w:val="24"/>
          <w:szCs w:val="24"/>
        </w:rPr>
        <w:t>Britannicarum</w:t>
      </w:r>
      <w:proofErr w:type="spellEnd"/>
      <w:r w:rsidRPr="00F34AB2">
        <w:rPr>
          <w:rFonts w:ascii="Times New Roman" w:hAnsi="Times New Roman" w:cs="Times New Roman"/>
          <w:sz w:val="24"/>
          <w:szCs w:val="24"/>
        </w:rPr>
        <w:t xml:space="preserve"> </w:t>
      </w:r>
      <w:proofErr w:type="spellStart"/>
      <w:r w:rsidRPr="00F34AB2">
        <w:rPr>
          <w:rFonts w:ascii="Times New Roman" w:hAnsi="Times New Roman" w:cs="Times New Roman"/>
          <w:sz w:val="24"/>
          <w:szCs w:val="24"/>
        </w:rPr>
        <w:t>medii</w:t>
      </w:r>
      <w:proofErr w:type="spellEnd"/>
      <w:r w:rsidRPr="00F34AB2">
        <w:rPr>
          <w:rFonts w:ascii="Times New Roman" w:hAnsi="Times New Roman" w:cs="Times New Roman"/>
          <w:sz w:val="24"/>
          <w:szCs w:val="24"/>
        </w:rPr>
        <w:t xml:space="preserve"> </w:t>
      </w:r>
      <w:proofErr w:type="spellStart"/>
      <w:r w:rsidRPr="00F34AB2">
        <w:rPr>
          <w:rFonts w:ascii="Times New Roman" w:hAnsi="Times New Roman" w:cs="Times New Roman"/>
          <w:sz w:val="24"/>
          <w:szCs w:val="24"/>
        </w:rPr>
        <w:t>aevi</w:t>
      </w:r>
      <w:proofErr w:type="spellEnd"/>
      <w:r w:rsidRPr="00F34AB2">
        <w:rPr>
          <w:rFonts w:ascii="Times New Roman" w:hAnsi="Times New Roman" w:cs="Times New Roman"/>
          <w:sz w:val="24"/>
          <w:szCs w:val="24"/>
        </w:rPr>
        <w:t xml:space="preserve"> </w:t>
      </w:r>
      <w:proofErr w:type="spellStart"/>
      <w:r w:rsidRPr="00F34AB2">
        <w:rPr>
          <w:rFonts w:ascii="Times New Roman" w:hAnsi="Times New Roman" w:cs="Times New Roman"/>
          <w:sz w:val="24"/>
          <w:szCs w:val="24"/>
        </w:rPr>
        <w:t>scriptores</w:t>
      </w:r>
      <w:proofErr w:type="spellEnd"/>
      <w:r w:rsidRPr="00F34AB2">
        <w:rPr>
          <w:rFonts w:ascii="Times New Roman" w:hAnsi="Times New Roman" w:cs="Times New Roman"/>
          <w:sz w:val="24"/>
          <w:szCs w:val="24"/>
        </w:rPr>
        <w:t>, 36 (London: Longman, Green, Reader and Dyer, 1866), pp. 3–408.</w:t>
      </w:r>
    </w:p>
    <w:p w14:paraId="7230AF7E" w14:textId="77777777" w:rsidR="006919B1" w:rsidRPr="00F34AB2" w:rsidRDefault="006919B1" w:rsidP="00F34AB2">
      <w:pPr>
        <w:spacing w:line="360" w:lineRule="auto"/>
        <w:rPr>
          <w:rFonts w:ascii="Times New Roman" w:hAnsi="Times New Roman" w:cs="Times New Roman"/>
          <w:sz w:val="24"/>
          <w:szCs w:val="24"/>
        </w:rPr>
      </w:pPr>
      <w:r w:rsidRPr="00F34AB2">
        <w:rPr>
          <w:rFonts w:ascii="Times New Roman" w:hAnsi="Times New Roman" w:cs="Times New Roman"/>
          <w:i/>
          <w:iCs/>
          <w:sz w:val="24"/>
          <w:szCs w:val="24"/>
        </w:rPr>
        <w:t>The Annals of Dunstable Priory</w:t>
      </w:r>
      <w:r w:rsidRPr="00F34AB2">
        <w:rPr>
          <w:rFonts w:ascii="Times New Roman" w:hAnsi="Times New Roman" w:cs="Times New Roman"/>
          <w:sz w:val="24"/>
          <w:szCs w:val="24"/>
        </w:rPr>
        <w:t>, ed. by Harriett R. Webster and trans. by David Preest (Woodbridge: Boydell and Brewer, 2018).</w:t>
      </w:r>
    </w:p>
    <w:p w14:paraId="0D654681" w14:textId="77777777" w:rsidR="006919B1" w:rsidRPr="00F34AB2" w:rsidRDefault="006919B1" w:rsidP="00F34AB2">
      <w:pPr>
        <w:spacing w:line="360" w:lineRule="auto"/>
        <w:rPr>
          <w:rFonts w:ascii="Times New Roman" w:hAnsi="Times New Roman" w:cs="Times New Roman"/>
          <w:sz w:val="24"/>
          <w:szCs w:val="24"/>
        </w:rPr>
      </w:pPr>
      <w:proofErr w:type="spellStart"/>
      <w:r w:rsidRPr="00F34AB2">
        <w:rPr>
          <w:rFonts w:ascii="Times New Roman" w:hAnsi="Times New Roman" w:cs="Times New Roman"/>
          <w:i/>
          <w:iCs/>
          <w:sz w:val="24"/>
          <w:szCs w:val="24"/>
        </w:rPr>
        <w:t>Gesta</w:t>
      </w:r>
      <w:proofErr w:type="spellEnd"/>
      <w:r w:rsidRPr="00F34AB2">
        <w:rPr>
          <w:rFonts w:ascii="Times New Roman" w:hAnsi="Times New Roman" w:cs="Times New Roman"/>
          <w:i/>
          <w:iCs/>
          <w:sz w:val="24"/>
          <w:szCs w:val="24"/>
        </w:rPr>
        <w:t xml:space="preserve"> </w:t>
      </w:r>
      <w:proofErr w:type="spellStart"/>
      <w:r w:rsidRPr="00F34AB2">
        <w:rPr>
          <w:rFonts w:ascii="Times New Roman" w:hAnsi="Times New Roman" w:cs="Times New Roman"/>
          <w:i/>
          <w:iCs/>
          <w:sz w:val="24"/>
          <w:szCs w:val="24"/>
        </w:rPr>
        <w:t>abbatum</w:t>
      </w:r>
      <w:proofErr w:type="spellEnd"/>
      <w:r w:rsidRPr="00F34AB2">
        <w:rPr>
          <w:rFonts w:ascii="Times New Roman" w:hAnsi="Times New Roman" w:cs="Times New Roman"/>
          <w:i/>
          <w:iCs/>
          <w:sz w:val="24"/>
          <w:szCs w:val="24"/>
        </w:rPr>
        <w:t xml:space="preserve"> </w:t>
      </w:r>
      <w:proofErr w:type="spellStart"/>
      <w:r w:rsidRPr="00F34AB2">
        <w:rPr>
          <w:rFonts w:ascii="Times New Roman" w:hAnsi="Times New Roman" w:cs="Times New Roman"/>
          <w:i/>
          <w:iCs/>
          <w:sz w:val="24"/>
          <w:szCs w:val="24"/>
        </w:rPr>
        <w:t>monasterii</w:t>
      </w:r>
      <w:proofErr w:type="spellEnd"/>
      <w:r w:rsidRPr="00F34AB2">
        <w:rPr>
          <w:rFonts w:ascii="Times New Roman" w:hAnsi="Times New Roman" w:cs="Times New Roman"/>
          <w:i/>
          <w:iCs/>
          <w:sz w:val="24"/>
          <w:szCs w:val="24"/>
        </w:rPr>
        <w:t xml:space="preserve"> Sancti Albani</w:t>
      </w:r>
      <w:r w:rsidRPr="00F34AB2">
        <w:rPr>
          <w:rFonts w:ascii="Times New Roman" w:hAnsi="Times New Roman" w:cs="Times New Roman"/>
          <w:sz w:val="24"/>
          <w:szCs w:val="24"/>
        </w:rPr>
        <w:t>, ed. by James G. Clark and trans. by David Preest (Woodbridge: Boydell and Brewer, 2019).</w:t>
      </w:r>
    </w:p>
    <w:p w14:paraId="2B86B538" w14:textId="77777777" w:rsidR="006919B1" w:rsidRPr="00F34AB2" w:rsidRDefault="006919B1" w:rsidP="00F34AB2">
      <w:pPr>
        <w:spacing w:line="360" w:lineRule="auto"/>
        <w:rPr>
          <w:rFonts w:ascii="Times New Roman" w:hAnsi="Times New Roman" w:cs="Times New Roman"/>
          <w:sz w:val="24"/>
          <w:szCs w:val="24"/>
        </w:rPr>
      </w:pPr>
      <w:proofErr w:type="spellStart"/>
      <w:r w:rsidRPr="00F34AB2">
        <w:rPr>
          <w:rFonts w:ascii="Times New Roman" w:hAnsi="Times New Roman" w:cs="Times New Roman"/>
          <w:i/>
          <w:iCs/>
          <w:sz w:val="24"/>
          <w:szCs w:val="24"/>
        </w:rPr>
        <w:t>Radulfi</w:t>
      </w:r>
      <w:proofErr w:type="spellEnd"/>
      <w:r w:rsidRPr="00F34AB2">
        <w:rPr>
          <w:rFonts w:ascii="Times New Roman" w:hAnsi="Times New Roman" w:cs="Times New Roman"/>
          <w:i/>
          <w:iCs/>
          <w:sz w:val="24"/>
          <w:szCs w:val="24"/>
        </w:rPr>
        <w:t xml:space="preserve"> de </w:t>
      </w:r>
      <w:proofErr w:type="spellStart"/>
      <w:r w:rsidRPr="00F34AB2">
        <w:rPr>
          <w:rFonts w:ascii="Times New Roman" w:hAnsi="Times New Roman" w:cs="Times New Roman"/>
          <w:i/>
          <w:iCs/>
          <w:sz w:val="24"/>
          <w:szCs w:val="24"/>
        </w:rPr>
        <w:t>Diceto</w:t>
      </w:r>
      <w:proofErr w:type="spellEnd"/>
      <w:r w:rsidRPr="00F34AB2">
        <w:rPr>
          <w:rFonts w:ascii="Times New Roman" w:hAnsi="Times New Roman" w:cs="Times New Roman"/>
          <w:i/>
          <w:iCs/>
          <w:sz w:val="24"/>
          <w:szCs w:val="24"/>
        </w:rPr>
        <w:t xml:space="preserve"> decani </w:t>
      </w:r>
      <w:proofErr w:type="spellStart"/>
      <w:r w:rsidRPr="00F34AB2">
        <w:rPr>
          <w:rFonts w:ascii="Times New Roman" w:hAnsi="Times New Roman" w:cs="Times New Roman"/>
          <w:i/>
          <w:iCs/>
          <w:sz w:val="24"/>
          <w:szCs w:val="24"/>
        </w:rPr>
        <w:t>Lundoniensis</w:t>
      </w:r>
      <w:proofErr w:type="spellEnd"/>
      <w:r w:rsidRPr="00F34AB2">
        <w:rPr>
          <w:rFonts w:ascii="Times New Roman" w:hAnsi="Times New Roman" w:cs="Times New Roman"/>
          <w:i/>
          <w:iCs/>
          <w:sz w:val="24"/>
          <w:szCs w:val="24"/>
        </w:rPr>
        <w:t xml:space="preserve"> opera </w:t>
      </w:r>
      <w:proofErr w:type="spellStart"/>
      <w:r w:rsidRPr="00F34AB2">
        <w:rPr>
          <w:rFonts w:ascii="Times New Roman" w:hAnsi="Times New Roman" w:cs="Times New Roman"/>
          <w:i/>
          <w:iCs/>
          <w:sz w:val="24"/>
          <w:szCs w:val="24"/>
        </w:rPr>
        <w:t>historica</w:t>
      </w:r>
      <w:proofErr w:type="spellEnd"/>
      <w:r w:rsidRPr="00F34AB2">
        <w:rPr>
          <w:rFonts w:ascii="Times New Roman" w:hAnsi="Times New Roman" w:cs="Times New Roman"/>
          <w:sz w:val="24"/>
          <w:szCs w:val="24"/>
        </w:rPr>
        <w:t xml:space="preserve">, ed. by William Stubbs, Rerum </w:t>
      </w:r>
      <w:proofErr w:type="spellStart"/>
      <w:r w:rsidRPr="00F34AB2">
        <w:rPr>
          <w:rFonts w:ascii="Times New Roman" w:hAnsi="Times New Roman" w:cs="Times New Roman"/>
          <w:sz w:val="24"/>
          <w:szCs w:val="24"/>
        </w:rPr>
        <w:t>Britannicarum</w:t>
      </w:r>
      <w:proofErr w:type="spellEnd"/>
      <w:r w:rsidRPr="00F34AB2">
        <w:rPr>
          <w:rFonts w:ascii="Times New Roman" w:hAnsi="Times New Roman" w:cs="Times New Roman"/>
          <w:sz w:val="24"/>
          <w:szCs w:val="24"/>
        </w:rPr>
        <w:t xml:space="preserve"> </w:t>
      </w:r>
      <w:proofErr w:type="spellStart"/>
      <w:r w:rsidRPr="00F34AB2">
        <w:rPr>
          <w:rFonts w:ascii="Times New Roman" w:hAnsi="Times New Roman" w:cs="Times New Roman"/>
          <w:sz w:val="24"/>
          <w:szCs w:val="24"/>
        </w:rPr>
        <w:t>medii</w:t>
      </w:r>
      <w:proofErr w:type="spellEnd"/>
      <w:r w:rsidRPr="00F34AB2">
        <w:rPr>
          <w:rFonts w:ascii="Times New Roman" w:hAnsi="Times New Roman" w:cs="Times New Roman"/>
          <w:sz w:val="24"/>
          <w:szCs w:val="24"/>
        </w:rPr>
        <w:t xml:space="preserve"> </w:t>
      </w:r>
      <w:proofErr w:type="spellStart"/>
      <w:r w:rsidRPr="00F34AB2">
        <w:rPr>
          <w:rFonts w:ascii="Times New Roman" w:hAnsi="Times New Roman" w:cs="Times New Roman"/>
          <w:sz w:val="24"/>
          <w:szCs w:val="24"/>
        </w:rPr>
        <w:t>aevi</w:t>
      </w:r>
      <w:proofErr w:type="spellEnd"/>
      <w:r w:rsidRPr="00F34AB2">
        <w:rPr>
          <w:rFonts w:ascii="Times New Roman" w:hAnsi="Times New Roman" w:cs="Times New Roman"/>
          <w:sz w:val="24"/>
          <w:szCs w:val="24"/>
        </w:rPr>
        <w:t xml:space="preserve"> </w:t>
      </w:r>
      <w:proofErr w:type="spellStart"/>
      <w:r w:rsidRPr="00F34AB2">
        <w:rPr>
          <w:rFonts w:ascii="Times New Roman" w:hAnsi="Times New Roman" w:cs="Times New Roman"/>
          <w:sz w:val="24"/>
          <w:szCs w:val="24"/>
        </w:rPr>
        <w:t>scriptores</w:t>
      </w:r>
      <w:proofErr w:type="spellEnd"/>
      <w:r w:rsidRPr="00F34AB2">
        <w:rPr>
          <w:rFonts w:ascii="Times New Roman" w:hAnsi="Times New Roman" w:cs="Times New Roman"/>
          <w:sz w:val="24"/>
          <w:szCs w:val="24"/>
        </w:rPr>
        <w:t>, 68, 2 vols (London: Longman, 1876).</w:t>
      </w:r>
    </w:p>
    <w:p w14:paraId="5B3432B7" w14:textId="77777777" w:rsidR="006919B1" w:rsidRPr="00F34AB2" w:rsidRDefault="006919B1" w:rsidP="00F34AB2">
      <w:pPr>
        <w:pStyle w:val="Heading2"/>
        <w:spacing w:line="360" w:lineRule="auto"/>
        <w:rPr>
          <w:rFonts w:ascii="Times New Roman" w:hAnsi="Times New Roman" w:cs="Times New Roman"/>
          <w:color w:val="auto"/>
        </w:rPr>
      </w:pPr>
      <w:r w:rsidRPr="00F34AB2">
        <w:rPr>
          <w:rFonts w:ascii="Times New Roman" w:hAnsi="Times New Roman" w:cs="Times New Roman"/>
          <w:color w:val="auto"/>
        </w:rPr>
        <w:t>Secondary Sources</w:t>
      </w:r>
    </w:p>
    <w:p w14:paraId="3EF5D23E" w14:textId="77777777" w:rsidR="006919B1" w:rsidRPr="00F34AB2" w:rsidRDefault="006919B1" w:rsidP="00F34AB2">
      <w:pPr>
        <w:spacing w:line="360" w:lineRule="auto"/>
        <w:rPr>
          <w:rFonts w:ascii="Times New Roman" w:hAnsi="Times New Roman" w:cs="Times New Roman"/>
          <w:sz w:val="24"/>
          <w:szCs w:val="24"/>
        </w:rPr>
      </w:pPr>
      <w:r w:rsidRPr="00F34AB2">
        <w:rPr>
          <w:rFonts w:ascii="Times New Roman" w:hAnsi="Times New Roman" w:cs="Times New Roman"/>
          <w:sz w:val="24"/>
          <w:szCs w:val="24"/>
        </w:rPr>
        <w:t xml:space="preserve">Burton, Janet, ‘Authority and Conflict at the Cistercian Abbey of Strata Florida’, </w:t>
      </w:r>
      <w:r w:rsidRPr="00F34AB2">
        <w:rPr>
          <w:rFonts w:ascii="Times New Roman" w:hAnsi="Times New Roman" w:cs="Times New Roman"/>
          <w:i/>
          <w:iCs/>
          <w:sz w:val="24"/>
          <w:szCs w:val="24"/>
        </w:rPr>
        <w:t>Welsh History Review</w:t>
      </w:r>
      <w:r w:rsidRPr="00F34AB2">
        <w:rPr>
          <w:rFonts w:ascii="Times New Roman" w:hAnsi="Times New Roman" w:cs="Times New Roman"/>
          <w:sz w:val="24"/>
          <w:szCs w:val="24"/>
        </w:rPr>
        <w:t>, 29.3 (2019), 377–407.</w:t>
      </w:r>
    </w:p>
    <w:p w14:paraId="249B3E37" w14:textId="77777777" w:rsidR="006919B1" w:rsidRPr="00F34AB2" w:rsidRDefault="006919B1" w:rsidP="00F34AB2">
      <w:pPr>
        <w:spacing w:line="360" w:lineRule="auto"/>
        <w:rPr>
          <w:rFonts w:ascii="Times New Roman" w:hAnsi="Times New Roman" w:cs="Times New Roman"/>
          <w:sz w:val="24"/>
          <w:szCs w:val="24"/>
        </w:rPr>
      </w:pPr>
      <w:r w:rsidRPr="00F34AB2">
        <w:rPr>
          <w:rFonts w:ascii="Times New Roman" w:hAnsi="Times New Roman" w:cs="Times New Roman"/>
          <w:sz w:val="24"/>
          <w:szCs w:val="24"/>
        </w:rPr>
        <w:t xml:space="preserve">Webster, Harriett R., ‘The Annals of Dunstable Priory: From Living Memory to Written Record in a Thirteenth-Century Textual Community’, </w:t>
      </w:r>
      <w:r w:rsidRPr="00F34AB2">
        <w:rPr>
          <w:rFonts w:ascii="Times New Roman" w:hAnsi="Times New Roman" w:cs="Times New Roman"/>
          <w:i/>
          <w:iCs/>
          <w:sz w:val="24"/>
          <w:szCs w:val="24"/>
        </w:rPr>
        <w:t>The Journal of Medieval Monastic Studies</w:t>
      </w:r>
      <w:r w:rsidRPr="00F34AB2">
        <w:rPr>
          <w:rFonts w:ascii="Times New Roman" w:hAnsi="Times New Roman" w:cs="Times New Roman"/>
          <w:sz w:val="24"/>
          <w:szCs w:val="24"/>
        </w:rPr>
        <w:t>, 9 (2020), 147–73.</w:t>
      </w:r>
    </w:p>
    <w:p w14:paraId="0BB735D9" w14:textId="77777777" w:rsidR="006919B1" w:rsidRDefault="006919B1"/>
    <w:sectPr w:rsidR="006919B1" w:rsidSect="007765D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05840" w14:textId="77777777" w:rsidR="00D56B50" w:rsidRDefault="00D56B50" w:rsidP="00CC3D5E">
      <w:pPr>
        <w:spacing w:after="0" w:line="240" w:lineRule="auto"/>
      </w:pPr>
      <w:r>
        <w:separator/>
      </w:r>
    </w:p>
  </w:endnote>
  <w:endnote w:type="continuationSeparator" w:id="0">
    <w:p w14:paraId="0940CA83" w14:textId="77777777" w:rsidR="00D56B50" w:rsidRDefault="00D56B50" w:rsidP="00CC3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4FAB40" w14:textId="77777777" w:rsidR="00D56B50" w:rsidRDefault="00D56B50" w:rsidP="00CC3D5E">
      <w:pPr>
        <w:spacing w:after="0" w:line="240" w:lineRule="auto"/>
      </w:pPr>
      <w:r>
        <w:separator/>
      </w:r>
    </w:p>
  </w:footnote>
  <w:footnote w:type="continuationSeparator" w:id="0">
    <w:p w14:paraId="3E5CAFF6" w14:textId="77777777" w:rsidR="00D56B50" w:rsidRDefault="00D56B50" w:rsidP="00CC3D5E">
      <w:pPr>
        <w:spacing w:after="0" w:line="240" w:lineRule="auto"/>
      </w:pPr>
      <w:r>
        <w:continuationSeparator/>
      </w:r>
    </w:p>
  </w:footnote>
  <w:footnote w:id="1">
    <w:p w14:paraId="0BD871A0" w14:textId="051C6111" w:rsidR="00CC3D5E" w:rsidRPr="00504A96" w:rsidRDefault="00CC3D5E">
      <w:pPr>
        <w:pStyle w:val="FootnoteText"/>
        <w:rPr>
          <w:lang w:val="hr-HR"/>
        </w:rPr>
      </w:pPr>
      <w:r w:rsidRPr="00504A96">
        <w:rPr>
          <w:rStyle w:val="FootnoteReference"/>
        </w:rPr>
        <w:footnoteRef/>
      </w:r>
      <w:r w:rsidRPr="00504A96">
        <w:t xml:space="preserve"> </w:t>
      </w:r>
      <w:r w:rsidR="00504A96" w:rsidRPr="00504A96">
        <w:t>Harriett R. Webster, ‘</w:t>
      </w:r>
      <w:r w:rsidR="00504A96" w:rsidRPr="00504A96">
        <w:rPr>
          <w:i/>
        </w:rPr>
        <w:t>The Annals of Dunstable Priory: From Living Memory to Written Record in a Thirteenth-Century Textual Community</w:t>
      </w:r>
      <w:r w:rsidR="00504A96" w:rsidRPr="00504A96">
        <w:t xml:space="preserve">’, </w:t>
      </w:r>
      <w:r w:rsidR="00504A96" w:rsidRPr="00504A96">
        <w:rPr>
          <w:i/>
        </w:rPr>
        <w:t>The Journal of Medieval Monastic Studies</w:t>
      </w:r>
      <w:r w:rsidR="00504A96" w:rsidRPr="00504A96">
        <w:t>, 9 (2020), 147–73 (pp. 148–49).</w:t>
      </w:r>
    </w:p>
  </w:footnote>
  <w:footnote w:id="2">
    <w:p w14:paraId="342C67D4" w14:textId="09E78928" w:rsidR="00CC3D5E" w:rsidRPr="00504A96" w:rsidRDefault="00CC3D5E">
      <w:pPr>
        <w:pStyle w:val="FootnoteText"/>
        <w:rPr>
          <w:lang w:val="hr-HR"/>
        </w:rPr>
      </w:pPr>
      <w:r w:rsidRPr="00504A96">
        <w:rPr>
          <w:rStyle w:val="FootnoteReference"/>
        </w:rPr>
        <w:footnoteRef/>
      </w:r>
      <w:r w:rsidRPr="00504A96">
        <w:t xml:space="preserve"> </w:t>
      </w:r>
      <w:r w:rsidR="00504A96" w:rsidRPr="00504A96">
        <w:t>Webster, ‘</w:t>
      </w:r>
      <w:r w:rsidR="00504A96" w:rsidRPr="00504A96">
        <w:rPr>
          <w:i/>
        </w:rPr>
        <w:t>Annals of Dunstable Priory</w:t>
      </w:r>
      <w:r w:rsidR="00504A96" w:rsidRPr="00504A96">
        <w:t>’, p. 149.</w:t>
      </w:r>
    </w:p>
  </w:footnote>
  <w:footnote w:id="3">
    <w:p w14:paraId="36AF0CD1" w14:textId="26543C67" w:rsidR="00CC3D5E" w:rsidRPr="00504A96" w:rsidRDefault="00CC3D5E">
      <w:pPr>
        <w:pStyle w:val="FootnoteText"/>
        <w:rPr>
          <w:lang w:val="hr-HR"/>
        </w:rPr>
      </w:pPr>
      <w:r w:rsidRPr="00504A96">
        <w:rPr>
          <w:rStyle w:val="FootnoteReference"/>
        </w:rPr>
        <w:footnoteRef/>
      </w:r>
      <w:r w:rsidRPr="00504A96">
        <w:t xml:space="preserve"> </w:t>
      </w:r>
      <w:r w:rsidR="00504A96" w:rsidRPr="00504A96">
        <w:t>Webster, ‘</w:t>
      </w:r>
      <w:r w:rsidR="00504A96" w:rsidRPr="00504A96">
        <w:rPr>
          <w:i/>
        </w:rPr>
        <w:t>Annals of Dunstable Priory</w:t>
      </w:r>
      <w:r w:rsidR="00504A96" w:rsidRPr="00504A96">
        <w:t>’, pp. 150–56, 170.</w:t>
      </w:r>
    </w:p>
  </w:footnote>
  <w:footnote w:id="4">
    <w:p w14:paraId="1B3151F2" w14:textId="31DD9B05" w:rsidR="00CC3D5E" w:rsidRPr="00504A96" w:rsidRDefault="00CC3D5E">
      <w:pPr>
        <w:pStyle w:val="FootnoteText"/>
        <w:rPr>
          <w:lang w:val="hr-HR"/>
        </w:rPr>
      </w:pPr>
      <w:r w:rsidRPr="00504A96">
        <w:rPr>
          <w:rStyle w:val="FootnoteReference"/>
        </w:rPr>
        <w:footnoteRef/>
      </w:r>
      <w:r w:rsidRPr="00504A96">
        <w:t xml:space="preserve"> </w:t>
      </w:r>
      <w:r w:rsidR="00504A96" w:rsidRPr="00504A96">
        <w:t>Webster, ‘</w:t>
      </w:r>
      <w:r w:rsidR="00504A96" w:rsidRPr="00504A96">
        <w:rPr>
          <w:i/>
        </w:rPr>
        <w:t>Annals of Dunstable Priory</w:t>
      </w:r>
      <w:r w:rsidR="00504A96" w:rsidRPr="00504A96">
        <w:t>’, pp. 154, 167–69.</w:t>
      </w:r>
    </w:p>
  </w:footnote>
  <w:footnote w:id="5">
    <w:p w14:paraId="3F393415" w14:textId="57D1DDF4" w:rsidR="00CC3D5E" w:rsidRPr="00504A96" w:rsidRDefault="00CC3D5E">
      <w:pPr>
        <w:pStyle w:val="FootnoteText"/>
        <w:rPr>
          <w:lang w:val="hr-HR"/>
        </w:rPr>
      </w:pPr>
      <w:r w:rsidRPr="00504A96">
        <w:rPr>
          <w:rStyle w:val="FootnoteReference"/>
        </w:rPr>
        <w:footnoteRef/>
      </w:r>
      <w:r w:rsidRPr="00504A96">
        <w:t xml:space="preserve"> </w:t>
      </w:r>
      <w:r w:rsidR="00504A96" w:rsidRPr="00504A96">
        <w:t>Webster, ‘</w:t>
      </w:r>
      <w:r w:rsidR="00504A96" w:rsidRPr="00504A96">
        <w:rPr>
          <w:i/>
        </w:rPr>
        <w:t>Annals of Dunstable Priory</w:t>
      </w:r>
      <w:r w:rsidR="00504A96" w:rsidRPr="00504A96">
        <w:t>’, pp. 161–66.</w:t>
      </w:r>
    </w:p>
  </w:footnote>
  <w:footnote w:id="6">
    <w:p w14:paraId="1943F14F" w14:textId="5E8A49AC" w:rsidR="00504A96" w:rsidRPr="00504A96" w:rsidRDefault="00504A96">
      <w:pPr>
        <w:pStyle w:val="FootnoteText"/>
        <w:rPr>
          <w:lang w:val="hr-HR"/>
        </w:rPr>
      </w:pPr>
      <w:r w:rsidRPr="00504A96">
        <w:rPr>
          <w:rStyle w:val="FootnoteReference"/>
        </w:rPr>
        <w:footnoteRef/>
      </w:r>
      <w:r w:rsidRPr="00504A96">
        <w:t xml:space="preserve"> Webster, ‘</w:t>
      </w:r>
      <w:r w:rsidRPr="00504A96">
        <w:rPr>
          <w:i/>
        </w:rPr>
        <w:t>Annals of Dunstable Priory</w:t>
      </w:r>
      <w:r w:rsidRPr="00504A96">
        <w:t>’, pp. 159–61.</w:t>
      </w:r>
    </w:p>
  </w:footnote>
  <w:footnote w:id="7">
    <w:p w14:paraId="75C5F6F0" w14:textId="75AD96CF" w:rsidR="00CC3D5E" w:rsidRPr="00CC3D5E" w:rsidRDefault="00CC3D5E">
      <w:pPr>
        <w:pStyle w:val="FootnoteText"/>
        <w:rPr>
          <w:lang w:val="hr-HR"/>
        </w:rPr>
      </w:pPr>
      <w:r>
        <w:rPr>
          <w:rStyle w:val="FootnoteReference"/>
        </w:rPr>
        <w:footnoteRef/>
      </w:r>
      <w:r>
        <w:t xml:space="preserve"> Webster, ‘Annals of Dunstable Priory’, pp. 172–73.</w:t>
      </w:r>
    </w:p>
  </w:footnote>
  <w:footnote w:id="8">
    <w:p w14:paraId="7E8D44FC" w14:textId="36637AB4" w:rsidR="00504A96" w:rsidRPr="00504A96" w:rsidRDefault="00504A96">
      <w:pPr>
        <w:pStyle w:val="FootnoteText"/>
        <w:rPr>
          <w:lang w:val="hr-HR"/>
        </w:rPr>
      </w:pPr>
      <w:r w:rsidRPr="00504A96">
        <w:rPr>
          <w:rStyle w:val="FootnoteReference"/>
        </w:rPr>
        <w:footnoteRef/>
      </w:r>
      <w:r w:rsidRPr="00504A96">
        <w:t xml:space="preserve"> Webster, ‘</w:t>
      </w:r>
      <w:r w:rsidRPr="00504A96">
        <w:rPr>
          <w:i/>
        </w:rPr>
        <w:t>Annals of Dunstable Priory</w:t>
      </w:r>
      <w:r w:rsidRPr="00504A96">
        <w:t>’, pp. 148–49, 172.</w:t>
      </w:r>
    </w:p>
  </w:footnote>
  <w:footnote w:id="9">
    <w:p w14:paraId="0D739574" w14:textId="2102BA27" w:rsidR="00504A96" w:rsidRPr="00504A96" w:rsidRDefault="00504A96">
      <w:pPr>
        <w:pStyle w:val="FootnoteText"/>
        <w:rPr>
          <w:lang w:val="hr-HR"/>
        </w:rPr>
      </w:pPr>
      <w:r w:rsidRPr="00504A96">
        <w:rPr>
          <w:rStyle w:val="FootnoteReference"/>
        </w:rPr>
        <w:footnoteRef/>
      </w:r>
      <w:r w:rsidRPr="00504A96">
        <w:t xml:space="preserve"> Webster, ‘</w:t>
      </w:r>
      <w:r w:rsidRPr="00504A96">
        <w:rPr>
          <w:i/>
        </w:rPr>
        <w:t>Annals of Dunstable Priory</w:t>
      </w:r>
      <w:r w:rsidRPr="00504A96">
        <w:t>’, p. 172.</w:t>
      </w:r>
    </w:p>
  </w:footnote>
  <w:footnote w:id="10">
    <w:p w14:paraId="5C5D28FA" w14:textId="67BA8070" w:rsidR="00CC3D5E" w:rsidRPr="00504A96" w:rsidRDefault="00CC3D5E">
      <w:pPr>
        <w:pStyle w:val="FootnoteText"/>
        <w:rPr>
          <w:lang w:val="hr-HR"/>
        </w:rPr>
      </w:pPr>
      <w:r w:rsidRPr="00504A96">
        <w:rPr>
          <w:rStyle w:val="FootnoteReference"/>
        </w:rPr>
        <w:footnoteRef/>
      </w:r>
      <w:r w:rsidRPr="00504A96">
        <w:t xml:space="preserve"> </w:t>
      </w:r>
      <w:r w:rsidR="00504A96" w:rsidRPr="00504A96">
        <w:t>Janet Burton, ‘</w:t>
      </w:r>
      <w:r w:rsidR="00504A96" w:rsidRPr="00504A96">
        <w:rPr>
          <w:i/>
        </w:rPr>
        <w:t>Authority and Conflict at the Cistercian Abbey of Strata Florida</w:t>
      </w:r>
      <w:r w:rsidR="00504A96" w:rsidRPr="00504A96">
        <w:t xml:space="preserve">’, </w:t>
      </w:r>
      <w:r w:rsidR="00504A96" w:rsidRPr="00504A96">
        <w:rPr>
          <w:i/>
        </w:rPr>
        <w:t>Welsh History Review</w:t>
      </w:r>
      <w:r w:rsidR="00504A96" w:rsidRPr="00504A96">
        <w:t>, 29.3 (2019), 377–407 (pp. 382, 386–99).</w:t>
      </w:r>
    </w:p>
  </w:footnote>
  <w:footnote w:id="11">
    <w:p w14:paraId="7E32A2EA" w14:textId="5EFB4E50"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pp. 381–99.</w:t>
      </w:r>
    </w:p>
  </w:footnote>
  <w:footnote w:id="12">
    <w:p w14:paraId="729A17AC" w14:textId="332656FC"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pp. 384, 388–99.</w:t>
      </w:r>
    </w:p>
  </w:footnote>
  <w:footnote w:id="13">
    <w:p w14:paraId="1F5602CC" w14:textId="5E702AD6"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pp. 379, 384–85, 404–05.</w:t>
      </w:r>
    </w:p>
  </w:footnote>
  <w:footnote w:id="14">
    <w:p w14:paraId="71273643" w14:textId="2612DE92"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pp. 385–86, 405.</w:t>
      </w:r>
    </w:p>
  </w:footnote>
  <w:footnote w:id="15">
    <w:p w14:paraId="52FB0496" w14:textId="0DDD25F0" w:rsidR="00CC3D5E" w:rsidRPr="00504A96" w:rsidRDefault="00CC3D5E">
      <w:pPr>
        <w:pStyle w:val="FootnoteText"/>
        <w:rPr>
          <w:lang w:val="hr-HR"/>
        </w:rPr>
      </w:pPr>
      <w:r w:rsidRPr="00504A96">
        <w:rPr>
          <w:rStyle w:val="FootnoteReference"/>
        </w:rPr>
        <w:footnoteRef/>
      </w:r>
      <w:r w:rsidRPr="00504A96">
        <w:t xml:space="preserve"> </w:t>
      </w:r>
      <w:r w:rsidR="00504A96" w:rsidRPr="00504A96">
        <w:t>Burton, ‘</w:t>
      </w:r>
      <w:r w:rsidR="00504A96" w:rsidRPr="00504A96">
        <w:rPr>
          <w:i/>
        </w:rPr>
        <w:t>Authority and Conflict</w:t>
      </w:r>
      <w:r w:rsidR="00504A96" w:rsidRPr="00504A96">
        <w:t>’, pp. 385, 399–400.</w:t>
      </w:r>
    </w:p>
  </w:footnote>
  <w:footnote w:id="16">
    <w:p w14:paraId="78844919" w14:textId="5D14E5CD"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pp. 383–94, 407.</w:t>
      </w:r>
    </w:p>
  </w:footnote>
  <w:footnote w:id="17">
    <w:p w14:paraId="5247C0BF" w14:textId="5AF98E8B"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pp. 389–90, 396–97.</w:t>
      </w:r>
    </w:p>
  </w:footnote>
  <w:footnote w:id="18">
    <w:p w14:paraId="1418A71B" w14:textId="37D47A13"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pp. 397, 405.</w:t>
      </w:r>
    </w:p>
  </w:footnote>
  <w:footnote w:id="19">
    <w:p w14:paraId="07FA04AB" w14:textId="7EDE2DCE" w:rsidR="00CC3D5E" w:rsidRPr="00504A96" w:rsidRDefault="00CC3D5E">
      <w:pPr>
        <w:pStyle w:val="FootnoteText"/>
        <w:rPr>
          <w:lang w:val="hr-HR"/>
        </w:rPr>
      </w:pPr>
      <w:r w:rsidRPr="00504A96">
        <w:rPr>
          <w:rStyle w:val="FootnoteReference"/>
        </w:rPr>
        <w:footnoteRef/>
      </w:r>
      <w:r w:rsidRPr="00504A96">
        <w:t xml:space="preserve"> </w:t>
      </w:r>
      <w:r w:rsidR="00504A96" w:rsidRPr="00504A96">
        <w:t>Burton, ‘</w:t>
      </w:r>
      <w:r w:rsidR="00504A96" w:rsidRPr="00504A96">
        <w:rPr>
          <w:i/>
        </w:rPr>
        <w:t>Authority and Conflict</w:t>
      </w:r>
      <w:r w:rsidR="00504A96" w:rsidRPr="00504A96">
        <w:t>’, pp. 392–95.</w:t>
      </w:r>
    </w:p>
  </w:footnote>
  <w:footnote w:id="20">
    <w:p w14:paraId="34ED9BEE" w14:textId="3381E371"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pp. 382–99.</w:t>
      </w:r>
    </w:p>
  </w:footnote>
  <w:footnote w:id="21">
    <w:p w14:paraId="2F2EC5AC" w14:textId="1176F432" w:rsidR="00CC3D5E" w:rsidRPr="00504A96" w:rsidRDefault="00CC3D5E">
      <w:pPr>
        <w:pStyle w:val="FootnoteText"/>
        <w:rPr>
          <w:lang w:val="hr-HR"/>
        </w:rPr>
      </w:pPr>
      <w:r w:rsidRPr="00504A96">
        <w:rPr>
          <w:rStyle w:val="FootnoteReference"/>
        </w:rPr>
        <w:footnoteRef/>
      </w:r>
      <w:r w:rsidRPr="00504A96">
        <w:t xml:space="preserve"> </w:t>
      </w:r>
      <w:r w:rsidR="00504A96" w:rsidRPr="00504A96">
        <w:t>Burton, ‘</w:t>
      </w:r>
      <w:r w:rsidR="00504A96" w:rsidRPr="00504A96">
        <w:rPr>
          <w:i/>
        </w:rPr>
        <w:t>Authority and Conflict</w:t>
      </w:r>
      <w:r w:rsidR="00504A96" w:rsidRPr="00504A96">
        <w:t>’, p. 405.</w:t>
      </w:r>
    </w:p>
  </w:footnote>
  <w:footnote w:id="22">
    <w:p w14:paraId="064D7A9D" w14:textId="75256CCC"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 397.</w:t>
      </w:r>
    </w:p>
  </w:footnote>
  <w:footnote w:id="23">
    <w:p w14:paraId="03BDD354" w14:textId="5AE59149" w:rsidR="00CC3D5E" w:rsidRPr="00CC3D5E" w:rsidRDefault="00CC3D5E">
      <w:pPr>
        <w:pStyle w:val="FootnoteText"/>
        <w:rPr>
          <w:lang w:val="hr-HR"/>
        </w:rPr>
      </w:pPr>
      <w:r>
        <w:rPr>
          <w:rStyle w:val="FootnoteReference"/>
        </w:rPr>
        <w:footnoteRef/>
      </w:r>
      <w:r>
        <w:t xml:space="preserve"> Burton, ‘Authority and Conflict’, pp. 385–86, especially p. 386 n. 27.</w:t>
      </w:r>
    </w:p>
  </w:footnote>
  <w:footnote w:id="24">
    <w:p w14:paraId="0787ADBF" w14:textId="1CAEB32A" w:rsidR="00CC3D5E" w:rsidRPr="00504A96" w:rsidRDefault="00CC3D5E">
      <w:pPr>
        <w:pStyle w:val="FootnoteText"/>
        <w:rPr>
          <w:lang w:val="hr-HR"/>
        </w:rPr>
      </w:pPr>
      <w:r w:rsidRPr="00504A96">
        <w:rPr>
          <w:rStyle w:val="FootnoteReference"/>
        </w:rPr>
        <w:footnoteRef/>
      </w:r>
      <w:r w:rsidRPr="00504A96">
        <w:t xml:space="preserve"> </w:t>
      </w:r>
      <w:r w:rsidR="00504A96" w:rsidRPr="00504A96">
        <w:t>Burton, ‘</w:t>
      </w:r>
      <w:r w:rsidR="00504A96" w:rsidRPr="00504A96">
        <w:rPr>
          <w:i/>
        </w:rPr>
        <w:t>Authority and Conflict</w:t>
      </w:r>
      <w:r w:rsidR="00504A96" w:rsidRPr="00504A96">
        <w:t>’, p. 395.</w:t>
      </w:r>
    </w:p>
  </w:footnote>
  <w:footnote w:id="25">
    <w:p w14:paraId="653AA06B" w14:textId="52424A5E" w:rsidR="00CC3D5E" w:rsidRPr="00504A96" w:rsidRDefault="00CC3D5E">
      <w:pPr>
        <w:pStyle w:val="FootnoteText"/>
        <w:rPr>
          <w:lang w:val="hr-HR"/>
        </w:rPr>
      </w:pPr>
      <w:r w:rsidRPr="00504A96">
        <w:rPr>
          <w:rStyle w:val="FootnoteReference"/>
        </w:rPr>
        <w:footnoteRef/>
      </w:r>
      <w:r w:rsidRPr="00504A96">
        <w:t xml:space="preserve"> </w:t>
      </w:r>
      <w:r w:rsidR="00504A96" w:rsidRPr="00504A96">
        <w:t>Burton, ‘</w:t>
      </w:r>
      <w:r w:rsidR="00504A96" w:rsidRPr="00504A96">
        <w:rPr>
          <w:i/>
        </w:rPr>
        <w:t>Authority and Conflict</w:t>
      </w:r>
      <w:r w:rsidR="00504A96" w:rsidRPr="00504A96">
        <w:t>’, pp. 396–97, 407.</w:t>
      </w:r>
    </w:p>
  </w:footnote>
  <w:footnote w:id="26">
    <w:p w14:paraId="3387C187" w14:textId="41759AD6" w:rsidR="00504A96" w:rsidRPr="00504A96" w:rsidRDefault="00504A96">
      <w:pPr>
        <w:pStyle w:val="FootnoteText"/>
        <w:rPr>
          <w:lang w:val="hr-HR"/>
        </w:rPr>
      </w:pPr>
      <w:r w:rsidRPr="00504A96">
        <w:rPr>
          <w:rStyle w:val="FootnoteReference"/>
        </w:rPr>
        <w:footnoteRef/>
      </w:r>
      <w:r w:rsidRPr="00504A96">
        <w:t xml:space="preserve"> Burton, ‘</w:t>
      </w:r>
      <w:r w:rsidRPr="00504A96">
        <w:rPr>
          <w:i/>
        </w:rPr>
        <w:t>Authority and Conflict</w:t>
      </w:r>
      <w:r w:rsidRPr="00504A96">
        <w:t>’, p. 380.</w:t>
      </w:r>
    </w:p>
  </w:footnote>
  <w:footnote w:id="27">
    <w:p w14:paraId="741A706C" w14:textId="42309C61" w:rsidR="00CC3D5E" w:rsidRPr="00504A96" w:rsidRDefault="00CC3D5E">
      <w:pPr>
        <w:pStyle w:val="FootnoteText"/>
        <w:rPr>
          <w:lang w:val="hr-HR"/>
        </w:rPr>
      </w:pPr>
      <w:r w:rsidRPr="00504A96">
        <w:rPr>
          <w:rStyle w:val="FootnoteReference"/>
        </w:rPr>
        <w:footnoteRef/>
      </w:r>
      <w:r w:rsidRPr="00504A96">
        <w:t xml:space="preserve"> </w:t>
      </w:r>
      <w:r w:rsidR="00504A96" w:rsidRPr="00504A96">
        <w:t>Webster, ‘</w:t>
      </w:r>
      <w:r w:rsidR="00504A96" w:rsidRPr="00504A96">
        <w:rPr>
          <w:i/>
        </w:rPr>
        <w:t>Annals of Dunstable Priory</w:t>
      </w:r>
      <w:r w:rsidR="00504A96" w:rsidRPr="00504A96">
        <w:t>’, pp. 149–56, 166–72.</w:t>
      </w:r>
    </w:p>
  </w:footnote>
  <w:footnote w:id="28">
    <w:p w14:paraId="7F0B0428" w14:textId="45951238" w:rsidR="00CC3D5E" w:rsidRPr="00504A96" w:rsidRDefault="00CC3D5E">
      <w:pPr>
        <w:pStyle w:val="FootnoteText"/>
        <w:rPr>
          <w:lang w:val="hr-HR"/>
        </w:rPr>
      </w:pPr>
      <w:r w:rsidRPr="00504A96">
        <w:rPr>
          <w:rStyle w:val="FootnoteReference"/>
        </w:rPr>
        <w:footnoteRef/>
      </w:r>
      <w:r w:rsidRPr="00504A96">
        <w:t xml:space="preserve"> </w:t>
      </w:r>
      <w:r w:rsidR="00504A96" w:rsidRPr="00504A96">
        <w:t>Burton, ‘</w:t>
      </w:r>
      <w:r w:rsidR="00504A96" w:rsidRPr="00504A96">
        <w:rPr>
          <w:i/>
        </w:rPr>
        <w:t>Authority and Conflict</w:t>
      </w:r>
      <w:r w:rsidR="00504A96" w:rsidRPr="00504A96">
        <w:t>’, pp. 379, 384–99.</w:t>
      </w:r>
    </w:p>
  </w:footnote>
  <w:footnote w:id="29">
    <w:p w14:paraId="4F466BD9" w14:textId="38E412C5" w:rsidR="00CC3D5E" w:rsidRPr="00504A96" w:rsidRDefault="00CC3D5E">
      <w:pPr>
        <w:pStyle w:val="FootnoteText"/>
        <w:rPr>
          <w:lang w:val="hr-HR"/>
        </w:rPr>
      </w:pPr>
      <w:r w:rsidRPr="00504A96">
        <w:rPr>
          <w:rStyle w:val="FootnoteReference"/>
        </w:rPr>
        <w:footnoteRef/>
      </w:r>
      <w:r w:rsidRPr="00504A96">
        <w:t xml:space="preserve"> </w:t>
      </w:r>
      <w:r w:rsidR="00504A96" w:rsidRPr="00504A96">
        <w:t>Webster, ‘</w:t>
      </w:r>
      <w:r w:rsidR="00504A96" w:rsidRPr="00504A96">
        <w:rPr>
          <w:i/>
        </w:rPr>
        <w:t>Annals of Dunstable Priory</w:t>
      </w:r>
      <w:r w:rsidR="00504A96" w:rsidRPr="00504A96">
        <w:t>’, pp. 150–56; Burton, ‘</w:t>
      </w:r>
      <w:r w:rsidR="00504A96" w:rsidRPr="00504A96">
        <w:rPr>
          <w:i/>
        </w:rPr>
        <w:t>Authority and Conflict</w:t>
      </w:r>
      <w:r w:rsidR="00504A96" w:rsidRPr="00504A96">
        <w:t>’, pp. 391–95, 406–07.</w:t>
      </w:r>
    </w:p>
  </w:footnote>
  <w:footnote w:id="30">
    <w:p w14:paraId="3E4A7FB5" w14:textId="5468488E" w:rsidR="00504A96" w:rsidRPr="00504A96" w:rsidRDefault="00504A96">
      <w:pPr>
        <w:pStyle w:val="FootnoteText"/>
        <w:rPr>
          <w:lang w:val="hr-HR"/>
        </w:rPr>
      </w:pPr>
      <w:r w:rsidRPr="00504A96">
        <w:rPr>
          <w:rStyle w:val="FootnoteReference"/>
        </w:rPr>
        <w:footnoteRef/>
      </w:r>
      <w:r w:rsidRPr="00504A96">
        <w:t xml:space="preserve"> Webster, ‘</w:t>
      </w:r>
      <w:r w:rsidRPr="00504A96">
        <w:rPr>
          <w:i/>
        </w:rPr>
        <w:t>Annals of Dunstable Priory</w:t>
      </w:r>
      <w:r w:rsidRPr="00504A96">
        <w:t>’, pp. 148, 171–72; Burton, ‘</w:t>
      </w:r>
      <w:r w:rsidRPr="00504A96">
        <w:rPr>
          <w:i/>
        </w:rPr>
        <w:t>Authority and Conflict</w:t>
      </w:r>
      <w:r w:rsidRPr="00504A96">
        <w:t>’, pp. 400–05.</w:t>
      </w:r>
    </w:p>
  </w:footnote>
  <w:footnote w:id="31">
    <w:p w14:paraId="01C2542A" w14:textId="33DBE12E" w:rsidR="00504A96" w:rsidRPr="00504A96" w:rsidRDefault="00504A96">
      <w:pPr>
        <w:pStyle w:val="FootnoteText"/>
        <w:rPr>
          <w:lang w:val="hr-HR"/>
        </w:rPr>
      </w:pPr>
      <w:r w:rsidRPr="00504A96">
        <w:rPr>
          <w:rStyle w:val="FootnoteReference"/>
        </w:rPr>
        <w:footnoteRef/>
      </w:r>
      <w:r w:rsidRPr="00504A96">
        <w:t xml:space="preserve"> Webster, ‘</w:t>
      </w:r>
      <w:r w:rsidRPr="00504A96">
        <w:rPr>
          <w:i/>
        </w:rPr>
        <w:t>Annals of Dunstable Priory</w:t>
      </w:r>
      <w:r w:rsidRPr="00504A96">
        <w:t>’, pp. 166–72; Burton, ‘</w:t>
      </w:r>
      <w:r w:rsidRPr="00504A96">
        <w:rPr>
          <w:i/>
        </w:rPr>
        <w:t>Authority and Conflict</w:t>
      </w:r>
      <w:r w:rsidRPr="00504A96">
        <w:t>’, pp. 400–07.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2759A"/>
    <w:multiLevelType w:val="multilevel"/>
    <w:tmpl w:val="B0FE7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850085"/>
    <w:multiLevelType w:val="multilevel"/>
    <w:tmpl w:val="591AA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C95ACD"/>
    <w:multiLevelType w:val="multilevel"/>
    <w:tmpl w:val="49EC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4F5760"/>
    <w:multiLevelType w:val="multilevel"/>
    <w:tmpl w:val="7FB60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F51600"/>
    <w:multiLevelType w:val="multilevel"/>
    <w:tmpl w:val="7630A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9300E8"/>
    <w:multiLevelType w:val="multilevel"/>
    <w:tmpl w:val="FEC43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E94D2C"/>
    <w:multiLevelType w:val="multilevel"/>
    <w:tmpl w:val="95BA7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864363"/>
    <w:multiLevelType w:val="multilevel"/>
    <w:tmpl w:val="E6422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ED3EBC"/>
    <w:multiLevelType w:val="multilevel"/>
    <w:tmpl w:val="C248B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3B6E1A"/>
    <w:multiLevelType w:val="multilevel"/>
    <w:tmpl w:val="0DE66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161AE5"/>
    <w:multiLevelType w:val="multilevel"/>
    <w:tmpl w:val="DADEF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701FCF"/>
    <w:multiLevelType w:val="multilevel"/>
    <w:tmpl w:val="F9422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A75BFA"/>
    <w:multiLevelType w:val="multilevel"/>
    <w:tmpl w:val="A4329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B114DF"/>
    <w:multiLevelType w:val="multilevel"/>
    <w:tmpl w:val="DFE04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F11F88"/>
    <w:multiLevelType w:val="multilevel"/>
    <w:tmpl w:val="A19C6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7972905">
    <w:abstractNumId w:val="9"/>
  </w:num>
  <w:num w:numId="2" w16cid:durableId="68575668">
    <w:abstractNumId w:val="1"/>
  </w:num>
  <w:num w:numId="3" w16cid:durableId="937567695">
    <w:abstractNumId w:val="0"/>
  </w:num>
  <w:num w:numId="4" w16cid:durableId="1381854995">
    <w:abstractNumId w:val="6"/>
  </w:num>
  <w:num w:numId="5" w16cid:durableId="166947210">
    <w:abstractNumId w:val="11"/>
  </w:num>
  <w:num w:numId="6" w16cid:durableId="1170097799">
    <w:abstractNumId w:val="7"/>
  </w:num>
  <w:num w:numId="7" w16cid:durableId="541939886">
    <w:abstractNumId w:val="2"/>
  </w:num>
  <w:num w:numId="8" w16cid:durableId="1124427195">
    <w:abstractNumId w:val="3"/>
  </w:num>
  <w:num w:numId="9" w16cid:durableId="600722310">
    <w:abstractNumId w:val="4"/>
  </w:num>
  <w:num w:numId="10" w16cid:durableId="741215245">
    <w:abstractNumId w:val="8"/>
  </w:num>
  <w:num w:numId="11" w16cid:durableId="1135677742">
    <w:abstractNumId w:val="14"/>
  </w:num>
  <w:num w:numId="12" w16cid:durableId="1868715113">
    <w:abstractNumId w:val="10"/>
  </w:num>
  <w:num w:numId="13" w16cid:durableId="536351838">
    <w:abstractNumId w:val="5"/>
  </w:num>
  <w:num w:numId="14" w16cid:durableId="249967883">
    <w:abstractNumId w:val="13"/>
  </w:num>
  <w:num w:numId="15" w16cid:durableId="18638594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5DF"/>
    <w:rsid w:val="000463B7"/>
    <w:rsid w:val="000541D2"/>
    <w:rsid w:val="000567D5"/>
    <w:rsid w:val="000C384D"/>
    <w:rsid w:val="0017005C"/>
    <w:rsid w:val="00235F25"/>
    <w:rsid w:val="00267E3F"/>
    <w:rsid w:val="00284D17"/>
    <w:rsid w:val="002918B0"/>
    <w:rsid w:val="002C27A8"/>
    <w:rsid w:val="002C5A20"/>
    <w:rsid w:val="002E2F0C"/>
    <w:rsid w:val="00300A6F"/>
    <w:rsid w:val="00335F78"/>
    <w:rsid w:val="00362334"/>
    <w:rsid w:val="00382F98"/>
    <w:rsid w:val="003B3FA2"/>
    <w:rsid w:val="003C11EF"/>
    <w:rsid w:val="003D1564"/>
    <w:rsid w:val="003E0ADE"/>
    <w:rsid w:val="00401838"/>
    <w:rsid w:val="00504A96"/>
    <w:rsid w:val="00563F51"/>
    <w:rsid w:val="005658BA"/>
    <w:rsid w:val="0059274B"/>
    <w:rsid w:val="005C5924"/>
    <w:rsid w:val="00606AAF"/>
    <w:rsid w:val="006919B1"/>
    <w:rsid w:val="006E11C0"/>
    <w:rsid w:val="006F1DAF"/>
    <w:rsid w:val="006F3962"/>
    <w:rsid w:val="007765DF"/>
    <w:rsid w:val="00794E8B"/>
    <w:rsid w:val="007A206B"/>
    <w:rsid w:val="00845476"/>
    <w:rsid w:val="008D31D4"/>
    <w:rsid w:val="008E71C5"/>
    <w:rsid w:val="00921360"/>
    <w:rsid w:val="009234B8"/>
    <w:rsid w:val="009462A4"/>
    <w:rsid w:val="0097151E"/>
    <w:rsid w:val="00974709"/>
    <w:rsid w:val="00995D3B"/>
    <w:rsid w:val="009E44E7"/>
    <w:rsid w:val="00A207E5"/>
    <w:rsid w:val="00AA56B8"/>
    <w:rsid w:val="00AB4022"/>
    <w:rsid w:val="00AD5097"/>
    <w:rsid w:val="00B62EA5"/>
    <w:rsid w:val="00B8108D"/>
    <w:rsid w:val="00BF20EE"/>
    <w:rsid w:val="00C644A0"/>
    <w:rsid w:val="00CC191D"/>
    <w:rsid w:val="00CC3D5E"/>
    <w:rsid w:val="00D47786"/>
    <w:rsid w:val="00D56B50"/>
    <w:rsid w:val="00E30FFA"/>
    <w:rsid w:val="00E34CDE"/>
    <w:rsid w:val="00E636F5"/>
    <w:rsid w:val="00E87776"/>
    <w:rsid w:val="00EE02A5"/>
    <w:rsid w:val="00F34AB2"/>
    <w:rsid w:val="00F464A7"/>
    <w:rsid w:val="00F56CBD"/>
    <w:rsid w:val="00FB0763"/>
    <w:rsid w:val="00FF13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4D788"/>
  <w15:chartTrackingRefBased/>
  <w15:docId w15:val="{A8163252-0C8C-4017-A6F3-45F24FC4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765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65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5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5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5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5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5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5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5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5D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7765D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7765D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765D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765D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765D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765D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765D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765D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765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5D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765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5D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765DF"/>
    <w:pPr>
      <w:spacing w:before="160"/>
      <w:jc w:val="center"/>
    </w:pPr>
    <w:rPr>
      <w:i/>
      <w:iCs/>
      <w:color w:val="404040" w:themeColor="text1" w:themeTint="BF"/>
    </w:rPr>
  </w:style>
  <w:style w:type="character" w:customStyle="1" w:styleId="QuoteChar">
    <w:name w:val="Quote Char"/>
    <w:basedOn w:val="DefaultParagraphFont"/>
    <w:link w:val="Quote"/>
    <w:uiPriority w:val="29"/>
    <w:rsid w:val="007765DF"/>
    <w:rPr>
      <w:i/>
      <w:iCs/>
      <w:color w:val="404040" w:themeColor="text1" w:themeTint="BF"/>
      <w:lang w:val="en-GB"/>
    </w:rPr>
  </w:style>
  <w:style w:type="paragraph" w:styleId="ListParagraph">
    <w:name w:val="List Paragraph"/>
    <w:basedOn w:val="Normal"/>
    <w:uiPriority w:val="34"/>
    <w:qFormat/>
    <w:rsid w:val="007765DF"/>
    <w:pPr>
      <w:ind w:left="720"/>
      <w:contextualSpacing/>
    </w:pPr>
  </w:style>
  <w:style w:type="character" w:styleId="IntenseEmphasis">
    <w:name w:val="Intense Emphasis"/>
    <w:basedOn w:val="DefaultParagraphFont"/>
    <w:uiPriority w:val="21"/>
    <w:qFormat/>
    <w:rsid w:val="007765DF"/>
    <w:rPr>
      <w:i/>
      <w:iCs/>
      <w:color w:val="0F4761" w:themeColor="accent1" w:themeShade="BF"/>
    </w:rPr>
  </w:style>
  <w:style w:type="paragraph" w:styleId="IntenseQuote">
    <w:name w:val="Intense Quote"/>
    <w:basedOn w:val="Normal"/>
    <w:next w:val="Normal"/>
    <w:link w:val="IntenseQuoteChar"/>
    <w:uiPriority w:val="30"/>
    <w:qFormat/>
    <w:rsid w:val="007765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5DF"/>
    <w:rPr>
      <w:i/>
      <w:iCs/>
      <w:color w:val="0F4761" w:themeColor="accent1" w:themeShade="BF"/>
      <w:lang w:val="en-GB"/>
    </w:rPr>
  </w:style>
  <w:style w:type="character" w:styleId="IntenseReference">
    <w:name w:val="Intense Reference"/>
    <w:basedOn w:val="DefaultParagraphFont"/>
    <w:uiPriority w:val="32"/>
    <w:qFormat/>
    <w:rsid w:val="007765DF"/>
    <w:rPr>
      <w:b/>
      <w:bCs/>
      <w:smallCaps/>
      <w:color w:val="0F4761" w:themeColor="accent1" w:themeShade="BF"/>
      <w:spacing w:val="5"/>
    </w:rPr>
  </w:style>
  <w:style w:type="character" w:styleId="BookTitle">
    <w:name w:val="Book Title"/>
    <w:basedOn w:val="DefaultParagraphFont"/>
    <w:uiPriority w:val="33"/>
    <w:qFormat/>
    <w:rsid w:val="007765DF"/>
    <w:rPr>
      <w:b/>
      <w:bCs/>
      <w:i/>
      <w:iCs/>
      <w:spacing w:val="5"/>
    </w:rPr>
  </w:style>
  <w:style w:type="paragraph" w:styleId="Caption">
    <w:name w:val="caption"/>
    <w:basedOn w:val="Normal"/>
    <w:next w:val="Normal"/>
    <w:uiPriority w:val="35"/>
    <w:semiHidden/>
    <w:unhideWhenUsed/>
    <w:qFormat/>
    <w:rsid w:val="007765DF"/>
    <w:pPr>
      <w:spacing w:after="200" w:line="240" w:lineRule="auto"/>
    </w:pPr>
    <w:rPr>
      <w:i/>
      <w:iCs/>
      <w:color w:val="0E2841" w:themeColor="text2"/>
      <w:sz w:val="18"/>
      <w:szCs w:val="18"/>
    </w:rPr>
  </w:style>
  <w:style w:type="character" w:styleId="Emphasis">
    <w:name w:val="Emphasis"/>
    <w:basedOn w:val="DefaultParagraphFont"/>
    <w:uiPriority w:val="20"/>
    <w:qFormat/>
    <w:rsid w:val="007765DF"/>
    <w:rPr>
      <w:i/>
      <w:iCs/>
    </w:rPr>
  </w:style>
  <w:style w:type="paragraph" w:styleId="NoSpacing">
    <w:name w:val="No Spacing"/>
    <w:uiPriority w:val="1"/>
    <w:qFormat/>
    <w:rsid w:val="007765DF"/>
    <w:pPr>
      <w:spacing w:after="0" w:line="240" w:lineRule="auto"/>
    </w:pPr>
    <w:rPr>
      <w:lang w:val="en-GB"/>
    </w:rPr>
  </w:style>
  <w:style w:type="character" w:styleId="Strong">
    <w:name w:val="Strong"/>
    <w:basedOn w:val="DefaultParagraphFont"/>
    <w:uiPriority w:val="22"/>
    <w:qFormat/>
    <w:rsid w:val="007765DF"/>
    <w:rPr>
      <w:b/>
      <w:bCs/>
    </w:rPr>
  </w:style>
  <w:style w:type="character" w:styleId="SubtleEmphasis">
    <w:name w:val="Subtle Emphasis"/>
    <w:basedOn w:val="DefaultParagraphFont"/>
    <w:uiPriority w:val="19"/>
    <w:qFormat/>
    <w:rsid w:val="007765DF"/>
    <w:rPr>
      <w:i/>
      <w:iCs/>
      <w:color w:val="404040" w:themeColor="text1" w:themeTint="BF"/>
    </w:rPr>
  </w:style>
  <w:style w:type="character" w:styleId="SubtleReference">
    <w:name w:val="Subtle Reference"/>
    <w:basedOn w:val="DefaultParagraphFont"/>
    <w:uiPriority w:val="31"/>
    <w:qFormat/>
    <w:rsid w:val="007765DF"/>
    <w:rPr>
      <w:smallCaps/>
      <w:color w:val="5A5A5A" w:themeColor="text1" w:themeTint="A5"/>
    </w:rPr>
  </w:style>
  <w:style w:type="paragraph" w:styleId="TOCHeading">
    <w:name w:val="TOC Heading"/>
    <w:basedOn w:val="Heading1"/>
    <w:next w:val="Normal"/>
    <w:uiPriority w:val="39"/>
    <w:semiHidden/>
    <w:unhideWhenUsed/>
    <w:qFormat/>
    <w:rsid w:val="007765DF"/>
    <w:pPr>
      <w:spacing w:before="240" w:after="0"/>
      <w:outlineLvl w:val="9"/>
    </w:pPr>
    <w:rPr>
      <w:sz w:val="32"/>
      <w:szCs w:val="32"/>
    </w:rPr>
  </w:style>
  <w:style w:type="paragraph" w:styleId="NormalWeb">
    <w:name w:val="Normal (Web)"/>
    <w:basedOn w:val="Normal"/>
    <w:uiPriority w:val="99"/>
    <w:semiHidden/>
    <w:unhideWhenUsed/>
    <w:rsid w:val="007765DF"/>
    <w:pPr>
      <w:spacing w:before="100" w:beforeAutospacing="1" w:after="100" w:afterAutospacing="1" w:line="240" w:lineRule="auto"/>
    </w:pPr>
    <w:rPr>
      <w:rFonts w:ascii="Times New Roman" w:hAnsi="Times New Roman" w:cs="Times New Roman"/>
      <w:sz w:val="24"/>
      <w:szCs w:val="24"/>
      <w:lang w:val="en-US"/>
    </w:rPr>
  </w:style>
  <w:style w:type="paragraph" w:styleId="FootnoteText">
    <w:name w:val="footnote text"/>
    <w:basedOn w:val="Normal"/>
    <w:link w:val="FootnoteTextChar"/>
    <w:uiPriority w:val="99"/>
    <w:semiHidden/>
    <w:unhideWhenUsed/>
    <w:rsid w:val="00CC3D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3D5E"/>
    <w:rPr>
      <w:sz w:val="20"/>
      <w:szCs w:val="20"/>
      <w:lang w:val="en-GB"/>
    </w:rPr>
  </w:style>
  <w:style w:type="character" w:styleId="FootnoteReference">
    <w:name w:val="footnote reference"/>
    <w:basedOn w:val="DefaultParagraphFont"/>
    <w:uiPriority w:val="99"/>
    <w:semiHidden/>
    <w:unhideWhenUsed/>
    <w:rsid w:val="00CC3D5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1417</Words>
  <Characters>8079</Characters>
  <Application>Microsoft Office Word</Application>
  <DocSecurity>0</DocSecurity>
  <Lines>67</Lines>
  <Paragraphs>18</Paragraphs>
  <ScaleCrop>false</ScaleCrop>
  <Company/>
  <LinksUpToDate>false</LinksUpToDate>
  <CharactersWithSpaces>9478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Habric</dc:creator>
  <cp:keywords/>
  <dc:description/>
  <cp:lastModifiedBy>Boris Habric</cp:lastModifiedBy>
  <cp:revision>2</cp:revision>
  <dcterms:created xsi:type="dcterms:W3CDTF">2026-10-20T13:03:00Z</dcterms:created>
  <dcterms:modified xsi:type="dcterms:W3CDTF">2026-10-20T13:03:00Z</dcterms:modified>
</cp:coreProperties>
</file>