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D1C84" w:rsidRDefault="005D1C84" w:rsidP="005D1C84">
      <w:pPr>
        <w:rPr>
          <w:rFonts w:ascii="Arial" w:hAnsi="Arial" w:cs="Arial"/>
          <w:b/>
          <w:sz w:val="24"/>
          <w:szCs w:val="24"/>
        </w:rPr>
      </w:pPr>
      <w:bookmarkStart w:id="0" w:name="_GoBack"/>
      <w:bookmarkEnd w:id="0"/>
      <w:r>
        <w:rPr>
          <w:rFonts w:ascii="Arial" w:hAnsi="Arial" w:cs="Arial"/>
          <w:b/>
          <w:noProof/>
          <w:sz w:val="24"/>
          <w:szCs w:val="24"/>
          <w:lang w:eastAsia="en-GB"/>
        </w:rPr>
        <w:drawing>
          <wp:inline distT="0" distB="0" distL="0" distR="0" wp14:anchorId="48654862" wp14:editId="7096A320">
            <wp:extent cx="2446020" cy="13589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uwtsd logo.pn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46020" cy="1358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D1C84" w:rsidRDefault="005D1C84" w:rsidP="005D1C84">
      <w:pPr>
        <w:rPr>
          <w:rFonts w:ascii="Arial" w:hAnsi="Arial" w:cs="Arial"/>
          <w:b/>
          <w:sz w:val="24"/>
          <w:szCs w:val="24"/>
        </w:rPr>
      </w:pPr>
    </w:p>
    <w:p w:rsidR="005D1C84" w:rsidRDefault="005D1C84" w:rsidP="005D1C84">
      <w:pPr>
        <w:rPr>
          <w:rFonts w:ascii="Arial" w:hAnsi="Arial" w:cs="Arial"/>
          <w:b/>
          <w:sz w:val="24"/>
          <w:szCs w:val="24"/>
        </w:rPr>
      </w:pPr>
    </w:p>
    <w:p w:rsidR="005D1C84" w:rsidRDefault="005D1C84" w:rsidP="005D1C84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Student Name:</w:t>
      </w:r>
      <w:r>
        <w:rPr>
          <w:rFonts w:ascii="Arial" w:hAnsi="Arial" w:cs="Arial"/>
          <w:b/>
          <w:sz w:val="24"/>
          <w:szCs w:val="24"/>
        </w:rPr>
        <w:tab/>
      </w:r>
      <w:r>
        <w:rPr>
          <w:rFonts w:ascii="Arial" w:hAnsi="Arial" w:cs="Arial"/>
          <w:b/>
          <w:sz w:val="24"/>
          <w:szCs w:val="24"/>
        </w:rPr>
        <w:tab/>
        <w:t xml:space="preserve">Aqsa </w:t>
      </w:r>
      <w:proofErr w:type="spellStart"/>
      <w:r>
        <w:rPr>
          <w:rFonts w:ascii="Arial" w:hAnsi="Arial" w:cs="Arial"/>
          <w:b/>
          <w:sz w:val="24"/>
          <w:szCs w:val="24"/>
        </w:rPr>
        <w:t>Shahzadi</w:t>
      </w:r>
      <w:proofErr w:type="spellEnd"/>
    </w:p>
    <w:p w:rsidR="005D1C84" w:rsidRDefault="005D1C84" w:rsidP="005D1C84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Student ID:</w:t>
      </w:r>
      <w:r>
        <w:rPr>
          <w:rFonts w:ascii="Arial" w:hAnsi="Arial" w:cs="Arial"/>
          <w:b/>
          <w:sz w:val="24"/>
          <w:szCs w:val="24"/>
        </w:rPr>
        <w:tab/>
      </w:r>
      <w:r>
        <w:rPr>
          <w:rFonts w:ascii="Arial" w:hAnsi="Arial" w:cs="Arial"/>
          <w:b/>
          <w:sz w:val="24"/>
          <w:szCs w:val="24"/>
        </w:rPr>
        <w:tab/>
      </w:r>
      <w:r>
        <w:rPr>
          <w:rFonts w:ascii="Arial" w:hAnsi="Arial" w:cs="Arial"/>
          <w:b/>
          <w:sz w:val="24"/>
          <w:szCs w:val="24"/>
        </w:rPr>
        <w:tab/>
        <w:t>2426854</w:t>
      </w:r>
    </w:p>
    <w:p w:rsidR="005D1C84" w:rsidRDefault="005D1C84" w:rsidP="005D1C84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Module Name:</w:t>
      </w:r>
      <w:r>
        <w:rPr>
          <w:rFonts w:ascii="Arial" w:hAnsi="Arial" w:cs="Arial"/>
          <w:b/>
          <w:sz w:val="24"/>
          <w:szCs w:val="24"/>
        </w:rPr>
        <w:tab/>
      </w:r>
      <w:r>
        <w:rPr>
          <w:rFonts w:ascii="Arial" w:hAnsi="Arial" w:cs="Arial"/>
          <w:b/>
          <w:sz w:val="24"/>
          <w:szCs w:val="24"/>
        </w:rPr>
        <w:tab/>
      </w:r>
      <w:r w:rsidRPr="002C4332">
        <w:rPr>
          <w:rFonts w:ascii="Arial" w:hAnsi="Arial" w:cs="Arial"/>
          <w:b/>
          <w:sz w:val="24"/>
          <w:szCs w:val="24"/>
        </w:rPr>
        <w:t>Protecting and Supporting Families in Health &amp; Care</w:t>
      </w:r>
    </w:p>
    <w:p w:rsidR="005D1C84" w:rsidRDefault="005D1C84" w:rsidP="005D1C84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Module Code:</w:t>
      </w:r>
      <w:r>
        <w:rPr>
          <w:rFonts w:ascii="Arial" w:hAnsi="Arial" w:cs="Arial"/>
          <w:b/>
          <w:sz w:val="24"/>
          <w:szCs w:val="24"/>
        </w:rPr>
        <w:tab/>
      </w:r>
      <w:r>
        <w:rPr>
          <w:rFonts w:ascii="Arial" w:hAnsi="Arial" w:cs="Arial"/>
          <w:b/>
          <w:sz w:val="24"/>
          <w:szCs w:val="24"/>
        </w:rPr>
        <w:tab/>
        <w:t>BMHP-5021</w:t>
      </w:r>
    </w:p>
    <w:p w:rsidR="005D1C84" w:rsidRDefault="005D1C84" w:rsidP="005D1C84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Assignment Title:</w:t>
      </w:r>
      <w:r>
        <w:rPr>
          <w:rFonts w:ascii="Arial" w:hAnsi="Arial" w:cs="Arial"/>
          <w:b/>
          <w:sz w:val="24"/>
          <w:szCs w:val="24"/>
        </w:rPr>
        <w:tab/>
      </w:r>
      <w:r>
        <w:rPr>
          <w:rFonts w:ascii="Arial" w:hAnsi="Arial" w:cs="Arial"/>
          <w:b/>
          <w:sz w:val="24"/>
          <w:szCs w:val="24"/>
        </w:rPr>
        <w:tab/>
        <w:t>Component 1 – Reference List</w:t>
      </w:r>
    </w:p>
    <w:p w:rsidR="005D1C84" w:rsidRPr="005D1C84" w:rsidRDefault="005D1C84" w:rsidP="005D1C84">
      <w:pPr>
        <w:rPr>
          <w:rStyle w:val="Strong"/>
          <w:rFonts w:ascii="Arial" w:hAnsi="Arial" w:cs="Arial"/>
          <w:bCs w:val="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Submission Date:</w:t>
      </w:r>
      <w:r>
        <w:rPr>
          <w:rFonts w:ascii="Arial" w:hAnsi="Arial" w:cs="Arial"/>
          <w:b/>
          <w:sz w:val="24"/>
          <w:szCs w:val="24"/>
        </w:rPr>
        <w:tab/>
      </w:r>
      <w:r>
        <w:rPr>
          <w:rFonts w:ascii="Arial" w:hAnsi="Arial" w:cs="Arial"/>
          <w:b/>
          <w:sz w:val="24"/>
          <w:szCs w:val="24"/>
        </w:rPr>
        <w:tab/>
        <w:t>22 June 2026</w:t>
      </w:r>
      <w:r>
        <w:rPr>
          <w:rFonts w:ascii="Arial" w:hAnsi="Arial" w:cs="Arial"/>
          <w:b/>
          <w:sz w:val="24"/>
          <w:szCs w:val="24"/>
        </w:rPr>
        <w:br w:type="page"/>
      </w:r>
    </w:p>
    <w:p w:rsidR="005D1C84" w:rsidRPr="00260282" w:rsidRDefault="005D1C84" w:rsidP="005D1C84">
      <w:pPr>
        <w:spacing w:before="100" w:beforeAutospacing="1" w:after="100" w:afterAutospacing="1" w:line="240" w:lineRule="auto"/>
        <w:outlineLvl w:val="0"/>
        <w:rPr>
          <w:rFonts w:ascii="Arial" w:eastAsia="Times New Roman" w:hAnsi="Arial" w:cs="Arial"/>
          <w:b/>
          <w:bCs/>
          <w:kern w:val="36"/>
          <w:sz w:val="24"/>
          <w:szCs w:val="24"/>
          <w:lang w:eastAsia="en-GB"/>
        </w:rPr>
      </w:pPr>
      <w:r w:rsidRPr="00260282">
        <w:rPr>
          <w:rFonts w:ascii="Arial" w:eastAsia="Times New Roman" w:hAnsi="Arial" w:cs="Arial"/>
          <w:b/>
          <w:bCs/>
          <w:kern w:val="36"/>
          <w:sz w:val="24"/>
          <w:szCs w:val="24"/>
          <w:lang w:eastAsia="en-GB"/>
        </w:rPr>
        <w:lastRenderedPageBreak/>
        <w:t>Reference</w:t>
      </w:r>
    </w:p>
    <w:p w:rsidR="005D1C84" w:rsidRPr="00830F8E" w:rsidRDefault="005D1C84" w:rsidP="005D1C84">
      <w:pPr>
        <w:numPr>
          <w:ilvl w:val="0"/>
          <w:numId w:val="1"/>
        </w:numPr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i/>
          <w:sz w:val="24"/>
          <w:szCs w:val="24"/>
          <w:lang w:eastAsia="en-GB"/>
        </w:rPr>
      </w:pPr>
      <w:r w:rsidRPr="00830F8E">
        <w:rPr>
          <w:rFonts w:ascii="Arial" w:eastAsia="Times New Roman" w:hAnsi="Arial" w:cs="Arial"/>
          <w:bCs/>
          <w:i/>
          <w:sz w:val="24"/>
          <w:szCs w:val="24"/>
          <w:lang w:eastAsia="en-GB"/>
        </w:rPr>
        <w:t>Education Act 1996, C.56.</w:t>
      </w:r>
      <w:r w:rsidRPr="00830F8E">
        <w:rPr>
          <w:rFonts w:ascii="Arial" w:eastAsia="Times New Roman" w:hAnsi="Arial" w:cs="Arial"/>
          <w:i/>
          <w:sz w:val="24"/>
          <w:szCs w:val="24"/>
          <w:lang w:eastAsia="en-GB"/>
        </w:rPr>
        <w:t xml:space="preserve"> </w:t>
      </w:r>
      <w:r>
        <w:rPr>
          <w:rFonts w:ascii="Arial" w:eastAsia="Times New Roman" w:hAnsi="Arial" w:cs="Arial"/>
          <w:sz w:val="24"/>
          <w:szCs w:val="24"/>
          <w:lang w:eastAsia="en-GB"/>
        </w:rPr>
        <w:t xml:space="preserve">Available at: </w:t>
      </w:r>
      <w:hyperlink r:id="rId6" w:history="1">
        <w:r w:rsidRPr="00A37C7D">
          <w:rPr>
            <w:rStyle w:val="Hyperlink"/>
            <w:rFonts w:ascii="Arial" w:eastAsia="Times New Roman" w:hAnsi="Arial" w:cs="Arial"/>
            <w:sz w:val="24"/>
            <w:szCs w:val="24"/>
            <w:lang w:eastAsia="en-GB"/>
          </w:rPr>
          <w:t>https://www.legislation.gov.uk/ukpga/1996/56/contents</w:t>
        </w:r>
      </w:hyperlink>
      <w:r>
        <w:rPr>
          <w:rFonts w:ascii="Arial" w:eastAsia="Times New Roman" w:hAnsi="Arial" w:cs="Arial"/>
          <w:sz w:val="24"/>
          <w:szCs w:val="24"/>
          <w:lang w:eastAsia="en-GB"/>
        </w:rPr>
        <w:t xml:space="preserve"> (Accessed: 02 Jun 2026).</w:t>
      </w:r>
    </w:p>
    <w:p w:rsidR="005D1C84" w:rsidRPr="00AB36BE" w:rsidRDefault="005D1C84" w:rsidP="005D1C84">
      <w:pPr>
        <w:numPr>
          <w:ilvl w:val="0"/>
          <w:numId w:val="1"/>
        </w:numPr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sz w:val="24"/>
          <w:szCs w:val="24"/>
          <w:lang w:eastAsia="en-GB"/>
        </w:rPr>
      </w:pPr>
      <w:r w:rsidRPr="00AA226D">
        <w:rPr>
          <w:rFonts w:ascii="Arial" w:eastAsia="Times New Roman" w:hAnsi="Arial" w:cs="Arial"/>
          <w:bCs/>
          <w:i/>
          <w:sz w:val="24"/>
          <w:szCs w:val="24"/>
          <w:lang w:eastAsia="en-GB"/>
        </w:rPr>
        <w:t>Education Act 2002, C.32.</w:t>
      </w:r>
      <w:r>
        <w:rPr>
          <w:rFonts w:ascii="Arial" w:eastAsia="Times New Roman" w:hAnsi="Arial" w:cs="Arial"/>
          <w:bCs/>
          <w:sz w:val="24"/>
          <w:szCs w:val="24"/>
          <w:lang w:eastAsia="en-GB"/>
        </w:rPr>
        <w:t xml:space="preserve"> Available at: </w:t>
      </w:r>
      <w:hyperlink r:id="rId7" w:history="1">
        <w:r w:rsidRPr="00A37C7D">
          <w:rPr>
            <w:rStyle w:val="Hyperlink"/>
            <w:rFonts w:ascii="Arial" w:eastAsia="Times New Roman" w:hAnsi="Arial" w:cs="Arial"/>
            <w:bCs/>
            <w:sz w:val="24"/>
            <w:szCs w:val="24"/>
            <w:lang w:eastAsia="en-GB"/>
          </w:rPr>
          <w:t>https://www.legislation.gov.uk/ukpga/2002/32/section/2</w:t>
        </w:r>
      </w:hyperlink>
      <w:r>
        <w:rPr>
          <w:rFonts w:ascii="Arial" w:eastAsia="Times New Roman" w:hAnsi="Arial" w:cs="Arial"/>
          <w:bCs/>
          <w:sz w:val="24"/>
          <w:szCs w:val="24"/>
          <w:lang w:eastAsia="en-GB"/>
        </w:rPr>
        <w:t xml:space="preserve"> (Accessed: 02 Jun 2026).</w:t>
      </w:r>
      <w:r w:rsidRPr="00AB36BE">
        <w:rPr>
          <w:rFonts w:ascii="Arial" w:eastAsia="Times New Roman" w:hAnsi="Arial" w:cs="Arial"/>
          <w:sz w:val="24"/>
          <w:szCs w:val="24"/>
          <w:lang w:eastAsia="en-GB"/>
        </w:rPr>
        <w:t xml:space="preserve"> </w:t>
      </w:r>
    </w:p>
    <w:p w:rsidR="005D1C84" w:rsidRPr="00AB36BE" w:rsidRDefault="005D1C84" w:rsidP="005D1C84">
      <w:pPr>
        <w:numPr>
          <w:ilvl w:val="0"/>
          <w:numId w:val="1"/>
        </w:numPr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sz w:val="24"/>
          <w:szCs w:val="24"/>
          <w:lang w:eastAsia="en-GB"/>
        </w:rPr>
      </w:pPr>
      <w:r>
        <w:rPr>
          <w:rFonts w:ascii="Arial" w:eastAsia="Times New Roman" w:hAnsi="Arial" w:cs="Arial"/>
          <w:bCs/>
          <w:sz w:val="24"/>
          <w:szCs w:val="24"/>
          <w:lang w:eastAsia="en-GB"/>
        </w:rPr>
        <w:t xml:space="preserve">Department for Education (2026) </w:t>
      </w:r>
      <w:r w:rsidRPr="00D921EF">
        <w:rPr>
          <w:rFonts w:ascii="Arial" w:eastAsia="Times New Roman" w:hAnsi="Arial" w:cs="Arial"/>
          <w:bCs/>
          <w:i/>
          <w:sz w:val="24"/>
          <w:szCs w:val="24"/>
          <w:lang w:eastAsia="en-GB"/>
        </w:rPr>
        <w:t>Working Together to Safeguard Children.</w:t>
      </w:r>
      <w:r>
        <w:rPr>
          <w:rFonts w:ascii="Arial" w:eastAsia="Times New Roman" w:hAnsi="Arial" w:cs="Arial"/>
          <w:bCs/>
          <w:sz w:val="24"/>
          <w:szCs w:val="24"/>
          <w:lang w:eastAsia="en-GB"/>
        </w:rPr>
        <w:t xml:space="preserve"> Gov.UK. Available at: </w:t>
      </w:r>
      <w:hyperlink r:id="rId8" w:history="1">
        <w:r w:rsidRPr="00A37C7D">
          <w:rPr>
            <w:rStyle w:val="Hyperlink"/>
            <w:rFonts w:ascii="Arial" w:eastAsia="Times New Roman" w:hAnsi="Arial" w:cs="Arial"/>
            <w:bCs/>
            <w:sz w:val="24"/>
            <w:szCs w:val="24"/>
            <w:lang w:eastAsia="en-GB"/>
          </w:rPr>
          <w:t>https://www.gov.uk/government/publications/working-together-to-safeguard-children--2</w:t>
        </w:r>
      </w:hyperlink>
      <w:r>
        <w:rPr>
          <w:rFonts w:ascii="Arial" w:eastAsia="Times New Roman" w:hAnsi="Arial" w:cs="Arial"/>
          <w:bCs/>
          <w:sz w:val="24"/>
          <w:szCs w:val="24"/>
          <w:lang w:eastAsia="en-GB"/>
        </w:rPr>
        <w:t xml:space="preserve"> </w:t>
      </w:r>
      <w:r>
        <w:rPr>
          <w:rFonts w:ascii="Arial" w:eastAsia="Times New Roman" w:hAnsi="Arial" w:cs="Arial"/>
          <w:sz w:val="24"/>
          <w:szCs w:val="24"/>
          <w:lang w:eastAsia="en-GB"/>
        </w:rPr>
        <w:t>(Accessed: 01 Jun 2026).</w:t>
      </w:r>
      <w:r w:rsidRPr="00AB36BE">
        <w:rPr>
          <w:rFonts w:ascii="Arial" w:eastAsia="Times New Roman" w:hAnsi="Arial" w:cs="Arial"/>
          <w:sz w:val="24"/>
          <w:szCs w:val="24"/>
          <w:lang w:eastAsia="en-GB"/>
        </w:rPr>
        <w:t xml:space="preserve"> </w:t>
      </w:r>
    </w:p>
    <w:p w:rsidR="005D1C84" w:rsidRPr="00260282" w:rsidRDefault="005D1C84" w:rsidP="005D1C84">
      <w:pPr>
        <w:numPr>
          <w:ilvl w:val="0"/>
          <w:numId w:val="1"/>
        </w:numPr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sz w:val="24"/>
          <w:szCs w:val="24"/>
          <w:lang w:eastAsia="en-GB"/>
        </w:rPr>
      </w:pPr>
      <w:r>
        <w:rPr>
          <w:rFonts w:ascii="Arial" w:eastAsia="Times New Roman" w:hAnsi="Arial" w:cs="Arial"/>
          <w:bCs/>
          <w:sz w:val="24"/>
          <w:szCs w:val="24"/>
          <w:lang w:eastAsia="en-GB"/>
        </w:rPr>
        <w:t>He</w:t>
      </w:r>
      <w:r w:rsidR="00ED7828">
        <w:rPr>
          <w:rFonts w:ascii="Arial" w:eastAsia="Times New Roman" w:hAnsi="Arial" w:cs="Arial"/>
          <w:bCs/>
          <w:sz w:val="24"/>
          <w:szCs w:val="24"/>
          <w:lang w:eastAsia="en-GB"/>
        </w:rPr>
        <w:t>refordshire Safeguarding (2023)</w:t>
      </w:r>
      <w:r>
        <w:rPr>
          <w:rFonts w:ascii="Arial" w:eastAsia="Times New Roman" w:hAnsi="Arial" w:cs="Arial"/>
          <w:bCs/>
          <w:sz w:val="24"/>
          <w:szCs w:val="24"/>
          <w:lang w:eastAsia="en-GB"/>
        </w:rPr>
        <w:t xml:space="preserve"> </w:t>
      </w:r>
      <w:r w:rsidRPr="00051738">
        <w:rPr>
          <w:rFonts w:ascii="Arial" w:eastAsia="Times New Roman" w:hAnsi="Arial" w:cs="Arial"/>
          <w:bCs/>
          <w:i/>
          <w:sz w:val="24"/>
          <w:szCs w:val="24"/>
          <w:lang w:eastAsia="en-GB"/>
        </w:rPr>
        <w:t>Child Safeguarding Practice Reviews</w:t>
      </w:r>
      <w:r w:rsidR="00ED7828">
        <w:rPr>
          <w:rFonts w:ascii="Arial" w:eastAsia="Times New Roman" w:hAnsi="Arial" w:cs="Arial"/>
          <w:bCs/>
          <w:i/>
          <w:sz w:val="24"/>
          <w:szCs w:val="24"/>
          <w:lang w:eastAsia="en-GB"/>
        </w:rPr>
        <w:t>.</w:t>
      </w:r>
      <w:r w:rsidR="00ED7828">
        <w:rPr>
          <w:rFonts w:ascii="Arial" w:eastAsia="Times New Roman" w:hAnsi="Arial" w:cs="Arial"/>
          <w:bCs/>
          <w:sz w:val="24"/>
          <w:szCs w:val="24"/>
          <w:lang w:eastAsia="en-GB"/>
        </w:rPr>
        <w:t xml:space="preserve"> Available at:</w:t>
      </w:r>
      <w:r>
        <w:rPr>
          <w:rFonts w:ascii="Arial" w:eastAsia="Times New Roman" w:hAnsi="Arial" w:cs="Arial"/>
          <w:bCs/>
          <w:sz w:val="24"/>
          <w:szCs w:val="24"/>
          <w:lang w:eastAsia="en-GB"/>
        </w:rPr>
        <w:t xml:space="preserve"> </w:t>
      </w:r>
      <w:hyperlink r:id="rId9" w:history="1">
        <w:r w:rsidRPr="00A37C7D">
          <w:rPr>
            <w:rStyle w:val="Hyperlink"/>
            <w:rFonts w:ascii="Arial" w:eastAsia="Times New Roman" w:hAnsi="Arial" w:cs="Arial"/>
            <w:bCs/>
            <w:sz w:val="24"/>
            <w:szCs w:val="24"/>
            <w:lang w:eastAsia="en-GB"/>
          </w:rPr>
          <w:t>https://www.herefordshiresafeguardingboards.org.uk/case-reviews/child-safeguarding-practice-reviews</w:t>
        </w:r>
      </w:hyperlink>
      <w:r>
        <w:rPr>
          <w:rFonts w:ascii="Arial" w:eastAsia="Times New Roman" w:hAnsi="Arial" w:cs="Arial"/>
          <w:bCs/>
          <w:sz w:val="24"/>
          <w:szCs w:val="24"/>
          <w:lang w:eastAsia="en-GB"/>
        </w:rPr>
        <w:t xml:space="preserve"> </w:t>
      </w:r>
      <w:r>
        <w:rPr>
          <w:rFonts w:ascii="Arial" w:eastAsia="Times New Roman" w:hAnsi="Arial" w:cs="Arial"/>
          <w:sz w:val="24"/>
          <w:szCs w:val="24"/>
          <w:lang w:eastAsia="en-GB"/>
        </w:rPr>
        <w:t>(Accessed: 01 Jun 2026).</w:t>
      </w:r>
    </w:p>
    <w:p w:rsidR="005D1C84" w:rsidRPr="00AB36BE" w:rsidRDefault="003021AF" w:rsidP="003021AF">
      <w:pPr>
        <w:numPr>
          <w:ilvl w:val="0"/>
          <w:numId w:val="1"/>
        </w:numPr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sz w:val="24"/>
          <w:szCs w:val="24"/>
          <w:lang w:eastAsia="en-GB"/>
        </w:rPr>
      </w:pPr>
      <w:r w:rsidRPr="003021AF">
        <w:rPr>
          <w:rFonts w:ascii="Arial" w:eastAsia="Times New Roman" w:hAnsi="Arial" w:cs="Arial"/>
          <w:bCs/>
          <w:sz w:val="24"/>
          <w:szCs w:val="24"/>
          <w:lang w:eastAsia="en-GB"/>
        </w:rPr>
        <w:t xml:space="preserve">Holmes, D. and Smith, L. (2022) </w:t>
      </w:r>
      <w:r w:rsidRPr="003021AF">
        <w:rPr>
          <w:rFonts w:ascii="Arial" w:eastAsia="Times New Roman" w:hAnsi="Arial" w:cs="Arial"/>
          <w:bCs/>
          <w:i/>
          <w:sz w:val="24"/>
          <w:szCs w:val="24"/>
          <w:lang w:eastAsia="en-GB"/>
        </w:rPr>
        <w:t>Transitional safeguarding. Academic Insights 2022/03.</w:t>
      </w:r>
      <w:r w:rsidRPr="003021AF">
        <w:rPr>
          <w:rFonts w:ascii="Arial" w:eastAsia="Times New Roman" w:hAnsi="Arial" w:cs="Arial"/>
          <w:bCs/>
          <w:sz w:val="24"/>
          <w:szCs w:val="24"/>
          <w:lang w:eastAsia="en-GB"/>
        </w:rPr>
        <w:t xml:space="preserve"> London: HM Inspectorate of Probation. Available at: </w:t>
      </w:r>
      <w:hyperlink r:id="rId10" w:history="1">
        <w:r w:rsidRPr="00486347">
          <w:rPr>
            <w:rStyle w:val="Hyperlink"/>
            <w:rFonts w:ascii="Arial" w:eastAsia="Times New Roman" w:hAnsi="Arial" w:cs="Arial"/>
            <w:bCs/>
            <w:sz w:val="24"/>
            <w:szCs w:val="24"/>
            <w:lang w:eastAsia="en-GB"/>
          </w:rPr>
          <w:t>https://cdn.websitebuilder.service.justice.gov.uk/uploads/sites/32/2022/03/Academic-Insights-Holmes-and-Smith-Transitional-safeguarding.pdf</w:t>
        </w:r>
      </w:hyperlink>
      <w:r>
        <w:rPr>
          <w:rFonts w:ascii="Arial" w:eastAsia="Times New Roman" w:hAnsi="Arial" w:cs="Arial"/>
          <w:bCs/>
          <w:sz w:val="24"/>
          <w:szCs w:val="24"/>
          <w:lang w:eastAsia="en-GB"/>
        </w:rPr>
        <w:t xml:space="preserve"> (Accessed: 12</w:t>
      </w:r>
      <w:r w:rsidRPr="003021AF">
        <w:rPr>
          <w:rFonts w:ascii="Arial" w:eastAsia="Times New Roman" w:hAnsi="Arial" w:cs="Arial"/>
          <w:bCs/>
          <w:sz w:val="24"/>
          <w:szCs w:val="24"/>
          <w:lang w:eastAsia="en-GB"/>
        </w:rPr>
        <w:t xml:space="preserve"> June 2026).</w:t>
      </w:r>
      <w:r w:rsidR="005D1C84" w:rsidRPr="00AB36BE">
        <w:rPr>
          <w:rFonts w:ascii="Arial" w:eastAsia="Times New Roman" w:hAnsi="Arial" w:cs="Arial"/>
          <w:sz w:val="24"/>
          <w:szCs w:val="24"/>
          <w:lang w:eastAsia="en-GB"/>
        </w:rPr>
        <w:t xml:space="preserve"> </w:t>
      </w:r>
    </w:p>
    <w:p w:rsidR="00792D59" w:rsidRPr="00AB36BE" w:rsidRDefault="00792D59" w:rsidP="00792D59">
      <w:pPr>
        <w:numPr>
          <w:ilvl w:val="0"/>
          <w:numId w:val="1"/>
        </w:numPr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sz w:val="24"/>
          <w:szCs w:val="24"/>
          <w:lang w:eastAsia="en-GB"/>
        </w:rPr>
      </w:pPr>
      <w:r w:rsidRPr="00792D59">
        <w:rPr>
          <w:rFonts w:ascii="Arial" w:eastAsia="Times New Roman" w:hAnsi="Arial" w:cs="Arial"/>
          <w:bCs/>
          <w:sz w:val="24"/>
          <w:szCs w:val="24"/>
          <w:lang w:eastAsia="en-GB"/>
        </w:rPr>
        <w:t>Hood</w:t>
      </w:r>
      <w:r>
        <w:rPr>
          <w:rFonts w:ascii="Arial" w:eastAsia="Times New Roman" w:hAnsi="Arial" w:cs="Arial"/>
          <w:bCs/>
          <w:sz w:val="24"/>
          <w:szCs w:val="24"/>
          <w:lang w:eastAsia="en-GB"/>
        </w:rPr>
        <w:t xml:space="preserve">, R., </w:t>
      </w:r>
      <w:proofErr w:type="spellStart"/>
      <w:r>
        <w:rPr>
          <w:rFonts w:ascii="Arial" w:eastAsia="Times New Roman" w:hAnsi="Arial" w:cs="Arial"/>
          <w:bCs/>
          <w:sz w:val="24"/>
          <w:szCs w:val="24"/>
          <w:lang w:eastAsia="en-GB"/>
        </w:rPr>
        <w:t>Goldacre</w:t>
      </w:r>
      <w:proofErr w:type="spellEnd"/>
      <w:r>
        <w:rPr>
          <w:rFonts w:ascii="Arial" w:eastAsia="Times New Roman" w:hAnsi="Arial" w:cs="Arial"/>
          <w:bCs/>
          <w:sz w:val="24"/>
          <w:szCs w:val="24"/>
          <w:lang w:eastAsia="en-GB"/>
        </w:rPr>
        <w:t>, A., Grant, R., and Jones, R. (2016)</w:t>
      </w:r>
      <w:r w:rsidRPr="00792D59">
        <w:rPr>
          <w:rFonts w:ascii="Arial" w:eastAsia="Times New Roman" w:hAnsi="Arial" w:cs="Arial"/>
          <w:bCs/>
          <w:sz w:val="24"/>
          <w:szCs w:val="24"/>
          <w:lang w:eastAsia="en-GB"/>
        </w:rPr>
        <w:t xml:space="preserve"> </w:t>
      </w:r>
      <w:r>
        <w:rPr>
          <w:rFonts w:ascii="Arial" w:eastAsia="Times New Roman" w:hAnsi="Arial" w:cs="Arial"/>
          <w:bCs/>
          <w:sz w:val="24"/>
          <w:szCs w:val="24"/>
          <w:lang w:eastAsia="en-GB"/>
        </w:rPr>
        <w:t>‘</w:t>
      </w:r>
      <w:r w:rsidRPr="00792D59">
        <w:rPr>
          <w:rFonts w:ascii="Arial" w:eastAsia="Times New Roman" w:hAnsi="Arial" w:cs="Arial"/>
          <w:bCs/>
          <w:sz w:val="24"/>
          <w:szCs w:val="24"/>
          <w:lang w:eastAsia="en-GB"/>
        </w:rPr>
        <w:t>Exploring Demand and Provision in English Child Protection Services</w:t>
      </w:r>
      <w:r>
        <w:rPr>
          <w:rFonts w:ascii="Arial" w:eastAsia="Times New Roman" w:hAnsi="Arial" w:cs="Arial"/>
          <w:bCs/>
          <w:sz w:val="24"/>
          <w:szCs w:val="24"/>
          <w:lang w:eastAsia="en-GB"/>
        </w:rPr>
        <w:t>’,</w:t>
      </w:r>
      <w:r w:rsidRPr="00792D59">
        <w:rPr>
          <w:rFonts w:ascii="Arial" w:eastAsia="Times New Roman" w:hAnsi="Arial" w:cs="Arial"/>
          <w:bCs/>
          <w:sz w:val="24"/>
          <w:szCs w:val="24"/>
          <w:lang w:eastAsia="en-GB"/>
        </w:rPr>
        <w:t xml:space="preserve"> </w:t>
      </w:r>
      <w:r w:rsidRPr="00792D59">
        <w:rPr>
          <w:rFonts w:ascii="Arial" w:eastAsia="Times New Roman" w:hAnsi="Arial" w:cs="Arial"/>
          <w:bCs/>
          <w:i/>
          <w:sz w:val="24"/>
          <w:szCs w:val="24"/>
          <w:lang w:eastAsia="en-GB"/>
        </w:rPr>
        <w:t>British Journal of Social Work</w:t>
      </w:r>
      <w:r w:rsidRPr="00792D59">
        <w:rPr>
          <w:rFonts w:ascii="Arial" w:eastAsia="Times New Roman" w:hAnsi="Arial" w:cs="Arial"/>
          <w:bCs/>
          <w:sz w:val="24"/>
          <w:szCs w:val="24"/>
          <w:lang w:eastAsia="en-GB"/>
        </w:rPr>
        <w:t>, 46(4), 923–941.</w:t>
      </w:r>
      <w:r w:rsidRPr="00A90424">
        <w:rPr>
          <w:rFonts w:ascii="Arial" w:eastAsia="Times New Roman" w:hAnsi="Arial" w:cs="Arial"/>
          <w:bCs/>
          <w:sz w:val="24"/>
          <w:szCs w:val="24"/>
          <w:lang w:eastAsia="en-GB"/>
        </w:rPr>
        <w:t xml:space="preserve"> </w:t>
      </w:r>
      <w:r w:rsidRPr="00AB36BE">
        <w:rPr>
          <w:rFonts w:ascii="Arial" w:eastAsia="Times New Roman" w:hAnsi="Arial" w:cs="Arial"/>
          <w:sz w:val="24"/>
          <w:szCs w:val="24"/>
          <w:lang w:eastAsia="en-GB"/>
        </w:rPr>
        <w:t xml:space="preserve"> </w:t>
      </w:r>
    </w:p>
    <w:p w:rsidR="005D1C84" w:rsidRDefault="005D1C84" w:rsidP="005D1C84">
      <w:pPr>
        <w:numPr>
          <w:ilvl w:val="0"/>
          <w:numId w:val="1"/>
        </w:numPr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sz w:val="24"/>
          <w:szCs w:val="24"/>
          <w:lang w:eastAsia="en-GB"/>
        </w:rPr>
      </w:pPr>
      <w:proofErr w:type="spellStart"/>
      <w:r w:rsidRPr="00AB36BE">
        <w:rPr>
          <w:rFonts w:ascii="Arial" w:eastAsia="Times New Roman" w:hAnsi="Arial" w:cs="Arial"/>
          <w:bCs/>
          <w:sz w:val="24"/>
          <w:szCs w:val="24"/>
          <w:lang w:eastAsia="en-GB"/>
        </w:rPr>
        <w:t>Horwath</w:t>
      </w:r>
      <w:proofErr w:type="spellEnd"/>
      <w:r>
        <w:rPr>
          <w:rFonts w:ascii="Arial" w:eastAsia="Times New Roman" w:hAnsi="Arial" w:cs="Arial"/>
          <w:bCs/>
          <w:sz w:val="24"/>
          <w:szCs w:val="24"/>
          <w:lang w:eastAsia="en-GB"/>
        </w:rPr>
        <w:t>, J.</w:t>
      </w:r>
      <w:r w:rsidRPr="00AB36BE">
        <w:rPr>
          <w:rFonts w:ascii="Arial" w:eastAsia="Times New Roman" w:hAnsi="Arial" w:cs="Arial"/>
          <w:bCs/>
          <w:sz w:val="24"/>
          <w:szCs w:val="24"/>
          <w:lang w:eastAsia="en-GB"/>
        </w:rPr>
        <w:t xml:space="preserve"> (2013) </w:t>
      </w:r>
      <w:r w:rsidRPr="00A753FB">
        <w:rPr>
          <w:rFonts w:ascii="Arial" w:eastAsia="Times New Roman" w:hAnsi="Arial" w:cs="Arial"/>
          <w:bCs/>
          <w:i/>
          <w:sz w:val="24"/>
          <w:szCs w:val="24"/>
          <w:lang w:eastAsia="en-GB"/>
        </w:rPr>
        <w:t>Child Neglect: Planning and Intervention</w:t>
      </w:r>
      <w:r>
        <w:rPr>
          <w:rFonts w:ascii="Arial" w:eastAsia="Times New Roman" w:hAnsi="Arial" w:cs="Arial"/>
          <w:sz w:val="24"/>
          <w:szCs w:val="24"/>
          <w:lang w:eastAsia="en-GB"/>
        </w:rPr>
        <w:t>. London: Bloomsbury Publishing.</w:t>
      </w:r>
    </w:p>
    <w:p w:rsidR="005D1C84" w:rsidRPr="00260282" w:rsidRDefault="005D1C84" w:rsidP="005D1C84">
      <w:pPr>
        <w:numPr>
          <w:ilvl w:val="0"/>
          <w:numId w:val="1"/>
        </w:numPr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sz w:val="24"/>
          <w:szCs w:val="24"/>
          <w:lang w:eastAsia="en-GB"/>
        </w:rPr>
      </w:pPr>
      <w:r w:rsidRPr="001C1654">
        <w:rPr>
          <w:rFonts w:ascii="Arial" w:eastAsia="Times New Roman" w:hAnsi="Arial" w:cs="Arial"/>
          <w:bCs/>
          <w:sz w:val="24"/>
          <w:szCs w:val="24"/>
          <w:lang w:eastAsia="en-GB"/>
        </w:rPr>
        <w:t>U</w:t>
      </w:r>
      <w:r>
        <w:rPr>
          <w:rFonts w:ascii="Arial" w:eastAsia="Times New Roman" w:hAnsi="Arial" w:cs="Arial"/>
          <w:bCs/>
          <w:sz w:val="24"/>
          <w:szCs w:val="24"/>
          <w:lang w:eastAsia="en-GB"/>
        </w:rPr>
        <w:t xml:space="preserve">NICEF (2026) </w:t>
      </w:r>
      <w:r w:rsidRPr="00B729FA">
        <w:rPr>
          <w:rFonts w:ascii="Arial" w:eastAsia="Times New Roman" w:hAnsi="Arial" w:cs="Arial"/>
          <w:bCs/>
          <w:i/>
          <w:sz w:val="24"/>
          <w:szCs w:val="24"/>
          <w:lang w:eastAsia="en-GB"/>
        </w:rPr>
        <w:t>Convention on the Rights of the Child</w:t>
      </w:r>
      <w:r>
        <w:rPr>
          <w:rFonts w:ascii="Arial" w:eastAsia="Times New Roman" w:hAnsi="Arial" w:cs="Arial"/>
          <w:sz w:val="24"/>
          <w:szCs w:val="24"/>
          <w:lang w:eastAsia="en-GB"/>
        </w:rPr>
        <w:t xml:space="preserve">. Available at: </w:t>
      </w:r>
      <w:hyperlink r:id="rId11" w:history="1">
        <w:r w:rsidRPr="00A37C7D">
          <w:rPr>
            <w:rStyle w:val="Hyperlink"/>
            <w:rFonts w:ascii="Arial" w:eastAsia="Times New Roman" w:hAnsi="Arial" w:cs="Arial"/>
            <w:sz w:val="24"/>
            <w:szCs w:val="24"/>
            <w:lang w:eastAsia="en-GB"/>
          </w:rPr>
          <w:t>https://www.unicef.org/child-rights-convention</w:t>
        </w:r>
      </w:hyperlink>
      <w:r>
        <w:rPr>
          <w:rFonts w:ascii="Arial" w:eastAsia="Times New Roman" w:hAnsi="Arial" w:cs="Arial"/>
          <w:sz w:val="24"/>
          <w:szCs w:val="24"/>
          <w:lang w:eastAsia="en-GB"/>
        </w:rPr>
        <w:t xml:space="preserve"> (Accessed: 01 Jun 2026).</w:t>
      </w:r>
    </w:p>
    <w:p w:rsidR="00546036" w:rsidRDefault="00546036"/>
    <w:sectPr w:rsidR="00546036" w:rsidSect="005D1C84">
      <w:pgSz w:w="12240" w:h="15840"/>
      <w:pgMar w:top="1440" w:right="1440" w:bottom="1440" w:left="1440" w:header="720" w:footer="720" w:gutter="0"/>
      <w:pgBorders w:display="firstPage" w:offsetFrom="page">
        <w:top w:val="triple" w:sz="4" w:space="24" w:color="auto"/>
        <w:left w:val="triple" w:sz="4" w:space="24" w:color="auto"/>
        <w:bottom w:val="triple" w:sz="4" w:space="24" w:color="auto"/>
        <w:right w:val="triple" w:sz="4" w:space="24" w:color="auto"/>
      </w:pgBorders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7306BCB"/>
    <w:multiLevelType w:val="multilevel"/>
    <w:tmpl w:val="14487FB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618A"/>
    <w:rsid w:val="00023386"/>
    <w:rsid w:val="000D35C7"/>
    <w:rsid w:val="00131537"/>
    <w:rsid w:val="00170FE2"/>
    <w:rsid w:val="001D5624"/>
    <w:rsid w:val="003021AF"/>
    <w:rsid w:val="00376920"/>
    <w:rsid w:val="00417E4B"/>
    <w:rsid w:val="005235D7"/>
    <w:rsid w:val="00546036"/>
    <w:rsid w:val="005D1C84"/>
    <w:rsid w:val="005E75FC"/>
    <w:rsid w:val="006E3F6D"/>
    <w:rsid w:val="00792D59"/>
    <w:rsid w:val="007B00C0"/>
    <w:rsid w:val="00831584"/>
    <w:rsid w:val="00894B62"/>
    <w:rsid w:val="00915B27"/>
    <w:rsid w:val="00A941A6"/>
    <w:rsid w:val="00B33920"/>
    <w:rsid w:val="00BA6547"/>
    <w:rsid w:val="00BF236A"/>
    <w:rsid w:val="00C8506F"/>
    <w:rsid w:val="00CF68BE"/>
    <w:rsid w:val="00D95B6E"/>
    <w:rsid w:val="00DB12C6"/>
    <w:rsid w:val="00E76AD2"/>
    <w:rsid w:val="00EA618A"/>
    <w:rsid w:val="00ED7828"/>
    <w:rsid w:val="00F314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D097E9"/>
  <w15:chartTrackingRefBased/>
  <w15:docId w15:val="{C3CD86BF-FFEE-4256-B74A-42D9917896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5D1C8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5D1C84"/>
    <w:rPr>
      <w:b/>
      <w:bCs/>
    </w:rPr>
  </w:style>
  <w:style w:type="character" w:styleId="Hyperlink">
    <w:name w:val="Hyperlink"/>
    <w:basedOn w:val="DefaultParagraphFont"/>
    <w:uiPriority w:val="99"/>
    <w:unhideWhenUsed/>
    <w:rsid w:val="005D1C84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1513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575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gov.uk/government/publications/working-together-to-safeguard-children--2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www.legislation.gov.uk/ukpga/2002/32/section/2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legislation.gov.uk/ukpga/1996/56/contents" TargetMode="External"/><Relationship Id="rId11" Type="http://schemas.openxmlformats.org/officeDocument/2006/relationships/hyperlink" Target="https://www.unicef.org/child-rights-convention" TargetMode="External"/><Relationship Id="rId5" Type="http://schemas.openxmlformats.org/officeDocument/2006/relationships/image" Target="media/image1.png"/><Relationship Id="rId10" Type="http://schemas.openxmlformats.org/officeDocument/2006/relationships/hyperlink" Target="https://cdn.websitebuilder.service.justice.gov.uk/uploads/sites/32/2022/03/Academic-Insights-Holmes-and-Smith-Transitional-safeguarding.pdf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herefordshiresafeguardingboards.org.uk/case-reviews/child-safeguarding-practice-reviews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325</Words>
  <Characters>1856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Aqsa Shahzadi</dc:creator>
  <cp:keywords/>
  <dc:description/>
  <cp:lastModifiedBy>Dell</cp:lastModifiedBy>
  <cp:revision>7</cp:revision>
  <dcterms:created xsi:type="dcterms:W3CDTF">2026-06-17T23:42:00Z</dcterms:created>
  <dcterms:modified xsi:type="dcterms:W3CDTF">2026-06-17T23:53:00Z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4c0e2caa-2e56-41f6-8b3e-a5358fa930b6</vt:lpwstr>
  </property>
</Properties>
</file>