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5361" w:rsidRDefault="00845361">
      <w:pPr>
        <w:widowControl w:val="0"/>
        <w:pBdr>
          <w:top w:val="nil"/>
          <w:left w:val="nil"/>
          <w:bottom w:val="nil"/>
          <w:right w:val="nil"/>
          <w:between w:val="nil"/>
        </w:pBdr>
        <w:spacing w:after="0" w:line="360" w:lineRule="auto"/>
        <w:rPr>
          <w:rFonts w:ascii="Arial" w:eastAsia="Arial" w:hAnsi="Arial" w:cs="Arial"/>
          <w:color w:val="000000"/>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08"/>
        <w:gridCol w:w="4508"/>
      </w:tblGrid>
      <w:tr w:rsidR="00845361" w:rsidTr="00C83A9D">
        <w:trPr>
          <w:trHeight w:val="2706"/>
          <w:jc w:val="center"/>
        </w:trPr>
        <w:tc>
          <w:tcPr>
            <w:tcW w:w="4508" w:type="dxa"/>
            <w:tcBorders>
              <w:top w:val="single" w:sz="4" w:space="0" w:color="000000"/>
              <w:left w:val="single" w:sz="4" w:space="0" w:color="000000"/>
              <w:right w:val="single" w:sz="4" w:space="0" w:color="000000"/>
            </w:tcBorders>
            <w:shd w:val="clear" w:color="auto" w:fill="auto"/>
          </w:tcPr>
          <w:p w:rsidR="00845361" w:rsidRDefault="00995EEC">
            <w:pPr>
              <w:spacing w:line="360" w:lineRule="auto"/>
              <w:rPr>
                <w:b/>
                <w:i/>
                <w:color w:val="BFBFBF"/>
              </w:rPr>
            </w:pPr>
            <w:r>
              <w:rPr>
                <w:b/>
                <w:color w:val="000000"/>
              </w:rPr>
              <w:t>Student Name:</w:t>
            </w:r>
            <w:r>
              <w:rPr>
                <w:b/>
              </w:rPr>
              <w:t xml:space="preserve"> Kamrul</w:t>
            </w:r>
            <w:r w:rsidR="00A22C44">
              <w:rPr>
                <w:b/>
              </w:rPr>
              <w:t xml:space="preserve"> Khan</w:t>
            </w:r>
          </w:p>
          <w:p w:rsidR="00845361" w:rsidRPr="00A22C44" w:rsidRDefault="00995EEC">
            <w:pPr>
              <w:keepNext/>
              <w:spacing w:before="120" w:after="0" w:line="360" w:lineRule="auto"/>
              <w:rPr>
                <w:b/>
              </w:rPr>
            </w:pPr>
            <w:r w:rsidRPr="00A22C44">
              <w:rPr>
                <w:b/>
              </w:rPr>
              <w:t xml:space="preserve">Student ID: </w:t>
            </w:r>
            <w:r w:rsidR="00A22C44" w:rsidRPr="00A22C44">
              <w:t>2022307511</w:t>
            </w:r>
          </w:p>
          <w:p w:rsidR="00845361" w:rsidRPr="00A22C44" w:rsidRDefault="00995EEC">
            <w:pPr>
              <w:keepNext/>
              <w:spacing w:before="120" w:after="0" w:line="360" w:lineRule="auto"/>
              <w:rPr>
                <w:b/>
              </w:rPr>
            </w:pPr>
            <w:r w:rsidRPr="00A22C44">
              <w:rPr>
                <w:b/>
              </w:rPr>
              <w:t>Module Title:</w:t>
            </w:r>
            <w:r w:rsidRPr="00A22C44">
              <w:rPr>
                <w:b/>
                <w:i/>
              </w:rPr>
              <w:t xml:space="preserve"> Foreign Languages &amp; Cultural Awareness</w:t>
            </w:r>
          </w:p>
          <w:p w:rsidR="00845361" w:rsidRPr="00A22C44" w:rsidRDefault="00995EEC">
            <w:pPr>
              <w:keepNext/>
              <w:spacing w:before="120" w:after="0" w:line="360" w:lineRule="auto"/>
              <w:rPr>
                <w:b/>
              </w:rPr>
            </w:pPr>
            <w:r w:rsidRPr="00A22C44">
              <w:rPr>
                <w:b/>
              </w:rPr>
              <w:t>Module Code:</w:t>
            </w:r>
            <w:r w:rsidRPr="00A22C44">
              <w:rPr>
                <w:b/>
                <w:i/>
              </w:rPr>
              <w:t xml:space="preserve"> BMIH5003</w:t>
            </w:r>
          </w:p>
          <w:p w:rsidR="00845361" w:rsidRPr="00A22C44" w:rsidRDefault="00995EEC">
            <w:pPr>
              <w:keepNext/>
              <w:spacing w:before="120" w:after="0" w:line="360" w:lineRule="auto"/>
              <w:rPr>
                <w:b/>
                <w:i/>
              </w:rPr>
            </w:pPr>
            <w:r w:rsidRPr="00A22C44">
              <w:rPr>
                <w:b/>
              </w:rPr>
              <w:t>Lecturer:</w:t>
            </w:r>
            <w:r w:rsidR="00A22C44">
              <w:rPr>
                <w:b/>
                <w:i/>
              </w:rPr>
              <w:t xml:space="preserve"> Lisa Bassler</w:t>
            </w:r>
          </w:p>
          <w:p w:rsidR="00845361" w:rsidRDefault="00995EEC">
            <w:pPr>
              <w:keepNext/>
              <w:spacing w:before="120" w:after="0" w:line="360" w:lineRule="auto"/>
              <w:rPr>
                <w:rFonts w:ascii="Calibri" w:eastAsia="Calibri" w:hAnsi="Calibri" w:cs="Calibri"/>
                <w:b/>
              </w:rPr>
            </w:pPr>
            <w:r w:rsidRPr="00A22C44">
              <w:rPr>
                <w:b/>
              </w:rPr>
              <w:t>Date:</w:t>
            </w:r>
            <w:r w:rsidR="00A22C44">
              <w:rPr>
                <w:b/>
                <w:i/>
              </w:rPr>
              <w:t xml:space="preserve"> 09-02-2024</w:t>
            </w:r>
          </w:p>
        </w:tc>
        <w:tc>
          <w:tcPr>
            <w:tcW w:w="4508" w:type="dxa"/>
            <w:tcBorders>
              <w:top w:val="single" w:sz="4" w:space="0" w:color="000000"/>
              <w:left w:val="single" w:sz="4" w:space="0" w:color="000000"/>
              <w:right w:val="single" w:sz="4" w:space="0" w:color="000000"/>
            </w:tcBorders>
            <w:shd w:val="clear" w:color="auto" w:fill="DBDBDB"/>
          </w:tcPr>
          <w:p w:rsidR="00845361" w:rsidRDefault="00995EEC">
            <w:pPr>
              <w:keepNext/>
              <w:spacing w:before="120" w:after="0" w:line="360" w:lineRule="auto"/>
              <w:rPr>
                <w:rFonts w:ascii="Arial" w:eastAsia="Arial" w:hAnsi="Arial" w:cs="Arial"/>
                <w:b/>
                <w:color w:val="000000"/>
              </w:rPr>
            </w:pPr>
            <w:r>
              <w:rPr>
                <w:noProof/>
                <w:lang w:eastAsia="en-GB"/>
              </w:rPr>
              <w:drawing>
                <wp:anchor distT="0" distB="0" distL="114300" distR="114300" simplePos="0" relativeHeight="251658240" behindDoc="0" locked="0" layoutInCell="1" hidden="0" allowOverlap="1" wp14:anchorId="56E114BF" wp14:editId="13E5B643">
                  <wp:simplePos x="0" y="0"/>
                  <wp:positionH relativeFrom="column">
                    <wp:posOffset>307128</wp:posOffset>
                  </wp:positionH>
                  <wp:positionV relativeFrom="paragraph">
                    <wp:posOffset>399415</wp:posOffset>
                  </wp:positionV>
                  <wp:extent cx="2099310" cy="935355"/>
                  <wp:effectExtent l="0" t="0" r="0" b="0"/>
                  <wp:wrapNone/>
                  <wp:docPr id="1691439407" name="image2.jpg"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image2.jpg" descr="University of Wales Trinity Saint David - myday"/>
                          <pic:cNvPicPr preferRelativeResize="0"/>
                        </pic:nvPicPr>
                        <pic:blipFill>
                          <a:blip r:embed="rId9"/>
                          <a:srcRect/>
                          <a:stretch>
                            <a:fillRect/>
                          </a:stretch>
                        </pic:blipFill>
                        <pic:spPr>
                          <a:xfrm>
                            <a:off x="0" y="0"/>
                            <a:ext cx="2099310" cy="935355"/>
                          </a:xfrm>
                          <a:prstGeom prst="rect">
                            <a:avLst/>
                          </a:prstGeom>
                          <a:ln/>
                        </pic:spPr>
                      </pic:pic>
                    </a:graphicData>
                  </a:graphic>
                </wp:anchor>
              </w:drawing>
            </w:r>
          </w:p>
        </w:tc>
      </w:tr>
      <w:tr w:rsidR="00845361" w:rsidTr="00C83A9D">
        <w:trPr>
          <w:trHeight w:val="1737"/>
          <w:jc w:val="center"/>
        </w:trPr>
        <w:tc>
          <w:tcPr>
            <w:tcW w:w="9016" w:type="dxa"/>
            <w:gridSpan w:val="2"/>
            <w:tcBorders>
              <w:top w:val="single" w:sz="4" w:space="0" w:color="000000"/>
              <w:left w:val="single" w:sz="4" w:space="0" w:color="000000"/>
              <w:right w:val="single" w:sz="4" w:space="0" w:color="000000"/>
            </w:tcBorders>
            <w:shd w:val="clear" w:color="auto" w:fill="auto"/>
          </w:tcPr>
          <w:p w:rsidR="00845361" w:rsidRDefault="00845361">
            <w:pPr>
              <w:keepNext/>
              <w:spacing w:before="120" w:after="0" w:line="360" w:lineRule="auto"/>
              <w:rPr>
                <w:b/>
              </w:rPr>
            </w:pPr>
          </w:p>
          <w:p w:rsidR="00845361" w:rsidRDefault="00995EEC">
            <w:pPr>
              <w:keepNext/>
              <w:spacing w:before="120" w:after="0" w:line="360" w:lineRule="auto"/>
              <w:jc w:val="center"/>
              <w:rPr>
                <w:b/>
              </w:rPr>
            </w:pPr>
            <w:r>
              <w:rPr>
                <w:b/>
              </w:rPr>
              <w:t>ASSIGNMENT 1: PORTFOLIO</w:t>
            </w:r>
          </w:p>
          <w:p w:rsidR="00845361" w:rsidRDefault="00995EEC">
            <w:pPr>
              <w:keepNext/>
              <w:spacing w:before="120" w:after="0" w:line="360" w:lineRule="auto"/>
              <w:jc w:val="center"/>
              <w:rPr>
                <w:b/>
              </w:rPr>
            </w:pPr>
            <w:r>
              <w:rPr>
                <w:b/>
              </w:rPr>
              <w:t>(4 Components)</w:t>
            </w:r>
          </w:p>
          <w:p w:rsidR="00845361" w:rsidRDefault="00845361">
            <w:pPr>
              <w:keepNext/>
              <w:spacing w:before="120" w:after="0" w:line="360" w:lineRule="auto"/>
              <w:jc w:val="center"/>
              <w:rPr>
                <w:b/>
              </w:rPr>
            </w:pPr>
          </w:p>
        </w:tc>
      </w:tr>
      <w:tr w:rsidR="00845361" w:rsidTr="00C83A9D">
        <w:trPr>
          <w:trHeight w:val="2020"/>
          <w:jc w:val="center"/>
        </w:trPr>
        <w:tc>
          <w:tcPr>
            <w:tcW w:w="9016" w:type="dxa"/>
            <w:gridSpan w:val="2"/>
            <w:tcBorders>
              <w:top w:val="single" w:sz="4" w:space="0" w:color="000000"/>
              <w:left w:val="single" w:sz="4" w:space="0" w:color="000000"/>
              <w:right w:val="single" w:sz="4" w:space="0" w:color="000000"/>
            </w:tcBorders>
            <w:shd w:val="clear" w:color="auto" w:fill="EDEDED"/>
          </w:tcPr>
          <w:p w:rsidR="00845361" w:rsidRDefault="00845361">
            <w:pPr>
              <w:spacing w:line="360" w:lineRule="auto"/>
              <w:rPr>
                <w:b/>
              </w:rPr>
            </w:pPr>
          </w:p>
          <w:p w:rsidR="00845361" w:rsidRDefault="00995EEC">
            <w:pPr>
              <w:spacing w:line="360" w:lineRule="auto"/>
              <w:rPr>
                <w:b/>
              </w:rPr>
            </w:pPr>
            <w:r>
              <w:rPr>
                <w:b/>
              </w:rPr>
              <w:t xml:space="preserve">Component 1: </w:t>
            </w:r>
            <w:r>
              <w:rPr>
                <w:b/>
                <w:i/>
              </w:rPr>
              <w:t>Professional Reflection</w:t>
            </w:r>
            <w:r>
              <w:rPr>
                <w:b/>
              </w:rPr>
              <w:t xml:space="preserve"> (500 words +/- 10%)</w:t>
            </w:r>
          </w:p>
          <w:p w:rsidR="00845361" w:rsidRDefault="00845361">
            <w:pPr>
              <w:spacing w:after="0" w:line="360" w:lineRule="auto"/>
              <w:rPr>
                <w:b/>
                <w:color w:val="000000"/>
              </w:rPr>
            </w:pPr>
          </w:p>
          <w:p w:rsidR="00845361" w:rsidRDefault="00995EEC">
            <w:pPr>
              <w:spacing w:after="0" w:line="360" w:lineRule="auto"/>
              <w:rPr>
                <w:rFonts w:ascii="Arial" w:eastAsia="Arial" w:hAnsi="Arial" w:cs="Arial"/>
                <w:color w:val="000000"/>
              </w:rPr>
            </w:pPr>
            <w:r>
              <w:rPr>
                <w:b/>
                <w:color w:val="000000"/>
              </w:rPr>
              <w:t>Weighting: 25%</w:t>
            </w:r>
          </w:p>
        </w:tc>
      </w:tr>
      <w:tr w:rsidR="00845361" w:rsidTr="00C83A9D">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rsidR="00845361" w:rsidRDefault="00995EEC">
            <w:pPr>
              <w:spacing w:before="200" w:after="0" w:line="360" w:lineRule="auto"/>
              <w:jc w:val="center"/>
              <w:rPr>
                <w:rFonts w:ascii="Arial" w:eastAsia="Arial" w:hAnsi="Arial" w:cs="Arial"/>
                <w:b/>
              </w:rPr>
            </w:pPr>
            <w:r>
              <w:rPr>
                <w:rFonts w:ascii="Arial" w:eastAsia="Arial" w:hAnsi="Arial" w:cs="Arial"/>
                <w:b/>
              </w:rPr>
              <w:t>Reflection on cultural misunderstandings</w:t>
            </w:r>
          </w:p>
          <w:p w:rsidR="00845361" w:rsidRDefault="00995EEC">
            <w:pPr>
              <w:spacing w:before="200" w:after="0" w:line="360" w:lineRule="auto"/>
              <w:jc w:val="both"/>
              <w:rPr>
                <w:rFonts w:ascii="Arial" w:eastAsia="Arial" w:hAnsi="Arial" w:cs="Arial"/>
              </w:rPr>
            </w:pPr>
            <w:r>
              <w:rPr>
                <w:rFonts w:ascii="Arial" w:eastAsia="Arial" w:hAnsi="Arial" w:cs="Arial"/>
              </w:rPr>
              <w:t xml:space="preserve">Cultural miscommunication can arise suddenly in the dynamic world of hospitality, putting an overtone on the visitor experience. One vivid scenario comes to mind: a French-speaking hotel visitor and an English-speaking food and beverage (F&amp;B) staff member at the hotel cafeteria's busy dinner service area. As a spectator in this cultural interaction, I saw the subtle dance of misinterpretation caused by an oral barrier. The guest, inexperienced with English, sought to communicate precise dietary requirements, only to encounter an accidental combine in the order. The irritation of both parties was apparent, highlighting the dangers of cultural miscommunication in the hospitality sector. Reflecting on this circumstance, I appreciate the varied nature of cultural misconceptions, frequently caused by linguistic discrepancies, different communication techniques, and unfamiliarity with other cultural standards. The complexities of language fluency became clear, highlighting the need for a more sophisticated approach to visitor encounters. It occurred to me that bridging these cultural differences necessitates a purposeful commitment to language development and intelligence about culture. In my evaluation, I recognize that I am nonetheless susceptible to such problems and that my work as a member of the hospitality industry requires </w:t>
            </w:r>
            <w:proofErr w:type="spellStart"/>
            <w:r>
              <w:rPr>
                <w:rFonts w:ascii="Arial" w:eastAsia="Arial" w:hAnsi="Arial" w:cs="Arial"/>
              </w:rPr>
              <w:t>ongoing</w:t>
            </w:r>
            <w:proofErr w:type="spellEnd"/>
            <w:r>
              <w:rPr>
                <w:rFonts w:ascii="Arial" w:eastAsia="Arial" w:hAnsi="Arial" w:cs="Arial"/>
              </w:rPr>
              <w:t xml:space="preserve"> development. Cultural misconceptions, I discovered, are not limited to verbal errors but can extend to more extensive cultural settings, including habits, preferences, and expectations. I appreciate improving my language abilities to avoid similar cultural errors in subsequent years. This entails knowing important terms in regularly spoken languages among the hotel's guests and comprehending the subtle subtleties of expression and tone. Furthermore, changing my communication approach to different cultural conventions is critical. It is not enough to simply know the language; one must also understand the cultural complexities inherent in the exchange of information process. Furthermore, tolerance and empathy appeared as critical attributes for negotiating cultural differences. Rather than seeing the language barrier as an impediment, I see the issue as a chance to improve the visitor experience by exhibiting comprehension and a genuine want to connect. This revelation causes me to focus on my behaviour in similar situations and explore how I may create an additional inclusive and historically aware attitude. As I dig into the academic arena to strengthen my views, I want to provide at least three academic references to anchor my ideas into scholarly viewpoints. These references will include research on conversations between cultures, language learning in the hospitality industry, and the effect of cultural understanding on client pleasure.</w:t>
            </w:r>
          </w:p>
          <w:p w:rsidR="00845361" w:rsidRDefault="00995EEC">
            <w:pPr>
              <w:spacing w:before="200" w:after="0" w:line="360" w:lineRule="auto"/>
              <w:jc w:val="both"/>
              <w:rPr>
                <w:b/>
                <w:i/>
                <w:color w:val="BFBFBF"/>
              </w:rPr>
            </w:pPr>
            <w:r>
              <w:rPr>
                <w:rFonts w:ascii="Arial" w:eastAsia="Arial" w:hAnsi="Arial" w:cs="Arial"/>
              </w:rPr>
              <w:t xml:space="preserve">Finally, the situation between the French-speaking client and the F&amp;B staff sparks my career-related introspection. It inspires me to go on a road of self-improvement, realising that cultural proficiency is not a static attribute but a constant growth in the dynamic world of hospitality. I hope to contribute to a greater diversity and enjoyable visitor experience by embracing language variety and improving my cultural understanding. It is a thing that happens often if the language and culture is not familiar to the F&amp;B employee. A good training can save the reputation of the hotel from this kind of situation. </w:t>
            </w:r>
          </w:p>
          <w:p w:rsidR="00845361" w:rsidRDefault="00845361">
            <w:pPr>
              <w:spacing w:before="200" w:after="0" w:line="360" w:lineRule="auto"/>
              <w:jc w:val="both"/>
              <w:rPr>
                <w:b/>
                <w:i/>
                <w:color w:val="BFBFBF"/>
              </w:rPr>
            </w:pPr>
          </w:p>
          <w:p w:rsidR="00845361" w:rsidRDefault="00995EEC">
            <w:pPr>
              <w:spacing w:line="360" w:lineRule="auto"/>
              <w:rPr>
                <w:b/>
              </w:rPr>
            </w:pPr>
            <w:r>
              <w:rPr>
                <w:b/>
              </w:rPr>
              <w:t>References:</w:t>
            </w:r>
          </w:p>
          <w:p w:rsidR="00845361" w:rsidRDefault="00995EEC">
            <w:pPr>
              <w:widowControl w:val="0"/>
              <w:numPr>
                <w:ilvl w:val="0"/>
                <w:numId w:val="1"/>
              </w:numPr>
              <w:spacing w:before="200" w:after="0" w:line="360" w:lineRule="auto"/>
              <w:rPr>
                <w:rFonts w:ascii="Arial" w:eastAsia="Arial" w:hAnsi="Arial" w:cs="Arial"/>
              </w:rPr>
            </w:pPr>
            <w:r>
              <w:rPr>
                <w:rFonts w:ascii="Arial" w:eastAsia="Arial" w:hAnsi="Arial" w:cs="Arial"/>
              </w:rPr>
              <w:t xml:space="preserve">Cousins, J., Weekes, S. (2020). </w:t>
            </w:r>
            <w:r>
              <w:rPr>
                <w:rFonts w:ascii="Arial" w:eastAsia="Arial" w:hAnsi="Arial" w:cs="Arial"/>
                <w:i/>
              </w:rPr>
              <w:t>Food and Beverage Service.</w:t>
            </w:r>
            <w:r>
              <w:rPr>
                <w:rFonts w:ascii="Arial" w:eastAsia="Arial" w:hAnsi="Arial" w:cs="Arial"/>
              </w:rPr>
              <w:t xml:space="preserve"> </w:t>
            </w:r>
            <w:proofErr w:type="spellStart"/>
            <w:r>
              <w:rPr>
                <w:rFonts w:ascii="Arial" w:eastAsia="Arial" w:hAnsi="Arial" w:cs="Arial"/>
              </w:rPr>
              <w:t>Hodder</w:t>
            </w:r>
            <w:proofErr w:type="spellEnd"/>
            <w:r>
              <w:rPr>
                <w:rFonts w:ascii="Arial" w:eastAsia="Arial" w:hAnsi="Arial" w:cs="Arial"/>
              </w:rPr>
              <w:t xml:space="preserve"> Education.</w:t>
            </w:r>
          </w:p>
          <w:p w:rsidR="00845361" w:rsidRDefault="00995EEC">
            <w:pPr>
              <w:widowControl w:val="0"/>
              <w:numPr>
                <w:ilvl w:val="0"/>
                <w:numId w:val="1"/>
              </w:numPr>
              <w:spacing w:after="0" w:line="360" w:lineRule="auto"/>
              <w:rPr>
                <w:rFonts w:ascii="Arial" w:eastAsia="Arial" w:hAnsi="Arial" w:cs="Arial"/>
              </w:rPr>
            </w:pPr>
            <w:r>
              <w:rPr>
                <w:rFonts w:ascii="Arial" w:eastAsia="Arial" w:hAnsi="Arial" w:cs="Arial"/>
              </w:rPr>
              <w:t>Derek V. Byrne (2021)</w:t>
            </w:r>
            <w:r>
              <w:rPr>
                <w:rFonts w:ascii="Arial" w:eastAsia="Arial" w:hAnsi="Arial" w:cs="Arial"/>
                <w:i/>
              </w:rPr>
              <w:t>. Food, Health and Safety in Cross Cultural Consumer Contexts.</w:t>
            </w:r>
            <w:r>
              <w:rPr>
                <w:rFonts w:ascii="Arial" w:eastAsia="Arial" w:hAnsi="Arial" w:cs="Arial"/>
              </w:rPr>
              <w:t xml:space="preserve"> MDPI AG.</w:t>
            </w:r>
          </w:p>
          <w:p w:rsidR="00845361" w:rsidRDefault="00995EEC">
            <w:pPr>
              <w:widowControl w:val="0"/>
              <w:numPr>
                <w:ilvl w:val="0"/>
                <w:numId w:val="1"/>
              </w:numPr>
              <w:spacing w:after="0" w:line="360" w:lineRule="auto"/>
              <w:rPr>
                <w:rFonts w:ascii="Arial" w:eastAsia="Arial" w:hAnsi="Arial" w:cs="Arial"/>
              </w:rPr>
            </w:pPr>
            <w:proofErr w:type="spellStart"/>
            <w:r>
              <w:rPr>
                <w:rFonts w:ascii="Arial" w:eastAsia="Arial" w:hAnsi="Arial" w:cs="Arial"/>
              </w:rPr>
              <w:t>Dopson</w:t>
            </w:r>
            <w:proofErr w:type="spellEnd"/>
            <w:r>
              <w:rPr>
                <w:rFonts w:ascii="Arial" w:eastAsia="Arial" w:hAnsi="Arial" w:cs="Arial"/>
              </w:rPr>
              <w:t xml:space="preserve">, L. R., Hayes, D. K. (2010). </w:t>
            </w:r>
            <w:r>
              <w:rPr>
                <w:rFonts w:ascii="Arial" w:eastAsia="Arial" w:hAnsi="Arial" w:cs="Arial"/>
                <w:i/>
              </w:rPr>
              <w:t>Food and Beverage Cost Control.</w:t>
            </w:r>
            <w:r>
              <w:rPr>
                <w:rFonts w:ascii="Arial" w:eastAsia="Arial" w:hAnsi="Arial" w:cs="Arial"/>
              </w:rPr>
              <w:t xml:space="preserve"> Wiley.</w:t>
            </w:r>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rsidR="00845361" w:rsidRDefault="00845361">
            <w:pPr>
              <w:spacing w:line="360" w:lineRule="auto"/>
              <w:rPr>
                <w:b/>
              </w:rPr>
            </w:pPr>
          </w:p>
          <w:p w:rsidR="00845361" w:rsidRDefault="00995EEC">
            <w:pPr>
              <w:spacing w:line="360" w:lineRule="auto"/>
              <w:rPr>
                <w:b/>
              </w:rPr>
            </w:pPr>
            <w:r>
              <w:rPr>
                <w:b/>
              </w:rPr>
              <w:t xml:space="preserve">Component 2: </w:t>
            </w:r>
            <w:r>
              <w:rPr>
                <w:b/>
                <w:i/>
              </w:rPr>
              <w:t>Training Plan</w:t>
            </w:r>
            <w:r>
              <w:rPr>
                <w:b/>
              </w:rPr>
              <w:t xml:space="preserve"> (500 words +/- 10%)</w:t>
            </w:r>
          </w:p>
          <w:p w:rsidR="00845361" w:rsidRDefault="00845361">
            <w:pPr>
              <w:spacing w:after="0" w:line="360" w:lineRule="auto"/>
              <w:rPr>
                <w:b/>
                <w:color w:val="000000"/>
              </w:rPr>
            </w:pPr>
          </w:p>
          <w:p w:rsidR="00845361" w:rsidRDefault="00995EEC">
            <w:pPr>
              <w:spacing w:after="0" w:line="360" w:lineRule="auto"/>
              <w:rPr>
                <w:rFonts w:ascii="Arial" w:eastAsia="Arial" w:hAnsi="Arial" w:cs="Arial"/>
                <w:color w:val="000000"/>
              </w:rPr>
            </w:pPr>
            <w:r>
              <w:rPr>
                <w:b/>
                <w:color w:val="000000"/>
              </w:rPr>
              <w:t>Weighting: 25%</w:t>
            </w:r>
          </w:p>
          <w:p w:rsidR="00845361" w:rsidRDefault="00845361">
            <w:pPr>
              <w:spacing w:line="360" w:lineRule="auto"/>
              <w:rPr>
                <w:b/>
              </w:rPr>
            </w:pPr>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auto"/>
          </w:tcPr>
          <w:p w:rsidR="00845361" w:rsidRDefault="00995EEC">
            <w:pPr>
              <w:spacing w:line="360" w:lineRule="auto"/>
              <w:rPr>
                <w:b/>
              </w:rPr>
            </w:pPr>
            <w:r>
              <w:rPr>
                <w:b/>
              </w:rPr>
              <w:t>Identified cultural misunderstanding (in a few words) :</w:t>
            </w:r>
          </w:p>
          <w:p w:rsidR="00845361" w:rsidRDefault="00995EEC">
            <w:pPr>
              <w:spacing w:before="200" w:after="0" w:line="360" w:lineRule="auto"/>
              <w:jc w:val="both"/>
              <w:rPr>
                <w:rFonts w:ascii="Arial" w:eastAsia="Arial" w:hAnsi="Arial" w:cs="Arial"/>
              </w:rPr>
            </w:pPr>
            <w:r>
              <w:rPr>
                <w:rFonts w:ascii="Arial" w:eastAsia="Arial" w:hAnsi="Arial" w:cs="Arial"/>
              </w:rPr>
              <w:t>Building on my incisive perspective on the linguistic misunderstanding experienced during a stressful supper service at a hotel, I provide a comprehensive training plan to prepare Level 4 Placement Hotels workers to navigate such scenarios in the future. The objective is to develop a culturally savvy staff that can provide outstanding visitor experiences, regardless of language obstacles.</w:t>
            </w:r>
          </w:p>
          <w:p w:rsidR="00845361" w:rsidRDefault="00995EEC">
            <w:pPr>
              <w:spacing w:line="360" w:lineRule="auto"/>
              <w:rPr>
                <w:b/>
              </w:rPr>
            </w:pPr>
            <w:r>
              <w:rPr>
                <w:b/>
              </w:rPr>
              <w:t>Training plan (Why/What//Who/Where/When):</w:t>
            </w:r>
          </w:p>
          <w:p w:rsidR="00845361" w:rsidRDefault="00995EEC">
            <w:pPr>
              <w:numPr>
                <w:ilvl w:val="0"/>
                <w:numId w:val="4"/>
              </w:numPr>
              <w:spacing w:before="200" w:after="0" w:line="360" w:lineRule="auto"/>
              <w:jc w:val="both"/>
              <w:rPr>
                <w:rFonts w:ascii="Arial" w:eastAsia="Arial" w:hAnsi="Arial" w:cs="Arial"/>
              </w:rPr>
            </w:pPr>
            <w:r>
              <w:rPr>
                <w:rFonts w:ascii="Arial" w:eastAsia="Arial" w:hAnsi="Arial" w:cs="Arial"/>
              </w:rPr>
              <w:t>Language Proficiency Training:</w:t>
            </w:r>
          </w:p>
          <w:p w:rsidR="00845361" w:rsidRDefault="00995EEC">
            <w:pPr>
              <w:spacing w:before="200" w:after="0" w:line="360" w:lineRule="auto"/>
              <w:jc w:val="both"/>
              <w:rPr>
                <w:rFonts w:ascii="Arial" w:eastAsia="Arial" w:hAnsi="Arial" w:cs="Arial"/>
              </w:rPr>
            </w:pPr>
            <w:r>
              <w:rPr>
                <w:rFonts w:ascii="Arial" w:eastAsia="Arial" w:hAnsi="Arial" w:cs="Arial"/>
              </w:rPr>
              <w:t>The training strategy begins with extensive language competency classes to address the language-centric feature of the noted cultural miscommunication. These classes are designed to familiarise employees with essential words and expressions in widely spoken languages among the hotel's diversified customers. The real-world application will be stressed through role-playing activities that simulate various events experienced during visitor encounters.</w:t>
            </w:r>
          </w:p>
          <w:p w:rsidR="00845361" w:rsidRDefault="00995EEC">
            <w:pPr>
              <w:spacing w:before="200" w:after="0" w:line="360" w:lineRule="auto"/>
              <w:jc w:val="both"/>
              <w:rPr>
                <w:rFonts w:ascii="Arial" w:eastAsia="Arial" w:hAnsi="Arial" w:cs="Arial"/>
              </w:rPr>
            </w:pPr>
            <w:r>
              <w:rPr>
                <w:rFonts w:ascii="Arial" w:eastAsia="Arial" w:hAnsi="Arial" w:cs="Arial"/>
              </w:rPr>
              <w:t>The emphasis is not just on linguistic proficiency but also on comprehending the cultural context of language. By this, personnel will be more attentive and responsible towards the job.</w:t>
            </w:r>
          </w:p>
          <w:p w:rsidR="00845361" w:rsidRDefault="00995EEC">
            <w:pPr>
              <w:numPr>
                <w:ilvl w:val="0"/>
                <w:numId w:val="4"/>
              </w:numPr>
              <w:spacing w:before="200" w:after="0" w:line="360" w:lineRule="auto"/>
              <w:jc w:val="both"/>
              <w:rPr>
                <w:rFonts w:ascii="Arial" w:eastAsia="Arial" w:hAnsi="Arial" w:cs="Arial"/>
              </w:rPr>
            </w:pPr>
            <w:r>
              <w:rPr>
                <w:rFonts w:ascii="Arial" w:eastAsia="Arial" w:hAnsi="Arial" w:cs="Arial"/>
              </w:rPr>
              <w:t>Cultural Sensitivity Training:</w:t>
            </w:r>
          </w:p>
          <w:p w:rsidR="00845361" w:rsidRDefault="00995EEC">
            <w:pPr>
              <w:spacing w:before="200" w:after="0" w:line="360" w:lineRule="auto"/>
              <w:jc w:val="both"/>
              <w:rPr>
                <w:rFonts w:ascii="Arial" w:eastAsia="Arial" w:hAnsi="Arial" w:cs="Arial"/>
              </w:rPr>
            </w:pPr>
            <w:r>
              <w:rPr>
                <w:rFonts w:ascii="Arial" w:eastAsia="Arial" w:hAnsi="Arial" w:cs="Arial"/>
              </w:rPr>
              <w:t>Recognizing that cultural misconceptions go beyond language, this program provides rigorous instruction on cultural sensitivity. Staff members will participate in training that studies various habits, choices, and communication styles. The goal is to raise the team's knowledge of cultural differences, allowing them to proactively anticipate and solve any difficulties.</w:t>
            </w:r>
          </w:p>
          <w:p w:rsidR="00845361" w:rsidRDefault="00995EEC">
            <w:pPr>
              <w:spacing w:before="200" w:after="0" w:line="360" w:lineRule="auto"/>
              <w:jc w:val="both"/>
              <w:rPr>
                <w:rFonts w:ascii="Arial" w:eastAsia="Arial" w:hAnsi="Arial" w:cs="Arial"/>
              </w:rPr>
            </w:pPr>
            <w:r>
              <w:rPr>
                <w:rFonts w:ascii="Arial" w:eastAsia="Arial" w:hAnsi="Arial" w:cs="Arial"/>
              </w:rPr>
              <w:t>Encouraging open and inclusive discourse within the collective will be critical. The team will improve visitor interactions and create a harmonious work atmosphere by adopting cultural awareness.</w:t>
            </w:r>
          </w:p>
          <w:p w:rsidR="00845361" w:rsidRDefault="00995EEC">
            <w:pPr>
              <w:numPr>
                <w:ilvl w:val="0"/>
                <w:numId w:val="4"/>
              </w:numPr>
              <w:spacing w:before="200" w:after="0" w:line="360" w:lineRule="auto"/>
              <w:jc w:val="both"/>
              <w:rPr>
                <w:rFonts w:ascii="Arial" w:eastAsia="Arial" w:hAnsi="Arial" w:cs="Arial"/>
              </w:rPr>
            </w:pPr>
            <w:r>
              <w:rPr>
                <w:rFonts w:ascii="Arial" w:eastAsia="Arial" w:hAnsi="Arial" w:cs="Arial"/>
              </w:rPr>
              <w:t>Effective Communication Strategies:</w:t>
            </w:r>
          </w:p>
          <w:p w:rsidR="00845361" w:rsidRDefault="00995EEC">
            <w:pPr>
              <w:spacing w:before="200" w:after="0" w:line="360" w:lineRule="auto"/>
              <w:jc w:val="both"/>
              <w:rPr>
                <w:rFonts w:ascii="Arial" w:eastAsia="Arial" w:hAnsi="Arial" w:cs="Arial"/>
              </w:rPr>
            </w:pPr>
            <w:r>
              <w:rPr>
                <w:rFonts w:ascii="Arial" w:eastAsia="Arial" w:hAnsi="Arial" w:cs="Arial"/>
              </w:rPr>
              <w:t>Considering that efficient interaction is a mutually beneficial street level, this course focuses on providing employees with diverse communication tactics. The course will include changing communication techniques based on guest indications and preferences. The emphasis will be on active listening, allowing personnel to comprehend subtle subtleties even without the benefit of a shared language.</w:t>
            </w:r>
          </w:p>
          <w:p w:rsidR="00845361" w:rsidRDefault="00995EEC">
            <w:pPr>
              <w:spacing w:before="200" w:after="0" w:line="360" w:lineRule="auto"/>
              <w:jc w:val="both"/>
              <w:rPr>
                <w:rFonts w:ascii="Arial" w:eastAsia="Arial" w:hAnsi="Arial" w:cs="Arial"/>
              </w:rPr>
            </w:pPr>
            <w:r>
              <w:rPr>
                <w:rFonts w:ascii="Arial" w:eastAsia="Arial" w:hAnsi="Arial" w:cs="Arial"/>
              </w:rPr>
              <w:t>Realistic exercises, such as role-playing, will be used to improve communication skills. By emphasising the significance of nonverbal interaction, everyone will learn to use gestures, emotions, and physiques to convey compassion and empathy, especially when language obstacles exist.</w:t>
            </w:r>
          </w:p>
          <w:p w:rsidR="00845361" w:rsidRDefault="00995EEC">
            <w:pPr>
              <w:numPr>
                <w:ilvl w:val="0"/>
                <w:numId w:val="4"/>
              </w:numPr>
              <w:spacing w:before="200" w:after="0" w:line="360" w:lineRule="auto"/>
              <w:jc w:val="both"/>
              <w:rPr>
                <w:rFonts w:ascii="Arial" w:eastAsia="Arial" w:hAnsi="Arial" w:cs="Arial"/>
              </w:rPr>
            </w:pPr>
            <w:r>
              <w:rPr>
                <w:rFonts w:ascii="Arial" w:eastAsia="Arial" w:hAnsi="Arial" w:cs="Arial"/>
              </w:rPr>
              <w:t>Implementation Strategy:</w:t>
            </w:r>
          </w:p>
          <w:p w:rsidR="00845361" w:rsidRDefault="00995EEC">
            <w:pPr>
              <w:spacing w:before="200" w:after="0" w:line="360" w:lineRule="auto"/>
              <w:jc w:val="both"/>
              <w:rPr>
                <w:rFonts w:ascii="Arial" w:eastAsia="Arial" w:hAnsi="Arial" w:cs="Arial"/>
              </w:rPr>
            </w:pPr>
            <w:r>
              <w:rPr>
                <w:rFonts w:ascii="Arial" w:eastAsia="Arial" w:hAnsi="Arial" w:cs="Arial"/>
              </w:rPr>
              <w:t>The training strategy will be implemented gradually, minimising disturbance to normal operations. Language competency courses will begin concurrently with cultural sensitivity seminars, forming an integrated strategy for staff development. Throughout the program, frequent evaluations and feedback meetings will be held to monitor progress and resolve problems as soon as possible.</w:t>
            </w:r>
          </w:p>
          <w:p w:rsidR="00845361" w:rsidRDefault="00995EEC">
            <w:pPr>
              <w:spacing w:before="200" w:after="0" w:line="360" w:lineRule="auto"/>
              <w:jc w:val="both"/>
              <w:rPr>
                <w:rFonts w:ascii="Arial" w:eastAsia="Arial" w:hAnsi="Arial" w:cs="Arial"/>
              </w:rPr>
            </w:pPr>
            <w:r>
              <w:rPr>
                <w:rFonts w:ascii="Arial" w:eastAsia="Arial" w:hAnsi="Arial" w:cs="Arial"/>
              </w:rPr>
              <w:t>To increase the training's effect, real-world incidents from the hotel, such as the observed misunderstandings of culture, will be integrated into the sessions. This contextualised learning method will allow employees to apply their newly acquired abilities directly, reducing the gap in theory and execution.</w:t>
            </w:r>
          </w:p>
          <w:p w:rsidR="00845361" w:rsidRDefault="00995EEC">
            <w:pPr>
              <w:numPr>
                <w:ilvl w:val="0"/>
                <w:numId w:val="4"/>
              </w:numPr>
              <w:spacing w:before="200" w:after="0" w:line="360" w:lineRule="auto"/>
              <w:jc w:val="both"/>
              <w:rPr>
                <w:rFonts w:ascii="Arial" w:eastAsia="Arial" w:hAnsi="Arial" w:cs="Arial"/>
              </w:rPr>
            </w:pPr>
            <w:r>
              <w:rPr>
                <w:rFonts w:ascii="Arial" w:eastAsia="Arial" w:hAnsi="Arial" w:cs="Arial"/>
              </w:rPr>
              <w:t>Evaluation:</w:t>
            </w:r>
          </w:p>
          <w:p w:rsidR="00845361" w:rsidRDefault="00995EEC">
            <w:pPr>
              <w:spacing w:before="200" w:after="0" w:line="360" w:lineRule="auto"/>
              <w:jc w:val="both"/>
              <w:rPr>
                <w:rFonts w:ascii="Arial" w:eastAsia="Arial" w:hAnsi="Arial" w:cs="Arial"/>
              </w:rPr>
            </w:pPr>
            <w:r>
              <w:rPr>
                <w:rFonts w:ascii="Arial" w:eastAsia="Arial" w:hAnsi="Arial" w:cs="Arial"/>
              </w:rPr>
              <w:t>The performance of the training plan will be monitored by visitor feedback, with a particular emphasis on times when language obstacles exist. Furthermore, employee performance evaluations will incorporate language competency and cultural sensitivity assessments, offering concrete criteria for progress.</w:t>
            </w:r>
          </w:p>
          <w:p w:rsidR="00845361" w:rsidRDefault="00995EEC">
            <w:pPr>
              <w:spacing w:before="200" w:after="0" w:line="360" w:lineRule="auto"/>
              <w:jc w:val="both"/>
              <w:rPr>
                <w:b/>
              </w:rPr>
            </w:pPr>
            <w:r>
              <w:rPr>
                <w:rFonts w:ascii="Arial" w:eastAsia="Arial" w:hAnsi="Arial" w:cs="Arial"/>
              </w:rPr>
              <w:t>The Level 4 Employment Hotel's goal in executing this thorough training plan is to develop a culturally educated and capable crew. This proactive strategy ensures that personnel are both language-skilled and culturally aware, resulting in a seamless and enjoyable client experience.</w:t>
            </w:r>
          </w:p>
          <w:p w:rsidR="00845361" w:rsidRDefault="00845361">
            <w:pPr>
              <w:spacing w:line="360" w:lineRule="auto"/>
              <w:rPr>
                <w:b/>
              </w:rPr>
            </w:pPr>
          </w:p>
          <w:p w:rsidR="00845361" w:rsidRDefault="00845361">
            <w:pPr>
              <w:spacing w:line="360" w:lineRule="auto"/>
              <w:rPr>
                <w:b/>
              </w:rPr>
            </w:pPr>
          </w:p>
          <w:p w:rsidR="00845361" w:rsidRDefault="00995EEC">
            <w:pPr>
              <w:spacing w:line="360" w:lineRule="auto"/>
              <w:rPr>
                <w:b/>
              </w:rPr>
            </w:pPr>
            <w:r>
              <w:rPr>
                <w:b/>
              </w:rPr>
              <w:t>References:</w:t>
            </w:r>
          </w:p>
          <w:p w:rsidR="00845361" w:rsidRDefault="00995EEC">
            <w:pPr>
              <w:widowControl w:val="0"/>
              <w:numPr>
                <w:ilvl w:val="0"/>
                <w:numId w:val="2"/>
              </w:numPr>
              <w:spacing w:before="200" w:after="0" w:line="360" w:lineRule="auto"/>
              <w:rPr>
                <w:rFonts w:ascii="Arial" w:eastAsia="Arial" w:hAnsi="Arial" w:cs="Arial"/>
              </w:rPr>
            </w:pPr>
            <w:r>
              <w:rPr>
                <w:rFonts w:ascii="Arial" w:eastAsia="Arial" w:hAnsi="Arial" w:cs="Arial"/>
              </w:rPr>
              <w:t xml:space="preserve">Drummond, K. E. (1992). </w:t>
            </w:r>
            <w:r>
              <w:rPr>
                <w:rFonts w:ascii="Arial" w:eastAsia="Arial" w:hAnsi="Arial" w:cs="Arial"/>
                <w:i/>
              </w:rPr>
              <w:t>The Restaurant Training Program: An Employee Training Guide for Managers.</w:t>
            </w:r>
            <w:r>
              <w:rPr>
                <w:rFonts w:ascii="Arial" w:eastAsia="Arial" w:hAnsi="Arial" w:cs="Arial"/>
              </w:rPr>
              <w:t xml:space="preserve"> Wiley.</w:t>
            </w:r>
          </w:p>
          <w:p w:rsidR="00845361" w:rsidRDefault="00995EEC">
            <w:pPr>
              <w:widowControl w:val="0"/>
              <w:numPr>
                <w:ilvl w:val="0"/>
                <w:numId w:val="2"/>
              </w:numPr>
              <w:spacing w:after="0" w:line="360" w:lineRule="auto"/>
              <w:rPr>
                <w:rFonts w:ascii="Arial" w:eastAsia="Arial" w:hAnsi="Arial" w:cs="Arial"/>
              </w:rPr>
            </w:pPr>
            <w:proofErr w:type="spellStart"/>
            <w:r>
              <w:rPr>
                <w:rFonts w:ascii="Arial" w:eastAsia="Arial" w:hAnsi="Arial" w:cs="Arial"/>
              </w:rPr>
              <w:t>MacAllister</w:t>
            </w:r>
            <w:proofErr w:type="spellEnd"/>
            <w:r>
              <w:rPr>
                <w:rFonts w:ascii="Arial" w:eastAsia="Arial" w:hAnsi="Arial" w:cs="Arial"/>
              </w:rPr>
              <w:t xml:space="preserve">, J. J. (1967). </w:t>
            </w:r>
            <w:r>
              <w:rPr>
                <w:rFonts w:ascii="Arial" w:eastAsia="Arial" w:hAnsi="Arial" w:cs="Arial"/>
                <w:i/>
              </w:rPr>
              <w:t>Organising a Food Training Program: Manpower Development and Training Program.</w:t>
            </w:r>
            <w:r>
              <w:rPr>
                <w:rFonts w:ascii="Arial" w:eastAsia="Arial" w:hAnsi="Arial" w:cs="Arial"/>
              </w:rPr>
              <w:t xml:space="preserve"> U.S. Office of Education.</w:t>
            </w:r>
          </w:p>
          <w:p w:rsidR="00845361" w:rsidRDefault="00995EEC">
            <w:pPr>
              <w:widowControl w:val="0"/>
              <w:numPr>
                <w:ilvl w:val="0"/>
                <w:numId w:val="2"/>
              </w:numPr>
              <w:spacing w:after="0" w:line="360" w:lineRule="auto"/>
              <w:rPr>
                <w:rFonts w:ascii="Arial" w:eastAsia="Arial" w:hAnsi="Arial" w:cs="Arial"/>
              </w:rPr>
            </w:pPr>
            <w:proofErr w:type="spellStart"/>
            <w:r>
              <w:rPr>
                <w:rFonts w:ascii="Arial" w:eastAsia="Arial" w:hAnsi="Arial" w:cs="Arial"/>
              </w:rPr>
              <w:t>Dopson</w:t>
            </w:r>
            <w:proofErr w:type="spellEnd"/>
            <w:r>
              <w:rPr>
                <w:rFonts w:ascii="Arial" w:eastAsia="Arial" w:hAnsi="Arial" w:cs="Arial"/>
              </w:rPr>
              <w:t xml:space="preserve">, L. R., Hayes, D. K. (2010). </w:t>
            </w:r>
            <w:r>
              <w:rPr>
                <w:rFonts w:ascii="Arial" w:eastAsia="Arial" w:hAnsi="Arial" w:cs="Arial"/>
                <w:i/>
              </w:rPr>
              <w:t>Food and Beverage Cost Control.</w:t>
            </w:r>
            <w:r>
              <w:rPr>
                <w:rFonts w:ascii="Arial" w:eastAsia="Arial" w:hAnsi="Arial" w:cs="Arial"/>
              </w:rPr>
              <w:t xml:space="preserve"> Wiley.</w:t>
            </w:r>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rsidR="00845361" w:rsidRDefault="00845361">
            <w:pPr>
              <w:spacing w:line="360" w:lineRule="auto"/>
              <w:rPr>
                <w:b/>
              </w:rPr>
            </w:pPr>
          </w:p>
          <w:p w:rsidR="00845361" w:rsidRDefault="00995EEC">
            <w:pPr>
              <w:spacing w:line="360" w:lineRule="auto"/>
              <w:rPr>
                <w:b/>
              </w:rPr>
            </w:pPr>
            <w:r>
              <w:rPr>
                <w:b/>
              </w:rPr>
              <w:t xml:space="preserve">Component 3: </w:t>
            </w:r>
            <w:r>
              <w:rPr>
                <w:b/>
                <w:i/>
              </w:rPr>
              <w:t>Student Self-Reflection</w:t>
            </w:r>
            <w:r>
              <w:rPr>
                <w:b/>
              </w:rPr>
              <w:t xml:space="preserve"> (500 words +/- 10%)</w:t>
            </w:r>
          </w:p>
          <w:p w:rsidR="00845361" w:rsidRDefault="00845361">
            <w:pPr>
              <w:spacing w:after="0" w:line="360" w:lineRule="auto"/>
              <w:rPr>
                <w:b/>
                <w:color w:val="000000"/>
              </w:rPr>
            </w:pPr>
          </w:p>
          <w:p w:rsidR="00845361" w:rsidRDefault="00995EEC">
            <w:pPr>
              <w:spacing w:line="360" w:lineRule="auto"/>
              <w:rPr>
                <w:b/>
              </w:rPr>
            </w:pPr>
            <w:r>
              <w:rPr>
                <w:b/>
                <w:color w:val="000000"/>
              </w:rPr>
              <w:t>Weighting: 25%</w:t>
            </w:r>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auto"/>
          </w:tcPr>
          <w:p w:rsidR="00845361" w:rsidRDefault="00995EEC">
            <w:pPr>
              <w:spacing w:before="200" w:after="0" w:line="360" w:lineRule="auto"/>
              <w:jc w:val="both"/>
              <w:rPr>
                <w:rFonts w:ascii="Arial" w:eastAsia="Arial" w:hAnsi="Arial" w:cs="Arial"/>
              </w:rPr>
            </w:pPr>
            <w:r>
              <w:rPr>
                <w:rFonts w:ascii="Arial" w:eastAsia="Arial" w:hAnsi="Arial" w:cs="Arial"/>
              </w:rPr>
              <w:t>In the colourful fabric of the hotel sector, my transition from a watcher to an active player in correcting cultural misconceptions has been transformational. The pivotal scenario occurred during a busy dinner service at the hotel restaurant when a French-speaking visitor and an English-speaking food and drink (F&amp;B) employee struggled with an accent barrier, which resulted in a poignant achievement of the nuanced challenges inherent in guest interactions.</w:t>
            </w:r>
          </w:p>
          <w:p w:rsidR="00845361" w:rsidRDefault="00995EEC">
            <w:pPr>
              <w:spacing w:before="200" w:after="0" w:line="360" w:lineRule="auto"/>
              <w:jc w:val="both"/>
              <w:rPr>
                <w:rFonts w:ascii="Arial" w:eastAsia="Arial" w:hAnsi="Arial" w:cs="Arial"/>
              </w:rPr>
            </w:pPr>
            <w:r>
              <w:rPr>
                <w:rFonts w:ascii="Arial" w:eastAsia="Arial" w:hAnsi="Arial" w:cs="Arial"/>
              </w:rPr>
              <w:t xml:space="preserve">My cultural understanding was initially limited, mainly focusing on linguistic skills. However, the observed scenario demonstrated the many layers beyond language, such as the delicate dance of communication methods and cultural conventions affecting visitor experiences. This insight </w:t>
            </w:r>
            <w:proofErr w:type="spellStart"/>
            <w:r>
              <w:rPr>
                <w:rFonts w:ascii="Arial" w:eastAsia="Arial" w:hAnsi="Arial" w:cs="Arial"/>
              </w:rPr>
              <w:t>fueled</w:t>
            </w:r>
            <w:proofErr w:type="spellEnd"/>
            <w:r>
              <w:rPr>
                <w:rFonts w:ascii="Arial" w:eastAsia="Arial" w:hAnsi="Arial" w:cs="Arial"/>
              </w:rPr>
              <w:t xml:space="preserve"> my desire to delve more into cultural competency.</w:t>
            </w:r>
          </w:p>
          <w:p w:rsidR="00845361" w:rsidRDefault="00995EEC">
            <w:pPr>
              <w:spacing w:before="200" w:after="0" w:line="360" w:lineRule="auto"/>
              <w:jc w:val="both"/>
              <w:rPr>
                <w:rFonts w:ascii="Arial" w:eastAsia="Arial" w:hAnsi="Arial" w:cs="Arial"/>
              </w:rPr>
            </w:pPr>
            <w:r>
              <w:rPr>
                <w:rFonts w:ascii="Arial" w:eastAsia="Arial" w:hAnsi="Arial" w:cs="Arial"/>
              </w:rPr>
              <w:t>Language Proficiency as a Catalyst:</w:t>
            </w:r>
          </w:p>
          <w:p w:rsidR="00845361" w:rsidRDefault="00995EEC">
            <w:pPr>
              <w:spacing w:before="200" w:after="0" w:line="360" w:lineRule="auto"/>
              <w:jc w:val="both"/>
              <w:rPr>
                <w:rFonts w:ascii="Arial" w:eastAsia="Arial" w:hAnsi="Arial" w:cs="Arial"/>
              </w:rPr>
            </w:pPr>
            <w:r>
              <w:rPr>
                <w:rFonts w:ascii="Arial" w:eastAsia="Arial" w:hAnsi="Arial" w:cs="Arial"/>
              </w:rPr>
              <w:t>The scenario highlighted the importance of language proficiency in facilitating visitor relationships. Recognizing that linguistic obstacles frequently cause misunderstanding, I discovered the power of language competency as a catalyst for lasting connections. This motivated a dedication to language development, recognizing that competence is more than just communication; it is an entrance to cultural knowledge. The ensuing training strategy reinforced this by stressing language skills as an essential factor in bridging divides in communication.</w:t>
            </w:r>
          </w:p>
          <w:p w:rsidR="00845361" w:rsidRDefault="00995EEC">
            <w:pPr>
              <w:spacing w:before="200" w:after="0" w:line="360" w:lineRule="auto"/>
              <w:jc w:val="both"/>
              <w:rPr>
                <w:rFonts w:ascii="Arial" w:eastAsia="Arial" w:hAnsi="Arial" w:cs="Arial"/>
              </w:rPr>
            </w:pPr>
            <w:r>
              <w:rPr>
                <w:rFonts w:ascii="Arial" w:eastAsia="Arial" w:hAnsi="Arial" w:cs="Arial"/>
              </w:rPr>
              <w:t>Cultural Sensitivity as Continuous Learning:</w:t>
            </w:r>
          </w:p>
          <w:p w:rsidR="00845361" w:rsidRDefault="00995EEC">
            <w:pPr>
              <w:spacing w:before="200" w:after="0" w:line="360" w:lineRule="auto"/>
              <w:jc w:val="both"/>
              <w:rPr>
                <w:rFonts w:ascii="Arial" w:eastAsia="Arial" w:hAnsi="Arial" w:cs="Arial"/>
              </w:rPr>
            </w:pPr>
            <w:r>
              <w:rPr>
                <w:rFonts w:ascii="Arial" w:eastAsia="Arial" w:hAnsi="Arial" w:cs="Arial"/>
              </w:rPr>
              <w:t>The process of creating the training plan expanded my knowledge of awareness of culture as a continuum. It went beyond acknowledging differences to embracing and harnessing them. Participating in courses on other cultures and preferences increased my understanding, underlining that understanding other cultures is a constant path of growth and adaptation. This realisation triggered reflection, prompting me to examine my prejudices and assumptions to cultivate an open-minded attitude toward diversity.</w:t>
            </w:r>
          </w:p>
          <w:p w:rsidR="00845361" w:rsidRDefault="00995EEC">
            <w:pPr>
              <w:spacing w:before="200" w:after="0" w:line="360" w:lineRule="auto"/>
              <w:jc w:val="both"/>
              <w:rPr>
                <w:rFonts w:ascii="Arial" w:eastAsia="Arial" w:hAnsi="Arial" w:cs="Arial"/>
              </w:rPr>
            </w:pPr>
            <w:r>
              <w:rPr>
                <w:rFonts w:ascii="Arial" w:eastAsia="Arial" w:hAnsi="Arial" w:cs="Arial"/>
              </w:rPr>
              <w:t>Effective Communication as an Ever-evolving Art:</w:t>
            </w:r>
          </w:p>
          <w:p w:rsidR="00845361" w:rsidRDefault="00995EEC">
            <w:pPr>
              <w:spacing w:before="200" w:after="0" w:line="360" w:lineRule="auto"/>
              <w:jc w:val="both"/>
              <w:rPr>
                <w:rFonts w:ascii="Arial" w:eastAsia="Arial" w:hAnsi="Arial" w:cs="Arial"/>
              </w:rPr>
            </w:pPr>
            <w:r>
              <w:rPr>
                <w:rFonts w:ascii="Arial" w:eastAsia="Arial" w:hAnsi="Arial" w:cs="Arial"/>
              </w:rPr>
              <w:t>The training plan's emphasis on effective communication highlighted the artistry of communicating messages. The role-playing activities and emphasis on nonverbal communication demonstrated the need to alter methods to accommodate a variety of demands. This component connected with my thoughts on the reported misunderstanding of culture, driving me to improve my capacity to listen, analyse clues, and show empathy effectively actively.</w:t>
            </w:r>
          </w:p>
          <w:p w:rsidR="00845361" w:rsidRDefault="00995EEC">
            <w:pPr>
              <w:spacing w:before="200" w:after="0" w:line="360" w:lineRule="auto"/>
              <w:jc w:val="both"/>
              <w:rPr>
                <w:rFonts w:ascii="Arial" w:eastAsia="Arial" w:hAnsi="Arial" w:cs="Arial"/>
              </w:rPr>
            </w:pPr>
            <w:r>
              <w:rPr>
                <w:rFonts w:ascii="Arial" w:eastAsia="Arial" w:hAnsi="Arial" w:cs="Arial"/>
              </w:rPr>
              <w:t>Evolution Over Time:</w:t>
            </w:r>
          </w:p>
          <w:p w:rsidR="00845361" w:rsidRDefault="00995EEC">
            <w:pPr>
              <w:spacing w:before="200" w:after="0" w:line="360" w:lineRule="auto"/>
              <w:jc w:val="both"/>
              <w:rPr>
                <w:rFonts w:ascii="Arial" w:eastAsia="Arial" w:hAnsi="Arial" w:cs="Arial"/>
              </w:rPr>
            </w:pPr>
            <w:r>
              <w:rPr>
                <w:rFonts w:ascii="Arial" w:eastAsia="Arial" w:hAnsi="Arial" w:cs="Arial"/>
              </w:rPr>
              <w:t xml:space="preserve">Reflecting on my experience, from observing an intercultural miscommunication to developing a training plan, demonstrates transformative progress. The experience pushed me beyond surface-level issues, developing a profound respect for the mutually beneficial interplay between language, knowledge of culture, and successful communication. This evolution is continual, driven by a dedication to </w:t>
            </w:r>
            <w:proofErr w:type="spellStart"/>
            <w:r>
              <w:rPr>
                <w:rFonts w:ascii="Arial" w:eastAsia="Arial" w:hAnsi="Arial" w:cs="Arial"/>
              </w:rPr>
              <w:t>ongoing</w:t>
            </w:r>
            <w:proofErr w:type="spellEnd"/>
            <w:r>
              <w:rPr>
                <w:rFonts w:ascii="Arial" w:eastAsia="Arial" w:hAnsi="Arial" w:cs="Arial"/>
              </w:rPr>
              <w:t xml:space="preserve"> education in the ever-changing hospitality industry.</w:t>
            </w:r>
          </w:p>
          <w:p w:rsidR="00845361" w:rsidRDefault="00995EEC">
            <w:pPr>
              <w:spacing w:before="200" w:after="0" w:line="360" w:lineRule="auto"/>
              <w:jc w:val="both"/>
              <w:rPr>
                <w:rFonts w:ascii="Arial" w:eastAsia="Arial" w:hAnsi="Arial" w:cs="Arial"/>
              </w:rPr>
            </w:pPr>
            <w:r>
              <w:rPr>
                <w:rFonts w:ascii="Arial" w:eastAsia="Arial" w:hAnsi="Arial" w:cs="Arial"/>
              </w:rPr>
              <w:t>Importance of the Experience:</w:t>
            </w:r>
          </w:p>
          <w:p w:rsidR="00845361" w:rsidRDefault="00995EEC">
            <w:pPr>
              <w:spacing w:before="200" w:after="0" w:line="360" w:lineRule="auto"/>
              <w:jc w:val="both"/>
              <w:rPr>
                <w:rFonts w:ascii="Arial" w:eastAsia="Arial" w:hAnsi="Arial" w:cs="Arial"/>
              </w:rPr>
            </w:pPr>
            <w:r>
              <w:rPr>
                <w:rFonts w:ascii="Arial" w:eastAsia="Arial" w:hAnsi="Arial" w:cs="Arial"/>
              </w:rPr>
              <w:t>Why is this exposure so significant? It extends beyond a single occurrence or training strategy. It demonstrates the dynamic character of hospitality, in which each contact adds to personal and community progress. This voyage emphasises the need for hospitality workers to be cultural envoys, bridging boundaries and building connections.</w:t>
            </w:r>
          </w:p>
          <w:p w:rsidR="00845361" w:rsidRDefault="00995EEC">
            <w:pPr>
              <w:spacing w:before="200" w:after="0" w:line="360" w:lineRule="auto"/>
              <w:jc w:val="both"/>
              <w:rPr>
                <w:b/>
                <w:i/>
                <w:color w:val="BFBFBF"/>
              </w:rPr>
            </w:pPr>
            <w:r>
              <w:rPr>
                <w:rFonts w:ascii="Arial" w:eastAsia="Arial" w:hAnsi="Arial" w:cs="Arial"/>
              </w:rPr>
              <w:t>Finally, this self-reflection captures a transformational journey while adhering to cultural awareness guidelines. It demonstrates the progression from spectator to active participant in building cultural knowledge within the hospitality industry. Each meeting develops me into a more culturally aware and competent hospitality professional who welcomes the difficulties and possibilities that cultural diversity presents.</w:t>
            </w:r>
          </w:p>
          <w:p w:rsidR="00845361" w:rsidRDefault="00995EEC">
            <w:pPr>
              <w:spacing w:line="360" w:lineRule="auto"/>
              <w:rPr>
                <w:b/>
              </w:rPr>
            </w:pPr>
            <w:r>
              <w:rPr>
                <w:b/>
              </w:rPr>
              <w:t>References:</w:t>
            </w:r>
          </w:p>
          <w:p w:rsidR="00845361" w:rsidRDefault="00995EEC">
            <w:pPr>
              <w:numPr>
                <w:ilvl w:val="0"/>
                <w:numId w:val="3"/>
              </w:numPr>
              <w:spacing w:before="200" w:after="0" w:line="360" w:lineRule="auto"/>
              <w:jc w:val="both"/>
              <w:rPr>
                <w:rFonts w:ascii="Arial" w:eastAsia="Arial" w:hAnsi="Arial" w:cs="Arial"/>
              </w:rPr>
            </w:pPr>
            <w:r>
              <w:rPr>
                <w:rFonts w:ascii="Arial" w:eastAsia="Arial" w:hAnsi="Arial" w:cs="Arial"/>
              </w:rPr>
              <w:t xml:space="preserve">Cousins, J., Weekes, S. (2020). </w:t>
            </w:r>
            <w:r>
              <w:rPr>
                <w:rFonts w:ascii="Arial" w:eastAsia="Arial" w:hAnsi="Arial" w:cs="Arial"/>
                <w:i/>
              </w:rPr>
              <w:t>Food and Beverage Service.</w:t>
            </w:r>
            <w:r>
              <w:rPr>
                <w:rFonts w:ascii="Arial" w:eastAsia="Arial" w:hAnsi="Arial" w:cs="Arial"/>
              </w:rPr>
              <w:t xml:space="preserve"> </w:t>
            </w:r>
            <w:proofErr w:type="spellStart"/>
            <w:r>
              <w:rPr>
                <w:rFonts w:ascii="Arial" w:eastAsia="Arial" w:hAnsi="Arial" w:cs="Arial"/>
              </w:rPr>
              <w:t>Hodder</w:t>
            </w:r>
            <w:proofErr w:type="spellEnd"/>
            <w:r>
              <w:rPr>
                <w:rFonts w:ascii="Arial" w:eastAsia="Arial" w:hAnsi="Arial" w:cs="Arial"/>
              </w:rPr>
              <w:t xml:space="preserve"> Education.</w:t>
            </w:r>
          </w:p>
          <w:p w:rsidR="00845361" w:rsidRDefault="00995EEC">
            <w:pPr>
              <w:numPr>
                <w:ilvl w:val="0"/>
                <w:numId w:val="3"/>
              </w:numPr>
              <w:spacing w:after="0" w:line="360" w:lineRule="auto"/>
              <w:jc w:val="both"/>
              <w:rPr>
                <w:rFonts w:ascii="Arial" w:eastAsia="Arial" w:hAnsi="Arial" w:cs="Arial"/>
              </w:rPr>
            </w:pPr>
            <w:r>
              <w:rPr>
                <w:rFonts w:ascii="Arial" w:eastAsia="Arial" w:hAnsi="Arial" w:cs="Arial"/>
              </w:rPr>
              <w:t xml:space="preserve">Davis, B., Lockwood, A., </w:t>
            </w:r>
            <w:proofErr w:type="spellStart"/>
            <w:r>
              <w:rPr>
                <w:rFonts w:ascii="Arial" w:eastAsia="Arial" w:hAnsi="Arial" w:cs="Arial"/>
              </w:rPr>
              <w:t>Pantelidis</w:t>
            </w:r>
            <w:proofErr w:type="spellEnd"/>
            <w:r>
              <w:rPr>
                <w:rFonts w:ascii="Arial" w:eastAsia="Arial" w:hAnsi="Arial" w:cs="Arial"/>
              </w:rPr>
              <w:t xml:space="preserve">, I., Alcott, P. (2013). </w:t>
            </w:r>
            <w:r>
              <w:rPr>
                <w:rFonts w:ascii="Arial" w:eastAsia="Arial" w:hAnsi="Arial" w:cs="Arial"/>
                <w:i/>
              </w:rPr>
              <w:t>Food and Beverage Management.</w:t>
            </w:r>
            <w:r>
              <w:rPr>
                <w:rFonts w:ascii="Arial" w:eastAsia="Arial" w:hAnsi="Arial" w:cs="Arial"/>
              </w:rPr>
              <w:t xml:space="preserve"> Taylor &amp; Francis.</w:t>
            </w:r>
          </w:p>
          <w:p w:rsidR="00845361" w:rsidRDefault="00995EEC">
            <w:pPr>
              <w:numPr>
                <w:ilvl w:val="0"/>
                <w:numId w:val="3"/>
              </w:numPr>
              <w:spacing w:after="0" w:line="360" w:lineRule="auto"/>
              <w:jc w:val="both"/>
              <w:rPr>
                <w:rFonts w:ascii="Arial" w:eastAsia="Arial" w:hAnsi="Arial" w:cs="Arial"/>
              </w:rPr>
            </w:pPr>
            <w:proofErr w:type="spellStart"/>
            <w:r>
              <w:rPr>
                <w:rFonts w:ascii="Arial" w:eastAsia="Arial" w:hAnsi="Arial" w:cs="Arial"/>
              </w:rPr>
              <w:t>Dopson</w:t>
            </w:r>
            <w:proofErr w:type="spellEnd"/>
            <w:r>
              <w:rPr>
                <w:rFonts w:ascii="Arial" w:eastAsia="Arial" w:hAnsi="Arial" w:cs="Arial"/>
              </w:rPr>
              <w:t xml:space="preserve">, L. R., Hayes, D. K. (2019). </w:t>
            </w:r>
            <w:r>
              <w:rPr>
                <w:rFonts w:ascii="Arial" w:eastAsia="Arial" w:hAnsi="Arial" w:cs="Arial"/>
                <w:i/>
              </w:rPr>
              <w:t>Food and Beverage Cost Control.</w:t>
            </w:r>
            <w:r>
              <w:rPr>
                <w:rFonts w:ascii="Arial" w:eastAsia="Arial" w:hAnsi="Arial" w:cs="Arial"/>
              </w:rPr>
              <w:t xml:space="preserve"> Wiley.</w:t>
            </w:r>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EDEDED"/>
          </w:tcPr>
          <w:p w:rsidR="00845361" w:rsidRDefault="00845361">
            <w:pPr>
              <w:spacing w:line="360" w:lineRule="auto"/>
              <w:rPr>
                <w:b/>
              </w:rPr>
            </w:pPr>
          </w:p>
          <w:p w:rsidR="00845361" w:rsidRDefault="00995EEC">
            <w:pPr>
              <w:spacing w:line="360" w:lineRule="auto"/>
              <w:rPr>
                <w:b/>
              </w:rPr>
            </w:pPr>
            <w:r>
              <w:rPr>
                <w:b/>
              </w:rPr>
              <w:t xml:space="preserve">Component 4: </w:t>
            </w:r>
            <w:r>
              <w:rPr>
                <w:b/>
                <w:i/>
              </w:rPr>
              <w:t xml:space="preserve">Training Presentation </w:t>
            </w:r>
            <w:r>
              <w:rPr>
                <w:b/>
              </w:rPr>
              <w:t>(6 Slides)</w:t>
            </w:r>
          </w:p>
          <w:p w:rsidR="00845361" w:rsidRDefault="00845361">
            <w:pPr>
              <w:spacing w:after="0" w:line="360" w:lineRule="auto"/>
              <w:rPr>
                <w:b/>
                <w:color w:val="000000"/>
              </w:rPr>
            </w:pPr>
          </w:p>
          <w:p w:rsidR="00845361" w:rsidRDefault="00995EEC">
            <w:pPr>
              <w:spacing w:line="360" w:lineRule="auto"/>
              <w:rPr>
                <w:b/>
              </w:rPr>
            </w:pPr>
            <w:r>
              <w:rPr>
                <w:b/>
                <w:color w:val="000000"/>
              </w:rPr>
              <w:t>Weighting: 25%</w:t>
            </w:r>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rsidR="00845361" w:rsidRDefault="00995EEC">
            <w:pPr>
              <w:spacing w:line="360" w:lineRule="auto"/>
              <w:rPr>
                <w:b/>
              </w:rPr>
            </w:pPr>
            <w:r>
              <w:rPr>
                <w:b/>
              </w:rPr>
              <w:t xml:space="preserve">Portfolio </w:t>
            </w:r>
            <w:r>
              <w:rPr>
                <w:b/>
              </w:rPr>
              <w:br/>
              <w:t>Kamrul</w:t>
            </w:r>
            <w:r w:rsidR="00C83A9D">
              <w:rPr>
                <w:b/>
              </w:rPr>
              <w:t xml:space="preserve"> Khan</w:t>
            </w:r>
            <w:r>
              <w:rPr>
                <w:b/>
              </w:rPr>
              <w:br/>
              <w:t>Student ID</w:t>
            </w:r>
            <w:r w:rsidR="00C83A9D">
              <w:rPr>
                <w:b/>
              </w:rPr>
              <w:t xml:space="preserve"> :</w:t>
            </w:r>
            <w:r w:rsidR="00C83A9D">
              <w:t xml:space="preserve"> </w:t>
            </w:r>
            <w:r w:rsidR="00C83A9D">
              <w:t>2022307511</w:t>
            </w:r>
            <w:bookmarkStart w:id="0" w:name="_GoBack"/>
            <w:bookmarkEnd w:id="0"/>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rsidR="00845361" w:rsidRDefault="00995EEC">
            <w:pPr>
              <w:widowControl w:val="0"/>
              <w:spacing w:after="0" w:line="360" w:lineRule="auto"/>
              <w:jc w:val="center"/>
              <w:rPr>
                <w:b/>
                <w:i/>
                <w:color w:val="BFBFBF"/>
              </w:rPr>
            </w:pPr>
            <w:r>
              <w:rPr>
                <w:rFonts w:ascii="Arial" w:eastAsia="Arial" w:hAnsi="Arial" w:cs="Arial"/>
                <w:b/>
                <w:noProof/>
                <w:color w:val="343541"/>
                <w:u w:val="single"/>
                <w:lang w:eastAsia="en-GB"/>
              </w:rPr>
              <w:drawing>
                <wp:inline distT="114300" distB="114300" distL="114300" distR="114300" wp14:anchorId="10424C34" wp14:editId="5A721A37">
                  <wp:extent cx="5581650" cy="3136900"/>
                  <wp:effectExtent l="0" t="0" r="0" b="0"/>
                  <wp:docPr id="169143940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581650" cy="3136900"/>
                          </a:xfrm>
                          <a:prstGeom prst="rect">
                            <a:avLst/>
                          </a:prstGeom>
                          <a:ln/>
                        </pic:spPr>
                      </pic:pic>
                    </a:graphicData>
                  </a:graphic>
                </wp:inline>
              </w:drawing>
            </w:r>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rsidR="00845361" w:rsidRDefault="00995EEC">
            <w:pPr>
              <w:widowControl w:val="0"/>
              <w:spacing w:after="0" w:line="360" w:lineRule="auto"/>
              <w:jc w:val="both"/>
            </w:pPr>
            <w:r>
              <w:rPr>
                <w:rFonts w:ascii="Arial" w:eastAsia="Arial" w:hAnsi="Arial" w:cs="Arial"/>
                <w:b/>
                <w:noProof/>
                <w:color w:val="343541"/>
                <w:u w:val="single"/>
                <w:lang w:eastAsia="en-GB"/>
              </w:rPr>
              <w:drawing>
                <wp:inline distT="114300" distB="114300" distL="114300" distR="114300" wp14:anchorId="66649A14" wp14:editId="3C77D2E6">
                  <wp:extent cx="5581650" cy="3136900"/>
                  <wp:effectExtent l="0" t="0" r="0" b="0"/>
                  <wp:docPr id="16914394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581650" cy="3136900"/>
                          </a:xfrm>
                          <a:prstGeom prst="rect">
                            <a:avLst/>
                          </a:prstGeom>
                          <a:ln/>
                        </pic:spPr>
                      </pic:pic>
                    </a:graphicData>
                  </a:graphic>
                </wp:inline>
              </w:drawing>
            </w:r>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rsidR="00845361" w:rsidRDefault="00995EEC">
            <w:pPr>
              <w:widowControl w:val="0"/>
              <w:spacing w:after="0" w:line="360" w:lineRule="auto"/>
              <w:jc w:val="both"/>
              <w:rPr>
                <w:b/>
                <w:i/>
                <w:color w:val="BFBFBF"/>
              </w:rPr>
            </w:pPr>
            <w:r>
              <w:rPr>
                <w:rFonts w:ascii="Arial" w:eastAsia="Arial" w:hAnsi="Arial" w:cs="Arial"/>
                <w:b/>
                <w:noProof/>
                <w:color w:val="343541"/>
                <w:u w:val="single"/>
                <w:lang w:eastAsia="en-GB"/>
              </w:rPr>
              <w:drawing>
                <wp:inline distT="114300" distB="114300" distL="114300" distR="114300" wp14:anchorId="5BE28F07" wp14:editId="1D95F8B4">
                  <wp:extent cx="5581650" cy="3136900"/>
                  <wp:effectExtent l="0" t="0" r="0" b="0"/>
                  <wp:docPr id="169143940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581650" cy="3136900"/>
                          </a:xfrm>
                          <a:prstGeom prst="rect">
                            <a:avLst/>
                          </a:prstGeom>
                          <a:ln/>
                        </pic:spPr>
                      </pic:pic>
                    </a:graphicData>
                  </a:graphic>
                </wp:inline>
              </w:drawing>
            </w:r>
          </w:p>
        </w:tc>
      </w:tr>
      <w:tr w:rsidR="00845361" w:rsidTr="00C83A9D">
        <w:trPr>
          <w:trHeight w:val="1833"/>
          <w:jc w:val="center"/>
        </w:trPr>
        <w:tc>
          <w:tcPr>
            <w:tcW w:w="9016" w:type="dxa"/>
            <w:gridSpan w:val="2"/>
            <w:tcBorders>
              <w:top w:val="single" w:sz="4" w:space="0" w:color="000000"/>
              <w:left w:val="single" w:sz="4" w:space="0" w:color="000000"/>
              <w:right w:val="single" w:sz="4" w:space="0" w:color="000000"/>
            </w:tcBorders>
            <w:shd w:val="clear" w:color="auto" w:fill="FFFFFF"/>
          </w:tcPr>
          <w:p w:rsidR="00845361" w:rsidRDefault="00995EEC">
            <w:pPr>
              <w:widowControl w:val="0"/>
              <w:spacing w:after="0" w:line="360" w:lineRule="auto"/>
              <w:jc w:val="both"/>
              <w:rPr>
                <w:b/>
                <w:i/>
                <w:color w:val="BFBFBF"/>
              </w:rPr>
            </w:pPr>
            <w:r>
              <w:rPr>
                <w:rFonts w:ascii="Arial" w:eastAsia="Arial" w:hAnsi="Arial" w:cs="Arial"/>
                <w:b/>
                <w:noProof/>
                <w:color w:val="343541"/>
                <w:u w:val="single"/>
                <w:lang w:eastAsia="en-GB"/>
              </w:rPr>
              <w:drawing>
                <wp:inline distT="114300" distB="114300" distL="114300" distR="114300" wp14:anchorId="1D72E038" wp14:editId="5B107B1D">
                  <wp:extent cx="5581650" cy="3136900"/>
                  <wp:effectExtent l="0" t="0" r="0" b="0"/>
                  <wp:docPr id="169143940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581650" cy="3136900"/>
                          </a:xfrm>
                          <a:prstGeom prst="rect">
                            <a:avLst/>
                          </a:prstGeom>
                          <a:ln/>
                        </pic:spPr>
                      </pic:pic>
                    </a:graphicData>
                  </a:graphic>
                </wp:inline>
              </w:drawing>
            </w:r>
          </w:p>
        </w:tc>
      </w:tr>
      <w:tr w:rsidR="00845361" w:rsidTr="00C83A9D">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rsidR="00845361" w:rsidRDefault="00995EEC">
            <w:pPr>
              <w:widowControl w:val="0"/>
              <w:spacing w:after="0" w:line="360" w:lineRule="auto"/>
              <w:jc w:val="both"/>
              <w:rPr>
                <w:rFonts w:ascii="Arial" w:eastAsia="Arial" w:hAnsi="Arial" w:cs="Arial"/>
                <w:b/>
                <w:color w:val="343541"/>
                <w:u w:val="single"/>
              </w:rPr>
            </w:pPr>
            <w:r>
              <w:rPr>
                <w:rFonts w:ascii="Arial" w:eastAsia="Arial" w:hAnsi="Arial" w:cs="Arial"/>
                <w:b/>
                <w:noProof/>
                <w:color w:val="343541"/>
                <w:u w:val="single"/>
                <w:lang w:eastAsia="en-GB"/>
              </w:rPr>
              <w:drawing>
                <wp:inline distT="114300" distB="114300" distL="114300" distR="114300" wp14:anchorId="224FFF46" wp14:editId="7200DDF1">
                  <wp:extent cx="5581650" cy="3136900"/>
                  <wp:effectExtent l="0" t="0" r="0" b="0"/>
                  <wp:docPr id="169143940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581650" cy="3136900"/>
                          </a:xfrm>
                          <a:prstGeom prst="rect">
                            <a:avLst/>
                          </a:prstGeom>
                          <a:ln/>
                        </pic:spPr>
                      </pic:pic>
                    </a:graphicData>
                  </a:graphic>
                </wp:inline>
              </w:drawing>
            </w:r>
          </w:p>
        </w:tc>
      </w:tr>
      <w:tr w:rsidR="00845361" w:rsidTr="00C83A9D">
        <w:trPr>
          <w:trHeight w:val="2706"/>
          <w:jc w:val="center"/>
        </w:trPr>
        <w:tc>
          <w:tcPr>
            <w:tcW w:w="9016" w:type="dxa"/>
            <w:gridSpan w:val="2"/>
            <w:tcBorders>
              <w:top w:val="single" w:sz="4" w:space="0" w:color="000000"/>
              <w:left w:val="single" w:sz="4" w:space="0" w:color="000000"/>
              <w:right w:val="single" w:sz="4" w:space="0" w:color="000000"/>
            </w:tcBorders>
            <w:shd w:val="clear" w:color="auto" w:fill="auto"/>
          </w:tcPr>
          <w:p w:rsidR="00845361" w:rsidRDefault="00995EEC">
            <w:pPr>
              <w:widowControl w:val="0"/>
              <w:spacing w:after="0" w:line="360" w:lineRule="auto"/>
              <w:jc w:val="both"/>
              <w:rPr>
                <w:b/>
              </w:rPr>
            </w:pPr>
            <w:r>
              <w:rPr>
                <w:b/>
                <w:noProof/>
                <w:lang w:eastAsia="en-GB"/>
              </w:rPr>
              <w:drawing>
                <wp:inline distT="114300" distB="114300" distL="114300" distR="114300" wp14:anchorId="264F6BA0" wp14:editId="4FE0A361">
                  <wp:extent cx="5581650" cy="3136900"/>
                  <wp:effectExtent l="0" t="0" r="0" b="0"/>
                  <wp:docPr id="16914394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581650" cy="3136900"/>
                          </a:xfrm>
                          <a:prstGeom prst="rect">
                            <a:avLst/>
                          </a:prstGeom>
                          <a:ln/>
                        </pic:spPr>
                      </pic:pic>
                    </a:graphicData>
                  </a:graphic>
                </wp:inline>
              </w:drawing>
            </w:r>
          </w:p>
        </w:tc>
      </w:tr>
    </w:tbl>
    <w:p w:rsidR="00845361" w:rsidRDefault="00845361">
      <w:pPr>
        <w:spacing w:line="360" w:lineRule="auto"/>
      </w:pPr>
    </w:p>
    <w:sectPr w:rsidR="00845361">
      <w:footerReference w:type="default" r:id="rId1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3173" w:rsidRDefault="00E73173">
      <w:pPr>
        <w:spacing w:after="0" w:line="240" w:lineRule="auto"/>
      </w:pPr>
      <w:r>
        <w:separator/>
      </w:r>
    </w:p>
  </w:endnote>
  <w:endnote w:type="continuationSeparator" w:id="0">
    <w:p w:rsidR="00E73173" w:rsidRDefault="00E73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5361" w:rsidRDefault="00995EEC">
    <w:pPr>
      <w:pBdr>
        <w:top w:val="single" w:sz="4" w:space="1" w:color="D9D9D9"/>
        <w:left w:val="nil"/>
        <w:bottom w:val="nil"/>
        <w:right w:val="nil"/>
        <w:between w:val="nil"/>
      </w:pBdr>
      <w:tabs>
        <w:tab w:val="center" w:pos="4513"/>
        <w:tab w:val="right" w:pos="9026"/>
      </w:tabs>
      <w:spacing w:after="0" w:line="240" w:lineRule="auto"/>
      <w:jc w:val="right"/>
      <w:rPr>
        <w:rFonts w:eastAsia="Times New Roman"/>
        <w:color w:val="000000"/>
      </w:rPr>
    </w:pPr>
    <w:r>
      <w:rPr>
        <w:rFonts w:eastAsia="Times New Roman"/>
        <w:color w:val="000000"/>
      </w:rPr>
      <w:fldChar w:fldCharType="begin"/>
    </w:r>
    <w:r>
      <w:rPr>
        <w:rFonts w:eastAsia="Times New Roman"/>
        <w:color w:val="000000"/>
      </w:rPr>
      <w:instrText>PAGE</w:instrText>
    </w:r>
    <w:r>
      <w:rPr>
        <w:rFonts w:eastAsia="Times New Roman"/>
        <w:color w:val="000000"/>
      </w:rPr>
      <w:fldChar w:fldCharType="end"/>
    </w:r>
    <w:r>
      <w:rPr>
        <w:rFonts w:eastAsia="Times New Roman"/>
        <w:color w:val="000000"/>
      </w:rPr>
      <w:t xml:space="preserve"> | </w:t>
    </w:r>
    <w:r>
      <w:rPr>
        <w:rFonts w:eastAsia="Times New Roman"/>
        <w:color w:val="7F7F7F"/>
      </w:rPr>
      <w:t>Page</w:t>
    </w:r>
  </w:p>
  <w:p w:rsidR="00845361" w:rsidRDefault="00845361">
    <w:pPr>
      <w:pBdr>
        <w:top w:val="nil"/>
        <w:left w:val="nil"/>
        <w:bottom w:val="nil"/>
        <w:right w:val="nil"/>
        <w:between w:val="nil"/>
      </w:pBdr>
      <w:tabs>
        <w:tab w:val="center" w:pos="4513"/>
        <w:tab w:val="right" w:pos="9026"/>
      </w:tabs>
      <w:spacing w:after="0" w:line="240" w:lineRule="auto"/>
      <w:rPr>
        <w:rFonts w:eastAsia="Times New Roman"/>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3173" w:rsidRDefault="00E73173">
      <w:pPr>
        <w:spacing w:after="0" w:line="240" w:lineRule="auto"/>
      </w:pPr>
      <w:r>
        <w:separator/>
      </w:r>
    </w:p>
  </w:footnote>
  <w:footnote w:type="continuationSeparator" w:id="0">
    <w:p w:rsidR="00E73173" w:rsidRDefault="00E731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0A02930"/>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40913AFD"/>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47AC592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nsid w:val="4A3B0E9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5361"/>
    <w:rsid w:val="001E48AD"/>
    <w:rsid w:val="00845361"/>
    <w:rsid w:val="00995EEC"/>
    <w:rsid w:val="00A22C44"/>
    <w:rsid w:val="00C83A9D"/>
    <w:rsid w:val="00E73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2128"/>
    <w:rPr>
      <w:rFonts w:eastAsiaTheme="minorHAnsi"/>
      <w:color w:val="000000" w:themeColor="text1"/>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C83A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A9D"/>
    <w:rPr>
      <w:rFonts w:ascii="Tahoma" w:eastAsiaTheme="minorHAnsi" w:hAnsi="Tahoma" w:cs="Tahoma"/>
      <w:color w:val="000000" w:themeColor="text1"/>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2128"/>
    <w:rPr>
      <w:rFonts w:eastAsiaTheme="minorHAnsi"/>
      <w:color w:val="000000" w:themeColor="text1"/>
      <w:lang w:eastAsia="en-US"/>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C83A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A9D"/>
    <w:rPr>
      <w:rFonts w:ascii="Tahoma" w:eastAsiaTheme="minorHAnsi" w:hAnsi="Tahoma" w:cs="Tahoma"/>
      <w:color w:val="000000" w:themeColor="text1"/>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JIPldGJ5QP26evUGz/VMujtoAA==">CgMxLjA4AHIhMWhSal9IYlRCYWd5WHpSTFhHUXdEcXB6UU5BUVVpbzRJ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1848</Words>
  <Characters>10534</Characters>
  <Application>Microsoft Office Word</Application>
  <DocSecurity>0</DocSecurity>
  <Lines>87</Lines>
  <Paragraphs>24</Paragraphs>
  <ScaleCrop>false</ScaleCrop>
  <Company/>
  <LinksUpToDate>false</LinksUpToDate>
  <CharactersWithSpaces>12358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Bassler</dc:creator>
  <cp:lastModifiedBy>kamrul khan</cp:lastModifiedBy>
  <cp:revision>4</cp:revision>
  <dcterms:created xsi:type="dcterms:W3CDTF">2024-02-07T17:56:00Z</dcterms:created>
  <dcterms:modified xsi:type="dcterms:W3CDTF">2024-02-07T23:31:00Z</dcterms:modified>
</cp:coreProperties>
</file>