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82D4D" w14:textId="77777777" w:rsidR="00A87C24" w:rsidRDefault="00A87C24" w:rsidP="00025A82">
      <w:pPr>
        <w:pStyle w:val="Normal1"/>
        <w:rPr>
          <w:b/>
          <w:sz w:val="32"/>
          <w:szCs w:val="32"/>
        </w:rPr>
      </w:pPr>
    </w:p>
    <w:p w14:paraId="600ADC36" w14:textId="77777777" w:rsidR="00A87C24" w:rsidRDefault="00A87C24">
      <w:pPr>
        <w:pStyle w:val="Normal1"/>
        <w:jc w:val="center"/>
        <w:rPr>
          <w:b/>
          <w:sz w:val="32"/>
          <w:szCs w:val="32"/>
        </w:rPr>
      </w:pPr>
    </w:p>
    <w:p w14:paraId="1BAEF570" w14:textId="77777777" w:rsidR="00A87C24" w:rsidRDefault="00A87C24">
      <w:pPr>
        <w:pStyle w:val="Normal1"/>
        <w:jc w:val="center"/>
        <w:rPr>
          <w:b/>
          <w:sz w:val="32"/>
          <w:szCs w:val="32"/>
        </w:rPr>
      </w:pPr>
    </w:p>
    <w:p w14:paraId="220A79CB" w14:textId="77777777" w:rsidR="00A87C24" w:rsidRDefault="00A87C24">
      <w:pPr>
        <w:pStyle w:val="Normal1"/>
        <w:jc w:val="center"/>
        <w:rPr>
          <w:b/>
          <w:sz w:val="32"/>
          <w:szCs w:val="32"/>
        </w:rPr>
      </w:pPr>
    </w:p>
    <w:p w14:paraId="50CCF917" w14:textId="0AC22ED5" w:rsidR="00025A82" w:rsidRPr="00256BE5" w:rsidRDefault="00025A82" w:rsidP="00BD560D">
      <w:pPr>
        <w:pStyle w:val="Normal1"/>
        <w:rPr>
          <w:b/>
          <w:sz w:val="40"/>
          <w:szCs w:val="40"/>
        </w:rPr>
      </w:pPr>
      <w:r w:rsidRPr="00256BE5">
        <w:rPr>
          <w:b/>
          <w:sz w:val="40"/>
          <w:szCs w:val="40"/>
        </w:rPr>
        <w:t xml:space="preserve">TITLE: </w:t>
      </w:r>
      <w:r w:rsidR="00297259" w:rsidRPr="00256BE5">
        <w:rPr>
          <w:b/>
          <w:sz w:val="40"/>
          <w:szCs w:val="40"/>
        </w:rPr>
        <w:t>HOW TO ENGAGE EMPLOYEES THROUGHOUT THE EMPLOYEE LIFECYCLE</w:t>
      </w:r>
    </w:p>
    <w:p w14:paraId="568B51A2" w14:textId="77777777" w:rsidR="00025A82" w:rsidRPr="00256BE5" w:rsidRDefault="00025A82" w:rsidP="00BD560D">
      <w:pPr>
        <w:pStyle w:val="Normal1"/>
        <w:rPr>
          <w:b/>
          <w:sz w:val="40"/>
          <w:szCs w:val="40"/>
        </w:rPr>
      </w:pPr>
    </w:p>
    <w:p w14:paraId="3AC6995C" w14:textId="12DD5B14" w:rsidR="00025A82" w:rsidRPr="00256BE5" w:rsidRDefault="00025A82" w:rsidP="00BD560D">
      <w:pPr>
        <w:pStyle w:val="Normal1"/>
        <w:rPr>
          <w:b/>
          <w:sz w:val="40"/>
          <w:szCs w:val="40"/>
        </w:rPr>
      </w:pPr>
      <w:r w:rsidRPr="00256BE5">
        <w:rPr>
          <w:b/>
          <w:sz w:val="40"/>
          <w:szCs w:val="40"/>
        </w:rPr>
        <w:t>MODULE TITLE AND MODULE CODE: P</w:t>
      </w:r>
      <w:r w:rsidR="00256BE5">
        <w:rPr>
          <w:b/>
          <w:sz w:val="40"/>
          <w:szCs w:val="40"/>
        </w:rPr>
        <w:t>ersonnel</w:t>
      </w:r>
      <w:r w:rsidRPr="00256BE5">
        <w:rPr>
          <w:b/>
          <w:sz w:val="40"/>
          <w:szCs w:val="40"/>
        </w:rPr>
        <w:t xml:space="preserve"> </w:t>
      </w:r>
      <w:r w:rsidR="00B75A89" w:rsidRPr="00256BE5">
        <w:rPr>
          <w:b/>
          <w:sz w:val="40"/>
          <w:szCs w:val="40"/>
        </w:rPr>
        <w:t>R</w:t>
      </w:r>
      <w:r w:rsidR="00256BE5">
        <w:rPr>
          <w:b/>
          <w:sz w:val="40"/>
          <w:szCs w:val="40"/>
        </w:rPr>
        <w:t>esourcing</w:t>
      </w:r>
      <w:r w:rsidR="00B75A89" w:rsidRPr="00256BE5">
        <w:rPr>
          <w:b/>
          <w:sz w:val="40"/>
          <w:szCs w:val="40"/>
        </w:rPr>
        <w:t xml:space="preserve"> &amp; D</w:t>
      </w:r>
      <w:r w:rsidR="00256BE5">
        <w:rPr>
          <w:b/>
          <w:sz w:val="40"/>
          <w:szCs w:val="40"/>
        </w:rPr>
        <w:t>evelopment</w:t>
      </w:r>
      <w:r w:rsidR="00B75A89" w:rsidRPr="00256BE5">
        <w:rPr>
          <w:b/>
          <w:sz w:val="40"/>
          <w:szCs w:val="40"/>
        </w:rPr>
        <w:t xml:space="preserve"> (BMIH5005)</w:t>
      </w:r>
    </w:p>
    <w:p w14:paraId="66B72085" w14:textId="77777777" w:rsidR="00256BE5" w:rsidRPr="00256BE5" w:rsidRDefault="00256BE5" w:rsidP="00BD560D">
      <w:pPr>
        <w:pStyle w:val="Normal1"/>
        <w:rPr>
          <w:b/>
          <w:sz w:val="40"/>
          <w:szCs w:val="40"/>
        </w:rPr>
      </w:pPr>
    </w:p>
    <w:p w14:paraId="6FF630C4" w14:textId="0B0BC9BA" w:rsidR="00025A82" w:rsidRDefault="00025A82" w:rsidP="00BD560D">
      <w:pPr>
        <w:pStyle w:val="Normal1"/>
        <w:rPr>
          <w:b/>
          <w:sz w:val="40"/>
          <w:szCs w:val="40"/>
        </w:rPr>
      </w:pPr>
      <w:r w:rsidRPr="00256BE5">
        <w:rPr>
          <w:b/>
          <w:sz w:val="40"/>
          <w:szCs w:val="40"/>
        </w:rPr>
        <w:t xml:space="preserve">STUDENT NAME: </w:t>
      </w:r>
      <w:r w:rsidR="00B75A89" w:rsidRPr="00256BE5">
        <w:rPr>
          <w:b/>
          <w:sz w:val="40"/>
          <w:szCs w:val="40"/>
        </w:rPr>
        <w:t>E</w:t>
      </w:r>
      <w:r w:rsidR="00256BE5">
        <w:rPr>
          <w:b/>
          <w:sz w:val="40"/>
          <w:szCs w:val="40"/>
        </w:rPr>
        <w:t>manuela Diana Simon</w:t>
      </w:r>
    </w:p>
    <w:p w14:paraId="3B3BC402" w14:textId="54F6C856" w:rsidR="00256BE5" w:rsidRPr="00256BE5" w:rsidRDefault="00256BE5" w:rsidP="00BD560D">
      <w:pPr>
        <w:pStyle w:val="Normal1"/>
        <w:rPr>
          <w:b/>
          <w:sz w:val="40"/>
          <w:szCs w:val="40"/>
        </w:rPr>
      </w:pPr>
      <w:r>
        <w:rPr>
          <w:b/>
          <w:sz w:val="40"/>
          <w:szCs w:val="40"/>
        </w:rPr>
        <w:t>STUDENT ID: 2108561</w:t>
      </w:r>
    </w:p>
    <w:p w14:paraId="72844143" w14:textId="77777777" w:rsidR="00256BE5" w:rsidRPr="00256BE5" w:rsidRDefault="00256BE5" w:rsidP="00BD560D">
      <w:pPr>
        <w:rPr>
          <w:b/>
          <w:sz w:val="40"/>
          <w:szCs w:val="40"/>
        </w:rPr>
      </w:pPr>
    </w:p>
    <w:p w14:paraId="206E37C6" w14:textId="486FE615" w:rsidR="00DD0999" w:rsidRPr="00256BE5" w:rsidRDefault="00025A82" w:rsidP="00BD560D">
      <w:pPr>
        <w:rPr>
          <w:b/>
          <w:sz w:val="40"/>
          <w:szCs w:val="40"/>
        </w:rPr>
      </w:pPr>
      <w:r w:rsidRPr="00256BE5">
        <w:rPr>
          <w:b/>
          <w:sz w:val="40"/>
          <w:szCs w:val="40"/>
        </w:rPr>
        <w:t>LECTURE</w:t>
      </w:r>
      <w:r w:rsidR="008421BA" w:rsidRPr="00256BE5">
        <w:rPr>
          <w:b/>
          <w:sz w:val="40"/>
          <w:szCs w:val="40"/>
        </w:rPr>
        <w:t>R</w:t>
      </w:r>
      <w:r w:rsidR="00815787" w:rsidRPr="00256BE5">
        <w:rPr>
          <w:b/>
          <w:sz w:val="40"/>
          <w:szCs w:val="40"/>
        </w:rPr>
        <w:t>`S</w:t>
      </w:r>
      <w:r w:rsidRPr="00256BE5">
        <w:rPr>
          <w:b/>
          <w:sz w:val="40"/>
          <w:szCs w:val="40"/>
        </w:rPr>
        <w:t xml:space="preserve"> NAME:</w:t>
      </w:r>
      <w:r w:rsidR="00B75A89" w:rsidRPr="00256BE5">
        <w:rPr>
          <w:b/>
          <w:sz w:val="40"/>
          <w:szCs w:val="40"/>
        </w:rPr>
        <w:t xml:space="preserve"> K</w:t>
      </w:r>
      <w:r w:rsidR="00256BE5">
        <w:rPr>
          <w:b/>
          <w:sz w:val="40"/>
          <w:szCs w:val="40"/>
        </w:rPr>
        <w:t>athryn</w:t>
      </w:r>
      <w:r w:rsidR="00B75A89" w:rsidRPr="00256BE5">
        <w:rPr>
          <w:b/>
          <w:sz w:val="40"/>
          <w:szCs w:val="40"/>
        </w:rPr>
        <w:t xml:space="preserve"> R</w:t>
      </w:r>
      <w:r w:rsidR="00256BE5">
        <w:rPr>
          <w:b/>
          <w:sz w:val="40"/>
          <w:szCs w:val="40"/>
        </w:rPr>
        <w:t>oberts</w:t>
      </w:r>
    </w:p>
    <w:p w14:paraId="38721187" w14:textId="0B174482" w:rsidR="00025A82" w:rsidRDefault="00025A82">
      <w:pPr>
        <w:rPr>
          <w:b/>
          <w:sz w:val="32"/>
          <w:szCs w:val="32"/>
        </w:rPr>
      </w:pPr>
    </w:p>
    <w:p w14:paraId="16ABE840" w14:textId="5BF99B7E" w:rsidR="00025A82" w:rsidRDefault="00025A82">
      <w:pPr>
        <w:rPr>
          <w:b/>
          <w:sz w:val="32"/>
          <w:szCs w:val="32"/>
        </w:rPr>
      </w:pPr>
    </w:p>
    <w:p w14:paraId="11CF0C1D" w14:textId="4F10781F" w:rsidR="00025A82" w:rsidRDefault="00025A82">
      <w:pPr>
        <w:rPr>
          <w:b/>
          <w:sz w:val="32"/>
          <w:szCs w:val="32"/>
        </w:rPr>
      </w:pPr>
    </w:p>
    <w:p w14:paraId="45DD10F5" w14:textId="5651F741" w:rsidR="00025A82" w:rsidRDefault="00025A82">
      <w:pPr>
        <w:rPr>
          <w:b/>
          <w:sz w:val="32"/>
          <w:szCs w:val="32"/>
        </w:rPr>
      </w:pPr>
    </w:p>
    <w:p w14:paraId="21874E7C" w14:textId="5EDAA4AA" w:rsidR="00025A82" w:rsidRDefault="00025A82">
      <w:pPr>
        <w:rPr>
          <w:b/>
          <w:sz w:val="32"/>
          <w:szCs w:val="32"/>
        </w:rPr>
      </w:pPr>
    </w:p>
    <w:p w14:paraId="04EC01C0" w14:textId="6D0BDD1E" w:rsidR="00025A82" w:rsidRDefault="00025A82">
      <w:pPr>
        <w:rPr>
          <w:b/>
          <w:sz w:val="32"/>
          <w:szCs w:val="32"/>
        </w:rPr>
      </w:pPr>
    </w:p>
    <w:p w14:paraId="7B2EB4D7" w14:textId="49DCA081" w:rsidR="00025A82" w:rsidRDefault="00025A82">
      <w:pPr>
        <w:rPr>
          <w:b/>
          <w:sz w:val="32"/>
          <w:szCs w:val="32"/>
        </w:rPr>
      </w:pPr>
    </w:p>
    <w:p w14:paraId="30064D34" w14:textId="7CCCA3A5" w:rsidR="00025A82" w:rsidRDefault="00025A82">
      <w:pPr>
        <w:rPr>
          <w:b/>
          <w:sz w:val="32"/>
          <w:szCs w:val="32"/>
        </w:rPr>
      </w:pPr>
    </w:p>
    <w:p w14:paraId="51AEF663" w14:textId="402F2123" w:rsidR="00025A82" w:rsidRDefault="00025A82">
      <w:pPr>
        <w:rPr>
          <w:b/>
          <w:sz w:val="32"/>
          <w:szCs w:val="32"/>
        </w:rPr>
      </w:pPr>
    </w:p>
    <w:p w14:paraId="6B170824" w14:textId="6DA03168" w:rsidR="00025A82" w:rsidRDefault="00025A82">
      <w:pPr>
        <w:rPr>
          <w:b/>
          <w:sz w:val="32"/>
          <w:szCs w:val="32"/>
        </w:rPr>
      </w:pPr>
    </w:p>
    <w:p w14:paraId="35944503" w14:textId="14286307" w:rsidR="00025A82" w:rsidRDefault="00025A82">
      <w:pPr>
        <w:rPr>
          <w:b/>
          <w:sz w:val="32"/>
          <w:szCs w:val="32"/>
        </w:rPr>
      </w:pPr>
    </w:p>
    <w:p w14:paraId="6C6BBC56" w14:textId="77777777" w:rsidR="00025A82" w:rsidRDefault="00025A82">
      <w:pPr>
        <w:rPr>
          <w:b/>
          <w:sz w:val="32"/>
          <w:szCs w:val="32"/>
        </w:rPr>
      </w:pPr>
    </w:p>
    <w:sdt>
      <w:sdtPr>
        <w:rPr>
          <w:rFonts w:ascii="Arial" w:eastAsia="Arial" w:hAnsi="Arial" w:cs="Arial"/>
          <w:b w:val="0"/>
          <w:bCs w:val="0"/>
          <w:color w:val="auto"/>
          <w:sz w:val="24"/>
          <w:szCs w:val="24"/>
          <w:lang w:val="en-IN"/>
        </w:rPr>
        <w:id w:val="11312510"/>
        <w:docPartObj>
          <w:docPartGallery w:val="Table of Contents"/>
          <w:docPartUnique/>
        </w:docPartObj>
      </w:sdtPr>
      <w:sdtContent>
        <w:p w14:paraId="3F5E644C" w14:textId="77777777" w:rsidR="00DD0999" w:rsidRPr="00DD0999" w:rsidRDefault="00DD0999" w:rsidP="00BD560D">
          <w:pPr>
            <w:pStyle w:val="TOCHeading"/>
            <w:spacing w:line="360" w:lineRule="auto"/>
            <w:jc w:val="both"/>
            <w:rPr>
              <w:rFonts w:ascii="Arial" w:hAnsi="Arial" w:cs="Arial"/>
              <w:sz w:val="24"/>
              <w:szCs w:val="24"/>
            </w:rPr>
          </w:pPr>
          <w:r w:rsidRPr="00DD0999">
            <w:rPr>
              <w:rFonts w:ascii="Arial" w:hAnsi="Arial" w:cs="Arial"/>
              <w:color w:val="auto"/>
              <w:szCs w:val="24"/>
            </w:rPr>
            <w:t>Table of Contents</w:t>
          </w:r>
        </w:p>
        <w:p w14:paraId="233A8862" w14:textId="77777777" w:rsidR="00DD0999" w:rsidRPr="00DD0999" w:rsidRDefault="00DD0999" w:rsidP="00BD560D">
          <w:pPr>
            <w:pStyle w:val="TOC1"/>
            <w:tabs>
              <w:tab w:val="right" w:leader="dot" w:pos="9350"/>
            </w:tabs>
            <w:rPr>
              <w:noProof/>
            </w:rPr>
          </w:pPr>
          <w:r w:rsidRPr="00DD0999">
            <w:fldChar w:fldCharType="begin"/>
          </w:r>
          <w:r w:rsidRPr="00DD0999">
            <w:instrText xml:space="preserve"> TOC \o "1-3" \h \z \u </w:instrText>
          </w:r>
          <w:r w:rsidRPr="00DD0999">
            <w:fldChar w:fldCharType="separate"/>
          </w:r>
          <w:hyperlink w:anchor="_Toc117722060" w:history="1">
            <w:r w:rsidRPr="00DD0999">
              <w:rPr>
                <w:rStyle w:val="Hyperlink"/>
                <w:noProof/>
              </w:rPr>
              <w:t>Introduction</w:t>
            </w:r>
            <w:r w:rsidRPr="00DD0999">
              <w:rPr>
                <w:noProof/>
                <w:webHidden/>
              </w:rPr>
              <w:tab/>
            </w:r>
            <w:r w:rsidRPr="00DD0999">
              <w:rPr>
                <w:noProof/>
                <w:webHidden/>
              </w:rPr>
              <w:fldChar w:fldCharType="begin"/>
            </w:r>
            <w:r w:rsidRPr="00DD0999">
              <w:rPr>
                <w:noProof/>
                <w:webHidden/>
              </w:rPr>
              <w:instrText xml:space="preserve"> PAGEREF _Toc117722060 \h </w:instrText>
            </w:r>
            <w:r w:rsidRPr="00DD0999">
              <w:rPr>
                <w:noProof/>
                <w:webHidden/>
              </w:rPr>
            </w:r>
            <w:r w:rsidRPr="00DD0999">
              <w:rPr>
                <w:noProof/>
                <w:webHidden/>
              </w:rPr>
              <w:fldChar w:fldCharType="separate"/>
            </w:r>
            <w:r w:rsidRPr="00DD0999">
              <w:rPr>
                <w:noProof/>
                <w:webHidden/>
              </w:rPr>
              <w:t>3</w:t>
            </w:r>
            <w:r w:rsidRPr="00DD0999">
              <w:rPr>
                <w:noProof/>
                <w:webHidden/>
              </w:rPr>
              <w:fldChar w:fldCharType="end"/>
            </w:r>
          </w:hyperlink>
        </w:p>
        <w:p w14:paraId="178EEA1A" w14:textId="77777777" w:rsidR="00DD0999" w:rsidRPr="00DD0999" w:rsidRDefault="00000000" w:rsidP="00BD560D">
          <w:pPr>
            <w:pStyle w:val="TOC1"/>
            <w:tabs>
              <w:tab w:val="right" w:leader="dot" w:pos="9350"/>
            </w:tabs>
            <w:rPr>
              <w:noProof/>
            </w:rPr>
          </w:pPr>
          <w:hyperlink w:anchor="_Toc117722061" w:history="1">
            <w:r w:rsidR="00DD0999" w:rsidRPr="00DD0999">
              <w:rPr>
                <w:rStyle w:val="Hyperlink"/>
                <w:noProof/>
              </w:rPr>
              <w:t>Main Body</w:t>
            </w:r>
            <w:r w:rsidR="00DD0999" w:rsidRPr="00DD0999">
              <w:rPr>
                <w:noProof/>
                <w:webHidden/>
              </w:rPr>
              <w:tab/>
            </w:r>
            <w:r w:rsidR="00DD0999" w:rsidRPr="00DD0999">
              <w:rPr>
                <w:noProof/>
                <w:webHidden/>
              </w:rPr>
              <w:fldChar w:fldCharType="begin"/>
            </w:r>
            <w:r w:rsidR="00DD0999" w:rsidRPr="00DD0999">
              <w:rPr>
                <w:noProof/>
                <w:webHidden/>
              </w:rPr>
              <w:instrText xml:space="preserve"> PAGEREF _Toc117722061 \h </w:instrText>
            </w:r>
            <w:r w:rsidR="00DD0999" w:rsidRPr="00DD0999">
              <w:rPr>
                <w:noProof/>
                <w:webHidden/>
              </w:rPr>
            </w:r>
            <w:r w:rsidR="00DD0999" w:rsidRPr="00DD0999">
              <w:rPr>
                <w:noProof/>
                <w:webHidden/>
              </w:rPr>
              <w:fldChar w:fldCharType="separate"/>
            </w:r>
            <w:r w:rsidR="00DD0999" w:rsidRPr="00DD0999">
              <w:rPr>
                <w:noProof/>
                <w:webHidden/>
              </w:rPr>
              <w:t>3</w:t>
            </w:r>
            <w:r w:rsidR="00DD0999" w:rsidRPr="00DD0999">
              <w:rPr>
                <w:noProof/>
                <w:webHidden/>
              </w:rPr>
              <w:fldChar w:fldCharType="end"/>
            </w:r>
          </w:hyperlink>
        </w:p>
        <w:p w14:paraId="60B79A65" w14:textId="77777777" w:rsidR="00DD0999" w:rsidRPr="00DD0999" w:rsidRDefault="00000000" w:rsidP="00BD560D">
          <w:pPr>
            <w:pStyle w:val="TOC1"/>
            <w:tabs>
              <w:tab w:val="right" w:leader="dot" w:pos="9350"/>
            </w:tabs>
            <w:rPr>
              <w:noProof/>
            </w:rPr>
          </w:pPr>
          <w:hyperlink w:anchor="_Toc117722062" w:history="1">
            <w:r w:rsidR="00DD0999" w:rsidRPr="00DD0999">
              <w:rPr>
                <w:rStyle w:val="Hyperlink"/>
                <w:noProof/>
              </w:rPr>
              <w:t>Conclusion</w:t>
            </w:r>
            <w:r w:rsidR="00DD0999" w:rsidRPr="00DD0999">
              <w:rPr>
                <w:noProof/>
                <w:webHidden/>
              </w:rPr>
              <w:tab/>
            </w:r>
            <w:r w:rsidR="00DD0999" w:rsidRPr="00DD0999">
              <w:rPr>
                <w:noProof/>
                <w:webHidden/>
              </w:rPr>
              <w:fldChar w:fldCharType="begin"/>
            </w:r>
            <w:r w:rsidR="00DD0999" w:rsidRPr="00DD0999">
              <w:rPr>
                <w:noProof/>
                <w:webHidden/>
              </w:rPr>
              <w:instrText xml:space="preserve"> PAGEREF _Toc117722062 \h </w:instrText>
            </w:r>
            <w:r w:rsidR="00DD0999" w:rsidRPr="00DD0999">
              <w:rPr>
                <w:noProof/>
                <w:webHidden/>
              </w:rPr>
            </w:r>
            <w:r w:rsidR="00DD0999" w:rsidRPr="00DD0999">
              <w:rPr>
                <w:noProof/>
                <w:webHidden/>
              </w:rPr>
              <w:fldChar w:fldCharType="separate"/>
            </w:r>
            <w:r w:rsidR="00DD0999" w:rsidRPr="00DD0999">
              <w:rPr>
                <w:noProof/>
                <w:webHidden/>
              </w:rPr>
              <w:t>7</w:t>
            </w:r>
            <w:r w:rsidR="00DD0999" w:rsidRPr="00DD0999">
              <w:rPr>
                <w:noProof/>
                <w:webHidden/>
              </w:rPr>
              <w:fldChar w:fldCharType="end"/>
            </w:r>
          </w:hyperlink>
        </w:p>
        <w:p w14:paraId="7EAB024F" w14:textId="77777777" w:rsidR="00DD0999" w:rsidRPr="00DD0999" w:rsidRDefault="00000000" w:rsidP="00BD560D">
          <w:pPr>
            <w:pStyle w:val="TOC1"/>
            <w:tabs>
              <w:tab w:val="right" w:leader="dot" w:pos="9350"/>
            </w:tabs>
            <w:rPr>
              <w:noProof/>
            </w:rPr>
          </w:pPr>
          <w:hyperlink w:anchor="_Toc117722063" w:history="1">
            <w:r w:rsidR="00DD0999" w:rsidRPr="00DD0999">
              <w:rPr>
                <w:rStyle w:val="Hyperlink"/>
                <w:noProof/>
              </w:rPr>
              <w:t>Reference List</w:t>
            </w:r>
            <w:r w:rsidR="00DD0999" w:rsidRPr="00DD0999">
              <w:rPr>
                <w:noProof/>
                <w:webHidden/>
              </w:rPr>
              <w:tab/>
            </w:r>
            <w:r w:rsidR="00DD0999" w:rsidRPr="00DD0999">
              <w:rPr>
                <w:noProof/>
                <w:webHidden/>
              </w:rPr>
              <w:fldChar w:fldCharType="begin"/>
            </w:r>
            <w:r w:rsidR="00DD0999" w:rsidRPr="00DD0999">
              <w:rPr>
                <w:noProof/>
                <w:webHidden/>
              </w:rPr>
              <w:instrText xml:space="preserve"> PAGEREF _Toc117722063 \h </w:instrText>
            </w:r>
            <w:r w:rsidR="00DD0999" w:rsidRPr="00DD0999">
              <w:rPr>
                <w:noProof/>
                <w:webHidden/>
              </w:rPr>
            </w:r>
            <w:r w:rsidR="00DD0999" w:rsidRPr="00DD0999">
              <w:rPr>
                <w:noProof/>
                <w:webHidden/>
              </w:rPr>
              <w:fldChar w:fldCharType="separate"/>
            </w:r>
            <w:r w:rsidR="00DD0999" w:rsidRPr="00DD0999">
              <w:rPr>
                <w:noProof/>
                <w:webHidden/>
              </w:rPr>
              <w:t>9</w:t>
            </w:r>
            <w:r w:rsidR="00DD0999" w:rsidRPr="00DD0999">
              <w:rPr>
                <w:noProof/>
                <w:webHidden/>
              </w:rPr>
              <w:fldChar w:fldCharType="end"/>
            </w:r>
          </w:hyperlink>
        </w:p>
        <w:p w14:paraId="018486F1" w14:textId="77777777" w:rsidR="00DD0999" w:rsidRPr="00DD0999" w:rsidRDefault="00DD0999" w:rsidP="00BD560D">
          <w:r w:rsidRPr="00DD0999">
            <w:fldChar w:fldCharType="end"/>
          </w:r>
        </w:p>
      </w:sdtContent>
    </w:sdt>
    <w:p w14:paraId="543970F0" w14:textId="77777777" w:rsidR="00A87C24" w:rsidRDefault="00297259">
      <w:pPr>
        <w:pStyle w:val="Normal1"/>
        <w:jc w:val="center"/>
      </w:pPr>
      <w:r>
        <w:br w:type="page"/>
      </w:r>
    </w:p>
    <w:p w14:paraId="3AAE9988" w14:textId="77777777" w:rsidR="00A87C24" w:rsidRDefault="00297259">
      <w:pPr>
        <w:pStyle w:val="Heading1"/>
      </w:pPr>
      <w:bookmarkStart w:id="0" w:name="_7qtcpg4lh6pe" w:colFirst="0" w:colLast="0"/>
      <w:bookmarkStart w:id="1" w:name="_Toc117722060"/>
      <w:bookmarkEnd w:id="0"/>
      <w:r>
        <w:lastRenderedPageBreak/>
        <w:t>Introduction</w:t>
      </w:r>
      <w:bookmarkEnd w:id="1"/>
    </w:p>
    <w:p w14:paraId="5744BC63" w14:textId="1C9D60B6" w:rsidR="00A87C24" w:rsidRDefault="00297259">
      <w:pPr>
        <w:pStyle w:val="Normal1"/>
      </w:pPr>
      <w:r>
        <w:t>The Employee Life Cycle (ELC) Model is a useful management tool that illustrates an employee's journey through the many periods of their employment with a company. Attract, hire, onboard, train, retain, and part ways are the six stages of this paradigm. To account for an employee's whole tenure at a company, the employee life cycle model provides a different method of employee involvement at each stage. The retention phase of an organization's employee life cycle (ELC) could be prioritized, for instance, if the company has a great and engaging strategy for acquiring new workers but their turnover rates are high in hotels (Cattermole 2019).</w:t>
      </w:r>
    </w:p>
    <w:p w14:paraId="02FC14D5" w14:textId="77777777" w:rsidR="00A87C24" w:rsidRDefault="00297259">
      <w:pPr>
        <w:pStyle w:val="Normal1"/>
      </w:pPr>
      <w:r>
        <w:t>Not surprisingly, the customer journey model is quite similar to the employee life cycle framework. At the core of the employee life cycle strategy planning process is the recognition that a company's investment in the experiences of its workers is as vital as that of its consumers. Many large corporations place more value on keeping their customers happy and see employee engagement efforts as isolated experiments rather than strategic priorities. Managers that can act on engagement data are the ones who really make a difference to the success of their organizations and their employees.</w:t>
      </w:r>
    </w:p>
    <w:p w14:paraId="1BB7F451" w14:textId="77777777" w:rsidR="00A87C24" w:rsidRDefault="00A87C24">
      <w:pPr>
        <w:pStyle w:val="Normal1"/>
      </w:pPr>
    </w:p>
    <w:p w14:paraId="7B247F19" w14:textId="77777777" w:rsidR="00A87C24" w:rsidRDefault="00297259">
      <w:pPr>
        <w:pStyle w:val="Heading1"/>
      </w:pPr>
      <w:bookmarkStart w:id="2" w:name="_7ik08edyhu06" w:colFirst="0" w:colLast="0"/>
      <w:bookmarkStart w:id="3" w:name="_Toc117722061"/>
      <w:bookmarkEnd w:id="2"/>
      <w:r>
        <w:t>Main Body</w:t>
      </w:r>
      <w:bookmarkEnd w:id="3"/>
    </w:p>
    <w:p w14:paraId="422CD15A" w14:textId="3C497C8B" w:rsidR="00A87C24" w:rsidRDefault="00297259">
      <w:pPr>
        <w:pStyle w:val="Normal1"/>
      </w:pPr>
      <w:r>
        <w:rPr>
          <w:b/>
          <w:i/>
        </w:rPr>
        <w:t>Attraction:</w:t>
      </w:r>
      <w:r>
        <w:t xml:space="preserve"> The first step in the process of managing an employee's career is to recruit potential candidates. It makes no difference how distinctive or potent their service is if they are unable to attract and retain the best talent. Due to this fact, the attraction phase of any strategy for the development of a firm is very necessary for its success. Before there is a real opening in the company, there is just the period of attraction that takes place (Zhang </w:t>
      </w:r>
      <w:r>
        <w:rPr>
          <w:i/>
        </w:rPr>
        <w:t>et al</w:t>
      </w:r>
      <w:r>
        <w:t xml:space="preserve">. 2019). It's the </w:t>
      </w:r>
      <w:r w:rsidR="00DD0999">
        <w:t>work employees</w:t>
      </w:r>
      <w:r>
        <w:t xml:space="preserve"> put in to make the firm seem to potential employees as a desirabl</w:t>
      </w:r>
      <w:r w:rsidR="00DD0999">
        <w:t>e place to work, as well as the employees</w:t>
      </w:r>
      <w:r>
        <w:t xml:space="preserve"> do to ensure that current employees continue to like their work. Because of this, those who are considering working for the company, those who are already employed there, customers, and other stakeholders have a positive picture of the opportunity in hotels.</w:t>
      </w:r>
    </w:p>
    <w:p w14:paraId="4C68397E" w14:textId="5D2E018C" w:rsidR="00A87C24" w:rsidRDefault="00297259">
      <w:pPr>
        <w:pStyle w:val="Normal1"/>
      </w:pPr>
      <w:r>
        <w:rPr>
          <w:b/>
          <w:i/>
        </w:rPr>
        <w:t>Recruitment:</w:t>
      </w:r>
      <w:r>
        <w:t xml:space="preserve"> The second phase of the employee life cycle consists of the company actively searching for outstanding prospects and trying to get them to join the company. It is possible that a new role may be created altogether or that recruiting will be prompted </w:t>
      </w:r>
      <w:r>
        <w:lastRenderedPageBreak/>
        <w:t>by an open post. The strategies that are most successful in recruiting candidates ensure that candidates have a positive experience, that hiring teams collaborate with one another in accordance with the guidelines that have been established, and that useful data is gathered to assist the recruiting team in improving their decision-making in the future (</w:t>
      </w:r>
      <w:proofErr w:type="spellStart"/>
      <w:r>
        <w:t>Itam</w:t>
      </w:r>
      <w:proofErr w:type="spellEnd"/>
      <w:r>
        <w:t xml:space="preserve"> </w:t>
      </w:r>
      <w:r>
        <w:rPr>
          <w:i/>
        </w:rPr>
        <w:t>et al</w:t>
      </w:r>
      <w:r>
        <w:t>. 2020). One of the most successful methods of recruitment is receiving a reference from an existing member of the workforce. Because they are active in the industry, it is probable that they know a number of other people who would be excellent candidates for the job that</w:t>
      </w:r>
      <w:r w:rsidR="00633746">
        <w:t xml:space="preserve"> </w:t>
      </w:r>
      <w:r>
        <w:t>employees are trying to fill. However</w:t>
      </w:r>
      <w:r w:rsidR="00DD0999">
        <w:t>, employees</w:t>
      </w:r>
      <w:r>
        <w:t xml:space="preserve"> should exercise caution when adding new members to the team from inside the immediate circle of people who are currently working there. These suggestions often originate from individuals who have ideals similar to the own. It is a terrible idea to concentrate the candidate search on a single significant website or media source just while looking for potential employees. One needs to think about the environments in which the most desirable leads congregate. An example of this might be a meeting of industry experts or an emerging trade publication to which a significant number of rising stars have subscribed in hotels (Kwon and Park 2019).</w:t>
      </w:r>
    </w:p>
    <w:p w14:paraId="557281C5" w14:textId="6A0D3857" w:rsidR="00A87C24" w:rsidRDefault="00297259">
      <w:pPr>
        <w:pStyle w:val="Normal1"/>
      </w:pPr>
      <w:r>
        <w:rPr>
          <w:b/>
          <w:i/>
        </w:rPr>
        <w:t>Onboarding:</w:t>
      </w:r>
      <w:r>
        <w:t xml:space="preserve"> When it comes to the model of the employee life cycle, the next phase is the onboarding phase. </w:t>
      </w:r>
      <w:r w:rsidR="00DD0999">
        <w:t>After employees</w:t>
      </w:r>
      <w:r>
        <w:t xml:space="preserve"> have successfully acquired the best individuals, it is essential to bring them up to speed on the business culture as well as the particulars of their new position during the onboarding process. This should be done in the quickest and most effective manner possible (Jackson 2019). During the onboarding process, newly hired employees are educated about the ins and outs of their employment as well as the culture of the organization. They are also taught the attitudes, knowledge, skills, and </w:t>
      </w:r>
      <w:r w:rsidR="00633746">
        <w:t>behaviours</w:t>
      </w:r>
      <w:r>
        <w:t xml:space="preserve"> that are necessary for them to be successful in their roles. Making new hires feel welcome in the group and ensuring that they have a solid understanding of both the nature of their job and the business as a whole are essential factors in ensuring that their contributions and engagement are maintained throughout the course of the long term. The onboarding phase of the employee life cycle at the organization should go well for everyone involved by adhering to the crucial recommendations that are outlined in the following paragraphs. Instead of a long and academic investigation of the requirements of the work</w:t>
      </w:r>
      <w:r w:rsidR="00DD0999">
        <w:t>, employees</w:t>
      </w:r>
      <w:r>
        <w:t xml:space="preserve"> should aim for a one-page outline that emphasizes the most </w:t>
      </w:r>
      <w:r>
        <w:lastRenderedPageBreak/>
        <w:t xml:space="preserve">important duties of the post as well as any experience and capabilities that are relevant to it (Van </w:t>
      </w:r>
      <w:r>
        <w:rPr>
          <w:i/>
        </w:rPr>
        <w:t>et al</w:t>
      </w:r>
      <w:r>
        <w:t xml:space="preserve">. 2020). </w:t>
      </w:r>
    </w:p>
    <w:p w14:paraId="24E94B18" w14:textId="2F5CB266" w:rsidR="00A87C24" w:rsidRDefault="00297259">
      <w:pPr>
        <w:pStyle w:val="Normal1"/>
      </w:pPr>
      <w:r>
        <w:t>The process of onboarding new employees requires a thorough explanation of the relevance of the company's core values, beliefs, and objectives, as well as communication of them to the new employee. Assure that their perspective is compatible with achievement by providing answers to any doubts they may have and by gaining an understanding of the significance of the values for them. The job description will contain some of the details, but it is still vital to guide each new recruit through the expectations they are asking of them and explain why they are crucial to the success of the organization. Some of the specifics will be provided in the job description. It is dangerous to complete the onboarding step within the first week of a new employee's employment and then leave that individual to fend for themselves since the new employee's productivity will immediately drop. After a few weeks have passed, have one-on-one conversations with each new employee to find out how they are adjusting to their new role, discuss any challenges they have had in integrating into the team, and so on (</w:t>
      </w:r>
      <w:proofErr w:type="spellStart"/>
      <w:r>
        <w:t>Nurdin</w:t>
      </w:r>
      <w:proofErr w:type="spellEnd"/>
      <w:r>
        <w:t xml:space="preserve"> and Yusuf 2020).</w:t>
      </w:r>
    </w:p>
    <w:p w14:paraId="24F29A1B" w14:textId="080EBB94" w:rsidR="00A87C24" w:rsidRDefault="00297259">
      <w:pPr>
        <w:pStyle w:val="Normal1"/>
      </w:pPr>
      <w:r>
        <w:rPr>
          <w:b/>
          <w:i/>
        </w:rPr>
        <w:t>Development:</w:t>
      </w:r>
      <w:r>
        <w:t xml:space="preserve"> The next phase in the employee life cycle model is the growth phase, which focuses on the development of the employee. During this </w:t>
      </w:r>
      <w:r w:rsidR="00633746">
        <w:t>phase, employees</w:t>
      </w:r>
      <w:r>
        <w:t xml:space="preserve"> will provide the framework for a culture of ongoing professional development within the team. This culture will act as a catalyst for the improvement of the team members' abilities and a road for progress within the company (Augustine 2019). It is impossible to emphasize the benefits that will accrue to the skill development of the team </w:t>
      </w:r>
      <w:r w:rsidR="00DD0999">
        <w:t>if employees</w:t>
      </w:r>
      <w:r>
        <w:t xml:space="preserve"> send them to applicable conferences and seminars (many are available as virtual offerings online). For this reason, it is beneficial to either send them on a regular basis at the cost of the business or to give all workers a budget that is paid by the company for participation in activities that are organized by the employees themselves. Both of these options are useful. The most valuable skills and areas of knowledge that workers possess should be determined by managers in conjunction with the employees themselves (Schwartz </w:t>
      </w:r>
      <w:r>
        <w:rPr>
          <w:i/>
        </w:rPr>
        <w:t>et al.</w:t>
      </w:r>
      <w:r>
        <w:t xml:space="preserve"> 2019). </w:t>
      </w:r>
    </w:p>
    <w:p w14:paraId="0A0ED51B" w14:textId="77F005F6" w:rsidR="00A87C24" w:rsidRDefault="00297259">
      <w:pPr>
        <w:pStyle w:val="Normal1"/>
      </w:pPr>
      <w:r>
        <w:t xml:space="preserve">They will be better able to discover and prioritize areas for development </w:t>
      </w:r>
      <w:r w:rsidR="00DD0999">
        <w:t>if employees</w:t>
      </w:r>
      <w:r>
        <w:t xml:space="preserve"> have them reflect on their own performance and report it </w:t>
      </w:r>
      <w:r w:rsidR="00A470D7">
        <w:t>to employees</w:t>
      </w:r>
      <w:r>
        <w:t xml:space="preserve">. This is not only </w:t>
      </w:r>
      <w:r>
        <w:lastRenderedPageBreak/>
        <w:t xml:space="preserve">an effective strategy, but it is also a terrific way to foster open communication and constructive feedback from the workers. Encourage the employees to develop personal strategies that will assist them in maintaining their concentration on their task (Islam </w:t>
      </w:r>
      <w:r>
        <w:rPr>
          <w:i/>
        </w:rPr>
        <w:t>et al</w:t>
      </w:r>
      <w:r w:rsidR="00633746">
        <w:rPr>
          <w:i/>
        </w:rPr>
        <w:t>.</w:t>
      </w:r>
      <w:r>
        <w:rPr>
          <w:i/>
        </w:rPr>
        <w:t xml:space="preserve"> </w:t>
      </w:r>
      <w:r>
        <w:t xml:space="preserve">2022). The enhancement of their talents and advancement of their careers should be the primary focus of this plan.  </w:t>
      </w:r>
      <w:r w:rsidR="00DD0999">
        <w:t>Employees</w:t>
      </w:r>
      <w:r>
        <w:t xml:space="preserve"> might collaborate with them on this process, </w:t>
      </w:r>
      <w:r w:rsidR="00DD0999">
        <w:t>or employees</w:t>
      </w:r>
      <w:r>
        <w:t xml:space="preserve"> could provide them with a general framework to follow so that they may devise a strategy on their own. It is likely that a significant number of the staff members working for business participate in a variety of regular, informal development activities outside of the workplace. Keep the name in mind the next </w:t>
      </w:r>
      <w:r w:rsidR="00DD0999">
        <w:t>time employees</w:t>
      </w:r>
      <w:r>
        <w:t xml:space="preserve"> hear the name of one of the workers at the company (Rana and Sharma, 2019).</w:t>
      </w:r>
    </w:p>
    <w:p w14:paraId="7612115F" w14:textId="20D4C154" w:rsidR="00A87C24" w:rsidRDefault="00297259">
      <w:pPr>
        <w:pStyle w:val="Normal1"/>
      </w:pPr>
      <w:r>
        <w:rPr>
          <w:b/>
          <w:i/>
        </w:rPr>
        <w:t>Retention:</w:t>
      </w:r>
      <w:r w:rsidR="00DD0999">
        <w:rPr>
          <w:b/>
          <w:i/>
        </w:rPr>
        <w:t xml:space="preserve"> </w:t>
      </w:r>
      <w:r>
        <w:t xml:space="preserve">The </w:t>
      </w:r>
      <w:r w:rsidR="00DD0999">
        <w:t>fifth phase</w:t>
      </w:r>
      <w:r>
        <w:t xml:space="preserve"> of the employee lifecycle model occurs when an employee is retained. Here is </w:t>
      </w:r>
      <w:r w:rsidR="00DD0999">
        <w:t>where employees</w:t>
      </w:r>
      <w:r>
        <w:t xml:space="preserve"> put in the work to keep the top employees happy and challenged in their existing roles, which will increase the likelihood that they will remain with the firm (Agarwal 2021). At this time, the company's culture is crucial. Toxic business cultures lead to high rates of employee turnover, which in turn drives up the cost of hiring and orienting new staff members. Improving the retention phase may </w:t>
      </w:r>
      <w:r w:rsidR="00DD0999">
        <w:t>help employees</w:t>
      </w:r>
      <w:r>
        <w:t xml:space="preserve"> mitigate this risk and provide more sustainable and fulfilling career paths for the staff. Attracting and recruiting outstanding talent is the first step </w:t>
      </w:r>
      <w:r w:rsidR="00633746">
        <w:t>toward</w:t>
      </w:r>
      <w:r>
        <w:t xml:space="preserve"> keeping them. Whether or not</w:t>
      </w:r>
      <w:r w:rsidR="00633746">
        <w:t xml:space="preserve"> </w:t>
      </w:r>
      <w:r>
        <w:t>employees were successful in keeping the top employees on board is a direct result of how well</w:t>
      </w:r>
      <w:r w:rsidR="00633746">
        <w:t xml:space="preserve"> </w:t>
      </w:r>
      <w:r>
        <w:t>employees vetted and interviewed job candidates (Crane and Hartwell 2019).</w:t>
      </w:r>
    </w:p>
    <w:p w14:paraId="2E315BEE" w14:textId="76CA00FB" w:rsidR="00A87C24" w:rsidRDefault="00297259">
      <w:pPr>
        <w:pStyle w:val="Normal1"/>
      </w:pPr>
      <w:r>
        <w:t xml:space="preserve">Get to know colleagues and nurture such relationships. The best way to keep the staff interested in their work and </w:t>
      </w:r>
      <w:r w:rsidR="00633746">
        <w:t>dedication</w:t>
      </w:r>
      <w:r>
        <w:t xml:space="preserve"> to the company is to establish and nurture a relationship built on trust, honesty, and mutual respect with each member of the team. </w:t>
      </w:r>
      <w:r w:rsidR="00DD0999">
        <w:t>If employees</w:t>
      </w:r>
      <w:r>
        <w:t xml:space="preserve"> want to see an increase in employee retention, the first step is to ensure that all employees are on the same page with the company's aims and values. They need to understand their role inside the company and how their efforts fit into the grand scheme of things (Lee </w:t>
      </w:r>
      <w:r>
        <w:rPr>
          <w:i/>
        </w:rPr>
        <w:t>et al.</w:t>
      </w:r>
      <w:r>
        <w:t xml:space="preserve"> 2019).</w:t>
      </w:r>
    </w:p>
    <w:p w14:paraId="36A07B06" w14:textId="7C51A628" w:rsidR="00A87C24" w:rsidRDefault="00297259">
      <w:pPr>
        <w:pStyle w:val="Normal1"/>
      </w:pPr>
      <w:r>
        <w:t>Meeting with employees face-to-face once a week to discuss their accomplishments and problems is common practice in smaller organizations (Fortier</w:t>
      </w:r>
      <w:r>
        <w:rPr>
          <w:i/>
        </w:rPr>
        <w:t xml:space="preserve"> et al</w:t>
      </w:r>
      <w:r>
        <w:t xml:space="preserve">., 2019). Collecting a sense of the mood of the workforce via surveys is another useful technique. </w:t>
      </w:r>
      <w:r w:rsidR="00DD0999">
        <w:t>If employees</w:t>
      </w:r>
      <w:r>
        <w:t xml:space="preserve"> want to frequently assess team morale and look for continuous useful input, a shorter </w:t>
      </w:r>
      <w:r>
        <w:lastRenderedPageBreak/>
        <w:t xml:space="preserve">staff survey instrument or implementing an online feedback system like </w:t>
      </w:r>
      <w:proofErr w:type="spellStart"/>
      <w:r>
        <w:t>Sprigg's</w:t>
      </w:r>
      <w:proofErr w:type="spellEnd"/>
      <w:r>
        <w:t xml:space="preserve"> Continuous and 360 Degree Input tool may be extremely helpful. No two employees are alike, therefore there is no </w:t>
      </w:r>
      <w:r w:rsidR="00A470D7">
        <w:t>fool proof</w:t>
      </w:r>
      <w:r>
        <w:t xml:space="preserve"> method of encouraging everyone to work more. Finding out what motivates each team member </w:t>
      </w:r>
      <w:r w:rsidR="00DD0999">
        <w:t>allows employees</w:t>
      </w:r>
      <w:r>
        <w:t xml:space="preserve"> to include them more completely in the task and, ideally, keep them around for the long haul (Kikuchi </w:t>
      </w:r>
      <w:r>
        <w:rPr>
          <w:i/>
        </w:rPr>
        <w:t>et al.</w:t>
      </w:r>
      <w:r>
        <w:t xml:space="preserve"> 2021).</w:t>
      </w:r>
    </w:p>
    <w:p w14:paraId="459C6C8C" w14:textId="5C7E99AE" w:rsidR="00A87C24" w:rsidRDefault="00297259">
      <w:pPr>
        <w:pStyle w:val="Normal1"/>
      </w:pPr>
      <w:r>
        <w:rPr>
          <w:b/>
          <w:i/>
        </w:rPr>
        <w:t>Separation:</w:t>
      </w:r>
      <w:r>
        <w:t xml:space="preserve"> The termination of an employee's employment is the last stage of the employee life cycle. Whether it's for retirement, a promotion, or personal reasons, most people will quit their professions at some point (</w:t>
      </w:r>
      <w:proofErr w:type="spellStart"/>
      <w:r>
        <w:t>Sivathanu</w:t>
      </w:r>
      <w:proofErr w:type="spellEnd"/>
      <w:r>
        <w:t xml:space="preserve"> and Pillai 2018). </w:t>
      </w:r>
      <w:r w:rsidR="00633746">
        <w:t>Much</w:t>
      </w:r>
      <w:r>
        <w:t xml:space="preserve"> thought and preparation should go into the process of leaving as into the process of entering. It is the responsibility of the management and HR to ensure that the company is not unduly disrupted by the employee's departure. </w:t>
      </w:r>
      <w:r w:rsidR="00DD0999">
        <w:t>If employees</w:t>
      </w:r>
      <w:r>
        <w:t xml:space="preserve"> follow certain basic </w:t>
      </w:r>
      <w:r w:rsidR="00633746">
        <w:t>procedures, employees</w:t>
      </w:r>
      <w:r>
        <w:t xml:space="preserve"> may mitigate the damage caused by the unexpected departure of a key employee (Olson and Shultz 2019).</w:t>
      </w:r>
    </w:p>
    <w:p w14:paraId="1CFD08C2" w14:textId="00A73144" w:rsidR="00A87C24" w:rsidRDefault="00297259">
      <w:pPr>
        <w:pStyle w:val="Normal1"/>
      </w:pPr>
      <w:r>
        <w:t xml:space="preserve">It's true that losing a great performer might be disheartening, but that doesn't </w:t>
      </w:r>
      <w:r w:rsidR="00DD0999">
        <w:t>mean employees</w:t>
      </w:r>
      <w:r>
        <w:t xml:space="preserve"> couldn't bring in another top performer to make up for the difference. Employees' personal perspectives of their time spent working for the company may be gleaned via exit interviews (Williamson and Foley 2018).</w:t>
      </w:r>
    </w:p>
    <w:p w14:paraId="3245C269" w14:textId="7FDA9C32" w:rsidR="00A87C24" w:rsidRDefault="00297259">
      <w:pPr>
        <w:pStyle w:val="Normal1"/>
      </w:pPr>
      <w:r>
        <w:t xml:space="preserve">Motivate the staff to keep moving ahead. Low morale is common when a firm loses a valuable employee. Maintain the focus on telling the remaining members of the team </w:t>
      </w:r>
      <w:r w:rsidR="00DD0999">
        <w:t>that employees</w:t>
      </w:r>
      <w:r>
        <w:t xml:space="preserve"> will always have their backs and that, despite the loss they represent, the team will emerge stronger than before (</w:t>
      </w:r>
      <w:proofErr w:type="spellStart"/>
      <w:r>
        <w:t>Çop</w:t>
      </w:r>
      <w:proofErr w:type="spellEnd"/>
      <w:r>
        <w:t xml:space="preserve"> </w:t>
      </w:r>
      <w:r>
        <w:rPr>
          <w:i/>
        </w:rPr>
        <w:t>et al.</w:t>
      </w:r>
      <w:r>
        <w:t xml:space="preserve"> 2021).</w:t>
      </w:r>
    </w:p>
    <w:p w14:paraId="393FF802" w14:textId="77777777" w:rsidR="00A87C24" w:rsidRDefault="00A87C24">
      <w:pPr>
        <w:pStyle w:val="Normal1"/>
      </w:pPr>
    </w:p>
    <w:p w14:paraId="661A319A" w14:textId="77777777" w:rsidR="00A87C24" w:rsidRDefault="00297259">
      <w:pPr>
        <w:pStyle w:val="Heading1"/>
      </w:pPr>
      <w:bookmarkStart w:id="4" w:name="_8qpa14k5g85" w:colFirst="0" w:colLast="0"/>
      <w:bookmarkStart w:id="5" w:name="_Toc117722062"/>
      <w:bookmarkEnd w:id="4"/>
      <w:r>
        <w:t>Conclusion</w:t>
      </w:r>
      <w:bookmarkEnd w:id="5"/>
      <w:r>
        <w:t xml:space="preserve"> </w:t>
      </w:r>
    </w:p>
    <w:p w14:paraId="15EDC8B9" w14:textId="77777777" w:rsidR="00A87C24" w:rsidRDefault="00297259">
      <w:pPr>
        <w:pStyle w:val="Normal1"/>
      </w:pPr>
      <w:r>
        <w:t xml:space="preserve">The employee life cycle model is a helpful tool for anticipating and planning for the future interactions of employees at each stage of their tenure with the company. This ensures that each stage of an employee's tenure with the company runs smoothly and without hiccups. </w:t>
      </w:r>
      <w:r w:rsidR="00DD0999">
        <w:t>If employees</w:t>
      </w:r>
      <w:r>
        <w:t xml:space="preserve"> give it the best at every opportunity, building a strong team and keeping it together will be much simpler </w:t>
      </w:r>
      <w:r w:rsidR="00DD0999">
        <w:t>for employees</w:t>
      </w:r>
      <w:r>
        <w:t xml:space="preserve">. Planning out the employee journey in the same way that employees plan out the customer experience is one way to improve the reputation of the firm as well as the rate at which it retains its employees. It </w:t>
      </w:r>
      <w:r>
        <w:lastRenderedPageBreak/>
        <w:t>is possible for the company to reduce the amount of time and money lost due to employee turnover by allocating its resources and efforts more effectively. In a similar vein, a business that has a better reputation is in a better position to entice and recruit brilliant new workers, who, in turn, will be more involved in the success of the business.</w:t>
      </w:r>
      <w:r>
        <w:br w:type="page"/>
      </w:r>
    </w:p>
    <w:p w14:paraId="5E3A2AA3" w14:textId="77777777" w:rsidR="00A87C24" w:rsidRDefault="00297259">
      <w:pPr>
        <w:pStyle w:val="Heading1"/>
      </w:pPr>
      <w:bookmarkStart w:id="6" w:name="_91qtdp61sigo" w:colFirst="0" w:colLast="0"/>
      <w:bookmarkStart w:id="7" w:name="_Toc117722063"/>
      <w:bookmarkEnd w:id="6"/>
      <w:r>
        <w:lastRenderedPageBreak/>
        <w:t>Reference List</w:t>
      </w:r>
      <w:bookmarkEnd w:id="7"/>
    </w:p>
    <w:p w14:paraId="7882895A" w14:textId="77777777" w:rsidR="00DD0999" w:rsidRDefault="00DD0999">
      <w:pPr>
        <w:pStyle w:val="Normal1"/>
      </w:pPr>
      <w:r>
        <w:t>Agarwal, P., 2021. Shattered but smiling: Human resource management and the wellbeing of hotel employees during COVID-19. International Journal of Hospitality Management, 93, p.102765.</w:t>
      </w:r>
    </w:p>
    <w:p w14:paraId="42DC2F3E" w14:textId="77777777" w:rsidR="00DD0999" w:rsidRDefault="00DD0999">
      <w:pPr>
        <w:pStyle w:val="Normal1"/>
      </w:pPr>
      <w:r>
        <w:t xml:space="preserve">Augustine, D., 2019. Working around the law: Navigating legal barriers to employment during </w:t>
      </w:r>
      <w:proofErr w:type="spellStart"/>
      <w:r>
        <w:t>reentry</w:t>
      </w:r>
      <w:proofErr w:type="spellEnd"/>
      <w:r>
        <w:t>. Law &amp; Social Inquiry, 44(3), pp.726-751.</w:t>
      </w:r>
    </w:p>
    <w:p w14:paraId="140D2695" w14:textId="77777777" w:rsidR="00DD0999" w:rsidRDefault="00DD0999">
      <w:pPr>
        <w:pStyle w:val="Normal1"/>
      </w:pPr>
      <w:r>
        <w:t>Cattermole, G., 2019. Developing the employee lifecycle to keep top talent. Strategic HR review.</w:t>
      </w:r>
    </w:p>
    <w:p w14:paraId="578DD96D" w14:textId="77777777" w:rsidR="00DD0999" w:rsidRDefault="00DD0999">
      <w:pPr>
        <w:pStyle w:val="Normal1"/>
      </w:pPr>
      <w:proofErr w:type="spellStart"/>
      <w:r>
        <w:t>Çop</w:t>
      </w:r>
      <w:proofErr w:type="spellEnd"/>
      <w:r>
        <w:t xml:space="preserve">, S., </w:t>
      </w:r>
      <w:proofErr w:type="spellStart"/>
      <w:r>
        <w:t>Olorunsola</w:t>
      </w:r>
      <w:proofErr w:type="spellEnd"/>
      <w:r>
        <w:t xml:space="preserve">, V.O. and </w:t>
      </w:r>
      <w:proofErr w:type="spellStart"/>
      <w:r>
        <w:t>Alola</w:t>
      </w:r>
      <w:proofErr w:type="spellEnd"/>
      <w:r>
        <w:t xml:space="preserve">, U.V., 2021. Achieving environmental sustainability through green transformational leadership policy: Can green team resilience </w:t>
      </w:r>
      <w:proofErr w:type="gramStart"/>
      <w:r>
        <w:t>help?.</w:t>
      </w:r>
      <w:proofErr w:type="gramEnd"/>
      <w:r>
        <w:t xml:space="preserve"> Business Strategy and the Environment, 30(1), pp.671-682.</w:t>
      </w:r>
    </w:p>
    <w:p w14:paraId="77DB0662" w14:textId="77777777" w:rsidR="00DD0999" w:rsidRDefault="00DD0999">
      <w:pPr>
        <w:pStyle w:val="Normal1"/>
      </w:pPr>
      <w:r>
        <w:t>Crane, B. and Hartwell, C.J., 2019. Global talent management: A life cycle view of the interaction between human and social capital. Journal of World Business, 54(2), pp.82-92.</w:t>
      </w:r>
    </w:p>
    <w:p w14:paraId="2890CB00" w14:textId="77777777" w:rsidR="00DD0999" w:rsidRDefault="00DD0999">
      <w:pPr>
        <w:pStyle w:val="Normal1"/>
      </w:pPr>
      <w:r>
        <w:t xml:space="preserve">Fortier, M.O.P., </w:t>
      </w:r>
      <w:proofErr w:type="spellStart"/>
      <w:r>
        <w:t>Teron</w:t>
      </w:r>
      <w:proofErr w:type="spellEnd"/>
      <w:r>
        <w:t xml:space="preserve">, L., </w:t>
      </w:r>
      <w:proofErr w:type="spellStart"/>
      <w:r>
        <w:t>Reames</w:t>
      </w:r>
      <w:proofErr w:type="spellEnd"/>
      <w:r>
        <w:t xml:space="preserve">, T.G., </w:t>
      </w:r>
      <w:proofErr w:type="spellStart"/>
      <w:r>
        <w:t>Munardy</w:t>
      </w:r>
      <w:proofErr w:type="spellEnd"/>
      <w:r>
        <w:t>, D.T. and Sullivan, B.M., 2019. Introduction to evaluating energy justice across the life cycle: A social life cycle assessment approach. Applied Energy, 236, pp.211-219.</w:t>
      </w:r>
    </w:p>
    <w:p w14:paraId="55C879F8" w14:textId="77777777" w:rsidR="00DD0999" w:rsidRDefault="00DD0999">
      <w:pPr>
        <w:pStyle w:val="Normal1"/>
      </w:pPr>
      <w:r>
        <w:t xml:space="preserve">Islam, T., Zahra, I., Rehman, S.U. and Jamil, S., 2022. How knowledge sharing encourages innovative work </w:t>
      </w:r>
      <w:proofErr w:type="spellStart"/>
      <w:r>
        <w:t>behavior</w:t>
      </w:r>
      <w:proofErr w:type="spellEnd"/>
      <w:r>
        <w:t xml:space="preserve"> through occupational self-efficacy? The moderating role of entrepreneurial leadership. Global Knowledge, Memory and Communication, (ahead-of-print).</w:t>
      </w:r>
    </w:p>
    <w:p w14:paraId="06FBF710" w14:textId="77777777" w:rsidR="00DD0999" w:rsidRDefault="00DD0999">
      <w:pPr>
        <w:pStyle w:val="Normal1"/>
      </w:pPr>
      <w:proofErr w:type="spellStart"/>
      <w:r>
        <w:t>Itam</w:t>
      </w:r>
      <w:proofErr w:type="spellEnd"/>
      <w:r>
        <w:t xml:space="preserve">, U., </w:t>
      </w:r>
      <w:proofErr w:type="spellStart"/>
      <w:r>
        <w:t>Misra</w:t>
      </w:r>
      <w:proofErr w:type="spellEnd"/>
      <w:r>
        <w:t>, S. and Anjum, H., 2020. HRD indicators and branding practices: A viewpoint on the employer brand building process. European Journal of Training and Development, 44(6/7), pp.675-694.</w:t>
      </w:r>
    </w:p>
    <w:p w14:paraId="0B41DDBC" w14:textId="77777777" w:rsidR="00DD0999" w:rsidRDefault="00DD0999">
      <w:pPr>
        <w:pStyle w:val="Normal1"/>
      </w:pPr>
      <w:r>
        <w:t>Jackson, E.A., 2019. Informal employment.</w:t>
      </w:r>
    </w:p>
    <w:p w14:paraId="78E41C42" w14:textId="77777777" w:rsidR="00DD0999" w:rsidRDefault="00DD0999">
      <w:pPr>
        <w:pStyle w:val="Normal1"/>
      </w:pPr>
      <w:r>
        <w:t xml:space="preserve">Kikuchi, S., Kitao, S. and </w:t>
      </w:r>
      <w:proofErr w:type="spellStart"/>
      <w:r>
        <w:t>Mikoshiba</w:t>
      </w:r>
      <w:proofErr w:type="spellEnd"/>
      <w:r>
        <w:t xml:space="preserve">, M., 2021. Who suffers from the COVID-19 shocks? </w:t>
      </w:r>
      <w:proofErr w:type="spellStart"/>
      <w:r>
        <w:t>Labor</w:t>
      </w:r>
      <w:proofErr w:type="spellEnd"/>
      <w:r>
        <w:t xml:space="preserve"> market heterogeneity and welfare consequences in Japan. Journal of the Japanese and International Economies, 59, p.101117.</w:t>
      </w:r>
    </w:p>
    <w:p w14:paraId="621CFB32" w14:textId="77777777" w:rsidR="00DD0999" w:rsidRDefault="00DD0999">
      <w:pPr>
        <w:pStyle w:val="Normal1"/>
      </w:pPr>
      <w:r>
        <w:t>Kwon, K. and Park, J., 2019. The life cycle of employee engagement theory in HRD research. Advances in Developing Human Resources, 21(3), pp.352-370.</w:t>
      </w:r>
    </w:p>
    <w:p w14:paraId="0CDDAAAC" w14:textId="77777777" w:rsidR="00DD0999" w:rsidRDefault="00DD0999">
      <w:pPr>
        <w:pStyle w:val="Normal1"/>
      </w:pPr>
      <w:r>
        <w:lastRenderedPageBreak/>
        <w:t>Lee, J., Suh, T., Roy, D. and Baucus, M., 2019. Emerging technology and business model innovation: The case of artificial intelligence. Journal of Open Innovation: Technology, Market, and Complexity, 5(3), p.44.</w:t>
      </w:r>
    </w:p>
    <w:p w14:paraId="2EE9457A" w14:textId="77777777" w:rsidR="00DD0999" w:rsidRDefault="00DD0999">
      <w:pPr>
        <w:pStyle w:val="Normal1"/>
      </w:pPr>
      <w:proofErr w:type="spellStart"/>
      <w:r>
        <w:t>Nurdin</w:t>
      </w:r>
      <w:proofErr w:type="spellEnd"/>
      <w:r>
        <w:t>, N. and Yusuf, K., 2020. Knowledge management lifecycle in Islamic bank: the case of syariah banks in Indonesia. International Journal of Knowledge Management Studies, 11(1), pp.59-80.</w:t>
      </w:r>
    </w:p>
    <w:p w14:paraId="461B2D9D" w14:textId="77777777" w:rsidR="00DD0999" w:rsidRDefault="00DD0999">
      <w:pPr>
        <w:pStyle w:val="Normal1"/>
      </w:pPr>
      <w:r>
        <w:t>Olson, D.A. and Shultz, K.S., 2019. Lifespan perspectives on successful aging at work. In Work across the Lifespan (pp. 215-234). Academic Press.</w:t>
      </w:r>
    </w:p>
    <w:p w14:paraId="1BB1C724" w14:textId="77777777" w:rsidR="00DD0999" w:rsidRDefault="00DD0999">
      <w:pPr>
        <w:pStyle w:val="Normal1"/>
      </w:pPr>
      <w:r>
        <w:t>Rana, G. and Sharma, R., 2019. Emerging human resource management practices in Industry 4.0. Strategic HR Review.</w:t>
      </w:r>
    </w:p>
    <w:p w14:paraId="0E316129" w14:textId="77777777" w:rsidR="00DD0999" w:rsidRDefault="00DD0999">
      <w:pPr>
        <w:pStyle w:val="Normal1"/>
      </w:pPr>
      <w:r>
        <w:t>Schwartz, J., Hatfield, S., Jones, R. and Anderson, S., 2019. What is the future of work. Redefining work, workforces, and workplaces. Part of A Deloitte Series on the Future of Work.</w:t>
      </w:r>
    </w:p>
    <w:p w14:paraId="17691466" w14:textId="77777777" w:rsidR="00DD0999" w:rsidRDefault="00DD0999">
      <w:pPr>
        <w:pStyle w:val="Normal1"/>
      </w:pPr>
      <w:proofErr w:type="spellStart"/>
      <w:r>
        <w:t>Sivathanu</w:t>
      </w:r>
      <w:proofErr w:type="spellEnd"/>
      <w:r>
        <w:t>, B. and Pillai, R., 2018. Smart HR 4.0–how industry 4.0 is disrupting HR. Human Resource Management International Digest.</w:t>
      </w:r>
    </w:p>
    <w:p w14:paraId="354050DE" w14:textId="77777777" w:rsidR="00DD0999" w:rsidRDefault="00DD0999">
      <w:pPr>
        <w:pStyle w:val="Normal1"/>
      </w:pPr>
      <w:r>
        <w:t xml:space="preserve">Van der Heijden, B., De Vos, A., </w:t>
      </w:r>
      <w:proofErr w:type="spellStart"/>
      <w:r>
        <w:t>Akkermans</w:t>
      </w:r>
      <w:proofErr w:type="spellEnd"/>
      <w:r>
        <w:t xml:space="preserve">, J., </w:t>
      </w:r>
      <w:proofErr w:type="spellStart"/>
      <w:r>
        <w:t>Spurk</w:t>
      </w:r>
      <w:proofErr w:type="spellEnd"/>
      <w:r>
        <w:t xml:space="preserve">, D., </w:t>
      </w:r>
      <w:proofErr w:type="spellStart"/>
      <w:r>
        <w:t>Semeijn</w:t>
      </w:r>
      <w:proofErr w:type="spellEnd"/>
      <w:r>
        <w:t xml:space="preserve">, J., Van der </w:t>
      </w:r>
      <w:proofErr w:type="spellStart"/>
      <w:r>
        <w:t>Veldek</w:t>
      </w:r>
      <w:proofErr w:type="spellEnd"/>
      <w:r>
        <w:t xml:space="preserve">, M. and Fugate, M., 2020. Sustainable careers across the lifespan: Moving the field forward. Journal of Vocational </w:t>
      </w:r>
      <w:proofErr w:type="spellStart"/>
      <w:r>
        <w:t>Behavior</w:t>
      </w:r>
      <w:proofErr w:type="spellEnd"/>
      <w:r>
        <w:t>, 117.</w:t>
      </w:r>
    </w:p>
    <w:p w14:paraId="7F6B16E2" w14:textId="77777777" w:rsidR="00DD0999" w:rsidRDefault="00DD0999">
      <w:pPr>
        <w:pStyle w:val="Normal1"/>
      </w:pPr>
      <w:r>
        <w:t xml:space="preserve">Williamson, S. and Foley, M., 2018. Unconscious bias training: The ‘silver </w:t>
      </w:r>
      <w:proofErr w:type="spellStart"/>
      <w:r>
        <w:t>bullet’for</w:t>
      </w:r>
      <w:proofErr w:type="spellEnd"/>
      <w:r>
        <w:t xml:space="preserve"> gender </w:t>
      </w:r>
      <w:proofErr w:type="gramStart"/>
      <w:r>
        <w:t>equity?.</w:t>
      </w:r>
      <w:proofErr w:type="gramEnd"/>
      <w:r>
        <w:t xml:space="preserve"> Australian Journal of Public Administration, 77(3), pp.355-359.</w:t>
      </w:r>
    </w:p>
    <w:p w14:paraId="4A59CBD2" w14:textId="77777777" w:rsidR="00DD0999" w:rsidRDefault="00DD0999">
      <w:pPr>
        <w:pStyle w:val="Normal1"/>
      </w:pPr>
      <w:r>
        <w:t xml:space="preserve">Zhang, Y., Luo, Y., Zhang, X. and Zhao, J., 2019. How green human resource management can promote green employee </w:t>
      </w:r>
      <w:proofErr w:type="spellStart"/>
      <w:r>
        <w:t>behavior</w:t>
      </w:r>
      <w:proofErr w:type="spellEnd"/>
      <w:r>
        <w:t xml:space="preserve"> in China: A technology acceptance model perspective. Sustainability, 11(19), p.5408.</w:t>
      </w:r>
    </w:p>
    <w:sectPr w:rsidR="00DD0999" w:rsidSect="00DD0999">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76C31" w14:textId="77777777" w:rsidR="00687B03" w:rsidRDefault="00687B03" w:rsidP="00DD0999">
      <w:pPr>
        <w:spacing w:line="240" w:lineRule="auto"/>
      </w:pPr>
      <w:r>
        <w:separator/>
      </w:r>
    </w:p>
  </w:endnote>
  <w:endnote w:type="continuationSeparator" w:id="0">
    <w:p w14:paraId="4036522B" w14:textId="77777777" w:rsidR="00687B03" w:rsidRDefault="00687B03" w:rsidP="00DD09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12520"/>
      <w:docPartObj>
        <w:docPartGallery w:val="Page Numbers (Bottom of Page)"/>
        <w:docPartUnique/>
      </w:docPartObj>
    </w:sdtPr>
    <w:sdtContent>
      <w:p w14:paraId="41C759E0" w14:textId="77777777" w:rsidR="00DD0999" w:rsidRDefault="00A86A87">
        <w:pPr>
          <w:pStyle w:val="Footer"/>
          <w:jc w:val="right"/>
        </w:pPr>
        <w:r>
          <w:fldChar w:fldCharType="begin"/>
        </w:r>
        <w:r>
          <w:instrText xml:space="preserve"> PAGE   \* MERGEFORMAT </w:instrText>
        </w:r>
        <w:r>
          <w:fldChar w:fldCharType="separate"/>
        </w:r>
        <w:r w:rsidR="00DD0999">
          <w:rPr>
            <w:noProof/>
          </w:rPr>
          <w:t>10</w:t>
        </w:r>
        <w:r>
          <w:rPr>
            <w:noProof/>
          </w:rPr>
          <w:fldChar w:fldCharType="end"/>
        </w:r>
      </w:p>
    </w:sdtContent>
  </w:sdt>
  <w:p w14:paraId="17CFB74D" w14:textId="77777777" w:rsidR="00DD0999" w:rsidRDefault="00DD0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41D69" w14:textId="77777777" w:rsidR="00687B03" w:rsidRDefault="00687B03" w:rsidP="00DD0999">
      <w:pPr>
        <w:spacing w:line="240" w:lineRule="auto"/>
      </w:pPr>
      <w:r>
        <w:separator/>
      </w:r>
    </w:p>
  </w:footnote>
  <w:footnote w:type="continuationSeparator" w:id="0">
    <w:p w14:paraId="5027C6BF" w14:textId="77777777" w:rsidR="00687B03" w:rsidRDefault="00687B03" w:rsidP="00DD099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C24"/>
    <w:rsid w:val="00025A82"/>
    <w:rsid w:val="00256BE5"/>
    <w:rsid w:val="00297259"/>
    <w:rsid w:val="00633746"/>
    <w:rsid w:val="00687B03"/>
    <w:rsid w:val="00815787"/>
    <w:rsid w:val="008421BA"/>
    <w:rsid w:val="009F721E"/>
    <w:rsid w:val="00A470D7"/>
    <w:rsid w:val="00A86A87"/>
    <w:rsid w:val="00A87C24"/>
    <w:rsid w:val="00B75A89"/>
    <w:rsid w:val="00BD560D"/>
    <w:rsid w:val="00DC0942"/>
    <w:rsid w:val="00DD09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23FB0"/>
  <w15:docId w15:val="{BBC02621-8061-4D1E-B5A1-D93EAD3B3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A87C24"/>
    <w:pPr>
      <w:keepNext/>
      <w:keepLines/>
      <w:outlineLvl w:val="0"/>
    </w:pPr>
    <w:rPr>
      <w:b/>
      <w:sz w:val="28"/>
      <w:szCs w:val="28"/>
    </w:rPr>
  </w:style>
  <w:style w:type="paragraph" w:styleId="Heading2">
    <w:name w:val="heading 2"/>
    <w:basedOn w:val="Normal1"/>
    <w:next w:val="Normal1"/>
    <w:rsid w:val="00A87C24"/>
    <w:pPr>
      <w:keepNext/>
      <w:keepLines/>
      <w:spacing w:before="360" w:after="120"/>
      <w:outlineLvl w:val="1"/>
    </w:pPr>
    <w:rPr>
      <w:sz w:val="32"/>
      <w:szCs w:val="32"/>
    </w:rPr>
  </w:style>
  <w:style w:type="paragraph" w:styleId="Heading3">
    <w:name w:val="heading 3"/>
    <w:basedOn w:val="Normal1"/>
    <w:next w:val="Normal1"/>
    <w:rsid w:val="00A87C24"/>
    <w:pPr>
      <w:keepNext/>
      <w:keepLines/>
      <w:spacing w:before="320" w:after="80"/>
      <w:outlineLvl w:val="2"/>
    </w:pPr>
    <w:rPr>
      <w:color w:val="434343"/>
      <w:sz w:val="28"/>
      <w:szCs w:val="28"/>
    </w:rPr>
  </w:style>
  <w:style w:type="paragraph" w:styleId="Heading4">
    <w:name w:val="heading 4"/>
    <w:basedOn w:val="Normal1"/>
    <w:next w:val="Normal1"/>
    <w:rsid w:val="00A87C24"/>
    <w:pPr>
      <w:keepNext/>
      <w:keepLines/>
      <w:spacing w:before="280" w:after="80"/>
      <w:outlineLvl w:val="3"/>
    </w:pPr>
    <w:rPr>
      <w:color w:val="666666"/>
    </w:rPr>
  </w:style>
  <w:style w:type="paragraph" w:styleId="Heading5">
    <w:name w:val="heading 5"/>
    <w:basedOn w:val="Normal1"/>
    <w:next w:val="Normal1"/>
    <w:rsid w:val="00A87C24"/>
    <w:pPr>
      <w:keepNext/>
      <w:keepLines/>
      <w:spacing w:before="240" w:after="80"/>
      <w:outlineLvl w:val="4"/>
    </w:pPr>
    <w:rPr>
      <w:color w:val="666666"/>
      <w:sz w:val="22"/>
      <w:szCs w:val="22"/>
    </w:rPr>
  </w:style>
  <w:style w:type="paragraph" w:styleId="Heading6">
    <w:name w:val="heading 6"/>
    <w:basedOn w:val="Normal1"/>
    <w:next w:val="Normal1"/>
    <w:rsid w:val="00A87C2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87C24"/>
  </w:style>
  <w:style w:type="paragraph" w:styleId="Title">
    <w:name w:val="Title"/>
    <w:basedOn w:val="Normal1"/>
    <w:next w:val="Normal1"/>
    <w:rsid w:val="00A87C24"/>
    <w:pPr>
      <w:keepNext/>
      <w:keepLines/>
      <w:spacing w:after="60"/>
    </w:pPr>
    <w:rPr>
      <w:sz w:val="52"/>
      <w:szCs w:val="52"/>
    </w:rPr>
  </w:style>
  <w:style w:type="paragraph" w:styleId="Subtitle">
    <w:name w:val="Subtitle"/>
    <w:basedOn w:val="Normal1"/>
    <w:next w:val="Normal1"/>
    <w:rsid w:val="00A87C24"/>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DD0999"/>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DD0999"/>
    <w:pPr>
      <w:spacing w:after="100"/>
    </w:pPr>
  </w:style>
  <w:style w:type="character" w:styleId="Hyperlink">
    <w:name w:val="Hyperlink"/>
    <w:basedOn w:val="DefaultParagraphFont"/>
    <w:uiPriority w:val="99"/>
    <w:unhideWhenUsed/>
    <w:rsid w:val="00DD0999"/>
    <w:rPr>
      <w:color w:val="0000FF" w:themeColor="hyperlink"/>
      <w:u w:val="single"/>
    </w:rPr>
  </w:style>
  <w:style w:type="paragraph" w:styleId="BalloonText">
    <w:name w:val="Balloon Text"/>
    <w:basedOn w:val="Normal"/>
    <w:link w:val="BalloonTextChar"/>
    <w:uiPriority w:val="99"/>
    <w:semiHidden/>
    <w:unhideWhenUsed/>
    <w:rsid w:val="00DD09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999"/>
    <w:rPr>
      <w:rFonts w:ascii="Tahoma" w:hAnsi="Tahoma" w:cs="Tahoma"/>
      <w:sz w:val="16"/>
      <w:szCs w:val="16"/>
    </w:rPr>
  </w:style>
  <w:style w:type="paragraph" w:styleId="Header">
    <w:name w:val="header"/>
    <w:basedOn w:val="Normal"/>
    <w:link w:val="HeaderChar"/>
    <w:uiPriority w:val="99"/>
    <w:unhideWhenUsed/>
    <w:rsid w:val="00DD0999"/>
    <w:pPr>
      <w:tabs>
        <w:tab w:val="center" w:pos="4680"/>
        <w:tab w:val="right" w:pos="9360"/>
      </w:tabs>
      <w:spacing w:line="240" w:lineRule="auto"/>
    </w:pPr>
  </w:style>
  <w:style w:type="character" w:customStyle="1" w:styleId="HeaderChar">
    <w:name w:val="Header Char"/>
    <w:basedOn w:val="DefaultParagraphFont"/>
    <w:link w:val="Header"/>
    <w:uiPriority w:val="99"/>
    <w:rsid w:val="00DD0999"/>
  </w:style>
  <w:style w:type="paragraph" w:styleId="Footer">
    <w:name w:val="footer"/>
    <w:basedOn w:val="Normal"/>
    <w:link w:val="FooterChar"/>
    <w:uiPriority w:val="99"/>
    <w:unhideWhenUsed/>
    <w:rsid w:val="00DD0999"/>
    <w:pPr>
      <w:tabs>
        <w:tab w:val="center" w:pos="4680"/>
        <w:tab w:val="right" w:pos="9360"/>
      </w:tabs>
      <w:spacing w:line="240" w:lineRule="auto"/>
    </w:pPr>
  </w:style>
  <w:style w:type="character" w:customStyle="1" w:styleId="FooterChar">
    <w:name w:val="Footer Char"/>
    <w:basedOn w:val="DefaultParagraphFont"/>
    <w:link w:val="Footer"/>
    <w:uiPriority w:val="99"/>
    <w:rsid w:val="00DD09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32E85-B83A-4A6D-BAEC-EB3969763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2527</Words>
  <Characters>14408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PARTHA</dc:creator>
  <cp:lastModifiedBy>Emanuela Simon (2108561)</cp:lastModifiedBy>
  <cp:revision>8</cp:revision>
  <dcterms:created xsi:type="dcterms:W3CDTF">2022-10-26T20:10:00Z</dcterms:created>
  <dcterms:modified xsi:type="dcterms:W3CDTF">2022-10-26T22:42:00Z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0ac26bb2fd7a8b1ab3e171ce02f16afa04c1899c3ab97bdae728e9614e1d8c50</vt:lpwstr>
  </property>
</Properties>
</file>