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1A214" w14:textId="77777777" w:rsidR="00F812FA" w:rsidRDefault="00F812FA" w:rsidP="00F812FA">
      <w:pPr>
        <w:pStyle w:val="NormalWeb"/>
        <w:spacing w:before="0" w:beforeAutospacing="0" w:after="0" w:afterAutospacing="0"/>
        <w:ind w:left="-180" w:right="-334"/>
      </w:pPr>
      <w:r>
        <w:rPr>
          <w:noProof/>
        </w:rPr>
        <w:drawing>
          <wp:inline distT="0" distB="0" distL="0" distR="0" wp14:anchorId="1C817254" wp14:editId="2D0BBAF6">
            <wp:extent cx="1905000" cy="632460"/>
            <wp:effectExtent l="19050" t="19050" r="19050" b="15240"/>
            <wp:docPr id="503743490"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743490"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6F63A338" w14:textId="77777777" w:rsidR="00F812FA" w:rsidRDefault="00F812FA" w:rsidP="00F812FA">
      <w:pPr>
        <w:pStyle w:val="NormalWeb"/>
        <w:spacing w:before="0" w:beforeAutospacing="0" w:after="0" w:afterAutospacing="0"/>
        <w:ind w:left="-180" w:right="-334"/>
      </w:pPr>
    </w:p>
    <w:p w14:paraId="5C797FE5" w14:textId="77777777" w:rsidR="00F812FA" w:rsidRDefault="00F812FA" w:rsidP="00F812FA">
      <w:pPr>
        <w:pStyle w:val="NormalWeb"/>
        <w:spacing w:before="0" w:beforeAutospacing="0" w:after="0" w:afterAutospacing="0"/>
        <w:ind w:left="-180" w:right="-334"/>
      </w:pPr>
    </w:p>
    <w:p w14:paraId="3C2C6B67" w14:textId="77777777" w:rsidR="00F812FA" w:rsidRDefault="00F812FA" w:rsidP="00F812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F2127E3" w14:textId="77777777" w:rsidR="00F812FA" w:rsidRPr="00230F35" w:rsidRDefault="00F812FA" w:rsidP="00F812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603DE4D" w14:textId="77777777" w:rsidR="00F812FA" w:rsidRPr="00230F35" w:rsidRDefault="00F812FA" w:rsidP="00F812FA">
      <w:pPr>
        <w:rPr>
          <w:rFonts w:ascii="Arial" w:hAnsi="Arial" w:cs="Arial"/>
          <w:sz w:val="28"/>
          <w:szCs w:val="28"/>
          <w:lang w:val="cy-GB"/>
        </w:rPr>
      </w:pPr>
    </w:p>
    <w:p w14:paraId="5D73D13D" w14:textId="77777777" w:rsidR="00F812FA" w:rsidRDefault="00F812FA" w:rsidP="00F812FA">
      <w:pPr>
        <w:pStyle w:val="Heading3"/>
        <w:jc w:val="center"/>
        <w:rPr>
          <w:lang w:val="cy-GB"/>
        </w:rPr>
      </w:pPr>
      <w:r>
        <w:rPr>
          <w:lang w:val="cy-GB"/>
        </w:rPr>
        <w:t>THIS SHEET MUST BE THE FIRST PAGE OF THE ASSIGNMENT YOU ARE SUBMITTING  (DO NOT SEND AS A SEPARATE FILE)</w:t>
      </w:r>
    </w:p>
    <w:p w14:paraId="3F2F03E0" w14:textId="77777777" w:rsidR="00F812FA" w:rsidRDefault="00F812FA" w:rsidP="00F812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812FA" w:rsidRPr="00230F35" w14:paraId="6D7B6392" w14:textId="77777777" w:rsidTr="00886B26">
        <w:trPr>
          <w:trHeight w:val="614"/>
        </w:trPr>
        <w:tc>
          <w:tcPr>
            <w:tcW w:w="8856" w:type="dxa"/>
            <w:gridSpan w:val="5"/>
          </w:tcPr>
          <w:p w14:paraId="09B485BD"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812FA" w:rsidRPr="00230F35" w14:paraId="2C412E87" w14:textId="77777777" w:rsidTr="00886B26">
        <w:trPr>
          <w:trHeight w:val="718"/>
        </w:trPr>
        <w:tc>
          <w:tcPr>
            <w:tcW w:w="8856" w:type="dxa"/>
            <w:gridSpan w:val="5"/>
          </w:tcPr>
          <w:p w14:paraId="31A7D5EB"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 Scannell</w:t>
            </w:r>
          </w:p>
          <w:p w14:paraId="0EC67835" w14:textId="77777777" w:rsidR="00F812FA" w:rsidRPr="00230F35" w:rsidRDefault="00F812FA" w:rsidP="00886B26">
            <w:pPr>
              <w:pStyle w:val="NormalWeb"/>
              <w:spacing w:before="0" w:beforeAutospacing="0" w:after="0" w:afterAutospacing="0"/>
              <w:ind w:right="34"/>
              <w:rPr>
                <w:rFonts w:ascii="Arial" w:hAnsi="Arial" w:cs="Arial"/>
                <w:sz w:val="22"/>
                <w:szCs w:val="22"/>
              </w:rPr>
            </w:pPr>
          </w:p>
          <w:p w14:paraId="6EFE48F1"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C50D1E">
              <w:rPr>
                <w:rFonts w:ascii="Arial" w:hAnsi="Arial" w:cs="Arial"/>
                <w:sz w:val="22"/>
                <w:szCs w:val="22"/>
              </w:rPr>
              <w:t>2409308</w:t>
            </w:r>
            <w:r>
              <w:rPr>
                <w:rFonts w:ascii="Arial" w:hAnsi="Arial" w:cs="Arial"/>
                <w:sz w:val="22"/>
                <w:szCs w:val="22"/>
              </w:rPr>
              <w:t>@student.uwtsd.ac.uk</w:t>
            </w:r>
          </w:p>
        </w:tc>
      </w:tr>
      <w:tr w:rsidR="00F812FA" w:rsidRPr="00230F35" w14:paraId="1E5F5FAF" w14:textId="77777777" w:rsidTr="00886B26">
        <w:trPr>
          <w:trHeight w:val="849"/>
        </w:trPr>
        <w:tc>
          <w:tcPr>
            <w:tcW w:w="4788" w:type="dxa"/>
          </w:tcPr>
          <w:p w14:paraId="5BA2B6F3"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074921">
              <w:t xml:space="preserve"> </w:t>
            </w:r>
            <w:r>
              <w:t xml:space="preserve"> </w:t>
            </w:r>
            <w:r w:rsidRPr="00074921">
              <w:t>HPC</w:t>
            </w:r>
            <w:r>
              <w:t>A7015</w:t>
            </w:r>
          </w:p>
          <w:p w14:paraId="0C51742D" w14:textId="77777777" w:rsidR="00F812FA" w:rsidRPr="00230F35" w:rsidRDefault="00F812FA" w:rsidP="00886B26">
            <w:pPr>
              <w:pStyle w:val="NormalWeb"/>
              <w:spacing w:before="0" w:beforeAutospacing="0" w:after="0" w:afterAutospacing="0"/>
              <w:ind w:right="34"/>
              <w:rPr>
                <w:rFonts w:ascii="Arial" w:hAnsi="Arial" w:cs="Arial"/>
                <w:sz w:val="22"/>
                <w:szCs w:val="22"/>
              </w:rPr>
            </w:pPr>
          </w:p>
          <w:p w14:paraId="2BE2AB67"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of Cultural Astronomy and Astrology</w:t>
            </w:r>
          </w:p>
          <w:p w14:paraId="31D66C14" w14:textId="77777777" w:rsidR="00F812FA" w:rsidRDefault="00F812FA" w:rsidP="00886B26">
            <w:pPr>
              <w:pStyle w:val="NormalWeb"/>
              <w:spacing w:before="0" w:beforeAutospacing="0" w:after="0" w:afterAutospacing="0"/>
              <w:ind w:right="34"/>
              <w:rPr>
                <w:rFonts w:ascii="Arial" w:hAnsi="Arial" w:cs="Arial"/>
                <w:sz w:val="22"/>
                <w:szCs w:val="22"/>
              </w:rPr>
            </w:pPr>
          </w:p>
          <w:p w14:paraId="09FD170E" w14:textId="77777777" w:rsidR="00F812FA" w:rsidRPr="00230F35" w:rsidRDefault="00F812FA" w:rsidP="00886B26">
            <w:pPr>
              <w:pStyle w:val="NormalWeb"/>
              <w:spacing w:before="0" w:beforeAutospacing="0" w:after="0" w:afterAutospacing="0"/>
              <w:ind w:right="34"/>
              <w:rPr>
                <w:rFonts w:ascii="Arial" w:hAnsi="Arial" w:cs="Arial"/>
                <w:sz w:val="22"/>
                <w:szCs w:val="22"/>
              </w:rPr>
            </w:pPr>
          </w:p>
        </w:tc>
        <w:tc>
          <w:tcPr>
            <w:tcW w:w="2266" w:type="dxa"/>
            <w:gridSpan w:val="3"/>
          </w:tcPr>
          <w:p w14:paraId="4D6A3B1E"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F6ACF3A" w14:textId="77777777" w:rsidR="00F812FA" w:rsidRDefault="00F812FA" w:rsidP="00886B26">
            <w:pPr>
              <w:pStyle w:val="NormalWeb"/>
              <w:spacing w:before="0" w:beforeAutospacing="0" w:after="0" w:afterAutospacing="0"/>
              <w:ind w:right="34"/>
              <w:rPr>
                <w:rFonts w:ascii="Arial" w:hAnsi="Arial" w:cs="Arial"/>
                <w:sz w:val="22"/>
                <w:szCs w:val="22"/>
              </w:rPr>
            </w:pPr>
          </w:p>
          <w:p w14:paraId="3F9CE266"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C50D1E">
              <w:rPr>
                <w:rFonts w:ascii="Arial" w:hAnsi="Arial" w:cs="Arial"/>
                <w:sz w:val="22"/>
                <w:szCs w:val="22"/>
              </w:rPr>
              <w:t>2409308</w:t>
            </w:r>
          </w:p>
        </w:tc>
        <w:tc>
          <w:tcPr>
            <w:tcW w:w="1802" w:type="dxa"/>
          </w:tcPr>
          <w:p w14:paraId="00A6467D"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EADE50" w14:textId="77777777" w:rsidR="00F812FA" w:rsidRPr="000F3255" w:rsidRDefault="00F812FA" w:rsidP="00886B26">
            <w:pPr>
              <w:pStyle w:val="NormalWeb"/>
              <w:spacing w:before="0" w:beforeAutospacing="0" w:after="0" w:afterAutospacing="0"/>
              <w:ind w:right="34"/>
              <w:rPr>
                <w:rFonts w:ascii="Arial" w:hAnsi="Arial" w:cs="Arial"/>
                <w:b/>
                <w:bCs/>
                <w:sz w:val="22"/>
                <w:szCs w:val="22"/>
                <w:u w:val="single"/>
              </w:rPr>
            </w:pPr>
            <w:r w:rsidRPr="000F3255">
              <w:rPr>
                <w:rFonts w:ascii="Arial" w:hAnsi="Arial" w:cs="Arial"/>
                <w:sz w:val="22"/>
                <w:szCs w:val="22"/>
              </w:rPr>
              <w:t>Yes/</w:t>
            </w:r>
            <w:r w:rsidRPr="000F3255">
              <w:rPr>
                <w:rFonts w:ascii="Arial" w:hAnsi="Arial" w:cs="Arial"/>
                <w:b/>
                <w:bCs/>
                <w:sz w:val="22"/>
                <w:szCs w:val="22"/>
                <w:u w:val="single"/>
              </w:rPr>
              <w:t>No</w:t>
            </w:r>
          </w:p>
        </w:tc>
      </w:tr>
      <w:tr w:rsidR="00F812FA" w:rsidRPr="00230F35" w14:paraId="3443AC93" w14:textId="77777777" w:rsidTr="00886B26">
        <w:trPr>
          <w:trHeight w:val="1139"/>
        </w:trPr>
        <w:tc>
          <w:tcPr>
            <w:tcW w:w="8856" w:type="dxa"/>
            <w:gridSpan w:val="5"/>
          </w:tcPr>
          <w:p w14:paraId="4BE67986" w14:textId="77777777" w:rsidR="00F812FA" w:rsidRPr="00172C1B" w:rsidRDefault="00F812FA" w:rsidP="00886B26">
            <w:pPr>
              <w:rPr>
                <w:rFonts w:cs="Arial"/>
              </w:rPr>
            </w:pPr>
            <w:r w:rsidRPr="00230F35">
              <w:rPr>
                <w:rFonts w:ascii="Arial" w:hAnsi="Arial" w:cs="Arial"/>
                <w:sz w:val="22"/>
                <w:szCs w:val="22"/>
              </w:rPr>
              <w:t>Assignment title</w:t>
            </w:r>
            <w:r w:rsidRPr="00172C1B">
              <w:rPr>
                <w:rFonts w:ascii="Arial" w:hAnsi="Arial" w:cs="Arial"/>
                <w:sz w:val="22"/>
                <w:szCs w:val="22"/>
              </w:rPr>
              <w:t xml:space="preserve">:  </w:t>
            </w:r>
            <w:r w:rsidRPr="00172C1B">
              <w:t xml:space="preserve">Using </w:t>
            </w:r>
            <w:r>
              <w:t>O</w:t>
            </w:r>
            <w:r w:rsidRPr="00172C1B">
              <w:t xml:space="preserve">ne or </w:t>
            </w:r>
            <w:r>
              <w:t>M</w:t>
            </w:r>
            <w:r w:rsidRPr="00172C1B">
              <w:t xml:space="preserve">ore </w:t>
            </w:r>
            <w:r>
              <w:t>E</w:t>
            </w:r>
            <w:r w:rsidRPr="00172C1B">
              <w:t xml:space="preserve">xamples </w:t>
            </w:r>
            <w:r>
              <w:t>R</w:t>
            </w:r>
            <w:r w:rsidRPr="00172C1B">
              <w:t xml:space="preserve">eferenced in </w:t>
            </w:r>
            <w:r>
              <w:t>S</w:t>
            </w:r>
            <w:r w:rsidRPr="00172C1B">
              <w:t xml:space="preserve">econdary </w:t>
            </w:r>
            <w:r>
              <w:t>S</w:t>
            </w:r>
            <w:r w:rsidRPr="00172C1B">
              <w:t xml:space="preserve">ources, </w:t>
            </w:r>
            <w:r>
              <w:t>C</w:t>
            </w:r>
            <w:r w:rsidRPr="00172C1B">
              <w:t xml:space="preserve">ritically </w:t>
            </w:r>
            <w:r>
              <w:t>E</w:t>
            </w:r>
            <w:r w:rsidRPr="00172C1B">
              <w:t xml:space="preserve">xamine the </w:t>
            </w:r>
            <w:r>
              <w:t>C</w:t>
            </w:r>
            <w:r w:rsidRPr="00172C1B">
              <w:t xml:space="preserve">ultural </w:t>
            </w:r>
            <w:r>
              <w:t>C</w:t>
            </w:r>
            <w:r w:rsidRPr="00172C1B">
              <w:t xml:space="preserve">onsequences or </w:t>
            </w:r>
            <w:r>
              <w:t>A</w:t>
            </w:r>
            <w:r w:rsidRPr="00172C1B">
              <w:t>daptation of</w:t>
            </w:r>
            <w:r>
              <w:t>,</w:t>
            </w:r>
            <w:r w:rsidRPr="00172C1B">
              <w:t xml:space="preserve"> the </w:t>
            </w:r>
            <w:r>
              <w:t>U</w:t>
            </w:r>
            <w:r w:rsidRPr="00172C1B">
              <w:t xml:space="preserve">se of, or </w:t>
            </w:r>
            <w:r>
              <w:t>B</w:t>
            </w:r>
            <w:r w:rsidRPr="00172C1B">
              <w:t xml:space="preserve">elief in, the </w:t>
            </w:r>
            <w:r>
              <w:t>S</w:t>
            </w:r>
            <w:r w:rsidRPr="00172C1B">
              <w:t xml:space="preserve">ignificance of </w:t>
            </w:r>
            <w:r>
              <w:t>A</w:t>
            </w:r>
            <w:r w:rsidRPr="00172C1B">
              <w:t xml:space="preserve">stronomical </w:t>
            </w:r>
            <w:r>
              <w:t>C</w:t>
            </w:r>
            <w:r w:rsidRPr="00172C1B">
              <w:t xml:space="preserve">ycles. </w:t>
            </w:r>
          </w:p>
          <w:p w14:paraId="63D0E607" w14:textId="77777777" w:rsidR="00F812FA" w:rsidRDefault="00F812FA" w:rsidP="00886B26">
            <w:pPr>
              <w:pStyle w:val="NormalWeb"/>
              <w:spacing w:before="0" w:beforeAutospacing="0" w:after="0" w:afterAutospacing="0"/>
              <w:ind w:right="34"/>
              <w:rPr>
                <w:rFonts w:ascii="Arial" w:hAnsi="Arial" w:cs="Arial"/>
                <w:sz w:val="22"/>
                <w:szCs w:val="22"/>
              </w:rPr>
            </w:pPr>
          </w:p>
          <w:p w14:paraId="601582B1"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6, 2025</w:t>
            </w:r>
          </w:p>
        </w:tc>
      </w:tr>
      <w:tr w:rsidR="00F812FA" w:rsidRPr="00230F35" w14:paraId="743AE83D" w14:textId="77777777" w:rsidTr="00886B26">
        <w:trPr>
          <w:trHeight w:val="978"/>
        </w:trPr>
        <w:tc>
          <w:tcPr>
            <w:tcW w:w="8856" w:type="dxa"/>
            <w:gridSpan w:val="5"/>
            <w:tcBorders>
              <w:bottom w:val="single" w:sz="4" w:space="0" w:color="000000"/>
            </w:tcBorders>
          </w:tcPr>
          <w:p w14:paraId="234048F0" w14:textId="77777777" w:rsidR="00F812FA" w:rsidRPr="00230F35" w:rsidRDefault="00F812FA" w:rsidP="00886B2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Pr>
                <w:rFonts w:ascii="Arial" w:hAnsi="Arial" w:cs="Arial"/>
                <w:sz w:val="22"/>
                <w:szCs w:val="22"/>
                <w:vertAlign w:val="superscript"/>
              </w:rPr>
              <w:t xml:space="preserve">  </w:t>
            </w:r>
            <w:r w:rsidRPr="001D34E7">
              <w:rPr>
                <w:rFonts w:ascii="Arial" w:hAnsi="Arial" w:cs="Arial"/>
                <w:b/>
                <w:bCs/>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812FA" w:rsidRPr="00230F35" w14:paraId="7DB5B9D8" w14:textId="77777777" w:rsidTr="00886B26">
        <w:trPr>
          <w:trHeight w:val="978"/>
        </w:trPr>
        <w:tc>
          <w:tcPr>
            <w:tcW w:w="8856" w:type="dxa"/>
            <w:gridSpan w:val="5"/>
            <w:shd w:val="clear" w:color="auto" w:fill="D9D9D9"/>
          </w:tcPr>
          <w:p w14:paraId="12EC7030"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3989704"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Beth Scannell</w:t>
            </w:r>
            <w:r w:rsidRPr="00230F35">
              <w:rPr>
                <w:rFonts w:ascii="Arial" w:hAnsi="Arial" w:cs="Arial"/>
                <w:sz w:val="22"/>
                <w:szCs w:val="22"/>
              </w:rPr>
              <w:t>………………………………………………………</w:t>
            </w:r>
          </w:p>
          <w:p w14:paraId="5FE6230F" w14:textId="77777777" w:rsidR="00F812FA" w:rsidRDefault="00F812FA" w:rsidP="00886B2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1ADBCF8B" w14:textId="77777777" w:rsidR="00F812FA" w:rsidRPr="00230F35" w:rsidRDefault="00F812FA" w:rsidP="00886B2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812FA" w:rsidRPr="00230F35" w14:paraId="78632366" w14:textId="77777777" w:rsidTr="00886B26">
        <w:trPr>
          <w:trHeight w:val="3972"/>
        </w:trPr>
        <w:tc>
          <w:tcPr>
            <w:tcW w:w="8856" w:type="dxa"/>
            <w:gridSpan w:val="5"/>
          </w:tcPr>
          <w:p w14:paraId="3FA79612" w14:textId="77777777" w:rsidR="00F812FA" w:rsidRDefault="00F812FA" w:rsidP="00886B26">
            <w:pPr>
              <w:rPr>
                <w:rFonts w:ascii="Arial" w:hAnsi="Arial"/>
                <w:b/>
              </w:rPr>
            </w:pPr>
          </w:p>
          <w:p w14:paraId="1B34FB18" w14:textId="77777777" w:rsidR="00F812FA" w:rsidRPr="00116CE6" w:rsidRDefault="00F812FA" w:rsidP="00886B2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812FA" w:rsidRPr="00116CE6" w14:paraId="7A432F9C" w14:textId="77777777" w:rsidTr="00886B26">
              <w:tc>
                <w:tcPr>
                  <w:tcW w:w="6970" w:type="dxa"/>
                </w:tcPr>
                <w:p w14:paraId="5A91974B" w14:textId="77777777" w:rsidR="00F812FA" w:rsidRPr="00116CE6" w:rsidRDefault="00F812FA" w:rsidP="00886B26">
                  <w:pPr>
                    <w:rPr>
                      <w:rFonts w:ascii="Arial" w:hAnsi="Arial"/>
                      <w:sz w:val="20"/>
                      <w:szCs w:val="20"/>
                    </w:rPr>
                  </w:pPr>
                </w:p>
                <w:p w14:paraId="1E65EE57" w14:textId="77777777" w:rsidR="00F812FA" w:rsidRPr="00116CE6" w:rsidRDefault="00F812FA" w:rsidP="00886B2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7754E21" w14:textId="77777777" w:rsidR="00F812FA" w:rsidRPr="00116CE6" w:rsidRDefault="00F812FA" w:rsidP="00886B26">
                  <w:pPr>
                    <w:rPr>
                      <w:rFonts w:ascii="Arial" w:hAnsi="Arial"/>
                      <w:sz w:val="20"/>
                      <w:szCs w:val="20"/>
                    </w:rPr>
                  </w:pPr>
                </w:p>
              </w:tc>
            </w:tr>
            <w:tr w:rsidR="00F812FA" w:rsidRPr="00116CE6" w14:paraId="1869B853" w14:textId="77777777" w:rsidTr="00886B26">
              <w:tc>
                <w:tcPr>
                  <w:tcW w:w="6970" w:type="dxa"/>
                </w:tcPr>
                <w:p w14:paraId="7E867BE3" w14:textId="77777777" w:rsidR="00F812FA" w:rsidRPr="00116CE6" w:rsidRDefault="00F812FA" w:rsidP="00886B26">
                  <w:pPr>
                    <w:rPr>
                      <w:rFonts w:ascii="Arial" w:hAnsi="Arial"/>
                      <w:sz w:val="20"/>
                      <w:szCs w:val="20"/>
                    </w:rPr>
                  </w:pPr>
                </w:p>
                <w:p w14:paraId="084BBC5D" w14:textId="77777777" w:rsidR="00F812FA" w:rsidRPr="00116CE6" w:rsidRDefault="00F812FA" w:rsidP="00886B2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C85E9DD" w14:textId="77777777" w:rsidR="00F812FA" w:rsidRPr="00116CE6" w:rsidRDefault="00F812FA" w:rsidP="00886B26">
                  <w:pPr>
                    <w:rPr>
                      <w:rFonts w:ascii="Arial" w:hAnsi="Arial"/>
                      <w:sz w:val="20"/>
                      <w:szCs w:val="20"/>
                    </w:rPr>
                  </w:pPr>
                </w:p>
              </w:tc>
            </w:tr>
            <w:tr w:rsidR="00F812FA" w:rsidRPr="00116CE6" w14:paraId="26D6D8C5" w14:textId="77777777" w:rsidTr="00886B26">
              <w:tc>
                <w:tcPr>
                  <w:tcW w:w="6970" w:type="dxa"/>
                </w:tcPr>
                <w:p w14:paraId="2AD1175A" w14:textId="77777777" w:rsidR="00F812FA" w:rsidRPr="00116CE6" w:rsidRDefault="00F812FA" w:rsidP="00886B26">
                  <w:pPr>
                    <w:rPr>
                      <w:rFonts w:ascii="Arial" w:hAnsi="Arial"/>
                      <w:sz w:val="20"/>
                      <w:szCs w:val="20"/>
                    </w:rPr>
                  </w:pPr>
                </w:p>
                <w:p w14:paraId="3279B150" w14:textId="77777777" w:rsidR="00F812FA" w:rsidRPr="00116CE6" w:rsidRDefault="00F812FA" w:rsidP="00886B2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9406D5" w14:textId="77777777" w:rsidR="00F812FA" w:rsidRPr="00116CE6" w:rsidRDefault="00F812FA" w:rsidP="00886B26">
                  <w:pPr>
                    <w:rPr>
                      <w:rFonts w:ascii="Arial" w:hAnsi="Arial"/>
                      <w:sz w:val="20"/>
                      <w:szCs w:val="20"/>
                    </w:rPr>
                  </w:pPr>
                </w:p>
              </w:tc>
            </w:tr>
            <w:tr w:rsidR="00F812FA" w:rsidRPr="00116CE6" w14:paraId="1A481501" w14:textId="77777777" w:rsidTr="00886B26">
              <w:tc>
                <w:tcPr>
                  <w:tcW w:w="6970" w:type="dxa"/>
                </w:tcPr>
                <w:p w14:paraId="1B46CAAC" w14:textId="77777777" w:rsidR="00F812FA" w:rsidRDefault="00F812FA" w:rsidP="00886B26">
                  <w:pPr>
                    <w:rPr>
                      <w:rFonts w:ascii="Arial" w:hAnsi="Arial"/>
                      <w:sz w:val="20"/>
                      <w:szCs w:val="20"/>
                    </w:rPr>
                  </w:pPr>
                </w:p>
                <w:p w14:paraId="05D9E3F2" w14:textId="77777777" w:rsidR="00F812FA" w:rsidRPr="00022345" w:rsidRDefault="00F812FA" w:rsidP="00886B26">
                  <w:pPr>
                    <w:rPr>
                      <w:rFonts w:ascii="Arial" w:hAnsi="Arial"/>
                      <w:b/>
                      <w:sz w:val="20"/>
                      <w:szCs w:val="20"/>
                    </w:rPr>
                  </w:pPr>
                  <w:r w:rsidRPr="00022345">
                    <w:rPr>
                      <w:rFonts w:ascii="Arial" w:hAnsi="Arial"/>
                      <w:b/>
                      <w:sz w:val="20"/>
                      <w:szCs w:val="20"/>
                    </w:rPr>
                    <w:t>Final Mark</w:t>
                  </w:r>
                </w:p>
                <w:p w14:paraId="130A6045" w14:textId="77777777" w:rsidR="00F812FA" w:rsidRPr="00116CE6" w:rsidRDefault="00F812FA" w:rsidP="00886B26">
                  <w:pPr>
                    <w:rPr>
                      <w:rFonts w:ascii="Arial" w:hAnsi="Arial"/>
                      <w:sz w:val="20"/>
                      <w:szCs w:val="20"/>
                    </w:rPr>
                  </w:pPr>
                </w:p>
              </w:tc>
              <w:tc>
                <w:tcPr>
                  <w:tcW w:w="1660" w:type="dxa"/>
                </w:tcPr>
                <w:p w14:paraId="101BEC62" w14:textId="77777777" w:rsidR="00F812FA" w:rsidRPr="00116CE6" w:rsidRDefault="00F812FA" w:rsidP="00886B26">
                  <w:pPr>
                    <w:rPr>
                      <w:rFonts w:ascii="Arial" w:hAnsi="Arial"/>
                      <w:sz w:val="20"/>
                      <w:szCs w:val="20"/>
                    </w:rPr>
                  </w:pPr>
                </w:p>
              </w:tc>
            </w:tr>
          </w:tbl>
          <w:p w14:paraId="5A5A7555" w14:textId="77777777" w:rsidR="00F812FA" w:rsidRDefault="00F812FA" w:rsidP="00886B26">
            <w:pPr>
              <w:pStyle w:val="NormalWeb"/>
              <w:spacing w:before="0" w:beforeAutospacing="0" w:after="0" w:afterAutospacing="0"/>
              <w:ind w:left="142" w:right="34"/>
              <w:rPr>
                <w:rFonts w:ascii="Arial" w:hAnsi="Arial" w:cs="Arial"/>
                <w:b/>
                <w:sz w:val="22"/>
                <w:szCs w:val="22"/>
              </w:rPr>
            </w:pPr>
          </w:p>
          <w:p w14:paraId="5B541548" w14:textId="77777777" w:rsidR="00F812FA" w:rsidRPr="00230F35" w:rsidRDefault="00F812FA" w:rsidP="00886B2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C153C2" w14:textId="77777777" w:rsidR="00F812FA" w:rsidRDefault="00F812FA" w:rsidP="00886B26">
            <w:pPr>
              <w:pStyle w:val="NormalWeb"/>
              <w:spacing w:before="0" w:beforeAutospacing="0" w:after="0" w:afterAutospacing="0"/>
              <w:rPr>
                <w:rFonts w:ascii="Arial" w:hAnsi="Arial" w:cs="Arial"/>
                <w:b/>
                <w:sz w:val="22"/>
                <w:szCs w:val="22"/>
              </w:rPr>
            </w:pPr>
          </w:p>
          <w:p w14:paraId="6AB702D4" w14:textId="77777777" w:rsidR="00F812FA" w:rsidRDefault="00F812FA" w:rsidP="00886B26">
            <w:pPr>
              <w:pStyle w:val="NormalWeb"/>
              <w:spacing w:before="0" w:beforeAutospacing="0" w:after="0" w:afterAutospacing="0"/>
              <w:rPr>
                <w:rFonts w:ascii="Arial" w:hAnsi="Arial" w:cs="Arial"/>
                <w:b/>
                <w:sz w:val="22"/>
                <w:szCs w:val="22"/>
              </w:rPr>
            </w:pPr>
          </w:p>
          <w:p w14:paraId="09F4788E" w14:textId="77777777" w:rsidR="00F812FA" w:rsidRDefault="00F812FA" w:rsidP="00886B26">
            <w:pPr>
              <w:pStyle w:val="NormalWeb"/>
              <w:spacing w:before="0" w:beforeAutospacing="0" w:after="0" w:afterAutospacing="0"/>
              <w:rPr>
                <w:rFonts w:ascii="Arial" w:hAnsi="Arial" w:cs="Arial"/>
                <w:b/>
                <w:sz w:val="22"/>
                <w:szCs w:val="22"/>
              </w:rPr>
            </w:pPr>
          </w:p>
          <w:p w14:paraId="02C18488" w14:textId="77777777" w:rsidR="00F812FA" w:rsidRDefault="00F812FA" w:rsidP="00886B26">
            <w:pPr>
              <w:pStyle w:val="NormalWeb"/>
              <w:spacing w:before="0" w:beforeAutospacing="0" w:after="0" w:afterAutospacing="0"/>
              <w:rPr>
                <w:rFonts w:ascii="Arial" w:hAnsi="Arial" w:cs="Arial"/>
                <w:b/>
                <w:sz w:val="22"/>
                <w:szCs w:val="22"/>
              </w:rPr>
            </w:pPr>
          </w:p>
          <w:p w14:paraId="5505F793" w14:textId="77777777" w:rsidR="00F812FA" w:rsidRDefault="00F812FA" w:rsidP="00886B26">
            <w:pPr>
              <w:pStyle w:val="NormalWeb"/>
              <w:spacing w:before="0" w:beforeAutospacing="0" w:after="0" w:afterAutospacing="0"/>
              <w:rPr>
                <w:rFonts w:ascii="Arial" w:hAnsi="Arial" w:cs="Arial"/>
                <w:b/>
                <w:sz w:val="22"/>
                <w:szCs w:val="22"/>
              </w:rPr>
            </w:pPr>
          </w:p>
          <w:p w14:paraId="60F795A6" w14:textId="77777777" w:rsidR="00F812FA" w:rsidRPr="00230F35" w:rsidRDefault="00F812FA" w:rsidP="00886B2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534EA95" w14:textId="77777777" w:rsidR="00F812FA" w:rsidRDefault="00F812FA" w:rsidP="00886B2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181179" w14:textId="77777777" w:rsidR="00F812FA" w:rsidRPr="00001C3B" w:rsidRDefault="00F812FA" w:rsidP="00886B26">
            <w:pPr>
              <w:pStyle w:val="NormalWeb"/>
              <w:rPr>
                <w:rFonts w:ascii="Arial" w:hAnsi="Arial" w:cs="Arial"/>
                <w:sz w:val="22"/>
                <w:szCs w:val="22"/>
              </w:rPr>
            </w:pPr>
          </w:p>
        </w:tc>
      </w:tr>
      <w:tr w:rsidR="00F812FA" w:rsidRPr="00230F35" w14:paraId="6AAF98B9" w14:textId="77777777" w:rsidTr="00886B26">
        <w:trPr>
          <w:trHeight w:val="492"/>
        </w:trPr>
        <w:tc>
          <w:tcPr>
            <w:tcW w:w="6768" w:type="dxa"/>
            <w:gridSpan w:val="3"/>
          </w:tcPr>
          <w:p w14:paraId="0E51F519" w14:textId="77777777" w:rsidR="00F812FA" w:rsidRPr="00230F35" w:rsidRDefault="00F812FA" w:rsidP="00886B2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9346911" w14:textId="77777777" w:rsidR="00F812FA" w:rsidRPr="00230F35" w:rsidRDefault="00F812FA" w:rsidP="00886B26">
            <w:pPr>
              <w:pStyle w:val="NormalWeb"/>
              <w:spacing w:after="0"/>
              <w:ind w:left="142" w:right="34"/>
              <w:rPr>
                <w:rFonts w:ascii="Arial" w:hAnsi="Arial" w:cs="Arial"/>
                <w:sz w:val="22"/>
                <w:szCs w:val="22"/>
              </w:rPr>
            </w:pPr>
            <w:r w:rsidRPr="00230F35">
              <w:rPr>
                <w:rFonts w:ascii="Arial" w:hAnsi="Arial" w:cs="Arial"/>
                <w:sz w:val="22"/>
                <w:szCs w:val="22"/>
              </w:rPr>
              <w:t>Date:</w:t>
            </w:r>
          </w:p>
        </w:tc>
      </w:tr>
      <w:tr w:rsidR="00F812FA" w:rsidRPr="002F467C" w14:paraId="0DD3BFF7" w14:textId="77777777" w:rsidTr="00886B26">
        <w:tc>
          <w:tcPr>
            <w:tcW w:w="8856" w:type="dxa"/>
            <w:gridSpan w:val="5"/>
          </w:tcPr>
          <w:p w14:paraId="6D82F29B" w14:textId="77777777" w:rsidR="00F812FA" w:rsidRPr="00230F35" w:rsidRDefault="00F812FA" w:rsidP="00886B26">
            <w:pPr>
              <w:pStyle w:val="NormalWeb"/>
              <w:spacing w:before="0" w:beforeAutospacing="0" w:after="0" w:afterAutospacing="0"/>
              <w:ind w:right="-334"/>
              <w:rPr>
                <w:rFonts w:ascii="Arial" w:hAnsi="Arial" w:cs="Arial"/>
                <w:bCs/>
                <w:i/>
                <w:sz w:val="22"/>
                <w:szCs w:val="22"/>
              </w:rPr>
            </w:pPr>
          </w:p>
          <w:p w14:paraId="53A218BF" w14:textId="77777777" w:rsidR="00F812FA" w:rsidRPr="00230F35" w:rsidRDefault="00F812FA" w:rsidP="00886B2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C9C3BB8" w14:textId="77777777" w:rsidR="00F812FA" w:rsidRPr="00230F35" w:rsidRDefault="00F812FA" w:rsidP="00886B26">
            <w:pPr>
              <w:pStyle w:val="NormalWeb"/>
              <w:spacing w:before="0" w:beforeAutospacing="0" w:after="0" w:afterAutospacing="0"/>
              <w:ind w:right="-334"/>
              <w:rPr>
                <w:rFonts w:ascii="Arial" w:hAnsi="Arial" w:cs="Arial"/>
                <w:b/>
                <w:bCs/>
                <w:sz w:val="22"/>
                <w:szCs w:val="22"/>
              </w:rPr>
            </w:pPr>
          </w:p>
          <w:p w14:paraId="60ABBDA3"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796EE1B"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34395E1F"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17DC9CB6"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574B69B"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98E0C88"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983AE67"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1BC65599"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22CEA08E"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BF2367C" w14:textId="77777777" w:rsidR="00F812FA" w:rsidRDefault="00F812FA" w:rsidP="00886B26">
            <w:pPr>
              <w:pStyle w:val="NormalWeb"/>
              <w:spacing w:before="0" w:beforeAutospacing="0" w:after="0" w:afterAutospacing="0"/>
              <w:ind w:right="-334"/>
              <w:rPr>
                <w:rFonts w:ascii="Arial" w:hAnsi="Arial" w:cs="Arial"/>
                <w:bCs/>
                <w:sz w:val="22"/>
                <w:szCs w:val="22"/>
              </w:rPr>
            </w:pPr>
          </w:p>
          <w:p w14:paraId="46211727"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E82006A"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5C56ED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tc>
      </w:tr>
      <w:tr w:rsidR="00F812FA" w:rsidRPr="002F467C" w14:paraId="5A282FFA" w14:textId="77777777" w:rsidTr="00886B26">
        <w:trPr>
          <w:trHeight w:val="720"/>
        </w:trPr>
        <w:tc>
          <w:tcPr>
            <w:tcW w:w="5211" w:type="dxa"/>
            <w:gridSpan w:val="2"/>
          </w:tcPr>
          <w:p w14:paraId="0F782A52"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FFC39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812FA" w:rsidRPr="002F467C" w14:paraId="6838EFD9" w14:textId="77777777" w:rsidTr="00886B26">
        <w:trPr>
          <w:trHeight w:val="720"/>
        </w:trPr>
        <w:tc>
          <w:tcPr>
            <w:tcW w:w="8856" w:type="dxa"/>
            <w:gridSpan w:val="5"/>
          </w:tcPr>
          <w:p w14:paraId="52C5823B" w14:textId="77777777" w:rsidR="00F812FA" w:rsidRPr="00B34964" w:rsidRDefault="00F812FA" w:rsidP="00886B26">
            <w:pPr>
              <w:rPr>
                <w:rFonts w:ascii="Arial" w:hAnsi="Arial" w:cs="Arial"/>
                <w:b/>
                <w:sz w:val="22"/>
                <w:szCs w:val="22"/>
              </w:rPr>
            </w:pPr>
            <w:r w:rsidRPr="00B34964">
              <w:rPr>
                <w:rFonts w:ascii="Arial" w:hAnsi="Arial" w:cs="Arial"/>
                <w:b/>
                <w:sz w:val="22"/>
                <w:szCs w:val="22"/>
              </w:rPr>
              <w:t>External Examiner’s comments (if relevant)</w:t>
            </w:r>
          </w:p>
          <w:p w14:paraId="7E21E74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5B354F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BCF08B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508DC92A"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A6B40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2F87ECB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C91AB5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4B67B1B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4191297" w14:textId="77777777" w:rsidR="00F812FA" w:rsidRDefault="00F812FA" w:rsidP="00886B26">
            <w:pPr>
              <w:pStyle w:val="NormalWeb"/>
              <w:spacing w:before="0" w:beforeAutospacing="0" w:after="0" w:afterAutospacing="0"/>
              <w:ind w:right="-334"/>
              <w:rPr>
                <w:rFonts w:ascii="Arial" w:hAnsi="Arial" w:cs="Arial"/>
                <w:bCs/>
                <w:sz w:val="22"/>
                <w:szCs w:val="22"/>
              </w:rPr>
            </w:pPr>
          </w:p>
          <w:p w14:paraId="30EB20A5"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47502219"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tc>
      </w:tr>
      <w:tr w:rsidR="00F812FA" w:rsidRPr="002F467C" w14:paraId="1E5D81E6" w14:textId="77777777" w:rsidTr="00886B26">
        <w:trPr>
          <w:trHeight w:val="720"/>
        </w:trPr>
        <w:tc>
          <w:tcPr>
            <w:tcW w:w="5211" w:type="dxa"/>
            <w:gridSpan w:val="2"/>
          </w:tcPr>
          <w:p w14:paraId="6B563EB5" w14:textId="77777777" w:rsidR="00F812FA" w:rsidRPr="00230F35" w:rsidRDefault="00F812FA" w:rsidP="00886B2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6B08EA7" w14:textId="77777777" w:rsidR="00F812FA" w:rsidRPr="00230F35" w:rsidRDefault="00F812FA" w:rsidP="00886B26">
            <w:pPr>
              <w:rPr>
                <w:rFonts w:ascii="Arial" w:hAnsi="Arial" w:cs="Arial"/>
                <w:sz w:val="22"/>
                <w:szCs w:val="22"/>
              </w:rPr>
            </w:pPr>
            <w:r w:rsidRPr="00230F35">
              <w:rPr>
                <w:rFonts w:ascii="Arial" w:hAnsi="Arial" w:cs="Arial"/>
                <w:sz w:val="22"/>
                <w:szCs w:val="22"/>
              </w:rPr>
              <w:t>Date:</w:t>
            </w:r>
          </w:p>
        </w:tc>
      </w:tr>
    </w:tbl>
    <w:p w14:paraId="044D173F" w14:textId="77777777" w:rsidR="00F812FA" w:rsidRDefault="00F812FA" w:rsidP="00F812FA"/>
    <w:p w14:paraId="76A0BBD2" w14:textId="77777777" w:rsidR="0041703E" w:rsidRDefault="0041703E" w:rsidP="00241FBA">
      <w:pPr>
        <w:spacing w:line="276" w:lineRule="auto"/>
        <w:rPr>
          <w:lang w:val="en-US"/>
        </w:rPr>
      </w:pPr>
    </w:p>
    <w:p w14:paraId="06B86A6E" w14:textId="77777777" w:rsidR="00F812FA" w:rsidRDefault="00F812FA" w:rsidP="00241FBA">
      <w:pPr>
        <w:spacing w:line="276" w:lineRule="auto"/>
        <w:rPr>
          <w:lang w:val="en-US"/>
        </w:rPr>
      </w:pPr>
    </w:p>
    <w:p w14:paraId="4A7D215B" w14:textId="77777777" w:rsidR="00F812FA" w:rsidRDefault="00F812FA" w:rsidP="00241FBA">
      <w:pPr>
        <w:spacing w:line="276" w:lineRule="auto"/>
        <w:rPr>
          <w:lang w:val="en-US"/>
        </w:rPr>
      </w:pPr>
    </w:p>
    <w:p w14:paraId="5C6B19E7" w14:textId="77777777" w:rsidR="00F812FA" w:rsidRDefault="00F812FA" w:rsidP="00241FBA">
      <w:pPr>
        <w:spacing w:line="276" w:lineRule="auto"/>
        <w:rPr>
          <w:lang w:val="en-US"/>
        </w:rPr>
      </w:pPr>
    </w:p>
    <w:p w14:paraId="4F7B41B3" w14:textId="77777777" w:rsidR="00F812FA" w:rsidRDefault="00F812FA" w:rsidP="00241FBA">
      <w:pPr>
        <w:spacing w:line="276" w:lineRule="auto"/>
        <w:rPr>
          <w:lang w:val="en-US"/>
        </w:rPr>
      </w:pPr>
    </w:p>
    <w:p w14:paraId="437AC8F5" w14:textId="77777777" w:rsidR="00F812FA" w:rsidRDefault="00F812FA" w:rsidP="00241FBA">
      <w:pPr>
        <w:spacing w:line="276" w:lineRule="auto"/>
        <w:rPr>
          <w:lang w:val="en-US"/>
        </w:rPr>
      </w:pPr>
    </w:p>
    <w:p w14:paraId="2F1699BB" w14:textId="77777777" w:rsidR="00F812FA" w:rsidRDefault="00F812FA" w:rsidP="00241FBA">
      <w:pPr>
        <w:spacing w:line="276" w:lineRule="auto"/>
        <w:rPr>
          <w:lang w:val="en-US"/>
        </w:rPr>
      </w:pPr>
    </w:p>
    <w:p w14:paraId="56807C3E" w14:textId="77777777" w:rsidR="00F812FA" w:rsidRDefault="00F812FA" w:rsidP="00241FBA">
      <w:pPr>
        <w:spacing w:line="276" w:lineRule="auto"/>
        <w:rPr>
          <w:lang w:val="en-US"/>
        </w:rPr>
      </w:pPr>
    </w:p>
    <w:p w14:paraId="0697A9B4" w14:textId="77777777" w:rsidR="00F812FA" w:rsidRDefault="00F812FA" w:rsidP="00241FBA">
      <w:pPr>
        <w:spacing w:line="276" w:lineRule="auto"/>
        <w:rPr>
          <w:lang w:val="en-US"/>
        </w:rPr>
      </w:pPr>
    </w:p>
    <w:p w14:paraId="1557A196" w14:textId="77777777" w:rsidR="00F812FA" w:rsidRDefault="00F812FA" w:rsidP="00241FBA">
      <w:pPr>
        <w:spacing w:line="276" w:lineRule="auto"/>
        <w:rPr>
          <w:lang w:val="en-US"/>
        </w:rPr>
      </w:pPr>
    </w:p>
    <w:p w14:paraId="4309B57D" w14:textId="77777777" w:rsidR="00F812FA" w:rsidRDefault="00F812FA" w:rsidP="00241FBA">
      <w:pPr>
        <w:spacing w:line="276" w:lineRule="auto"/>
        <w:rPr>
          <w:lang w:val="en-US"/>
        </w:rPr>
      </w:pPr>
    </w:p>
    <w:p w14:paraId="7E945F6B" w14:textId="77777777" w:rsidR="00F812FA" w:rsidRDefault="00F812FA" w:rsidP="00241FBA">
      <w:pPr>
        <w:spacing w:line="276" w:lineRule="auto"/>
        <w:rPr>
          <w:lang w:val="en-US"/>
        </w:rPr>
      </w:pPr>
    </w:p>
    <w:p w14:paraId="102F16B0" w14:textId="77777777" w:rsidR="00F812FA" w:rsidRDefault="00F812FA" w:rsidP="00241FBA">
      <w:pPr>
        <w:spacing w:line="276" w:lineRule="auto"/>
        <w:rPr>
          <w:lang w:val="en-US"/>
        </w:rPr>
      </w:pPr>
    </w:p>
    <w:p w14:paraId="2A2860B8" w14:textId="77777777" w:rsidR="00F812FA" w:rsidRDefault="00F812FA" w:rsidP="00241FBA">
      <w:pPr>
        <w:spacing w:line="276" w:lineRule="auto"/>
        <w:rPr>
          <w:lang w:val="en-US"/>
        </w:rPr>
      </w:pPr>
    </w:p>
    <w:p w14:paraId="331FA033" w14:textId="0F524E8B" w:rsidR="00A37BA6" w:rsidRDefault="00000000" w:rsidP="00241FBA">
      <w:pPr>
        <w:spacing w:line="276" w:lineRule="auto"/>
        <w:rPr>
          <w:lang w:val="en-US"/>
        </w:rPr>
      </w:pPr>
      <w:r>
        <w:rPr>
          <w:lang w:val="en-US"/>
        </w:rPr>
        <w:lastRenderedPageBreak/>
        <w:t xml:space="preserve">Beth Scannell – HPSC7015 – Essay 3                                                                                               </w:t>
      </w:r>
      <w:r w:rsidR="00901C7F">
        <w:rPr>
          <w:lang w:val="en-US"/>
        </w:rPr>
        <w:t xml:space="preserve">    January 6</w:t>
      </w:r>
      <w:r>
        <w:rPr>
          <w:lang w:val="en-US"/>
        </w:rPr>
        <w:t>, 2025</w:t>
      </w:r>
    </w:p>
    <w:p w14:paraId="761DA295" w14:textId="2D59352E" w:rsidR="00E920C0" w:rsidRDefault="00000000" w:rsidP="00241FBA">
      <w:pPr>
        <w:spacing w:line="276" w:lineRule="auto"/>
      </w:pPr>
      <w:r w:rsidRPr="00F34DEA">
        <w:t xml:space="preserve">Using one or more examples referenced in secondary sources, critically examine the cultural consequences or adaptation of, the use of, or belief in, the significance of astronomical cycles. </w:t>
      </w:r>
    </w:p>
    <w:p w14:paraId="1270BE25" w14:textId="77777777" w:rsidR="00776F50" w:rsidRDefault="00776F50" w:rsidP="00241FBA">
      <w:pPr>
        <w:spacing w:line="276" w:lineRule="auto"/>
      </w:pPr>
    </w:p>
    <w:p w14:paraId="45D8CFA8" w14:textId="2DE71C4A" w:rsidR="00B42AA7" w:rsidRDefault="00000000" w:rsidP="00241FBA">
      <w:pPr>
        <w:spacing w:line="276" w:lineRule="auto"/>
        <w:rPr>
          <w:u w:val="single"/>
        </w:rPr>
      </w:pPr>
      <w:r w:rsidRPr="007D623A">
        <w:rPr>
          <w:u w:val="single"/>
        </w:rPr>
        <w:t>Intr</w:t>
      </w:r>
      <w:r w:rsidR="007D623A" w:rsidRPr="007D623A">
        <w:rPr>
          <w:u w:val="single"/>
        </w:rPr>
        <w:t>oduction</w:t>
      </w:r>
    </w:p>
    <w:p w14:paraId="28EEA215" w14:textId="720946AC" w:rsidR="004501D2" w:rsidRDefault="00000000" w:rsidP="00241FBA">
      <w:pPr>
        <w:spacing w:line="276" w:lineRule="auto"/>
      </w:pPr>
      <w:r>
        <w:tab/>
        <w:t xml:space="preserve">This essay </w:t>
      </w:r>
      <w:r w:rsidR="00E920C0">
        <w:t>studie</w:t>
      </w:r>
      <w:r w:rsidR="00066CC2">
        <w:t>s</w:t>
      </w:r>
      <w:r w:rsidR="003E15C8">
        <w:t xml:space="preserve"> </w:t>
      </w:r>
      <w:r w:rsidR="00216497">
        <w:t>the relationship</w:t>
      </w:r>
      <w:r w:rsidR="00831A8B">
        <w:t>s</w:t>
      </w:r>
      <w:r w:rsidR="00216497">
        <w:t xml:space="preserve"> between the planetary cycles of Venus</w:t>
      </w:r>
      <w:r w:rsidR="00E336A3">
        <w:t xml:space="preserve"> and </w:t>
      </w:r>
      <w:r w:rsidR="00A105AD">
        <w:t>the</w:t>
      </w:r>
      <w:r w:rsidR="00287B6E">
        <w:t xml:space="preserve">ir cultural </w:t>
      </w:r>
      <w:r w:rsidR="004A477C">
        <w:t>meanings</w:t>
      </w:r>
      <w:r w:rsidR="00287B6E">
        <w:t xml:space="preserve"> in </w:t>
      </w:r>
      <w:r w:rsidR="004443DF">
        <w:t xml:space="preserve">three </w:t>
      </w:r>
      <w:r w:rsidR="00E336A3">
        <w:t>c</w:t>
      </w:r>
      <w:r w:rsidR="00132271">
        <w:t>ivilizations</w:t>
      </w:r>
      <w:r w:rsidR="00E336A3">
        <w:t xml:space="preserve"> who </w:t>
      </w:r>
      <w:r w:rsidR="00742F00">
        <w:t>recorded</w:t>
      </w:r>
      <w:r w:rsidR="00F519E1">
        <w:t xml:space="preserve"> these cycles and used them </w:t>
      </w:r>
      <w:r w:rsidR="00132271">
        <w:t xml:space="preserve">to guide various aspects of their lives. </w:t>
      </w:r>
      <w:r w:rsidR="00304720">
        <w:t xml:space="preserve">The </w:t>
      </w:r>
      <w:r w:rsidR="008D4B86">
        <w:t xml:space="preserve">essay </w:t>
      </w:r>
      <w:r w:rsidR="0021068B">
        <w:t>focus</w:t>
      </w:r>
      <w:r w:rsidR="00A70141">
        <w:t>e</w:t>
      </w:r>
      <w:r w:rsidR="00066CC2">
        <w:t>s</w:t>
      </w:r>
      <w:r w:rsidR="008D4B86">
        <w:t xml:space="preserve"> on</w:t>
      </w:r>
      <w:r w:rsidR="00304720">
        <w:t xml:space="preserve"> the </w:t>
      </w:r>
      <w:r w:rsidR="00FA74C3">
        <w:t xml:space="preserve">cultures of </w:t>
      </w:r>
      <w:r w:rsidR="00304720">
        <w:t>Mesoamerica, Chin</w:t>
      </w:r>
      <w:r w:rsidR="00FA74C3">
        <w:t>a</w:t>
      </w:r>
      <w:r w:rsidR="00304720">
        <w:t xml:space="preserve">, and </w:t>
      </w:r>
      <w:r w:rsidR="00127BBE">
        <w:t>Mesopotamia</w:t>
      </w:r>
      <w:r w:rsidR="00FA74C3">
        <w:t xml:space="preserve">. Each of these civilizations kept </w:t>
      </w:r>
      <w:r w:rsidR="00E3200B">
        <w:t>meticulous</w:t>
      </w:r>
      <w:r w:rsidR="00FA74C3">
        <w:t xml:space="preserve"> records of </w:t>
      </w:r>
      <w:r w:rsidR="000B4056">
        <w:t xml:space="preserve">regular </w:t>
      </w:r>
      <w:r w:rsidR="00FA74C3">
        <w:t xml:space="preserve">astronomical cycles, including those of the planet Venus, and </w:t>
      </w:r>
      <w:r w:rsidR="00E3200B">
        <w:t>used th</w:t>
      </w:r>
      <w:r w:rsidR="00831A8B">
        <w:t>em t</w:t>
      </w:r>
      <w:r w:rsidR="00E3200B">
        <w:t>o</w:t>
      </w:r>
      <w:r w:rsidR="00B4008D">
        <w:t xml:space="preserve"> </w:t>
      </w:r>
      <w:r w:rsidR="00AE594B">
        <w:t xml:space="preserve">time </w:t>
      </w:r>
      <w:r w:rsidR="00EC10C3">
        <w:t xml:space="preserve">certain </w:t>
      </w:r>
      <w:r w:rsidR="00AE594B">
        <w:t xml:space="preserve">events and to </w:t>
      </w:r>
      <w:r w:rsidR="00B4008D">
        <w:t xml:space="preserve">create </w:t>
      </w:r>
      <w:r w:rsidR="00E920C0">
        <w:t>divinatory</w:t>
      </w:r>
      <w:r w:rsidR="001F59FC">
        <w:t xml:space="preserve"> </w:t>
      </w:r>
      <w:r w:rsidR="0033152A">
        <w:t>omens</w:t>
      </w:r>
      <w:r w:rsidR="000B4056">
        <w:t>,</w:t>
      </w:r>
      <w:r w:rsidR="0033152A">
        <w:t xml:space="preserve"> based on their observed </w:t>
      </w:r>
      <w:r w:rsidR="00512DCE">
        <w:t>phenomena</w:t>
      </w:r>
      <w:r w:rsidR="000B4056">
        <w:t>,</w:t>
      </w:r>
      <w:r w:rsidR="00512DCE">
        <w:t xml:space="preserve"> </w:t>
      </w:r>
      <w:r w:rsidR="0062053E">
        <w:t>that</w:t>
      </w:r>
      <w:r w:rsidR="00E3200B">
        <w:t xml:space="preserve"> inform</w:t>
      </w:r>
      <w:r w:rsidR="0062053E">
        <w:t xml:space="preserve">ed their </w:t>
      </w:r>
      <w:r w:rsidR="00E34F75">
        <w:t>decisions</w:t>
      </w:r>
      <w:r w:rsidR="00017797">
        <w:t xml:space="preserve"> on both a mundane and a personal level.</w:t>
      </w:r>
      <w:r w:rsidR="007F19E5">
        <w:t xml:space="preserve"> </w:t>
      </w:r>
      <w:r w:rsidR="00E80277">
        <w:t xml:space="preserve">These </w:t>
      </w:r>
      <w:r w:rsidR="00110D5D">
        <w:t xml:space="preserve">calendrical and divinatory </w:t>
      </w:r>
      <w:r w:rsidR="00480030">
        <w:t>records</w:t>
      </w:r>
      <w:r w:rsidR="00E80277">
        <w:t xml:space="preserve"> </w:t>
      </w:r>
      <w:r w:rsidR="00C935E0">
        <w:t>contain</w:t>
      </w:r>
      <w:r w:rsidR="00E80277">
        <w:t xml:space="preserve"> the primary sources </w:t>
      </w:r>
      <w:r w:rsidR="004B50E8">
        <w:t>referred to in</w:t>
      </w:r>
      <w:r w:rsidR="00E80277">
        <w:t xml:space="preserve"> this essay and include </w:t>
      </w:r>
      <w:r w:rsidR="00B85A3C">
        <w:t xml:space="preserve">the postclassical </w:t>
      </w:r>
      <w:r w:rsidR="00D84C78">
        <w:t>Mayan</w:t>
      </w:r>
      <w:r w:rsidR="00C82038">
        <w:t xml:space="preserve"> and Aztec</w:t>
      </w:r>
      <w:r w:rsidR="00D84C78">
        <w:t xml:space="preserve"> codices</w:t>
      </w:r>
      <w:r w:rsidR="00740251">
        <w:t xml:space="preserve"> </w:t>
      </w:r>
      <w:r>
        <w:rPr>
          <w:rStyle w:val="FootnoteReference"/>
        </w:rPr>
        <w:footnoteReference w:id="1"/>
      </w:r>
      <w:r w:rsidR="00740251">
        <w:t xml:space="preserve"> </w:t>
      </w:r>
      <w:r>
        <w:rPr>
          <w:rStyle w:val="FootnoteReference"/>
        </w:rPr>
        <w:footnoteReference w:id="2"/>
      </w:r>
      <w:r w:rsidR="00740251">
        <w:t xml:space="preserve"> </w:t>
      </w:r>
      <w:r>
        <w:rPr>
          <w:rStyle w:val="FootnoteReference"/>
        </w:rPr>
        <w:footnoteReference w:id="3"/>
      </w:r>
      <w:r w:rsidR="00740251">
        <w:t xml:space="preserve"> </w:t>
      </w:r>
      <w:r>
        <w:rPr>
          <w:rStyle w:val="FootnoteReference"/>
        </w:rPr>
        <w:footnoteReference w:id="4"/>
      </w:r>
      <w:r w:rsidR="005159F0">
        <w:t xml:space="preserve">, the </w:t>
      </w:r>
      <w:r>
        <w:t xml:space="preserve">Babylonian </w:t>
      </w:r>
      <w:r w:rsidRPr="007166B6">
        <w:rPr>
          <w:i/>
          <w:iCs/>
        </w:rPr>
        <w:t>Venus tablet of Ammisaduqa</w:t>
      </w:r>
      <w:r w:rsidRPr="007E7930">
        <w:t xml:space="preserve"> (Enuma Anu Enlil Tablet 63)</w:t>
      </w:r>
      <w:r w:rsidR="004174D5">
        <w:t xml:space="preserve"> </w:t>
      </w:r>
      <w:r>
        <w:rPr>
          <w:rStyle w:val="FootnoteReference"/>
        </w:rPr>
        <w:footnoteReference w:id="5"/>
      </w:r>
      <w:r w:rsidR="00831A8B">
        <w:t xml:space="preserve">, and the Chinese </w:t>
      </w:r>
      <w:r w:rsidR="00831A8B" w:rsidRPr="007166B6">
        <w:rPr>
          <w:i/>
          <w:iCs/>
        </w:rPr>
        <w:t xml:space="preserve">Wu </w:t>
      </w:r>
      <w:r w:rsidR="007166B6" w:rsidRPr="007166B6">
        <w:rPr>
          <w:i/>
          <w:iCs/>
        </w:rPr>
        <w:t>Xing</w:t>
      </w:r>
      <w:r w:rsidR="00831A8B" w:rsidRPr="007166B6">
        <w:rPr>
          <w:i/>
          <w:iCs/>
        </w:rPr>
        <w:t xml:space="preserve"> </w:t>
      </w:r>
      <w:r w:rsidR="007166B6" w:rsidRPr="007166B6">
        <w:rPr>
          <w:i/>
          <w:iCs/>
        </w:rPr>
        <w:t>Zhan</w:t>
      </w:r>
      <w:r w:rsidR="00831A8B" w:rsidRPr="00831A8B">
        <w:t xml:space="preserve">, </w:t>
      </w:r>
      <w:r w:rsidR="00831A8B">
        <w:t xml:space="preserve">the planetary </w:t>
      </w:r>
      <w:r w:rsidR="00F81B8C">
        <w:t>omens including those of Venus.</w:t>
      </w:r>
    </w:p>
    <w:p w14:paraId="3D6A289E" w14:textId="385D7FD4" w:rsidR="00965A6C" w:rsidRPr="00831A8B" w:rsidRDefault="00000000" w:rsidP="00241FBA">
      <w:pPr>
        <w:spacing w:line="276" w:lineRule="auto"/>
        <w:rPr>
          <w:b/>
          <w:bCs/>
        </w:rPr>
      </w:pPr>
      <w:r>
        <w:tab/>
        <w:t xml:space="preserve">The complex </w:t>
      </w:r>
      <w:r w:rsidR="002E03E0">
        <w:t>term</w:t>
      </w:r>
      <w:r>
        <w:t xml:space="preserve"> “culture” </w:t>
      </w:r>
      <w:r w:rsidR="002E03E0">
        <w:t xml:space="preserve">could be defined in </w:t>
      </w:r>
      <w:r w:rsidR="00BB7ED2">
        <w:t>several different</w:t>
      </w:r>
      <w:r w:rsidR="0033660F">
        <w:t xml:space="preserve"> ways</w:t>
      </w:r>
      <w:r>
        <w:rPr>
          <w:rStyle w:val="FootnoteReference"/>
        </w:rPr>
        <w:footnoteReference w:id="6"/>
      </w:r>
      <w:r>
        <w:t>. For this essay, it is define</w:t>
      </w:r>
      <w:r w:rsidR="00C11D18">
        <w:t>d</w:t>
      </w:r>
      <w:r>
        <w:t xml:space="preserve"> as Clifford Geertz </w:t>
      </w:r>
      <w:r w:rsidR="008345C2">
        <w:t>phrased it:</w:t>
      </w:r>
    </w:p>
    <w:p w14:paraId="7EA823AB" w14:textId="65B6436B" w:rsidR="00E36CF5" w:rsidRDefault="00DF781D" w:rsidP="00DF781D">
      <w:pPr>
        <w:spacing w:line="276" w:lineRule="auto"/>
        <w:ind w:left="720"/>
        <w:rPr>
          <w:sz w:val="20"/>
          <w:szCs w:val="20"/>
        </w:rPr>
      </w:pPr>
      <w:r w:rsidRPr="00DF781D">
        <w:rPr>
          <w:sz w:val="20"/>
          <w:szCs w:val="20"/>
        </w:rPr>
        <w:lastRenderedPageBreak/>
        <w:t>an historically transmitted pattern of meanings embodied in symbols,</w:t>
      </w:r>
      <w:r>
        <w:rPr>
          <w:sz w:val="20"/>
          <w:szCs w:val="20"/>
        </w:rPr>
        <w:t xml:space="preserve"> </w:t>
      </w:r>
      <w:r w:rsidRPr="00DF781D">
        <w:rPr>
          <w:sz w:val="20"/>
          <w:szCs w:val="20"/>
        </w:rPr>
        <w:t>a system of inherited conceptions expressed in symbolic forms by</w:t>
      </w:r>
      <w:r>
        <w:rPr>
          <w:sz w:val="20"/>
          <w:szCs w:val="20"/>
        </w:rPr>
        <w:t xml:space="preserve"> </w:t>
      </w:r>
      <w:r w:rsidRPr="00DF781D">
        <w:rPr>
          <w:sz w:val="20"/>
          <w:szCs w:val="20"/>
        </w:rPr>
        <w:t>means of which men communicate, perpetuate, and develop their</w:t>
      </w:r>
      <w:r w:rsidR="00E972C3">
        <w:rPr>
          <w:sz w:val="20"/>
          <w:szCs w:val="20"/>
        </w:rPr>
        <w:t xml:space="preserve"> </w:t>
      </w:r>
      <w:r w:rsidRPr="00DF781D">
        <w:rPr>
          <w:sz w:val="20"/>
          <w:szCs w:val="20"/>
        </w:rPr>
        <w:t>knowledge about and attitudes toward life</w:t>
      </w:r>
      <w:r w:rsidR="002E03E0" w:rsidRPr="008345C2">
        <w:rPr>
          <w:sz w:val="20"/>
          <w:szCs w:val="20"/>
        </w:rPr>
        <w:t>.</w:t>
      </w:r>
      <w:r>
        <w:rPr>
          <w:rStyle w:val="FootnoteReference"/>
          <w:sz w:val="20"/>
          <w:szCs w:val="20"/>
        </w:rPr>
        <w:footnoteReference w:id="7"/>
      </w:r>
    </w:p>
    <w:p w14:paraId="47B2E822" w14:textId="31BFA8B3" w:rsidR="008345C2" w:rsidRDefault="00000000" w:rsidP="008345C2">
      <w:pPr>
        <w:spacing w:line="276" w:lineRule="auto"/>
      </w:pPr>
      <w:r>
        <w:t xml:space="preserve">Each of the </w:t>
      </w:r>
      <w:r w:rsidR="00CB6C9F">
        <w:t xml:space="preserve">three </w:t>
      </w:r>
      <w:r>
        <w:t>civilization</w:t>
      </w:r>
      <w:r w:rsidR="00DA323E">
        <w:t>s</w:t>
      </w:r>
      <w:r>
        <w:t xml:space="preserve"> </w:t>
      </w:r>
      <w:r w:rsidR="00463FD5">
        <w:t>considered</w:t>
      </w:r>
      <w:r>
        <w:t xml:space="preserve"> in this essay</w:t>
      </w:r>
      <w:r w:rsidR="0087630F">
        <w:t xml:space="preserve"> developed and transmitted </w:t>
      </w:r>
      <w:r w:rsidR="00D21742">
        <w:t xml:space="preserve">patterns of meaning based on the symbolism </w:t>
      </w:r>
      <w:r w:rsidR="00AC5A11">
        <w:t xml:space="preserve">that </w:t>
      </w:r>
      <w:r w:rsidR="00D21742">
        <w:t xml:space="preserve">they ascribed to </w:t>
      </w:r>
      <w:r w:rsidR="00F30A8E">
        <w:t xml:space="preserve">the planetary cycles of Venus, which then became integral to </w:t>
      </w:r>
      <w:r w:rsidR="009306F6">
        <w:t>their culture</w:t>
      </w:r>
      <w:r w:rsidR="00AC5A11">
        <w:t>s</w:t>
      </w:r>
      <w:r w:rsidR="009306F6">
        <w:t xml:space="preserve"> and to </w:t>
      </w:r>
      <w:r w:rsidR="00F30A8E">
        <w:t>how they approached and managed their lives. This essay explore</w:t>
      </w:r>
      <w:r w:rsidR="004C3872">
        <w:t>s</w:t>
      </w:r>
      <w:r w:rsidR="00F30A8E">
        <w:t xml:space="preserve"> </w:t>
      </w:r>
      <w:r w:rsidR="00E65994">
        <w:t xml:space="preserve">how </w:t>
      </w:r>
      <w:r w:rsidR="00F30A8E">
        <w:t xml:space="preserve">these cycles and their symbolic meanings </w:t>
      </w:r>
      <w:r w:rsidR="00E65994">
        <w:t xml:space="preserve">were </w:t>
      </w:r>
      <w:r w:rsidR="003B2420">
        <w:t>reflected in</w:t>
      </w:r>
      <w:r w:rsidR="00E65994">
        <w:t xml:space="preserve"> </w:t>
      </w:r>
      <w:r w:rsidR="000B69A9">
        <w:t xml:space="preserve">the </w:t>
      </w:r>
      <w:r w:rsidR="00E65994">
        <w:t xml:space="preserve">beliefs and practices </w:t>
      </w:r>
      <w:r w:rsidR="000B69A9">
        <w:t>of</w:t>
      </w:r>
      <w:r w:rsidR="00A70F80">
        <w:t xml:space="preserve"> each civilization</w:t>
      </w:r>
      <w:r w:rsidR="00453745">
        <w:t>.</w:t>
      </w:r>
    </w:p>
    <w:p w14:paraId="43049801" w14:textId="77777777" w:rsidR="0062616C" w:rsidRDefault="0062616C" w:rsidP="008345C2">
      <w:pPr>
        <w:spacing w:line="276" w:lineRule="auto"/>
      </w:pPr>
    </w:p>
    <w:p w14:paraId="5C00BF07" w14:textId="16437D62" w:rsidR="0062616C" w:rsidRDefault="00000000" w:rsidP="008345C2">
      <w:pPr>
        <w:spacing w:line="276" w:lineRule="auto"/>
        <w:rPr>
          <w:u w:val="single"/>
        </w:rPr>
      </w:pPr>
      <w:r>
        <w:rPr>
          <w:u w:val="single"/>
        </w:rPr>
        <w:t>Mesoamerica</w:t>
      </w:r>
    </w:p>
    <w:p w14:paraId="0DB1CD29" w14:textId="073AA702" w:rsidR="006025B6" w:rsidRDefault="00000000" w:rsidP="008345C2">
      <w:pPr>
        <w:spacing w:line="276" w:lineRule="auto"/>
      </w:pPr>
      <w:r>
        <w:tab/>
        <w:t xml:space="preserve">The planetary cycles of Venus were of great importance in </w:t>
      </w:r>
      <w:r w:rsidR="003F3C3A">
        <w:t xml:space="preserve">classical and </w:t>
      </w:r>
      <w:r w:rsidR="00663141">
        <w:t xml:space="preserve">postclassical </w:t>
      </w:r>
      <w:r w:rsidR="00B55C94">
        <w:t>Mayan</w:t>
      </w:r>
      <w:r>
        <w:t xml:space="preserve"> societ</w:t>
      </w:r>
      <w:r w:rsidR="008D4B86">
        <w:t>ies</w:t>
      </w:r>
      <w:r>
        <w:t xml:space="preserve">. </w:t>
      </w:r>
      <w:r w:rsidR="00763105">
        <w:t xml:space="preserve">In his book </w:t>
      </w:r>
      <w:r w:rsidR="00763105">
        <w:rPr>
          <w:i/>
          <w:iCs/>
          <w:noProof/>
          <w:lang w:val="en-US"/>
        </w:rPr>
        <w:t>Empires of Time: Calendars, Clocks, and Cultures</w:t>
      </w:r>
      <w:r>
        <w:rPr>
          <w:rStyle w:val="FootnoteReference"/>
          <w:i/>
          <w:iCs/>
          <w:noProof/>
          <w:lang w:val="en-US"/>
        </w:rPr>
        <w:footnoteReference w:id="8"/>
      </w:r>
      <w:r w:rsidR="00763105">
        <w:rPr>
          <w:i/>
          <w:iCs/>
          <w:noProof/>
          <w:lang w:val="en-US"/>
        </w:rPr>
        <w:t xml:space="preserve">, </w:t>
      </w:r>
      <w:r w:rsidR="00763105" w:rsidRPr="00763105">
        <w:rPr>
          <w:noProof/>
          <w:lang w:val="en-US"/>
        </w:rPr>
        <w:t>Anthony Aveni</w:t>
      </w:r>
      <w:r w:rsidR="00763105">
        <w:rPr>
          <w:noProof/>
          <w:lang w:val="en-US"/>
        </w:rPr>
        <w:t xml:space="preserve"> described the painstaking calculations </w:t>
      </w:r>
      <w:r w:rsidR="001C4ECA">
        <w:rPr>
          <w:noProof/>
          <w:lang w:val="en-US"/>
        </w:rPr>
        <w:t xml:space="preserve">that were </w:t>
      </w:r>
      <w:r w:rsidR="00763105">
        <w:rPr>
          <w:noProof/>
          <w:lang w:val="en-US"/>
        </w:rPr>
        <w:t xml:space="preserve">used </w:t>
      </w:r>
      <w:r w:rsidR="00B30852">
        <w:rPr>
          <w:noProof/>
          <w:lang w:val="en-US"/>
        </w:rPr>
        <w:t xml:space="preserve">by </w:t>
      </w:r>
      <w:r w:rsidR="00AB6EBD">
        <w:rPr>
          <w:noProof/>
          <w:lang w:val="en-US"/>
        </w:rPr>
        <w:t xml:space="preserve">postclassical </w:t>
      </w:r>
      <w:r w:rsidR="00B30852">
        <w:rPr>
          <w:noProof/>
          <w:lang w:val="en-US"/>
        </w:rPr>
        <w:t xml:space="preserve">Mayan </w:t>
      </w:r>
      <w:r w:rsidR="000955A5">
        <w:rPr>
          <w:noProof/>
          <w:lang w:val="en-US"/>
        </w:rPr>
        <w:t>astronomer/</w:t>
      </w:r>
      <w:r w:rsidR="00B30852">
        <w:rPr>
          <w:noProof/>
          <w:lang w:val="en-US"/>
        </w:rPr>
        <w:t xml:space="preserve">priests </w:t>
      </w:r>
      <w:r w:rsidR="00763105">
        <w:rPr>
          <w:noProof/>
          <w:lang w:val="en-US"/>
        </w:rPr>
        <w:t xml:space="preserve">to create </w:t>
      </w:r>
      <w:r w:rsidR="002800CD">
        <w:rPr>
          <w:noProof/>
          <w:lang w:val="en-US"/>
        </w:rPr>
        <w:t xml:space="preserve">the </w:t>
      </w:r>
      <w:r w:rsidR="00763105">
        <w:rPr>
          <w:noProof/>
          <w:lang w:val="en-US"/>
        </w:rPr>
        <w:t xml:space="preserve">detailed </w:t>
      </w:r>
      <w:r>
        <w:rPr>
          <w:noProof/>
          <w:lang w:val="en-US"/>
        </w:rPr>
        <w:t>calendar</w:t>
      </w:r>
      <w:r w:rsidR="00B55C94">
        <w:rPr>
          <w:noProof/>
          <w:lang w:val="en-US"/>
        </w:rPr>
        <w:t xml:space="preserve"> tables</w:t>
      </w:r>
      <w:r w:rsidR="002800CD">
        <w:rPr>
          <w:noProof/>
          <w:lang w:val="en-US"/>
        </w:rPr>
        <w:t xml:space="preserve"> contained in the </w:t>
      </w:r>
      <w:r w:rsidR="002800CD" w:rsidRPr="00663141">
        <w:rPr>
          <w:i/>
          <w:iCs/>
          <w:noProof/>
          <w:lang w:val="en-US"/>
        </w:rPr>
        <w:t>Dresden Codex</w:t>
      </w:r>
      <w:r>
        <w:rPr>
          <w:rStyle w:val="FootnoteReference"/>
          <w:noProof/>
          <w:lang w:val="en-US"/>
        </w:rPr>
        <w:footnoteReference w:id="9"/>
      </w:r>
      <w:r>
        <w:rPr>
          <w:noProof/>
          <w:lang w:val="en-US"/>
        </w:rPr>
        <w:t>, capturing each phase in the cycle</w:t>
      </w:r>
      <w:r w:rsidR="00AF24CB">
        <w:rPr>
          <w:noProof/>
          <w:lang w:val="en-US"/>
        </w:rPr>
        <w:t xml:space="preserve"> to be used to time various activities</w:t>
      </w:r>
      <w:r>
        <w:rPr>
          <w:noProof/>
          <w:lang w:val="en-US"/>
        </w:rPr>
        <w:t>.</w:t>
      </w:r>
      <w:r>
        <w:rPr>
          <w:rStyle w:val="FootnoteReference"/>
          <w:noProof/>
          <w:lang w:val="en-US"/>
        </w:rPr>
        <w:footnoteReference w:id="10"/>
      </w:r>
      <w:r>
        <w:rPr>
          <w:noProof/>
          <w:lang w:val="en-US"/>
        </w:rPr>
        <w:t xml:space="preserve">  Of particular </w:t>
      </w:r>
      <w:r w:rsidR="00674F78">
        <w:rPr>
          <w:noProof/>
          <w:lang w:val="en-US"/>
        </w:rPr>
        <w:t>consequence</w:t>
      </w:r>
      <w:r>
        <w:rPr>
          <w:noProof/>
          <w:lang w:val="en-US"/>
        </w:rPr>
        <w:t xml:space="preserve"> was the heliacal rising of Venus (</w:t>
      </w:r>
      <w:r w:rsidR="00B55C94">
        <w:rPr>
          <w:noProof/>
          <w:lang w:val="en-US"/>
        </w:rPr>
        <w:t xml:space="preserve">its first predawn appearance </w:t>
      </w:r>
      <w:r w:rsidR="00A32F95">
        <w:rPr>
          <w:noProof/>
          <w:lang w:val="en-US"/>
        </w:rPr>
        <w:t xml:space="preserve">as Morning Star </w:t>
      </w:r>
      <w:r w:rsidR="0077023F">
        <w:rPr>
          <w:noProof/>
          <w:lang w:val="en-US"/>
        </w:rPr>
        <w:t>for each cycle</w:t>
      </w:r>
      <w:r>
        <w:t>)</w:t>
      </w:r>
      <w:r w:rsidR="00B55C94">
        <w:t>, which Aveni considered</w:t>
      </w:r>
      <w:r w:rsidR="008872FF">
        <w:t xml:space="preserve"> </w:t>
      </w:r>
      <w:r w:rsidR="00B55C94">
        <w:t>to be ‘probably the most important single event in Mayan astronomy’.</w:t>
      </w:r>
      <w:r>
        <w:rPr>
          <w:rStyle w:val="FootnoteReference"/>
        </w:rPr>
        <w:footnoteReference w:id="11"/>
      </w:r>
      <w:r w:rsidR="000363EE">
        <w:t xml:space="preserve"> This day </w:t>
      </w:r>
      <w:r w:rsidR="00B40782">
        <w:t>delineated</w:t>
      </w:r>
      <w:r w:rsidR="000363EE">
        <w:t xml:space="preserve"> the </w:t>
      </w:r>
      <w:r w:rsidR="00893F5D">
        <w:t xml:space="preserve">end of </w:t>
      </w:r>
      <w:r w:rsidR="002800CD">
        <w:t>one</w:t>
      </w:r>
      <w:r w:rsidR="00893F5D">
        <w:t xml:space="preserve"> cycle and the </w:t>
      </w:r>
      <w:r w:rsidR="00B40782">
        <w:t>beginning</w:t>
      </w:r>
      <w:r w:rsidR="00893F5D">
        <w:t xml:space="preserve"> of the next one.</w:t>
      </w:r>
      <w:r>
        <w:rPr>
          <w:rStyle w:val="FootnoteReference"/>
        </w:rPr>
        <w:footnoteReference w:id="12"/>
      </w:r>
      <w:r w:rsidR="00BF7F0C">
        <w:t xml:space="preserve"> </w:t>
      </w:r>
      <w:r w:rsidR="00E11FA7">
        <w:t xml:space="preserve">As J.E.S. Thompson noted, </w:t>
      </w:r>
      <w:r w:rsidR="00BF7F0C">
        <w:t xml:space="preserve">this day was so critical </w:t>
      </w:r>
      <w:r w:rsidR="00AF24CB">
        <w:t xml:space="preserve">that adjustments were made to the calendar in the event that the heliacal rise was </w:t>
      </w:r>
      <w:r w:rsidR="000955A5">
        <w:t>observed</w:t>
      </w:r>
      <w:r w:rsidR="00AF24CB">
        <w:t xml:space="preserve"> to be on a different day from what the</w:t>
      </w:r>
      <w:r w:rsidR="002800CD">
        <w:t>ir</w:t>
      </w:r>
      <w:r w:rsidR="00AF24CB">
        <w:t xml:space="preserve"> </w:t>
      </w:r>
      <w:r w:rsidR="002800CD">
        <w:t>calculations</w:t>
      </w:r>
      <w:r w:rsidR="00AF24CB">
        <w:t xml:space="preserve"> </w:t>
      </w:r>
      <w:r w:rsidR="002800CD">
        <w:t xml:space="preserve">(based on average cycles) </w:t>
      </w:r>
      <w:r w:rsidR="007E7138">
        <w:t xml:space="preserve">would </w:t>
      </w:r>
      <w:r w:rsidR="0059348D">
        <w:t xml:space="preserve">have </w:t>
      </w:r>
      <w:r w:rsidR="004A08E7">
        <w:t>arrive</w:t>
      </w:r>
      <w:r w:rsidR="0059348D">
        <w:t>d</w:t>
      </w:r>
      <w:r w:rsidR="004A08E7">
        <w:t xml:space="preserve"> at</w:t>
      </w:r>
      <w:r w:rsidR="00AF24CB">
        <w:t>.</w:t>
      </w:r>
      <w:r>
        <w:rPr>
          <w:rStyle w:val="FootnoteReference"/>
        </w:rPr>
        <w:footnoteReference w:id="13"/>
      </w:r>
      <w:r w:rsidR="002800CD">
        <w:t xml:space="preserve"> </w:t>
      </w:r>
      <w:r w:rsidR="00E11FA7">
        <w:t>Thompson went on to say that</w:t>
      </w:r>
      <w:r w:rsidR="000C2ED7">
        <w:t xml:space="preserve"> the heliacal rising was a time to be </w:t>
      </w:r>
      <w:r w:rsidR="000C2ED7">
        <w:lastRenderedPageBreak/>
        <w:t xml:space="preserve">feared, and the priests needed to be able to warn the </w:t>
      </w:r>
      <w:r w:rsidR="00BE29DE">
        <w:t>larger community</w:t>
      </w:r>
      <w:r w:rsidR="000C2ED7">
        <w:t xml:space="preserve"> so that they could be prepared, as they believed it could b</w:t>
      </w:r>
      <w:r w:rsidR="001D67AA">
        <w:t>r</w:t>
      </w:r>
      <w:r w:rsidR="000C2ED7">
        <w:t>ing illness or other evils. He stated:</w:t>
      </w:r>
    </w:p>
    <w:p w14:paraId="14FDF852" w14:textId="13F898E9" w:rsidR="00A70F80" w:rsidRDefault="00000000" w:rsidP="00DE1501">
      <w:pPr>
        <w:spacing w:line="276" w:lineRule="auto"/>
        <w:ind w:left="720"/>
        <w:rPr>
          <w:sz w:val="20"/>
          <w:szCs w:val="20"/>
        </w:rPr>
      </w:pPr>
      <w:r w:rsidRPr="000C2ED7">
        <w:rPr>
          <w:sz w:val="20"/>
          <w:szCs w:val="20"/>
        </w:rPr>
        <w:t xml:space="preserve">Illustrations in the </w:t>
      </w:r>
      <w:r>
        <w:rPr>
          <w:sz w:val="20"/>
          <w:szCs w:val="20"/>
        </w:rPr>
        <w:t>(Codex)</w:t>
      </w:r>
      <w:r w:rsidRPr="000C2ED7">
        <w:rPr>
          <w:sz w:val="20"/>
          <w:szCs w:val="20"/>
        </w:rPr>
        <w:t xml:space="preserve"> show Venus gods hurling spears earthward, and, below the slain victims. The accompanying glyphs are direful: 'Woe to the maize, woe to the corn fields, drought, misery, affliction of war' </w:t>
      </w:r>
      <w:r>
        <w:rPr>
          <w:rStyle w:val="FootnoteReference"/>
          <w:sz w:val="20"/>
          <w:szCs w:val="20"/>
        </w:rPr>
        <w:footnoteReference w:id="14"/>
      </w:r>
    </w:p>
    <w:p w14:paraId="090AE6E0" w14:textId="10F27ACB" w:rsidR="00042F15" w:rsidRDefault="00000000" w:rsidP="00042F15">
      <w:pPr>
        <w:spacing w:line="276" w:lineRule="auto"/>
      </w:pPr>
      <w:r w:rsidRPr="00042F15">
        <w:t xml:space="preserve">In postclassical Mayan mythology, Venus's heliacal rising also corresponded </w:t>
      </w:r>
      <w:r w:rsidR="00887BA5">
        <w:t>to</w:t>
      </w:r>
      <w:r w:rsidRPr="00042F15">
        <w:t xml:space="preserve"> the </w:t>
      </w:r>
      <w:r>
        <w:t xml:space="preserve">emergence of the God </w:t>
      </w:r>
      <w:r w:rsidR="00DE1501">
        <w:t>Kukulkan</w:t>
      </w:r>
      <w:r>
        <w:t xml:space="preserve"> from the underworld. Having wandered for the eight days of Venus's invisibility during its inferior conjunction, he rose and ascended into heaven.</w:t>
      </w:r>
      <w:r>
        <w:rPr>
          <w:rStyle w:val="FootnoteReference"/>
        </w:rPr>
        <w:footnoteReference w:id="15"/>
      </w:r>
      <w:r w:rsidR="00704DF9">
        <w:t xml:space="preserve">  Thus the heliacal ris</w:t>
      </w:r>
      <w:r w:rsidR="00BE4365">
        <w:t>ing</w:t>
      </w:r>
      <w:r w:rsidR="00704DF9">
        <w:t xml:space="preserve"> also became a time of making sacrifices to the newly appearing Venusian god</w:t>
      </w:r>
      <w:r>
        <w:rPr>
          <w:rStyle w:val="FootnoteReference"/>
        </w:rPr>
        <w:footnoteReference w:id="16"/>
      </w:r>
      <w:r w:rsidR="000F7643">
        <w:t>, although other scholars point</w:t>
      </w:r>
      <w:r w:rsidR="004272ED">
        <w:t>ed</w:t>
      </w:r>
      <w:r w:rsidR="000F7643">
        <w:t xml:space="preserve"> to the Evening Star phase as being associated with sacrifice and war</w:t>
      </w:r>
      <w:r w:rsidR="00C979BD">
        <w:t xml:space="preserve"> during </w:t>
      </w:r>
      <w:r w:rsidR="00884915">
        <w:t xml:space="preserve">classical and </w:t>
      </w:r>
      <w:r w:rsidR="00C979BD">
        <w:t>earlier periods</w:t>
      </w:r>
      <w:r w:rsidR="000F7643">
        <w:t>.</w:t>
      </w:r>
      <w:r>
        <w:rPr>
          <w:rStyle w:val="FootnoteReference"/>
        </w:rPr>
        <w:footnoteReference w:id="17"/>
      </w:r>
      <w:r w:rsidR="00704DF9">
        <w:t xml:space="preserve"> </w:t>
      </w:r>
    </w:p>
    <w:p w14:paraId="10FF3195" w14:textId="2E0FB4E8" w:rsidR="004046A7" w:rsidRDefault="00000000" w:rsidP="00042F15">
      <w:pPr>
        <w:spacing w:line="276" w:lineRule="auto"/>
      </w:pPr>
      <w:r>
        <w:tab/>
        <w:t xml:space="preserve">Each day of the Venus cycle had a particular meaning, according to the </w:t>
      </w:r>
      <w:r w:rsidRPr="00284C86">
        <w:rPr>
          <w:i/>
          <w:iCs/>
        </w:rPr>
        <w:t>Dresden Codex</w:t>
      </w:r>
      <w:r>
        <w:t>.</w:t>
      </w:r>
      <w:r>
        <w:rPr>
          <w:rStyle w:val="FootnoteReference"/>
        </w:rPr>
        <w:footnoteReference w:id="18"/>
      </w:r>
      <w:r w:rsidR="004A5A68">
        <w:t xml:space="preserve">  </w:t>
      </w:r>
      <w:r w:rsidR="00753E75" w:rsidRPr="00753E75">
        <w:t>R</w:t>
      </w:r>
      <w:r w:rsidR="004A5A68" w:rsidRPr="00753E75">
        <w:t xml:space="preserve">ituals </w:t>
      </w:r>
      <w:r w:rsidR="00753E75">
        <w:t xml:space="preserve">were </w:t>
      </w:r>
      <w:r w:rsidR="004A5A68" w:rsidRPr="00753E75">
        <w:t xml:space="preserve">timed based on this calendar, although </w:t>
      </w:r>
      <w:r w:rsidR="00337409">
        <w:t xml:space="preserve">apart from the heliacal rising, </w:t>
      </w:r>
      <w:r w:rsidR="004A5A68" w:rsidRPr="00753E75">
        <w:t>they did not always line up with the exact observations in the sky</w:t>
      </w:r>
      <w:r w:rsidR="003C7F48">
        <w:t>. Aveni suggest</w:t>
      </w:r>
      <w:r w:rsidR="009F4F6E">
        <w:t>ed</w:t>
      </w:r>
      <w:r w:rsidR="003C7F48">
        <w:t xml:space="preserve"> </w:t>
      </w:r>
      <w:r w:rsidR="001B39F3">
        <w:t>this was done to coordinate Venus's cycles with the Moon's cycles.</w:t>
      </w:r>
      <w:r>
        <w:rPr>
          <w:rStyle w:val="FootnoteReference"/>
        </w:rPr>
        <w:footnoteReference w:id="19"/>
      </w:r>
      <w:r w:rsidR="001B39F3">
        <w:t xml:space="preserve"> </w:t>
      </w:r>
      <w:r w:rsidR="003C7F48">
        <w:t>Venus was observed as Morning Star after the heliacal rise for approximately 236 days.</w:t>
      </w:r>
      <w:r>
        <w:rPr>
          <w:rStyle w:val="FootnoteReference"/>
        </w:rPr>
        <w:footnoteReference w:id="20"/>
      </w:r>
      <w:r w:rsidR="00044283">
        <w:t xml:space="preserve">  </w:t>
      </w:r>
      <w:r>
        <w:t xml:space="preserve">Gabrielle Vail noted that both the </w:t>
      </w:r>
      <w:r w:rsidRPr="00FB6425">
        <w:rPr>
          <w:i/>
          <w:iCs/>
        </w:rPr>
        <w:t>Dresden</w:t>
      </w:r>
      <w:r w:rsidR="00FB6425" w:rsidRPr="00FB6425">
        <w:rPr>
          <w:i/>
          <w:iCs/>
        </w:rPr>
        <w:t xml:space="preserve"> Codex</w:t>
      </w:r>
      <w:r>
        <w:rPr>
          <w:rStyle w:val="FootnoteReference"/>
        </w:rPr>
        <w:footnoteReference w:id="21"/>
      </w:r>
      <w:r>
        <w:t xml:space="preserve"> and the </w:t>
      </w:r>
      <w:r w:rsidRPr="00FB6425">
        <w:rPr>
          <w:i/>
          <w:iCs/>
        </w:rPr>
        <w:t>Madrid</w:t>
      </w:r>
      <w:r w:rsidR="00FB6425" w:rsidRPr="00FB6425">
        <w:rPr>
          <w:i/>
          <w:iCs/>
        </w:rPr>
        <w:t xml:space="preserve"> Codex</w:t>
      </w:r>
      <w:r>
        <w:rPr>
          <w:rStyle w:val="FootnoteReference"/>
        </w:rPr>
        <w:footnoteReference w:id="22"/>
      </w:r>
      <w:r>
        <w:t xml:space="preserve"> made associations with war and hunting deities during this period</w:t>
      </w:r>
      <w:r w:rsidR="00044283">
        <w:t>.</w:t>
      </w:r>
      <w:r>
        <w:rPr>
          <w:rStyle w:val="FootnoteReference"/>
        </w:rPr>
        <w:footnoteReference w:id="23"/>
      </w:r>
      <w:r>
        <w:t xml:space="preserve"> </w:t>
      </w:r>
      <w:r w:rsidR="009F7A27">
        <w:t>Susan Milbrath link</w:t>
      </w:r>
      <w:r w:rsidR="009F4F6E">
        <w:t>ed</w:t>
      </w:r>
      <w:r w:rsidR="009F7A27">
        <w:t xml:space="preserve"> the Morning Star to the </w:t>
      </w:r>
      <w:r w:rsidR="00002511">
        <w:t xml:space="preserve">dry season when fire ceremonies were performed to honor the dry season deity </w:t>
      </w:r>
      <w:r w:rsidR="00002511" w:rsidRPr="00002511">
        <w:t>Xiuhtecuhtli</w:t>
      </w:r>
      <w:r w:rsidR="00002511">
        <w:t>.</w:t>
      </w:r>
      <w:r>
        <w:rPr>
          <w:rStyle w:val="FootnoteReference"/>
        </w:rPr>
        <w:footnoteReference w:id="24"/>
      </w:r>
      <w:r w:rsidR="00002511">
        <w:t xml:space="preserve">  She also argue</w:t>
      </w:r>
      <w:r w:rsidR="009F4F6E">
        <w:t>d</w:t>
      </w:r>
      <w:r w:rsidR="00002511">
        <w:t xml:space="preserve"> that </w:t>
      </w:r>
      <w:r w:rsidR="00955358">
        <w:t xml:space="preserve">the Mayans may have timed their battles </w:t>
      </w:r>
      <w:r w:rsidR="000B338C">
        <w:t>a</w:t>
      </w:r>
      <w:r w:rsidR="00955358">
        <w:t xml:space="preserve">ccording to the Venus </w:t>
      </w:r>
      <w:r w:rsidR="00955358">
        <w:lastRenderedPageBreak/>
        <w:t>almanac</w:t>
      </w:r>
      <w:r w:rsidR="0047772F">
        <w:t>s</w:t>
      </w:r>
      <w:r w:rsidR="00677985">
        <w:t>.</w:t>
      </w:r>
      <w:r>
        <w:rPr>
          <w:rStyle w:val="FootnoteReference"/>
        </w:rPr>
        <w:footnoteReference w:id="25"/>
      </w:r>
      <w:r w:rsidR="00677985">
        <w:t xml:space="preserve"> Other scholars, including </w:t>
      </w:r>
      <w:r w:rsidR="00677985" w:rsidRPr="00677985">
        <w:t>Linda Schele</w:t>
      </w:r>
      <w:r w:rsidR="00677985">
        <w:t xml:space="preserve"> and </w:t>
      </w:r>
      <w:r w:rsidR="00677985" w:rsidRPr="00677985">
        <w:t>David Freidel</w:t>
      </w:r>
      <w:r>
        <w:rPr>
          <w:rStyle w:val="FootnoteReference"/>
        </w:rPr>
        <w:footnoteReference w:id="26"/>
      </w:r>
      <w:r w:rsidR="00677985">
        <w:t xml:space="preserve"> and </w:t>
      </w:r>
      <w:r w:rsidR="000B338C">
        <w:t>Simon Martin</w:t>
      </w:r>
      <w:r>
        <w:rPr>
          <w:rStyle w:val="FootnoteReference"/>
        </w:rPr>
        <w:footnoteReference w:id="27"/>
      </w:r>
      <w:r w:rsidR="000B338C">
        <w:t xml:space="preserve"> have also argued for the timing of battles based on a particular hieroglyphic</w:t>
      </w:r>
      <w:r w:rsidR="00A84722">
        <w:t>, known as the “star war verb”</w:t>
      </w:r>
      <w:r>
        <w:rPr>
          <w:rStyle w:val="FootnoteReference"/>
        </w:rPr>
        <w:footnoteReference w:id="28"/>
      </w:r>
      <w:r w:rsidR="000B338C">
        <w:t xml:space="preserve"> that appeared regularly on the </w:t>
      </w:r>
      <w:r w:rsidR="000B338C" w:rsidRPr="000B338C">
        <w:rPr>
          <w:i/>
          <w:iCs/>
        </w:rPr>
        <w:t>Dresden Codex</w:t>
      </w:r>
      <w:r w:rsidR="000B338C">
        <w:t>.</w:t>
      </w:r>
      <w:r w:rsidR="00A84722">
        <w:t xml:space="preserve"> Martin noted that this symbol was often present at key points in the Venus cycle, and often coincided with acts of war. He concluded</w:t>
      </w:r>
      <w:r w:rsidR="00637AEF">
        <w:t xml:space="preserve"> that</w:t>
      </w:r>
      <w:r w:rsidR="00A84722">
        <w:t>:</w:t>
      </w:r>
    </w:p>
    <w:p w14:paraId="6BC601BE" w14:textId="0486A649" w:rsidR="00A84722" w:rsidRDefault="00000000" w:rsidP="00A84722">
      <w:pPr>
        <w:spacing w:line="276" w:lineRule="auto"/>
        <w:ind w:left="720"/>
        <w:rPr>
          <w:sz w:val="20"/>
          <w:szCs w:val="20"/>
        </w:rPr>
      </w:pPr>
      <w:r w:rsidRPr="00A84722">
        <w:rPr>
          <w:sz w:val="20"/>
          <w:szCs w:val="20"/>
        </w:rPr>
        <w:t>the malevolent</w:t>
      </w:r>
      <w:r>
        <w:rPr>
          <w:sz w:val="20"/>
          <w:szCs w:val="20"/>
        </w:rPr>
        <w:t xml:space="preserve"> </w:t>
      </w:r>
      <w:r w:rsidRPr="00A84722">
        <w:rPr>
          <w:sz w:val="20"/>
          <w:szCs w:val="20"/>
        </w:rPr>
        <w:t xml:space="preserve">nature of Venus we see in </w:t>
      </w:r>
      <w:r w:rsidR="002D1D3E" w:rsidRPr="00A84722">
        <w:rPr>
          <w:sz w:val="20"/>
          <w:szCs w:val="20"/>
        </w:rPr>
        <w:t>post-classic</w:t>
      </w:r>
      <w:r w:rsidRPr="00A84722">
        <w:rPr>
          <w:sz w:val="20"/>
          <w:szCs w:val="20"/>
        </w:rPr>
        <w:t xml:space="preserve"> sources, such as the Dresden Codex, has some application during the Classic, and that the Maya timed specific military campaigns to coincide with celestial events.</w:t>
      </w:r>
      <w:r>
        <w:rPr>
          <w:rStyle w:val="FootnoteReference"/>
          <w:sz w:val="20"/>
          <w:szCs w:val="20"/>
        </w:rPr>
        <w:footnoteReference w:id="29"/>
      </w:r>
    </w:p>
    <w:p w14:paraId="1001EB0B" w14:textId="60F730AC" w:rsidR="00A84722" w:rsidRPr="00A84722" w:rsidRDefault="00000000" w:rsidP="00A84722">
      <w:pPr>
        <w:spacing w:line="276" w:lineRule="auto"/>
      </w:pPr>
      <w:r w:rsidRPr="00A84722">
        <w:t xml:space="preserve">However, </w:t>
      </w:r>
      <w:r>
        <w:t>Gerardo Aldana disagreed</w:t>
      </w:r>
      <w:r w:rsidR="00D75FE9">
        <w:t xml:space="preserve">, arguing </w:t>
      </w:r>
      <w:r w:rsidR="00160638">
        <w:t xml:space="preserve">based on later research </w:t>
      </w:r>
      <w:r w:rsidR="00D75FE9">
        <w:t>that ‘</w:t>
      </w:r>
      <w:r w:rsidR="00D75FE9" w:rsidRPr="00D75FE9">
        <w:t>the evidence does not support a ritual timing of Classic Maya warfare by the phases of Venus</w:t>
      </w:r>
      <w:r w:rsidR="00D75FE9">
        <w:t>’,</w:t>
      </w:r>
      <w:r>
        <w:rPr>
          <w:rStyle w:val="FootnoteReference"/>
        </w:rPr>
        <w:footnoteReference w:id="30"/>
      </w:r>
      <w:r w:rsidR="00D75FE9">
        <w:t xml:space="preserve"> and propose</w:t>
      </w:r>
      <w:r w:rsidR="00DF2501">
        <w:t>d</w:t>
      </w:r>
      <w:r w:rsidR="00D75FE9">
        <w:t xml:space="preserve"> that the hieroglyphic </w:t>
      </w:r>
      <w:r w:rsidR="00DF2501">
        <w:t xml:space="preserve">related instead </w:t>
      </w:r>
      <w:r w:rsidR="00D75FE9" w:rsidRPr="00D75FE9">
        <w:t>to meteor phenomena</w:t>
      </w:r>
      <w:r w:rsidR="00D75FE9">
        <w:t>.</w:t>
      </w:r>
      <w:r>
        <w:rPr>
          <w:rStyle w:val="FootnoteReference"/>
        </w:rPr>
        <w:footnoteReference w:id="31"/>
      </w:r>
      <w:r w:rsidR="00FE0FD8">
        <w:t xml:space="preserve"> So, scholars </w:t>
      </w:r>
      <w:r w:rsidR="003E4835">
        <w:t xml:space="preserve">continued to </w:t>
      </w:r>
      <w:r w:rsidR="00FE0FD8">
        <w:t xml:space="preserve">debate and disagree on whether and how the Venus cycles and tables </w:t>
      </w:r>
      <w:r w:rsidR="00205608">
        <w:t xml:space="preserve">were used </w:t>
      </w:r>
      <w:r w:rsidR="00FE0FD8">
        <w:t>to time war and battles</w:t>
      </w:r>
      <w:r w:rsidR="00137664">
        <w:t>.</w:t>
      </w:r>
    </w:p>
    <w:p w14:paraId="2B996941" w14:textId="1D5B33C2" w:rsidR="0047772F" w:rsidRDefault="00000000" w:rsidP="00A21D5D">
      <w:pPr>
        <w:spacing w:line="276" w:lineRule="auto"/>
      </w:pPr>
      <w:r>
        <w:tab/>
      </w:r>
      <w:r w:rsidRPr="00CE1AF5">
        <w:t xml:space="preserve">Following the Morning Star phase, Venus </w:t>
      </w:r>
      <w:r w:rsidR="00CE1AF5">
        <w:t>enter</w:t>
      </w:r>
      <w:r w:rsidR="004E0DFE">
        <w:t>ed</w:t>
      </w:r>
      <w:r w:rsidR="00CE1AF5">
        <w:t xml:space="preserve"> another underworld phase, corresponding with </w:t>
      </w:r>
      <w:r w:rsidR="00205608">
        <w:t xml:space="preserve">the period before, during, and after </w:t>
      </w:r>
      <w:r w:rsidR="00CE1AF5">
        <w:t xml:space="preserve">its superior conjunction with the Sun. </w:t>
      </w:r>
      <w:r w:rsidR="00F81D7E">
        <w:t xml:space="preserve">Although this phase </w:t>
      </w:r>
      <w:r w:rsidR="00602E22">
        <w:t>lasted</w:t>
      </w:r>
      <w:r w:rsidR="00F81D7E">
        <w:t xml:space="preserve"> approximately</w:t>
      </w:r>
      <w:r w:rsidR="0068778D">
        <w:t xml:space="preserve"> 50</w:t>
      </w:r>
      <w:r w:rsidR="00F81D7E">
        <w:t xml:space="preserve"> days, the </w:t>
      </w:r>
      <w:r w:rsidR="00145FBF">
        <w:t xml:space="preserve">tables in the </w:t>
      </w:r>
      <w:r w:rsidR="00145FBF" w:rsidRPr="00145FBF">
        <w:rPr>
          <w:i/>
          <w:iCs/>
        </w:rPr>
        <w:t>Dresden Codex</w:t>
      </w:r>
      <w:r w:rsidR="00145FBF">
        <w:t xml:space="preserve"> use an interval of 90 days.</w:t>
      </w:r>
      <w:r>
        <w:rPr>
          <w:rStyle w:val="FootnoteReference"/>
        </w:rPr>
        <w:footnoteReference w:id="32"/>
      </w:r>
      <w:r w:rsidR="00F81D7E">
        <w:t xml:space="preserve"> </w:t>
      </w:r>
      <w:r>
        <w:t xml:space="preserve"> </w:t>
      </w:r>
      <w:r w:rsidR="00DE49FA">
        <w:t xml:space="preserve">Again, as Aveni asserted, this was likely </w:t>
      </w:r>
      <w:r w:rsidR="0068778D">
        <w:t xml:space="preserve">done </w:t>
      </w:r>
      <w:r w:rsidR="00DE49FA">
        <w:t>to sync up the Venus cycle with the lunar cycles</w:t>
      </w:r>
      <w:r w:rsidR="00C015F2">
        <w:t>, which were also of great importance</w:t>
      </w:r>
      <w:r w:rsidR="00DE49FA">
        <w:t>.</w:t>
      </w:r>
      <w:r>
        <w:rPr>
          <w:rStyle w:val="FootnoteReference"/>
        </w:rPr>
        <w:footnoteReference w:id="33"/>
      </w:r>
      <w:r w:rsidR="00280464">
        <w:t xml:space="preserve"> As Venus emerge</w:t>
      </w:r>
      <w:r w:rsidR="00B5372E">
        <w:t>d</w:t>
      </w:r>
      <w:r w:rsidR="00280464">
        <w:t xml:space="preserve"> </w:t>
      </w:r>
      <w:r w:rsidR="00AD6297">
        <w:t>from this period of invisibility, it bec</w:t>
      </w:r>
      <w:r w:rsidR="00B5372E">
        <w:t>ame</w:t>
      </w:r>
      <w:r w:rsidR="00AD6297">
        <w:t xml:space="preserve"> </w:t>
      </w:r>
      <w:r w:rsidR="00280464">
        <w:t xml:space="preserve">the Evening </w:t>
      </w:r>
      <w:r w:rsidR="00AD6297">
        <w:t>Star. The Codex Borgia</w:t>
      </w:r>
      <w:r>
        <w:rPr>
          <w:rStyle w:val="FootnoteReference"/>
        </w:rPr>
        <w:footnoteReference w:id="34"/>
      </w:r>
      <w:r w:rsidR="00AD6297">
        <w:t>, a pre-Columbian document originating in Central Mexico, describe</w:t>
      </w:r>
      <w:r w:rsidR="000257B6">
        <w:t>d</w:t>
      </w:r>
      <w:r w:rsidR="00AD6297">
        <w:t xml:space="preserve"> in this sequence that Quetzalcoatl, the Aztec deity embodying Venus, ha</w:t>
      </w:r>
      <w:r w:rsidR="000257B6">
        <w:t>d</w:t>
      </w:r>
      <w:r w:rsidR="00AD6297">
        <w:t xml:space="preserve"> been consumed in a fire and transformed into the Evening Star</w:t>
      </w:r>
      <w:r w:rsidR="00A21D5D">
        <w:t>, ‘</w:t>
      </w:r>
      <w:r w:rsidR="00A21D5D" w:rsidRPr="00A21D5D">
        <w:t>an</w:t>
      </w:r>
      <w:r w:rsidR="00A21D5D">
        <w:t xml:space="preserve"> </w:t>
      </w:r>
      <w:r w:rsidR="00A21D5D" w:rsidRPr="00A21D5D">
        <w:t>image representing the fire ceremony described</w:t>
      </w:r>
      <w:r w:rsidR="00A21D5D">
        <w:t xml:space="preserve"> </w:t>
      </w:r>
      <w:r w:rsidR="00A21D5D" w:rsidRPr="00A21D5D">
        <w:t xml:space="preserve">in </w:t>
      </w:r>
      <w:r w:rsidR="00A21D5D" w:rsidRPr="00A21D5D">
        <w:lastRenderedPageBreak/>
        <w:t>the festival of Panquetzaliztli</w:t>
      </w:r>
      <w:r w:rsidR="00A21D5D">
        <w:t>’</w:t>
      </w:r>
      <w:r w:rsidR="00AD6297">
        <w:t>.</w:t>
      </w:r>
      <w:r>
        <w:rPr>
          <w:rStyle w:val="FootnoteReference"/>
        </w:rPr>
        <w:footnoteReference w:id="35"/>
      </w:r>
      <w:r w:rsidR="00AD6297">
        <w:t xml:space="preserve"> </w:t>
      </w:r>
      <w:r w:rsidR="00A21D5D">
        <w:t>Again, Venus emerge</w:t>
      </w:r>
      <w:r w:rsidR="008B16A2">
        <w:t>d</w:t>
      </w:r>
      <w:r w:rsidR="00A21D5D">
        <w:t xml:space="preserve"> following a period in the underworld as a </w:t>
      </w:r>
      <w:r w:rsidR="00602E22">
        <w:t>different</w:t>
      </w:r>
      <w:r w:rsidR="00A21D5D">
        <w:t xml:space="preserve"> </w:t>
      </w:r>
      <w:r w:rsidR="00602E22">
        <w:t>incarnation</w:t>
      </w:r>
      <w:r w:rsidR="00A21D5D">
        <w:t xml:space="preserve"> of itself.</w:t>
      </w:r>
    </w:p>
    <w:p w14:paraId="36543B93" w14:textId="72FFC0FB" w:rsidR="00A33C42" w:rsidRDefault="00000000" w:rsidP="00A21D5D">
      <w:pPr>
        <w:spacing w:line="276" w:lineRule="auto"/>
      </w:pPr>
      <w:r>
        <w:tab/>
      </w:r>
      <w:r w:rsidR="00031D0D">
        <w:t xml:space="preserve">While the Morning Star was emphasized in the postclassical society, the classical society </w:t>
      </w:r>
      <w:r w:rsidR="00665492">
        <w:t xml:space="preserve">appeared to </w:t>
      </w:r>
      <w:r w:rsidR="00031D0D">
        <w:t xml:space="preserve">place more importance on the </w:t>
      </w:r>
      <w:r w:rsidR="00350F6F">
        <w:t xml:space="preserve">symbolism of the </w:t>
      </w:r>
      <w:r w:rsidR="00031D0D">
        <w:t>Evening Star</w:t>
      </w:r>
      <w:r w:rsidR="00665492">
        <w:t>.</w:t>
      </w:r>
      <w:r>
        <w:rPr>
          <w:rStyle w:val="FootnoteReference"/>
        </w:rPr>
        <w:footnoteReference w:id="36"/>
      </w:r>
      <w:r>
        <w:t xml:space="preserve"> </w:t>
      </w:r>
      <w:r w:rsidR="00740251">
        <w:t xml:space="preserve">Ivan </w:t>
      </w:r>
      <w:r w:rsidR="00740251">
        <w:rPr>
          <w:noProof/>
          <w:lang w:val="en-US"/>
        </w:rPr>
        <w:t>Šprajc explore</w:t>
      </w:r>
      <w:r w:rsidR="003D26A9">
        <w:rPr>
          <w:noProof/>
          <w:lang w:val="en-US"/>
        </w:rPr>
        <w:t>d</w:t>
      </w:r>
      <w:r w:rsidR="00740251">
        <w:rPr>
          <w:noProof/>
          <w:lang w:val="en-US"/>
        </w:rPr>
        <w:t xml:space="preserve"> </w:t>
      </w:r>
      <w:r w:rsidR="00350F6F">
        <w:rPr>
          <w:noProof/>
          <w:lang w:val="en-US"/>
        </w:rPr>
        <w:t>this connection</w:t>
      </w:r>
      <w:r w:rsidR="00740251">
        <w:rPr>
          <w:noProof/>
          <w:lang w:val="en-US"/>
        </w:rPr>
        <w:t xml:space="preserve"> in </w:t>
      </w:r>
      <w:r w:rsidR="00740251" w:rsidRPr="00740251">
        <w:rPr>
          <w:i/>
          <w:iCs/>
          <w:noProof/>
          <w:lang w:val="en-US"/>
        </w:rPr>
        <w:t>The Venus-Rain-Maize Complex in the Mesoamerican World View, Parts I and II</w:t>
      </w:r>
      <w:r w:rsidR="00740251">
        <w:rPr>
          <w:i/>
          <w:iCs/>
          <w:noProof/>
          <w:lang w:val="en-US"/>
        </w:rPr>
        <w:t xml:space="preserve"> </w:t>
      </w:r>
      <w:r>
        <w:rPr>
          <w:rStyle w:val="FootnoteReference"/>
          <w:i/>
          <w:iCs/>
          <w:noProof/>
          <w:lang w:val="en-US"/>
        </w:rPr>
        <w:footnoteReference w:id="37"/>
      </w:r>
      <w:r w:rsidR="00740251">
        <w:rPr>
          <w:i/>
          <w:iCs/>
          <w:noProof/>
          <w:lang w:val="en-US"/>
        </w:rPr>
        <w:t xml:space="preserve"> </w:t>
      </w:r>
      <w:r>
        <w:rPr>
          <w:rStyle w:val="FootnoteReference"/>
          <w:i/>
          <w:iCs/>
          <w:noProof/>
          <w:lang w:val="en-US"/>
        </w:rPr>
        <w:footnoteReference w:id="38"/>
      </w:r>
      <w:r w:rsidR="00740251">
        <w:rPr>
          <w:i/>
          <w:iCs/>
          <w:noProof/>
          <w:lang w:val="en-US"/>
        </w:rPr>
        <w:t xml:space="preserve">. </w:t>
      </w:r>
      <w:r w:rsidR="00740251">
        <w:rPr>
          <w:noProof/>
          <w:lang w:val="en-US"/>
        </w:rPr>
        <w:t xml:space="preserve">According to </w:t>
      </w:r>
      <w:r w:rsidR="00740251" w:rsidRPr="00664D0E">
        <w:t>Šprajc</w:t>
      </w:r>
      <w:r w:rsidR="00740251">
        <w:t xml:space="preserve">’s research, </w:t>
      </w:r>
      <w:r w:rsidR="007A6EFA">
        <w:t xml:space="preserve">Venus as Evening Star was associated </w:t>
      </w:r>
      <w:r w:rsidR="003D26A9">
        <w:t xml:space="preserve">during the Classical period (about 200-900 AD) </w:t>
      </w:r>
      <w:r w:rsidR="007A6EFA">
        <w:t xml:space="preserve">with both </w:t>
      </w:r>
      <w:r w:rsidR="00912D31">
        <w:t xml:space="preserve">war and </w:t>
      </w:r>
      <w:r w:rsidR="007A6EFA">
        <w:t>human sacrifice a</w:t>
      </w:r>
      <w:r w:rsidR="00912D31">
        <w:t>s well as rain,</w:t>
      </w:r>
      <w:r w:rsidR="007A6EFA">
        <w:t xml:space="preserve"> fertility</w:t>
      </w:r>
      <w:r w:rsidR="00912D31">
        <w:t>, and the cultivation of maize</w:t>
      </w:r>
      <w:r w:rsidR="007A6EFA">
        <w:t xml:space="preserve">. </w:t>
      </w:r>
      <w:r>
        <w:rPr>
          <w:rStyle w:val="FootnoteReference"/>
        </w:rPr>
        <w:footnoteReference w:id="39"/>
      </w:r>
      <w:r w:rsidR="00912D31">
        <w:t xml:space="preserve">  </w:t>
      </w:r>
      <w:r w:rsidR="008E6882" w:rsidRPr="008E6882">
        <w:t xml:space="preserve">As he </w:t>
      </w:r>
      <w:r w:rsidR="006D1ECA" w:rsidRPr="008E6882">
        <w:t>explained, human</w:t>
      </w:r>
      <w:r w:rsidR="00DC175F">
        <w:t xml:space="preserve"> sacrifice was believed to be necessary to ensure </w:t>
      </w:r>
      <w:r w:rsidR="006D1ECA">
        <w:t xml:space="preserve">rain and success in agricultural endeavors. And since the humans to be sacrificed were normally those </w:t>
      </w:r>
      <w:r w:rsidR="007A4897">
        <w:t xml:space="preserve">who had been </w:t>
      </w:r>
      <w:r w:rsidR="006D1ECA">
        <w:t xml:space="preserve">captured in battle, war and sacrifice were considered sacred to the </w:t>
      </w:r>
      <w:r w:rsidR="001E0E14">
        <w:t>gods.</w:t>
      </w:r>
      <w:r>
        <w:rPr>
          <w:rStyle w:val="FootnoteReference"/>
        </w:rPr>
        <w:footnoteReference w:id="40"/>
      </w:r>
      <w:r w:rsidR="00B94F7E">
        <w:t xml:space="preserve"> Although this was also at times associated with the Morning Star phase, historical data showed that for centuries, the Evening Star phase coincided with Venus's northern extreme declination and the beginning and end of the rainy season.</w:t>
      </w:r>
      <w:r>
        <w:rPr>
          <w:rStyle w:val="FootnoteReference"/>
        </w:rPr>
        <w:footnoteReference w:id="41"/>
      </w:r>
      <w:r w:rsidR="001D6C0A">
        <w:t xml:space="preserve"> </w:t>
      </w:r>
      <w:r>
        <w:rPr>
          <w:rStyle w:val="FootnoteReference"/>
        </w:rPr>
        <w:footnoteReference w:id="42"/>
      </w:r>
      <w:r w:rsidR="009F7B88">
        <w:t xml:space="preserve">  This association has been reflected in the mythology and festivals among villages and groups in southern Mexico, even in recent times.</w:t>
      </w:r>
      <w:r>
        <w:rPr>
          <w:rStyle w:val="FootnoteReference"/>
        </w:rPr>
        <w:footnoteReference w:id="43"/>
      </w:r>
      <w:r>
        <w:t xml:space="preserve">  Following the Evening Star phase, Venus disappear</w:t>
      </w:r>
      <w:r w:rsidR="00F8573D">
        <w:t>ed</w:t>
      </w:r>
      <w:r>
        <w:t xml:space="preserve"> for eight days, and then emerge</w:t>
      </w:r>
      <w:r w:rsidR="00F8573D">
        <w:t>d</w:t>
      </w:r>
      <w:r>
        <w:t xml:space="preserve"> again at the heliacal rise as the Morning Star, the beginning of another planetary cycle.</w:t>
      </w:r>
    </w:p>
    <w:p w14:paraId="774161A5" w14:textId="77777777" w:rsidR="00EF1503" w:rsidRPr="000C2ED7" w:rsidRDefault="00EF1503" w:rsidP="00EF1503">
      <w:pPr>
        <w:spacing w:line="276" w:lineRule="auto"/>
        <w:rPr>
          <w:sz w:val="20"/>
          <w:szCs w:val="20"/>
        </w:rPr>
      </w:pPr>
    </w:p>
    <w:p w14:paraId="224BE59D" w14:textId="3B8C9D59" w:rsidR="00EF1503" w:rsidRDefault="00000000" w:rsidP="00EF1503">
      <w:pPr>
        <w:spacing w:line="276" w:lineRule="auto"/>
        <w:rPr>
          <w:u w:val="single"/>
        </w:rPr>
      </w:pPr>
      <w:r>
        <w:rPr>
          <w:u w:val="single"/>
        </w:rPr>
        <w:t>Mesopotamia</w:t>
      </w:r>
    </w:p>
    <w:p w14:paraId="514E4253" w14:textId="5F5EA244" w:rsidR="00955C6B" w:rsidRDefault="00000000" w:rsidP="00EF1503">
      <w:pPr>
        <w:spacing w:line="276" w:lineRule="auto"/>
      </w:pPr>
      <w:r>
        <w:tab/>
        <w:t xml:space="preserve">Like the Mesoamericans, the Babylonians kept careful records </w:t>
      </w:r>
      <w:r w:rsidR="001A5AE5">
        <w:t xml:space="preserve">of planetary positions each day, including the </w:t>
      </w:r>
      <w:r w:rsidR="004F0578">
        <w:t>passages</w:t>
      </w:r>
      <w:r w:rsidR="001A5AE5">
        <w:t xml:space="preserve"> of Venus. </w:t>
      </w:r>
      <w:r w:rsidR="001737CD">
        <w:t xml:space="preserve">A collection of clay tablets known as the </w:t>
      </w:r>
      <w:r w:rsidR="001737CD" w:rsidRPr="001737CD">
        <w:rPr>
          <w:i/>
          <w:iCs/>
        </w:rPr>
        <w:t>Enuma Anu Enlil</w:t>
      </w:r>
      <w:r w:rsidR="001737CD">
        <w:rPr>
          <w:i/>
          <w:iCs/>
        </w:rPr>
        <w:t xml:space="preserve"> </w:t>
      </w:r>
      <w:r w:rsidR="001737CD" w:rsidRPr="001737CD">
        <w:t>was found</w:t>
      </w:r>
      <w:r w:rsidR="001737CD">
        <w:t xml:space="preserve">, among them the </w:t>
      </w:r>
      <w:r w:rsidR="001737CD" w:rsidRPr="001737CD">
        <w:rPr>
          <w:i/>
          <w:iCs/>
        </w:rPr>
        <w:t>Venus Table of Ammisaduqa</w:t>
      </w:r>
      <w:r w:rsidR="001737CD">
        <w:t xml:space="preserve"> (Tablet 63) </w:t>
      </w:r>
      <w:r>
        <w:rPr>
          <w:rStyle w:val="FootnoteReference"/>
        </w:rPr>
        <w:footnoteReference w:id="44"/>
      </w:r>
      <w:r w:rsidR="001737CD">
        <w:t xml:space="preserve">, </w:t>
      </w:r>
      <w:r w:rsidR="001737CD">
        <w:lastRenderedPageBreak/>
        <w:t xml:space="preserve">containing </w:t>
      </w:r>
      <w:r w:rsidR="009F1CAB">
        <w:t xml:space="preserve">omens related to the </w:t>
      </w:r>
      <w:r w:rsidR="004F0578">
        <w:t xml:space="preserve">positions and </w:t>
      </w:r>
      <w:r w:rsidR="009F1CAB">
        <w:t xml:space="preserve">movements of the planet Venus. </w:t>
      </w:r>
      <w:r>
        <w:rPr>
          <w:rStyle w:val="FootnoteReference"/>
        </w:rPr>
        <w:footnoteReference w:id="45"/>
      </w:r>
      <w:r w:rsidR="00BE0D9A">
        <w:t xml:space="preserve">  </w:t>
      </w:r>
      <w:r w:rsidR="005B6680">
        <w:t xml:space="preserve">The omens related to Venus often spoke of the first and last days of visibility in the East or West, along with the meaning of this appearance. </w:t>
      </w:r>
      <w:r w:rsidR="008C58BC">
        <w:t xml:space="preserve">Erica Reiner and David Pingree translated some of these omens, </w:t>
      </w:r>
      <w:r w:rsidR="004D023E">
        <w:t>two</w:t>
      </w:r>
      <w:r w:rsidR="008C58BC">
        <w:t xml:space="preserve"> example</w:t>
      </w:r>
      <w:r w:rsidR="004D023E">
        <w:t>s</w:t>
      </w:r>
      <w:r w:rsidR="008C58BC">
        <w:t xml:space="preserve"> being:</w:t>
      </w:r>
    </w:p>
    <w:p w14:paraId="370BD5C2" w14:textId="1ED1C99B" w:rsidR="008C58BC" w:rsidRPr="004D023E" w:rsidRDefault="00000000" w:rsidP="004D023E">
      <w:pPr>
        <w:spacing w:line="276" w:lineRule="auto"/>
        <w:ind w:left="720"/>
        <w:rPr>
          <w:sz w:val="20"/>
          <w:szCs w:val="20"/>
        </w:rPr>
      </w:pPr>
      <w:r w:rsidRPr="004D023E">
        <w:rPr>
          <w:sz w:val="20"/>
          <w:szCs w:val="20"/>
        </w:rPr>
        <w:t xml:space="preserve">In month XI, 15th day, Venus in the west disappeared 3 days in the sky it stayed away, and in month XI, 18th day, Venus in the east became visible: springs will open, Adad his rain, </w:t>
      </w:r>
      <w:proofErr w:type="spellStart"/>
      <w:r w:rsidRPr="004D023E">
        <w:rPr>
          <w:sz w:val="20"/>
          <w:szCs w:val="20"/>
        </w:rPr>
        <w:t>Ea</w:t>
      </w:r>
      <w:proofErr w:type="spellEnd"/>
      <w:r w:rsidRPr="004D023E">
        <w:rPr>
          <w:sz w:val="20"/>
          <w:szCs w:val="20"/>
        </w:rPr>
        <w:t xml:space="preserve"> his floods will bring, king to king messages of reconciliations will send.</w:t>
      </w:r>
      <w:r>
        <w:rPr>
          <w:rStyle w:val="FootnoteReference"/>
          <w:sz w:val="20"/>
          <w:szCs w:val="20"/>
        </w:rPr>
        <w:footnoteReference w:id="46"/>
      </w:r>
    </w:p>
    <w:p w14:paraId="4E3F6626" w14:textId="3076AFC6" w:rsidR="00A33C42" w:rsidRDefault="00000000" w:rsidP="00A21D5D">
      <w:pPr>
        <w:spacing w:line="276" w:lineRule="auto"/>
      </w:pPr>
      <w:r>
        <w:t>and</w:t>
      </w:r>
    </w:p>
    <w:p w14:paraId="522EBD5E" w14:textId="2CEE8183" w:rsidR="004D023E" w:rsidRPr="003903C7" w:rsidRDefault="00000000" w:rsidP="003903C7">
      <w:pPr>
        <w:spacing w:line="276" w:lineRule="auto"/>
        <w:ind w:left="720"/>
        <w:rPr>
          <w:sz w:val="20"/>
          <w:szCs w:val="20"/>
        </w:rPr>
      </w:pPr>
      <w:r w:rsidRPr="003903C7">
        <w:rPr>
          <w:sz w:val="20"/>
          <w:szCs w:val="20"/>
        </w:rPr>
        <w:t>In month VIII, 11</w:t>
      </w:r>
      <w:r w:rsidRPr="003903C7">
        <w:rPr>
          <w:sz w:val="20"/>
          <w:szCs w:val="20"/>
          <w:vertAlign w:val="superscript"/>
        </w:rPr>
        <w:t>th</w:t>
      </w:r>
      <w:r w:rsidRPr="003903C7">
        <w:rPr>
          <w:sz w:val="20"/>
          <w:szCs w:val="20"/>
        </w:rPr>
        <w:t xml:space="preserve"> day, Venus in the </w:t>
      </w:r>
      <w:r w:rsidR="003903C7" w:rsidRPr="003903C7">
        <w:rPr>
          <w:sz w:val="20"/>
          <w:szCs w:val="20"/>
        </w:rPr>
        <w:t>e</w:t>
      </w:r>
      <w:r w:rsidRPr="003903C7">
        <w:rPr>
          <w:sz w:val="20"/>
          <w:szCs w:val="20"/>
        </w:rPr>
        <w:t xml:space="preserve">ast disappeared; 2 months n days in the sky it stayed away, and in month X, </w:t>
      </w:r>
      <w:r w:rsidR="003903C7" w:rsidRPr="003903C7">
        <w:rPr>
          <w:sz w:val="20"/>
          <w:szCs w:val="20"/>
        </w:rPr>
        <w:t xml:space="preserve">nth </w:t>
      </w:r>
      <w:r w:rsidRPr="003903C7">
        <w:rPr>
          <w:sz w:val="20"/>
          <w:szCs w:val="20"/>
        </w:rPr>
        <w:t xml:space="preserve">day, Venus in the </w:t>
      </w:r>
      <w:r w:rsidR="003903C7" w:rsidRPr="003903C7">
        <w:rPr>
          <w:sz w:val="20"/>
          <w:szCs w:val="20"/>
        </w:rPr>
        <w:t>w</w:t>
      </w:r>
      <w:r w:rsidRPr="003903C7">
        <w:rPr>
          <w:sz w:val="20"/>
          <w:szCs w:val="20"/>
        </w:rPr>
        <w:t>est became visible.</w:t>
      </w:r>
      <w:r w:rsidR="003903C7" w:rsidRPr="003903C7">
        <w:rPr>
          <w:sz w:val="20"/>
          <w:szCs w:val="20"/>
        </w:rPr>
        <w:t xml:space="preserve">; the harvest of the land will prosper. </w:t>
      </w:r>
      <w:r>
        <w:rPr>
          <w:rStyle w:val="FootnoteReference"/>
          <w:sz w:val="20"/>
          <w:szCs w:val="20"/>
        </w:rPr>
        <w:footnoteReference w:id="47"/>
      </w:r>
    </w:p>
    <w:p w14:paraId="1E05F866" w14:textId="5BBD1C4A" w:rsidR="00C405DE" w:rsidRDefault="00000000" w:rsidP="00A21D5D">
      <w:pPr>
        <w:spacing w:line="276" w:lineRule="auto"/>
      </w:pPr>
      <w:r>
        <w:t xml:space="preserve">These omens demonstrate the association of Venus Morning Star (visibility in the east) with the start of the rainy season and Venus Evening Star (visibility in the west) with harvest time. The predictions of reconciliation and prosperity would be useful to the king and the </w:t>
      </w:r>
      <w:proofErr w:type="gramStart"/>
      <w:r>
        <w:t>nation as a whole</w:t>
      </w:r>
      <w:proofErr w:type="gramEnd"/>
      <w:r>
        <w:t>.</w:t>
      </w:r>
      <w:r>
        <w:rPr>
          <w:rStyle w:val="FootnoteReference"/>
        </w:rPr>
        <w:footnoteReference w:id="48"/>
      </w:r>
    </w:p>
    <w:p w14:paraId="3902B818" w14:textId="76429B52" w:rsidR="00BE38D6" w:rsidRDefault="00000000" w:rsidP="00A21D5D">
      <w:pPr>
        <w:spacing w:line="276" w:lineRule="auto"/>
      </w:pPr>
      <w:r>
        <w:tab/>
      </w:r>
      <w:r w:rsidR="00A64C7D">
        <w:t xml:space="preserve">These records and their associated omens were so important that a </w:t>
      </w:r>
      <w:r w:rsidR="00F4754D">
        <w:t xml:space="preserve">group </w:t>
      </w:r>
      <w:r w:rsidR="00A64C7D">
        <w:t>of</w:t>
      </w:r>
      <w:r w:rsidR="00F4754D">
        <w:t xml:space="preserve"> </w:t>
      </w:r>
      <w:r w:rsidR="006330BF">
        <w:t xml:space="preserve">designated </w:t>
      </w:r>
      <w:r w:rsidR="00F4754D">
        <w:t>experts</w:t>
      </w:r>
      <w:r w:rsidR="00A64C7D">
        <w:t xml:space="preserve"> received many years of education on how to </w:t>
      </w:r>
      <w:r w:rsidR="00F4754D">
        <w:t>find and interpret the</w:t>
      </w:r>
      <w:r w:rsidR="007318EA">
        <w:t>m</w:t>
      </w:r>
      <w:r w:rsidR="00F4754D">
        <w:t xml:space="preserve">. They would then communicate these to the King to </w:t>
      </w:r>
      <w:r w:rsidR="007318EA">
        <w:t xml:space="preserve">be </w:t>
      </w:r>
      <w:r w:rsidR="00F4754D">
        <w:t>address</w:t>
      </w:r>
      <w:r w:rsidR="007318EA">
        <w:t>ed</w:t>
      </w:r>
      <w:r w:rsidR="00F4754D">
        <w:t>.</w:t>
      </w:r>
      <w:r>
        <w:rPr>
          <w:rStyle w:val="FootnoteReference"/>
        </w:rPr>
        <w:footnoteReference w:id="49"/>
      </w:r>
      <w:r w:rsidR="0076444B">
        <w:t xml:space="preserve">  Many of the omens related to Venus placed importance on which month and in which constellation the planet first appeared as Morning Star or Evening Star.</w:t>
      </w:r>
      <w:r>
        <w:rPr>
          <w:rStyle w:val="FootnoteReference"/>
        </w:rPr>
        <w:footnoteReference w:id="50"/>
      </w:r>
      <w:r w:rsidR="007318EA">
        <w:t xml:space="preserve">  Based on the nature of the omen, the King could </w:t>
      </w:r>
      <w:r w:rsidR="00A8745C">
        <w:t xml:space="preserve">then </w:t>
      </w:r>
      <w:r w:rsidR="007318EA">
        <w:t xml:space="preserve">decide to </w:t>
      </w:r>
      <w:proofErr w:type="gramStart"/>
      <w:r w:rsidR="007318EA">
        <w:t>take action</w:t>
      </w:r>
      <w:proofErr w:type="gramEnd"/>
      <w:r w:rsidR="007318EA">
        <w:t xml:space="preserve"> </w:t>
      </w:r>
      <w:r w:rsidR="00EB2431">
        <w:t xml:space="preserve">through what was called a 'Namburbi ritual.' </w:t>
      </w:r>
      <w:r>
        <w:rPr>
          <w:rStyle w:val="FootnoteReference"/>
        </w:rPr>
        <w:footnoteReference w:id="51"/>
      </w:r>
      <w:r w:rsidR="00EB2431">
        <w:t xml:space="preserve"> </w:t>
      </w:r>
      <w:r w:rsidR="007318EA">
        <w:t xml:space="preserve">to prevent </w:t>
      </w:r>
      <w:r w:rsidR="00EB2431">
        <w:t>dire things</w:t>
      </w:r>
      <w:r w:rsidR="007318EA">
        <w:t xml:space="preserve"> from occurring</w:t>
      </w:r>
      <w:r w:rsidR="00171ED6">
        <w:t>. As Herman Hunger explained:</w:t>
      </w:r>
      <w:r w:rsidR="007318EA">
        <w:t xml:space="preserve"> </w:t>
      </w:r>
    </w:p>
    <w:p w14:paraId="708CBEF8" w14:textId="4FCBD937" w:rsidR="00171ED6" w:rsidRDefault="00000000" w:rsidP="00171ED6">
      <w:pPr>
        <w:spacing w:line="276" w:lineRule="auto"/>
        <w:ind w:left="720"/>
        <w:rPr>
          <w:sz w:val="20"/>
          <w:szCs w:val="20"/>
        </w:rPr>
      </w:pPr>
      <w:r>
        <w:rPr>
          <w:sz w:val="20"/>
          <w:szCs w:val="20"/>
        </w:rPr>
        <w:t>E</w:t>
      </w:r>
      <w:r w:rsidRPr="00171ED6">
        <w:rPr>
          <w:sz w:val="20"/>
          <w:szCs w:val="20"/>
        </w:rPr>
        <w:t>vents in the sky are seen as messages from the gods, meant to warn humans of potential future events. If nothing is done, these events will happen. But it is possible to prevent the predictions from becoming true, by means of prayers, rites and sacrifices. The predicted events are not inevitable.</w:t>
      </w:r>
      <w:r>
        <w:rPr>
          <w:rStyle w:val="FootnoteReference"/>
          <w:sz w:val="20"/>
          <w:szCs w:val="20"/>
        </w:rPr>
        <w:footnoteReference w:id="52"/>
      </w:r>
    </w:p>
    <w:p w14:paraId="260ED69C" w14:textId="2336400A" w:rsidR="00171ED6" w:rsidRDefault="00000000" w:rsidP="00171ED6">
      <w:pPr>
        <w:spacing w:line="276" w:lineRule="auto"/>
      </w:pPr>
      <w:r w:rsidRPr="00171ED6">
        <w:lastRenderedPageBreak/>
        <w:t xml:space="preserve">Thus, the Babylonians saw </w:t>
      </w:r>
      <w:r>
        <w:t>the omens related to Venus and its planetary cycles not as fated but as warnings of potential dangers if the situation were not circumvented.</w:t>
      </w:r>
    </w:p>
    <w:p w14:paraId="552854C9" w14:textId="23237F15" w:rsidR="00547FB7" w:rsidRDefault="00000000" w:rsidP="00A21D5D">
      <w:pPr>
        <w:spacing w:line="276" w:lineRule="auto"/>
        <w:rPr>
          <w:noProof/>
        </w:rPr>
      </w:pPr>
      <w:r>
        <w:tab/>
        <w:t>Another important association</w:t>
      </w:r>
      <w:r w:rsidR="00641DDB">
        <w:t xml:space="preserve"> with the planetary cycles of Venus for the </w:t>
      </w:r>
      <w:r w:rsidR="009C686E">
        <w:t xml:space="preserve">ancient </w:t>
      </w:r>
      <w:r w:rsidR="00641DDB">
        <w:t>Mesopotamians was the myth of Inanna.</w:t>
      </w:r>
      <w:r w:rsidR="00E041CE">
        <w:t xml:space="preserve"> In his article </w:t>
      </w:r>
      <w:r w:rsidR="00E041CE" w:rsidRPr="00E041CE">
        <w:rPr>
          <w:i/>
          <w:iCs/>
          <w:noProof/>
          <w:lang w:val="en-US"/>
        </w:rPr>
        <w:t>The Identification of Inanna With the Planet Venus: A Criterion For the Time Determination of the Recognition of Constellations in Ancient Mesopotami</w:t>
      </w:r>
      <w:r w:rsidR="00B245C9">
        <w:rPr>
          <w:i/>
          <w:iCs/>
          <w:noProof/>
          <w:lang w:val="en-US"/>
        </w:rPr>
        <w:t xml:space="preserve">a </w:t>
      </w:r>
      <w:r>
        <w:rPr>
          <w:rStyle w:val="FootnoteReference"/>
        </w:rPr>
        <w:footnoteReference w:id="53"/>
      </w:r>
      <w:r w:rsidR="00E041CE">
        <w:rPr>
          <w:i/>
          <w:iCs/>
          <w:noProof/>
          <w:lang w:val="en-US"/>
        </w:rPr>
        <w:t xml:space="preserve">, </w:t>
      </w:r>
      <w:r w:rsidR="00E041CE" w:rsidRPr="00E041CE">
        <w:rPr>
          <w:noProof/>
          <w:lang w:val="en-US"/>
        </w:rPr>
        <w:t>G.E. Kurti</w:t>
      </w:r>
      <w:r w:rsidR="00B245C9">
        <w:rPr>
          <w:noProof/>
          <w:lang w:val="en-US"/>
        </w:rPr>
        <w:t xml:space="preserve">k discussed the evolving </w:t>
      </w:r>
      <w:r w:rsidR="00755B98">
        <w:rPr>
          <w:noProof/>
          <w:lang w:val="en-US"/>
        </w:rPr>
        <w:t>role of Inanna from the goddess of fertility (also associated with Venus</w:t>
      </w:r>
      <w:r>
        <w:rPr>
          <w:rStyle w:val="FootnoteReference"/>
          <w:noProof/>
          <w:lang w:val="en-US"/>
        </w:rPr>
        <w:footnoteReference w:id="54"/>
      </w:r>
      <w:r w:rsidR="006A4893">
        <w:rPr>
          <w:noProof/>
          <w:lang w:val="en-US"/>
        </w:rPr>
        <w:t xml:space="preserve"> ) </w:t>
      </w:r>
      <w:r w:rsidR="00E524C9">
        <w:rPr>
          <w:noProof/>
          <w:lang w:val="en-US"/>
        </w:rPr>
        <w:t>into her association with the Morning Star and Evening Star aspects of the planet.</w:t>
      </w:r>
      <w:r>
        <w:rPr>
          <w:rStyle w:val="FootnoteReference"/>
          <w:noProof/>
          <w:lang w:val="en-US"/>
        </w:rPr>
        <w:footnoteReference w:id="55"/>
      </w:r>
      <w:r w:rsidR="00E524C9">
        <w:rPr>
          <w:noProof/>
          <w:lang w:val="en-US"/>
        </w:rPr>
        <w:t xml:space="preserve"> </w:t>
      </w:r>
      <w:r w:rsidR="00674339">
        <w:rPr>
          <w:noProof/>
          <w:lang w:val="en-US"/>
        </w:rPr>
        <w:t xml:space="preserve">Kurtik argued that Inanna may have been associated with the cycles of Venus even before the Mesopotamians began to recognize constellations, based on </w:t>
      </w:r>
      <w:r w:rsidR="00E22013">
        <w:rPr>
          <w:noProof/>
          <w:lang w:val="en-US"/>
        </w:rPr>
        <w:t xml:space="preserve">writings about the ceremonies to Inanna in the city of Uruk, where she was a key local deity. </w:t>
      </w:r>
      <w:r w:rsidR="003732AE">
        <w:rPr>
          <w:noProof/>
          <w:lang w:val="en-US"/>
        </w:rPr>
        <w:t>He refer</w:t>
      </w:r>
      <w:r w:rsidR="006A0860">
        <w:rPr>
          <w:noProof/>
          <w:lang w:val="en-US"/>
        </w:rPr>
        <w:t>red</w:t>
      </w:r>
      <w:r w:rsidR="003732AE">
        <w:rPr>
          <w:noProof/>
          <w:lang w:val="en-US"/>
        </w:rPr>
        <w:t xml:space="preserve"> to the work of K. </w:t>
      </w:r>
      <w:r w:rsidR="003732AE" w:rsidRPr="003732AE">
        <w:rPr>
          <w:noProof/>
        </w:rPr>
        <w:t>Szarzyliska</w:t>
      </w:r>
      <w:r w:rsidR="006A0860">
        <w:rPr>
          <w:noProof/>
        </w:rPr>
        <w:t>, who contended, based on her research, that the morning and evening ceremonies to Inanna in Uruk corresponded to Venus as Morning and Evening Star</w:t>
      </w:r>
      <w:r w:rsidR="003732AE">
        <w:rPr>
          <w:noProof/>
        </w:rPr>
        <w:t xml:space="preserve"> </w:t>
      </w:r>
      <w:r>
        <w:rPr>
          <w:rStyle w:val="FootnoteReference"/>
          <w:noProof/>
        </w:rPr>
        <w:footnoteReference w:id="56"/>
      </w:r>
      <w:r w:rsidR="006A0860">
        <w:rPr>
          <w:noProof/>
        </w:rPr>
        <w:t xml:space="preserve">. However, Kurtik also noted that </w:t>
      </w:r>
      <w:r w:rsidR="00D422D3">
        <w:rPr>
          <w:noProof/>
        </w:rPr>
        <w:t xml:space="preserve">the association of Inanna with Venus may not have come until later on, since </w:t>
      </w:r>
      <w:r w:rsidR="00310A14">
        <w:rPr>
          <w:noProof/>
        </w:rPr>
        <w:t xml:space="preserve">the festivals may </w:t>
      </w:r>
      <w:r w:rsidR="007011DF">
        <w:rPr>
          <w:noProof/>
        </w:rPr>
        <w:t xml:space="preserve">already </w:t>
      </w:r>
      <w:r w:rsidR="00310A14">
        <w:rPr>
          <w:noProof/>
        </w:rPr>
        <w:t xml:space="preserve">have been carried out in the morning and evening for other reasons. </w:t>
      </w:r>
      <w:r>
        <w:rPr>
          <w:rStyle w:val="FootnoteReference"/>
          <w:noProof/>
        </w:rPr>
        <w:footnoteReference w:id="57"/>
      </w:r>
      <w:r w:rsidR="00712D54">
        <w:rPr>
          <w:noProof/>
        </w:rPr>
        <w:t xml:space="preserve">  </w:t>
      </w:r>
    </w:p>
    <w:p w14:paraId="2AA685D1" w14:textId="6E5B54F6" w:rsidR="00547FB7" w:rsidRPr="00637AEF" w:rsidRDefault="00000000" w:rsidP="00637AEF">
      <w:pPr>
        <w:spacing w:line="276" w:lineRule="auto"/>
        <w:ind w:firstLine="720"/>
        <w:rPr>
          <w:noProof/>
          <w:lang w:val="en-US"/>
        </w:rPr>
      </w:pPr>
      <w:r>
        <w:rPr>
          <w:noProof/>
        </w:rPr>
        <w:t xml:space="preserve">In </w:t>
      </w:r>
      <w:r w:rsidR="00631377" w:rsidRPr="00631377">
        <w:rPr>
          <w:i/>
          <w:iCs/>
          <w:noProof/>
          <w:lang w:val="en-US"/>
        </w:rPr>
        <w:t>Inanna And Šukaletuda: A Sumerian Astral Myth</w:t>
      </w:r>
      <w:r w:rsidR="00631377">
        <w:rPr>
          <w:noProof/>
          <w:lang w:val="en-US"/>
        </w:rPr>
        <w:t xml:space="preserve">, Jeffrey Cooley drew many comparisons between the myth of Inanna and the cycles of Venus, </w:t>
      </w:r>
      <w:r w:rsidR="00712D54">
        <w:rPr>
          <w:noProof/>
          <w:lang w:val="en-US"/>
        </w:rPr>
        <w:t xml:space="preserve">describing in </w:t>
      </w:r>
      <w:r w:rsidR="00631377">
        <w:rPr>
          <w:noProof/>
          <w:lang w:val="en-US"/>
        </w:rPr>
        <w:t>detail</w:t>
      </w:r>
      <w:r w:rsidR="00712D54">
        <w:rPr>
          <w:noProof/>
          <w:lang w:val="en-US"/>
        </w:rPr>
        <w:t xml:space="preserve"> the</w:t>
      </w:r>
      <w:r w:rsidR="00631377">
        <w:rPr>
          <w:noProof/>
          <w:lang w:val="en-US"/>
        </w:rPr>
        <w:t xml:space="preserve"> parallels between the stages in the planetary cycle and the events in the myth</w:t>
      </w:r>
      <w:r w:rsidR="00EA304D">
        <w:rPr>
          <w:noProof/>
          <w:lang w:val="en-US"/>
        </w:rPr>
        <w:t>, including her journey into and emergence from the underworld, corresponding to the appearance and disappearance of Venus</w:t>
      </w:r>
      <w:r w:rsidR="00631377">
        <w:rPr>
          <w:noProof/>
          <w:lang w:val="en-US"/>
        </w:rPr>
        <w:t>.</w:t>
      </w:r>
      <w:r>
        <w:rPr>
          <w:rStyle w:val="FootnoteReference"/>
          <w:noProof/>
          <w:lang w:val="en-US"/>
        </w:rPr>
        <w:footnoteReference w:id="58"/>
      </w:r>
      <w:r w:rsidR="00631377">
        <w:rPr>
          <w:noProof/>
          <w:lang w:val="en-US"/>
        </w:rPr>
        <w:t xml:space="preserve">  </w:t>
      </w:r>
      <w:r w:rsidR="002B0F74">
        <w:rPr>
          <w:noProof/>
          <w:lang w:val="en-US"/>
        </w:rPr>
        <w:t>Although he admitted that some of the details were difficult to pin down</w:t>
      </w:r>
      <w:r w:rsidR="00631377">
        <w:rPr>
          <w:noProof/>
          <w:lang w:val="en-US"/>
        </w:rPr>
        <w:t xml:space="preserve"> </w:t>
      </w:r>
      <w:r>
        <w:rPr>
          <w:rStyle w:val="FootnoteReference"/>
          <w:noProof/>
          <w:lang w:val="en-US"/>
        </w:rPr>
        <w:footnoteReference w:id="59"/>
      </w:r>
      <w:r w:rsidR="00252ECB">
        <w:rPr>
          <w:noProof/>
          <w:lang w:val="en-US"/>
        </w:rPr>
        <w:t xml:space="preserve">, he concluded that there were many precedents for the acceptance of the myth of Inanna corresponding to Venusian cycles </w:t>
      </w:r>
      <w:r w:rsidR="00252ECB" w:rsidRPr="00637AEF">
        <w:rPr>
          <w:noProof/>
          <w:lang w:val="en-US"/>
        </w:rPr>
        <w:t>and that</w:t>
      </w:r>
      <w:r w:rsidR="00637AEF" w:rsidRPr="00637AEF">
        <w:rPr>
          <w:noProof/>
          <w:lang w:val="en-US"/>
        </w:rPr>
        <w:t xml:space="preserve"> ‘</w:t>
      </w:r>
      <w:r w:rsidR="00252ECB" w:rsidRPr="00637AEF">
        <w:rPr>
          <w:i/>
          <w:iCs/>
          <w:noProof/>
        </w:rPr>
        <w:t xml:space="preserve">Inana and Šukaletuda </w:t>
      </w:r>
      <w:r w:rsidR="00252ECB" w:rsidRPr="00637AEF">
        <w:rPr>
          <w:noProof/>
        </w:rPr>
        <w:t xml:space="preserve">is an </w:t>
      </w:r>
      <w:r w:rsidR="00252ECB" w:rsidRPr="00637AEF">
        <w:rPr>
          <w:noProof/>
        </w:rPr>
        <w:lastRenderedPageBreak/>
        <w:t>astral myth, which exploits the accepted celestial phenomena of the planet Venus as inspiration for its narrative.'</w:t>
      </w:r>
      <w:r>
        <w:rPr>
          <w:rStyle w:val="FootnoteReference"/>
          <w:noProof/>
        </w:rPr>
        <w:footnoteReference w:id="60"/>
      </w:r>
    </w:p>
    <w:p w14:paraId="6DA28C92" w14:textId="1F26E5DB" w:rsidR="00547FB7" w:rsidRDefault="00000000" w:rsidP="00547FB7">
      <w:pPr>
        <w:spacing w:line="276" w:lineRule="auto"/>
        <w:rPr>
          <w:noProof/>
        </w:rPr>
      </w:pPr>
      <w:r w:rsidRPr="00547FB7">
        <w:rPr>
          <w:noProof/>
        </w:rPr>
        <w:t xml:space="preserve">In addition, </w:t>
      </w:r>
      <w:r w:rsidR="00581582" w:rsidRPr="00581582">
        <w:rPr>
          <w:noProof/>
        </w:rPr>
        <w:t>Julye Bidmead and Marilyn Love</w:t>
      </w:r>
      <w:r w:rsidR="00581582">
        <w:rPr>
          <w:noProof/>
        </w:rPr>
        <w:t xml:space="preserve"> made a strong argument based on the work of Cooley and others in their article </w:t>
      </w:r>
      <w:r w:rsidR="00581582" w:rsidRPr="00581582">
        <w:rPr>
          <w:i/>
          <w:iCs/>
          <w:noProof/>
          <w:lang w:val="en-US"/>
        </w:rPr>
        <w:t>Ištar’s Journey Above and Below</w:t>
      </w:r>
      <w:r w:rsidR="00581582">
        <w:rPr>
          <w:noProof/>
        </w:rPr>
        <w:t xml:space="preserve"> </w:t>
      </w:r>
      <w:r>
        <w:rPr>
          <w:rStyle w:val="FootnoteReference"/>
          <w:noProof/>
        </w:rPr>
        <w:footnoteReference w:id="61"/>
      </w:r>
      <w:r w:rsidR="00581582">
        <w:rPr>
          <w:noProof/>
        </w:rPr>
        <w:t xml:space="preserve">. </w:t>
      </w:r>
      <w:r w:rsidR="00DD477B">
        <w:rPr>
          <w:noProof/>
        </w:rPr>
        <w:t>They also described Inanna</w:t>
      </w:r>
      <w:r w:rsidR="00457265">
        <w:rPr>
          <w:noProof/>
        </w:rPr>
        <w:t xml:space="preserve"> and </w:t>
      </w:r>
      <w:r w:rsidR="00DD477B">
        <w:rPr>
          <w:noProof/>
        </w:rPr>
        <w:t>Ishtar's duality as the goddess of life and fertility on the one hand but also of war and death</w:t>
      </w:r>
      <w:r w:rsidR="00EF77D3">
        <w:rPr>
          <w:noProof/>
        </w:rPr>
        <w:t>, corresponding to the Morning and Evening stars</w:t>
      </w:r>
      <w:r w:rsidR="00DD477B">
        <w:rPr>
          <w:noProof/>
        </w:rPr>
        <w:t>.</w:t>
      </w:r>
      <w:r>
        <w:rPr>
          <w:rStyle w:val="FootnoteReference"/>
          <w:noProof/>
        </w:rPr>
        <w:footnoteReference w:id="62"/>
      </w:r>
      <w:r w:rsidR="00806328">
        <w:rPr>
          <w:noProof/>
        </w:rPr>
        <w:t xml:space="preserve"> In this way, </w:t>
      </w:r>
      <w:r w:rsidR="000D59B7">
        <w:rPr>
          <w:noProof/>
        </w:rPr>
        <w:t xml:space="preserve">the Mesopotamian </w:t>
      </w:r>
      <w:r w:rsidR="00806328">
        <w:rPr>
          <w:noProof/>
        </w:rPr>
        <w:t>paralleled the Mesoamerican</w:t>
      </w:r>
      <w:r w:rsidR="002C63E7">
        <w:rPr>
          <w:noProof/>
        </w:rPr>
        <w:t xml:space="preserve"> </w:t>
      </w:r>
      <w:r w:rsidR="00D7103D">
        <w:rPr>
          <w:noProof/>
        </w:rPr>
        <w:t>belief in</w:t>
      </w:r>
      <w:r w:rsidR="002C63E7">
        <w:rPr>
          <w:noProof/>
        </w:rPr>
        <w:t xml:space="preserve"> the dual role of Venus</w:t>
      </w:r>
      <w:r w:rsidR="00553E2E">
        <w:rPr>
          <w:noProof/>
        </w:rPr>
        <w:t>, according to its cycle,</w:t>
      </w:r>
      <w:r w:rsidR="002C63E7">
        <w:rPr>
          <w:noProof/>
        </w:rPr>
        <w:t xml:space="preserve"> as a bringer of rains and harvest, along with </w:t>
      </w:r>
      <w:r w:rsidR="00553E2E">
        <w:rPr>
          <w:noProof/>
        </w:rPr>
        <w:t xml:space="preserve">reinforcing </w:t>
      </w:r>
      <w:r w:rsidR="002C63E7">
        <w:rPr>
          <w:noProof/>
        </w:rPr>
        <w:t xml:space="preserve">the </w:t>
      </w:r>
      <w:r w:rsidR="00100AB7">
        <w:rPr>
          <w:noProof/>
        </w:rPr>
        <w:t>importance of</w:t>
      </w:r>
      <w:r w:rsidR="002C63E7">
        <w:rPr>
          <w:noProof/>
        </w:rPr>
        <w:t xml:space="preserve"> war and sacrifice.</w:t>
      </w:r>
    </w:p>
    <w:p w14:paraId="192F8B9E" w14:textId="77777777" w:rsidR="002C63E7" w:rsidRPr="00547FB7" w:rsidRDefault="002C63E7" w:rsidP="00547FB7">
      <w:pPr>
        <w:spacing w:line="276" w:lineRule="auto"/>
        <w:rPr>
          <w:noProof/>
        </w:rPr>
      </w:pPr>
    </w:p>
    <w:p w14:paraId="5B13DD98" w14:textId="45CB98F0" w:rsidR="005C2AAF" w:rsidRDefault="00000000" w:rsidP="008D6CB6">
      <w:pPr>
        <w:spacing w:line="276" w:lineRule="auto"/>
        <w:rPr>
          <w:u w:val="single"/>
        </w:rPr>
      </w:pPr>
      <w:r>
        <w:rPr>
          <w:u w:val="single"/>
        </w:rPr>
        <w:t>China</w:t>
      </w:r>
    </w:p>
    <w:p w14:paraId="403DF391" w14:textId="21215383" w:rsidR="00F64754" w:rsidRDefault="00000000" w:rsidP="008D6CB6">
      <w:pPr>
        <w:spacing w:line="276" w:lineRule="auto"/>
      </w:pPr>
      <w:r>
        <w:tab/>
        <w:t>The ancient Chinese also documented and used the cycles of Venus as they were observed and recorded. One of the</w:t>
      </w:r>
      <w:r w:rsidR="00C6009F">
        <w:t xml:space="preserve"> </w:t>
      </w:r>
      <w:r>
        <w:t xml:space="preserve">earliest </w:t>
      </w:r>
      <w:r w:rsidR="00365E9F">
        <w:t>documents</w:t>
      </w:r>
      <w:r>
        <w:t xml:space="preserve"> is known as the </w:t>
      </w:r>
      <w:r w:rsidR="009558D6" w:rsidRPr="009558D6">
        <w:rPr>
          <w:i/>
          <w:iCs/>
        </w:rPr>
        <w:t>Wu Xing Zhan</w:t>
      </w:r>
      <w:r w:rsidR="00CF1BED">
        <w:t xml:space="preserve"> (prognostications of the five stars)</w:t>
      </w:r>
      <w:r w:rsidR="00745D1C">
        <w:t>, as described by Christopher Cullen in his article</w:t>
      </w:r>
      <w:r w:rsidR="00745D1C" w:rsidRPr="00745D1C">
        <w:rPr>
          <w:i/>
          <w:iCs/>
        </w:rPr>
        <w:t xml:space="preserve"> </w:t>
      </w:r>
      <w:r w:rsidR="00745D1C" w:rsidRPr="00745D1C">
        <w:rPr>
          <w:i/>
          <w:iCs/>
          <w:noProof/>
          <w:lang w:val="en-US"/>
        </w:rPr>
        <w:t>Understanding the Planets in Ancient China: Prediction and Divination in the "Wu xing zhan</w:t>
      </w:r>
      <w:r w:rsidR="00CF1BED">
        <w:t xml:space="preserve">." </w:t>
      </w:r>
      <w:r>
        <w:rPr>
          <w:rStyle w:val="FootnoteReference"/>
        </w:rPr>
        <w:footnoteReference w:id="63"/>
      </w:r>
      <w:r w:rsidR="00745D1C">
        <w:t xml:space="preserve">  </w:t>
      </w:r>
      <w:r w:rsidR="00BC1E8D">
        <w:t xml:space="preserve">This document contains </w:t>
      </w:r>
      <w:r w:rsidR="00F8206E">
        <w:t>omens</w:t>
      </w:r>
      <w:r w:rsidR="00BC1E8D">
        <w:t xml:space="preserve"> related to each of the five planets (Mercury, Venus, Mars, Jupiter, and Saturn) that can be seen by the naked eye, along with tables tracking the movements of </w:t>
      </w:r>
      <w:r w:rsidR="0071727F">
        <w:t xml:space="preserve">Venus, Jupiter, and Saturn. </w:t>
      </w:r>
      <w:r w:rsidR="00F8206E">
        <w:t xml:space="preserve">As with the Mesoamericans and the Babylonians, the Chinese were aware of both the Morning Star and the Evening Star phases of </w:t>
      </w:r>
      <w:r w:rsidR="00B47D1B">
        <w:t>Venus and</w:t>
      </w:r>
      <w:r w:rsidR="00F8206E">
        <w:t xml:space="preserve"> were also aware that the actual movements and appearances of the planet did not always coincide with what “should” be seen based on their predictions.</w:t>
      </w:r>
      <w:r>
        <w:rPr>
          <w:rStyle w:val="FootnoteReference"/>
        </w:rPr>
        <w:footnoteReference w:id="64"/>
      </w:r>
      <w:r w:rsidR="00F8206E">
        <w:t xml:space="preserve"> As a result, </w:t>
      </w:r>
      <w:r w:rsidR="00B47D1B">
        <w:t>the diviners</w:t>
      </w:r>
      <w:r w:rsidR="00F8206E">
        <w:t xml:space="preserve"> who </w:t>
      </w:r>
      <w:r w:rsidR="00B47D1B">
        <w:t>tracked the movements and omens had to know how to interpret in the case</w:t>
      </w:r>
      <w:r w:rsidR="00EF602A">
        <w:t>s</w:t>
      </w:r>
      <w:r w:rsidR="00B47D1B">
        <w:t xml:space="preserve"> when Venus did not appear at the expected time. On</w:t>
      </w:r>
      <w:r w:rsidR="00BB61FD">
        <w:t>e</w:t>
      </w:r>
      <w:r w:rsidR="00B47D1B">
        <w:t xml:space="preserve"> example is</w:t>
      </w:r>
      <w:r w:rsidR="00933DA8">
        <w:t xml:space="preserve"> omen 70</w:t>
      </w:r>
      <w:r w:rsidR="00B47D1B">
        <w:t>:</w:t>
      </w:r>
    </w:p>
    <w:p w14:paraId="66EC8359" w14:textId="545197CB" w:rsidR="00B47D1B" w:rsidRPr="00933DA8" w:rsidRDefault="00000000" w:rsidP="00933DA8">
      <w:pPr>
        <w:spacing w:line="276" w:lineRule="auto"/>
        <w:ind w:left="720"/>
        <w:rPr>
          <w:sz w:val="20"/>
          <w:szCs w:val="20"/>
        </w:rPr>
      </w:pPr>
      <w:r w:rsidRPr="00933DA8">
        <w:rPr>
          <w:sz w:val="20"/>
          <w:szCs w:val="20"/>
        </w:rPr>
        <w:t>[If Venus] ... does not come out when it should come out, that is called 'waiting to plot'. If it does not go in when it should go in, then the empire will rest its troops, and in the fields, there will be troops making peace. The corresponding state will be greatly unfortunate</w:t>
      </w:r>
      <w:r>
        <w:rPr>
          <w:sz w:val="20"/>
          <w:szCs w:val="20"/>
        </w:rPr>
        <w:t>.</w:t>
      </w:r>
      <w:r>
        <w:rPr>
          <w:rStyle w:val="FootnoteReference"/>
          <w:sz w:val="20"/>
          <w:szCs w:val="20"/>
        </w:rPr>
        <w:footnoteReference w:id="65"/>
      </w:r>
    </w:p>
    <w:p w14:paraId="2426B9AE" w14:textId="0541EAE1" w:rsidR="00F64754" w:rsidRDefault="00000000" w:rsidP="008D6CB6">
      <w:pPr>
        <w:spacing w:line="276" w:lineRule="auto"/>
      </w:pPr>
      <w:r>
        <w:lastRenderedPageBreak/>
        <w:t>Venus often represented the governor of China</w:t>
      </w:r>
      <w:r w:rsidR="00630639">
        <w:t xml:space="preserve">, so </w:t>
      </w:r>
      <w:r w:rsidR="00685725">
        <w:t>most</w:t>
      </w:r>
      <w:r w:rsidR="00630639">
        <w:t xml:space="preserve"> of the Venus omens involved prognostications related to politics and war, how to plan and time an attack, whether to advance or retreat</w:t>
      </w:r>
      <w:r w:rsidR="00496212">
        <w:t>,</w:t>
      </w:r>
      <w:r w:rsidR="00630639">
        <w:t xml:space="preserve"> and the chances of success in battle.</w:t>
      </w:r>
      <w:r>
        <w:rPr>
          <w:rStyle w:val="FootnoteReference"/>
        </w:rPr>
        <w:footnoteReference w:id="66"/>
      </w:r>
    </w:p>
    <w:p w14:paraId="018FB8FB" w14:textId="56427C78" w:rsidR="008D6CB6" w:rsidRDefault="00000000" w:rsidP="008D6CB6">
      <w:pPr>
        <w:spacing w:line="276" w:lineRule="auto"/>
        <w:rPr>
          <w:noProof/>
          <w:lang w:val="en-US"/>
        </w:rPr>
      </w:pPr>
      <w:r>
        <w:tab/>
      </w:r>
      <w:r w:rsidR="008620BB">
        <w:t xml:space="preserve">Scholars have </w:t>
      </w:r>
      <w:r w:rsidR="00894F07">
        <w:t xml:space="preserve">also </w:t>
      </w:r>
      <w:r w:rsidR="008620BB">
        <w:t xml:space="preserve">explored whether the Chinese system of </w:t>
      </w:r>
      <w:r w:rsidR="00D90258">
        <w:t xml:space="preserve">astrology and omens was influenced by, or transmitted from, the Babylonian. </w:t>
      </w:r>
      <w:r w:rsidR="00CF0291">
        <w:t>In h</w:t>
      </w:r>
      <w:r w:rsidR="003045C9">
        <w:t>er</w:t>
      </w:r>
      <w:r w:rsidR="00CF0291">
        <w:t xml:space="preserve"> </w:t>
      </w:r>
      <w:r w:rsidR="00857027">
        <w:t xml:space="preserve">2021 </w:t>
      </w:r>
      <w:r w:rsidR="00CF0291">
        <w:t>article</w:t>
      </w:r>
      <w:r w:rsidR="00DA7B7F">
        <w:t xml:space="preserve"> </w:t>
      </w:r>
      <w:r w:rsidR="00DA7B7F" w:rsidRPr="00DA7B7F">
        <w:rPr>
          <w:i/>
          <w:iCs/>
          <w:noProof/>
          <w:lang w:val="en-US"/>
        </w:rPr>
        <w:t>Planet Venus in the Astrology of Ancient Mesopotamia and China: Evidence of Direct Transmission of Knowledge and Practice as Demonstrated in Enuma Anu Enlil and Wu Xing Zhan</w:t>
      </w:r>
      <w:r w:rsidR="00CF0291">
        <w:t xml:space="preserve"> </w:t>
      </w:r>
      <w:r>
        <w:rPr>
          <w:rStyle w:val="FootnoteReference"/>
        </w:rPr>
        <w:footnoteReference w:id="67"/>
      </w:r>
      <w:r w:rsidR="00363A21">
        <w:t>,</w:t>
      </w:r>
      <w:r w:rsidR="00496212">
        <w:t xml:space="preserve"> </w:t>
      </w:r>
      <w:r w:rsidR="006A5F38">
        <w:t xml:space="preserve">He </w:t>
      </w:r>
      <w:r w:rsidR="00B1031F" w:rsidRPr="00B1031F">
        <w:rPr>
          <w:noProof/>
          <w:lang w:val="en-US"/>
        </w:rPr>
        <w:t xml:space="preserve">Zhang </w:t>
      </w:r>
      <w:r w:rsidR="00B1031F">
        <w:rPr>
          <w:noProof/>
          <w:lang w:val="en-US"/>
        </w:rPr>
        <w:t>point</w:t>
      </w:r>
      <w:r w:rsidR="00AD5191">
        <w:rPr>
          <w:noProof/>
          <w:lang w:val="en-US"/>
        </w:rPr>
        <w:t>ed</w:t>
      </w:r>
      <w:r w:rsidR="00B1031F">
        <w:rPr>
          <w:noProof/>
          <w:lang w:val="en-US"/>
        </w:rPr>
        <w:t xml:space="preserve"> out a number of parallels</w:t>
      </w:r>
      <w:r w:rsidR="00F93793">
        <w:rPr>
          <w:noProof/>
          <w:lang w:val="en-US"/>
        </w:rPr>
        <w:t xml:space="preserve">, particularly related to the </w:t>
      </w:r>
      <w:r w:rsidR="008F3FD7">
        <w:rPr>
          <w:noProof/>
          <w:lang w:val="en-US"/>
        </w:rPr>
        <w:t>planet</w:t>
      </w:r>
      <w:r w:rsidR="00B75D89">
        <w:rPr>
          <w:noProof/>
          <w:lang w:val="en-US"/>
        </w:rPr>
        <w:t xml:space="preserve"> </w:t>
      </w:r>
      <w:r w:rsidR="00F93793">
        <w:rPr>
          <w:noProof/>
          <w:lang w:val="en-US"/>
        </w:rPr>
        <w:t>Venus</w:t>
      </w:r>
      <w:r w:rsidR="00B1031F">
        <w:rPr>
          <w:noProof/>
          <w:lang w:val="en-US"/>
        </w:rPr>
        <w:t xml:space="preserve">. </w:t>
      </w:r>
      <w:r w:rsidR="00B75D89">
        <w:rPr>
          <w:noProof/>
          <w:lang w:val="en-US"/>
        </w:rPr>
        <w:t xml:space="preserve">Both systems refer to the reigns of rulers in terms of Venus's eight-year cycle </w:t>
      </w:r>
      <w:r w:rsidR="00E37767">
        <w:rPr>
          <w:noProof/>
          <w:lang w:val="en-US"/>
        </w:rPr>
        <w:t>as it returns to the same place in the sky</w:t>
      </w:r>
      <w:r w:rsidR="009D7E92">
        <w:rPr>
          <w:noProof/>
          <w:lang w:val="en-US"/>
        </w:rPr>
        <w:t xml:space="preserve"> following five cycles of retrogradation</w:t>
      </w:r>
      <w:r w:rsidR="00B75D89">
        <w:rPr>
          <w:noProof/>
          <w:lang w:val="en-US"/>
        </w:rPr>
        <w:t>.</w:t>
      </w:r>
      <w:r>
        <w:rPr>
          <w:rStyle w:val="FootnoteReference"/>
          <w:noProof/>
          <w:lang w:val="en-US"/>
        </w:rPr>
        <w:footnoteReference w:id="68"/>
      </w:r>
      <w:r w:rsidR="00274691">
        <w:rPr>
          <w:noProof/>
          <w:lang w:val="en-US"/>
        </w:rPr>
        <w:t xml:space="preserve"> Both </w:t>
      </w:r>
      <w:r w:rsidR="00D50664">
        <w:rPr>
          <w:noProof/>
          <w:lang w:val="en-US"/>
        </w:rPr>
        <w:t xml:space="preserve">used similar methods to track Venus's movements, </w:t>
      </w:r>
      <w:r w:rsidR="006F1FCB">
        <w:rPr>
          <w:noProof/>
          <w:lang w:val="en-US"/>
        </w:rPr>
        <w:t xml:space="preserve">including the </w:t>
      </w:r>
      <w:r w:rsidR="00D50664">
        <w:rPr>
          <w:noProof/>
          <w:lang w:val="en-US"/>
        </w:rPr>
        <w:t xml:space="preserve">dates of its first and last appearance, </w:t>
      </w:r>
      <w:r w:rsidR="006F1FCB">
        <w:rPr>
          <w:noProof/>
          <w:lang w:val="en-US"/>
        </w:rPr>
        <w:t>how the planet appeared, whether or not it appeared and disappeared on schedule, and any aspects with other celestial bodies.</w:t>
      </w:r>
      <w:r>
        <w:rPr>
          <w:rStyle w:val="FootnoteReference"/>
          <w:noProof/>
          <w:lang w:val="en-US"/>
        </w:rPr>
        <w:footnoteReference w:id="69"/>
      </w:r>
      <w:r w:rsidR="0017362C">
        <w:rPr>
          <w:noProof/>
          <w:lang w:val="en-US"/>
        </w:rPr>
        <w:t xml:space="preserve">  </w:t>
      </w:r>
      <w:r w:rsidR="006C6AE3">
        <w:rPr>
          <w:noProof/>
          <w:lang w:val="en-US"/>
        </w:rPr>
        <w:t xml:space="preserve">Both emphasized Venus's </w:t>
      </w:r>
      <w:r w:rsidR="00234E0E">
        <w:rPr>
          <w:noProof/>
          <w:lang w:val="en-US"/>
        </w:rPr>
        <w:t xml:space="preserve">omens </w:t>
      </w:r>
      <w:r w:rsidR="006C6AE3">
        <w:rPr>
          <w:noProof/>
          <w:lang w:val="en-US"/>
        </w:rPr>
        <w:t>about war and the turnover of government</w:t>
      </w:r>
      <w:r w:rsidR="00EA5704">
        <w:rPr>
          <w:noProof/>
          <w:lang w:val="en-US"/>
        </w:rPr>
        <w:t>s</w:t>
      </w:r>
      <w:r w:rsidR="006C6AE3">
        <w:rPr>
          <w:noProof/>
          <w:lang w:val="en-US"/>
        </w:rPr>
        <w:t>.</w:t>
      </w:r>
      <w:r>
        <w:rPr>
          <w:rStyle w:val="FootnoteReference"/>
          <w:noProof/>
          <w:lang w:val="en-US"/>
        </w:rPr>
        <w:footnoteReference w:id="70"/>
      </w:r>
      <w:r w:rsidR="00EA5704">
        <w:rPr>
          <w:noProof/>
          <w:lang w:val="en-US"/>
        </w:rPr>
        <w:t xml:space="preserve"> </w:t>
      </w:r>
      <w:r w:rsidR="006A5F38">
        <w:rPr>
          <w:noProof/>
          <w:lang w:val="en-US"/>
        </w:rPr>
        <w:t>Zhang</w:t>
      </w:r>
      <w:r w:rsidR="00AD5191">
        <w:rPr>
          <w:noProof/>
          <w:lang w:val="en-US"/>
        </w:rPr>
        <w:t xml:space="preserve"> also shared other points of comparison in the use of directions, colors, </w:t>
      </w:r>
      <w:r w:rsidR="0033393A">
        <w:rPr>
          <w:noProof/>
          <w:lang w:val="en-US"/>
        </w:rPr>
        <w:t>and women in government, among other topics.</w:t>
      </w:r>
      <w:r>
        <w:rPr>
          <w:rStyle w:val="FootnoteReference"/>
          <w:noProof/>
          <w:lang w:val="en-US"/>
        </w:rPr>
        <w:footnoteReference w:id="71"/>
      </w:r>
      <w:r w:rsidR="00016F07">
        <w:rPr>
          <w:noProof/>
          <w:lang w:val="en-US"/>
        </w:rPr>
        <w:t xml:space="preserve">  In addition, </w:t>
      </w:r>
      <w:r w:rsidR="00082C82">
        <w:rPr>
          <w:noProof/>
          <w:lang w:val="en-US"/>
        </w:rPr>
        <w:t>s</w:t>
      </w:r>
      <w:r w:rsidR="00016F07">
        <w:rPr>
          <w:noProof/>
          <w:lang w:val="en-US"/>
        </w:rPr>
        <w:t xml:space="preserve">he pointed out the similarities in content between the Babylonian and the Chinese omens. Finally, in conclusion, </w:t>
      </w:r>
      <w:r w:rsidR="00082C82">
        <w:rPr>
          <w:noProof/>
          <w:lang w:val="en-US"/>
        </w:rPr>
        <w:t>s</w:t>
      </w:r>
      <w:r w:rsidR="00016F07">
        <w:rPr>
          <w:noProof/>
          <w:lang w:val="en-US"/>
        </w:rPr>
        <w:t>he contended that:</w:t>
      </w:r>
    </w:p>
    <w:p w14:paraId="55EA52D8" w14:textId="589D33F7" w:rsidR="00016F07" w:rsidRDefault="00000000" w:rsidP="00016F07">
      <w:pPr>
        <w:spacing w:line="276" w:lineRule="auto"/>
        <w:ind w:left="720"/>
        <w:rPr>
          <w:sz w:val="20"/>
          <w:szCs w:val="20"/>
        </w:rPr>
      </w:pPr>
      <w:r w:rsidRPr="00016F07">
        <w:rPr>
          <w:sz w:val="20"/>
          <w:szCs w:val="20"/>
        </w:rPr>
        <w:t>with quantity, writing structure, contents, methods of observation and interpretation, and unusual details, the similarities between the Babylonian and Chinese systems present such a complete package that I cannot think of any but the conclusion that the Chinese books are copies of the Babylonian ones.</w:t>
      </w:r>
      <w:r>
        <w:rPr>
          <w:rStyle w:val="FootnoteReference"/>
          <w:sz w:val="20"/>
          <w:szCs w:val="20"/>
        </w:rPr>
        <w:footnoteReference w:id="72"/>
      </w:r>
    </w:p>
    <w:p w14:paraId="3C753288" w14:textId="77777777" w:rsidR="00CE655C" w:rsidRDefault="00000000" w:rsidP="00CE655C">
      <w:pPr>
        <w:spacing w:line="276" w:lineRule="auto"/>
      </w:pPr>
      <w:r w:rsidRPr="00930F0F">
        <w:t>David Pan</w:t>
      </w:r>
      <w:r>
        <w:t>ken</w:t>
      </w:r>
      <w:r w:rsidRPr="00930F0F">
        <w:t xml:space="preserve">ier </w:t>
      </w:r>
      <w:r>
        <w:t xml:space="preserve">noted that a study by Karl Bezold in 1919 also made this argument. He described Bezold’s study in his own article </w:t>
      </w:r>
      <w:r w:rsidRPr="00930F0F">
        <w:rPr>
          <w:i/>
          <w:iCs/>
        </w:rPr>
        <w:t xml:space="preserve">Did Babylonian Astrology Influence Early Chinese Astral Prognostication </w:t>
      </w:r>
      <w:r w:rsidRPr="00930F0F">
        <w:rPr>
          <w:i/>
          <w:iCs/>
          <w:noProof/>
          <w:lang w:val="en-US"/>
        </w:rPr>
        <w:t xml:space="preserve">Xing Zhan Shu </w:t>
      </w:r>
      <w:r w:rsidRPr="00930F0F">
        <w:rPr>
          <w:rFonts w:ascii="MS Gothic" w:eastAsia="MS Gothic" w:hAnsi="MS Gothic" w:cs="MS Gothic" w:hint="eastAsia"/>
          <w:i/>
          <w:iCs/>
          <w:noProof/>
          <w:lang w:val="en-US"/>
        </w:rPr>
        <w:t>星占術</w:t>
      </w:r>
      <w:r w:rsidRPr="00930F0F">
        <w:rPr>
          <w:i/>
          <w:iCs/>
          <w:noProof/>
          <w:lang w:val="en-US"/>
        </w:rPr>
        <w:t>?</w:t>
      </w:r>
      <w:r>
        <w:t xml:space="preserve"> </w:t>
      </w:r>
      <w:r>
        <w:rPr>
          <w:rStyle w:val="FootnoteReference"/>
        </w:rPr>
        <w:footnoteReference w:id="73"/>
      </w:r>
      <w:r>
        <w:t xml:space="preserve"> </w:t>
      </w:r>
      <w:r w:rsidR="003A7631">
        <w:t xml:space="preserve"> </w:t>
      </w:r>
    </w:p>
    <w:p w14:paraId="68D88EAC" w14:textId="217ADAF2" w:rsidR="00E91AA8" w:rsidRPr="00930F0F" w:rsidRDefault="00000000" w:rsidP="00363A21">
      <w:pPr>
        <w:spacing w:line="276" w:lineRule="auto"/>
        <w:ind w:firstLine="720"/>
      </w:pPr>
      <w:r>
        <w:lastRenderedPageBreak/>
        <w:t xml:space="preserve">However, Pankenier also </w:t>
      </w:r>
      <w:r w:rsidR="00363A21">
        <w:t>discussed</w:t>
      </w:r>
      <w:r w:rsidR="00AA78B2">
        <w:t xml:space="preserve"> why he disagreed with </w:t>
      </w:r>
      <w:r w:rsidR="003A7631">
        <w:t>those</w:t>
      </w:r>
      <w:r w:rsidR="00AA78B2">
        <w:t xml:space="preserve"> conclusions. </w:t>
      </w:r>
      <w:r w:rsidR="003A7631">
        <w:t>He pointed out numerous errors, mistranslations, and mistaken assumptions in Bezold’s study</w:t>
      </w:r>
      <w:r>
        <w:t xml:space="preserve"> a</w:t>
      </w:r>
      <w:r w:rsidR="003045C9">
        <w:t xml:space="preserve">nd </w:t>
      </w:r>
      <w:r>
        <w:t xml:space="preserve">the prevailing opinion that his theory of Babylonian influence was correct. In conclusion, he found little evidence of this influence </w:t>
      </w:r>
      <w:r w:rsidRPr="00637AEF">
        <w:t xml:space="preserve">and </w:t>
      </w:r>
      <w:r w:rsidR="00555DFB">
        <w:t xml:space="preserve">instead </w:t>
      </w:r>
      <w:r w:rsidRPr="00637AEF">
        <w:t>argued</w:t>
      </w:r>
      <w:r w:rsidR="00637AEF" w:rsidRPr="00637AEF">
        <w:t xml:space="preserve"> that ‘</w:t>
      </w:r>
      <w:r w:rsidRPr="00637AEF">
        <w:t>Chinese astronomy and astral prognostication “give the appearance of having grown up in comparative isolation and independence,” quite simply because they did.</w:t>
      </w:r>
      <w:r w:rsidR="00BB7896">
        <w:t>’</w:t>
      </w:r>
      <w:r>
        <w:rPr>
          <w:rStyle w:val="FootnoteReference"/>
        </w:rPr>
        <w:footnoteReference w:id="74"/>
      </w:r>
      <w:r w:rsidR="00363A21">
        <w:t xml:space="preserve"> </w:t>
      </w:r>
      <w:r>
        <w:t>Thus,</w:t>
      </w:r>
      <w:r w:rsidR="00BE4475">
        <w:t xml:space="preserve"> this is another point of debate among scholars of </w:t>
      </w:r>
      <w:r w:rsidR="003818B5">
        <w:t xml:space="preserve">the astrology </w:t>
      </w:r>
      <w:r w:rsidR="00CD7FD9">
        <w:t xml:space="preserve">and cosmology </w:t>
      </w:r>
      <w:r w:rsidR="003818B5">
        <w:t>of Venusian cycles</w:t>
      </w:r>
      <w:r w:rsidR="00BE4475">
        <w:t>.</w:t>
      </w:r>
      <w:r w:rsidR="00703F42">
        <w:t xml:space="preserve"> This type of discussion points out</w:t>
      </w:r>
      <w:r w:rsidR="00703F42" w:rsidRPr="00703F42">
        <w:t xml:space="preserve"> the complexit</w:t>
      </w:r>
      <w:r w:rsidR="00703F42">
        <w:t>y</w:t>
      </w:r>
      <w:r w:rsidR="00473B59">
        <w:t xml:space="preserve"> involved</w:t>
      </w:r>
      <w:r w:rsidR="00703F42" w:rsidRPr="00703F42">
        <w:t xml:space="preserve"> </w:t>
      </w:r>
      <w:r w:rsidR="00703F42">
        <w:t>in</w:t>
      </w:r>
      <w:r w:rsidR="00703F42" w:rsidRPr="00703F42">
        <w:t xml:space="preserve"> </w:t>
      </w:r>
      <w:r w:rsidR="00703F42">
        <w:t>translating and understanding</w:t>
      </w:r>
      <w:r w:rsidR="00703F42" w:rsidRPr="00703F42">
        <w:t xml:space="preserve"> ancient texts and the </w:t>
      </w:r>
      <w:r w:rsidR="00703F42">
        <w:t>importance of continuing study in this area.</w:t>
      </w:r>
    </w:p>
    <w:p w14:paraId="50799F3E" w14:textId="0CD7DE62" w:rsidR="007619DA" w:rsidRDefault="00000000" w:rsidP="00D80D45">
      <w:pPr>
        <w:spacing w:line="276" w:lineRule="auto"/>
      </w:pPr>
      <w:r>
        <w:tab/>
      </w:r>
      <w:r w:rsidR="001B4D95">
        <w:t xml:space="preserve">In another article, </w:t>
      </w:r>
      <w:r w:rsidR="00D80D45" w:rsidRPr="00D80D45">
        <w:rPr>
          <w:i/>
          <w:iCs/>
        </w:rPr>
        <w:t>The Chinese 60-Day/Year and Mesoamerican 260-Day Calendars: A Comparative Study of Cyclical Calendrical Systems and Cosmology</w:t>
      </w:r>
      <w:r w:rsidR="00D80D45">
        <w:rPr>
          <w:i/>
          <w:iCs/>
        </w:rPr>
        <w:t>,</w:t>
      </w:r>
      <w:r>
        <w:rPr>
          <w:rStyle w:val="FootnoteReference"/>
          <w:i/>
          <w:iCs/>
        </w:rPr>
        <w:footnoteReference w:id="75"/>
      </w:r>
      <w:r w:rsidR="00D80D45">
        <w:rPr>
          <w:i/>
          <w:iCs/>
        </w:rPr>
        <w:t xml:space="preserve"> </w:t>
      </w:r>
      <w:r w:rsidR="00AB3032">
        <w:t>He Zhang</w:t>
      </w:r>
      <w:r w:rsidR="00D80D45">
        <w:t xml:space="preserve"> also </w:t>
      </w:r>
      <w:r w:rsidR="008015E4">
        <w:t>examined</w:t>
      </w:r>
      <w:r w:rsidR="00D80D45">
        <w:t xml:space="preserve"> the </w:t>
      </w:r>
      <w:r w:rsidR="00D92E3C">
        <w:t>similarities between the calendrical systems and cosmologies of the Chinese and Mesoamericans</w:t>
      </w:r>
      <w:r w:rsidR="006C5CE8">
        <w:t xml:space="preserve">. </w:t>
      </w:r>
      <w:r w:rsidR="00330EA9">
        <w:t>Zhang made the point that both the Chinese Yi and the Mayan Haab calendars divide the 365-day solar year into eighteen months of twenty days each, with an extra five days</w:t>
      </w:r>
      <w:r w:rsidR="0054029A">
        <w:t xml:space="preserve"> between years</w:t>
      </w:r>
      <w:r w:rsidR="00330EA9">
        <w:t xml:space="preserve">. However, </w:t>
      </w:r>
      <w:r w:rsidR="00224213">
        <w:t>s</w:t>
      </w:r>
      <w:r w:rsidR="00330EA9">
        <w:t xml:space="preserve">he could find no astronomical basis for the numbers eighteen or twenty, so </w:t>
      </w:r>
      <w:r w:rsidR="00224213">
        <w:t>s</w:t>
      </w:r>
      <w:r w:rsidR="00330EA9">
        <w:t xml:space="preserve">he </w:t>
      </w:r>
      <w:r w:rsidR="00401A31">
        <w:t>p</w:t>
      </w:r>
      <w:r w:rsidR="00330EA9">
        <w:t>ondered why this coincidence appeared between two cultures so geographically separated</w:t>
      </w:r>
      <w:r w:rsidR="002D5B29">
        <w:t>.</w:t>
      </w:r>
      <w:r>
        <w:rPr>
          <w:rStyle w:val="FootnoteReference"/>
        </w:rPr>
        <w:footnoteReference w:id="76"/>
      </w:r>
      <w:r w:rsidR="00401A31">
        <w:t xml:space="preserve"> </w:t>
      </w:r>
      <w:r w:rsidR="00EB71EA" w:rsidRPr="007619DA">
        <w:t xml:space="preserve">In addition, Zhang </w:t>
      </w:r>
      <w:r>
        <w:t>noted</w:t>
      </w:r>
      <w:r w:rsidR="00EB71EA" w:rsidRPr="007619DA">
        <w:t xml:space="preserve"> the </w:t>
      </w:r>
      <w:r>
        <w:t>parallels between the Chinese concept of Yu Zhou</w:t>
      </w:r>
      <w:r w:rsidR="00E33637">
        <w:t xml:space="preserve"> as laid out in the </w:t>
      </w:r>
      <w:r w:rsidR="00BF5A79" w:rsidRPr="009558D6">
        <w:rPr>
          <w:i/>
          <w:iCs/>
        </w:rPr>
        <w:t>Wu Xing Zhan</w:t>
      </w:r>
      <w:r>
        <w:t xml:space="preserve">, where </w:t>
      </w:r>
      <w:r w:rsidRPr="007619DA">
        <w:t>‘</w:t>
      </w:r>
      <w:r w:rsidRPr="00BA68E8">
        <w:t>Yu means the above and below, and four directions; Zhou means the past, present, and coming future</w:t>
      </w:r>
      <w:r w:rsidRPr="007619DA">
        <w:t>’</w:t>
      </w:r>
      <w:r>
        <w:rPr>
          <w:rStyle w:val="FootnoteReference"/>
        </w:rPr>
        <w:footnoteReference w:id="77"/>
      </w:r>
      <w:r w:rsidR="00232DE1">
        <w:t xml:space="preserve"> and the Mayan </w:t>
      </w:r>
      <w:r w:rsidR="00527497">
        <w:t xml:space="preserve">map of the cosmos as </w:t>
      </w:r>
      <w:r w:rsidR="00693F71">
        <w:t>shown</w:t>
      </w:r>
      <w:r w:rsidR="00527497">
        <w:t xml:space="preserve"> in the Madrid Codex.</w:t>
      </w:r>
      <w:r>
        <w:rPr>
          <w:rStyle w:val="FootnoteReference"/>
        </w:rPr>
        <w:footnoteReference w:id="78"/>
      </w:r>
    </w:p>
    <w:p w14:paraId="3406B5DB" w14:textId="60510210" w:rsidR="0052750F" w:rsidRDefault="00000000" w:rsidP="00D80D45">
      <w:pPr>
        <w:spacing w:line="276" w:lineRule="auto"/>
      </w:pPr>
      <w:r>
        <w:tab/>
        <w:t xml:space="preserve">Zhang then explored the </w:t>
      </w:r>
      <w:r w:rsidR="00271808">
        <w:t>resemblances between the Chinese and the Mayan astrological cases that involved the Venus cycles. Venus was especially prevalent in both cultures, involving omens regarding war</w:t>
      </w:r>
      <w:r w:rsidR="00301AFD">
        <w:t xml:space="preserve"> and military decisions.</w:t>
      </w:r>
      <w:r>
        <w:rPr>
          <w:rStyle w:val="FootnoteReference"/>
        </w:rPr>
        <w:footnoteReference w:id="79"/>
      </w:r>
      <w:r>
        <w:t xml:space="preserve"> She describe</w:t>
      </w:r>
      <w:r w:rsidR="001E324E">
        <w:t>d</w:t>
      </w:r>
      <w:r>
        <w:t xml:space="preserve"> cases where the Chinese timed battles based on Venus being high in the sky (at maximum elongation)</w:t>
      </w:r>
      <w:r w:rsidR="00752DA2">
        <w:t>,</w:t>
      </w:r>
      <w:r>
        <w:t xml:space="preserve"> </w:t>
      </w:r>
      <w:r w:rsidR="0054029A">
        <w:t xml:space="preserve">which </w:t>
      </w:r>
      <w:proofErr w:type="gramStart"/>
      <w:r w:rsidR="0054029A">
        <w:t>was</w:t>
      </w:r>
      <w:r>
        <w:t xml:space="preserve"> considered to be</w:t>
      </w:r>
      <w:proofErr w:type="gramEnd"/>
      <w:r>
        <w:t xml:space="preserve"> </w:t>
      </w:r>
      <w:r w:rsidR="00951E11">
        <w:t>an auspicious event</w:t>
      </w:r>
      <w:r>
        <w:t xml:space="preserve">. </w:t>
      </w:r>
      <w:r w:rsidR="00C32EEE">
        <w:t xml:space="preserve">The following </w:t>
      </w:r>
      <w:r>
        <w:t xml:space="preserve">was an example from </w:t>
      </w:r>
      <w:r w:rsidR="00311BD3">
        <w:t>a successful attack in 206 BCE:</w:t>
      </w:r>
    </w:p>
    <w:p w14:paraId="15D88652" w14:textId="5F5B06FA" w:rsidR="0052750F" w:rsidRDefault="00000000" w:rsidP="00311BD3">
      <w:pPr>
        <w:spacing w:line="276" w:lineRule="auto"/>
        <w:ind w:left="720"/>
        <w:rPr>
          <w:sz w:val="20"/>
          <w:szCs w:val="20"/>
        </w:rPr>
      </w:pPr>
      <w:r w:rsidRPr="00311BD3">
        <w:rPr>
          <w:sz w:val="20"/>
          <w:szCs w:val="20"/>
        </w:rPr>
        <w:t xml:space="preserve">Five Stars appear in the east now, this greatly beneficial to the Middle Kingdom: the barbarians will be defeated. Venus rises high, bringing good luck to those who dare to advance soldiers into enemy </w:t>
      </w:r>
      <w:r w:rsidRPr="00311BD3">
        <w:rPr>
          <w:sz w:val="20"/>
          <w:szCs w:val="20"/>
        </w:rPr>
        <w:lastRenderedPageBreak/>
        <w:t>territory, and great misfortune to those who do not. The General immediately takes up arms, seizing this time, slaying the unrighteous. Everything is aligned perfectly; let there be no doubt</w:t>
      </w:r>
      <w:r w:rsidR="00311BD3" w:rsidRPr="00311BD3">
        <w:rPr>
          <w:sz w:val="20"/>
          <w:szCs w:val="20"/>
        </w:rPr>
        <w:t>.</w:t>
      </w:r>
      <w:r>
        <w:rPr>
          <w:rStyle w:val="FootnoteReference"/>
          <w:sz w:val="20"/>
          <w:szCs w:val="20"/>
        </w:rPr>
        <w:footnoteReference w:id="80"/>
      </w:r>
    </w:p>
    <w:p w14:paraId="7E58CC29" w14:textId="068991CB" w:rsidR="00D826D2" w:rsidRPr="00D80D45" w:rsidRDefault="00000000" w:rsidP="006E31F4">
      <w:pPr>
        <w:spacing w:line="276" w:lineRule="auto"/>
      </w:pPr>
      <w:r w:rsidRPr="00A0642D">
        <w:t>Zhang note</w:t>
      </w:r>
      <w:r>
        <w:t xml:space="preserve">d that this concept was similar to how she believed the Mayans also timed battles </w:t>
      </w:r>
      <w:r w:rsidR="00460B27">
        <w:t xml:space="preserve">and </w:t>
      </w:r>
      <w:r w:rsidR="00C3719E">
        <w:t>rituals, including sacrifice</w:t>
      </w:r>
      <w:r w:rsidR="00460B27">
        <w:t xml:space="preserve">, </w:t>
      </w:r>
      <w:r>
        <w:t>based on Venus's position</w:t>
      </w:r>
      <w:r w:rsidR="006E31F4">
        <w:t xml:space="preserve">, maximum elongation, appearances as Morning and Evening Star, </w:t>
      </w:r>
      <w:r w:rsidR="00460B27">
        <w:t>and alignment with other planets.</w:t>
      </w:r>
      <w:r>
        <w:rPr>
          <w:rStyle w:val="FootnoteReference"/>
        </w:rPr>
        <w:footnoteReference w:id="81"/>
      </w:r>
      <w:r w:rsidR="006E31F4">
        <w:t xml:space="preserve">   </w:t>
      </w:r>
      <w:r w:rsidRPr="00A375BA">
        <w:t>Zhang also considered that earlier scholars had speculated on a connection between the two</w:t>
      </w:r>
      <w:r w:rsidR="001E324E">
        <w:t xml:space="preserve"> astrologies</w:t>
      </w:r>
      <w:r w:rsidRPr="00A375BA">
        <w:t>.</w:t>
      </w:r>
      <w:r>
        <w:rPr>
          <w:rStyle w:val="FootnoteReference"/>
        </w:rPr>
        <w:footnoteReference w:id="82"/>
      </w:r>
      <w:r w:rsidR="006E31F4">
        <w:t xml:space="preserve"> However, she also noted the geographic distance between the two cultures, as well as the depth and complexity of each. She finally concluded that '</w:t>
      </w:r>
      <w:r w:rsidR="006E31F4" w:rsidRPr="006E31F4">
        <w:t>there are also many more diverse and unique ways of thinking and creating that show clear independent invention</w:t>
      </w:r>
      <w:r w:rsidR="006E31F4">
        <w:t>’.</w:t>
      </w:r>
      <w:r>
        <w:rPr>
          <w:rStyle w:val="FootnoteReference"/>
        </w:rPr>
        <w:footnoteReference w:id="83"/>
      </w:r>
    </w:p>
    <w:p w14:paraId="44C24937" w14:textId="77777777" w:rsidR="008D6CB6" w:rsidRDefault="008D6CB6" w:rsidP="008D6CB6">
      <w:pPr>
        <w:spacing w:line="276" w:lineRule="auto"/>
        <w:rPr>
          <w:u w:val="single"/>
        </w:rPr>
      </w:pPr>
    </w:p>
    <w:p w14:paraId="6C7F8E26" w14:textId="77777777" w:rsidR="008D6CB6" w:rsidRPr="0062616C" w:rsidRDefault="00000000" w:rsidP="008D6CB6">
      <w:pPr>
        <w:spacing w:line="276" w:lineRule="auto"/>
        <w:rPr>
          <w:u w:val="single"/>
        </w:rPr>
      </w:pPr>
      <w:r>
        <w:rPr>
          <w:u w:val="single"/>
        </w:rPr>
        <w:t>Conclusions</w:t>
      </w:r>
    </w:p>
    <w:p w14:paraId="5B18A4DA" w14:textId="26B8B500" w:rsidR="00746022" w:rsidRDefault="00000000" w:rsidP="00746022">
      <w:pPr>
        <w:ind w:firstLine="720"/>
      </w:pPr>
      <w:r>
        <w:rPr>
          <w:lang w:val="en-US"/>
        </w:rPr>
        <w:tab/>
        <w:t xml:space="preserve">The three civilizations </w:t>
      </w:r>
      <w:r w:rsidR="006A0E05">
        <w:rPr>
          <w:lang w:val="en-US"/>
        </w:rPr>
        <w:t>studied</w:t>
      </w:r>
      <w:r>
        <w:rPr>
          <w:lang w:val="en-US"/>
        </w:rPr>
        <w:t xml:space="preserve"> in this essay were described by Nicholas Campion as having ‘the three major technically complex and philosophically sophisticated systems of astrology’.</w:t>
      </w:r>
      <w:r>
        <w:rPr>
          <w:rStyle w:val="FootnoteReference"/>
          <w:lang w:val="en-US"/>
        </w:rPr>
        <w:footnoteReference w:id="84"/>
      </w:r>
      <w:r>
        <w:rPr>
          <w:lang w:val="en-US"/>
        </w:rPr>
        <w:t xml:space="preserve"> In each of these civilizations, the cycles of Venus were reflected in their astronomical methods and calendars, as well as their cosmologies. This essay has explored the meanings that each culture ascribed to the cycles of Venus as reflected in the</w:t>
      </w:r>
      <w:r w:rsidR="0014725C">
        <w:rPr>
          <w:lang w:val="en-US"/>
        </w:rPr>
        <w:t>ir</w:t>
      </w:r>
      <w:r>
        <w:rPr>
          <w:lang w:val="en-US"/>
        </w:rPr>
        <w:t xml:space="preserve"> primary documents: the Mesoamerican codices, </w:t>
      </w:r>
      <w:r>
        <w:t xml:space="preserve">the Babylonian </w:t>
      </w:r>
      <w:r w:rsidRPr="007166B6">
        <w:rPr>
          <w:i/>
          <w:iCs/>
        </w:rPr>
        <w:t>Venus tablet of Ammisaduqa</w:t>
      </w:r>
      <w:r>
        <w:t xml:space="preserve">, and the Chinese </w:t>
      </w:r>
      <w:r w:rsidRPr="007166B6">
        <w:rPr>
          <w:i/>
          <w:iCs/>
        </w:rPr>
        <w:t>Wu Xing Zhan</w:t>
      </w:r>
      <w:r>
        <w:rPr>
          <w:i/>
          <w:iCs/>
        </w:rPr>
        <w:t xml:space="preserve">, </w:t>
      </w:r>
      <w:r w:rsidRPr="00E74996">
        <w:t xml:space="preserve">within the </w:t>
      </w:r>
      <w:r>
        <w:t>context of scholarly books and articles examining each.</w:t>
      </w:r>
      <w:r>
        <w:rPr>
          <w:lang w:val="en-US"/>
        </w:rPr>
        <w:t xml:space="preserve"> All three civilizations were aware of the cycles of Venus and its phases, such as Morning Star and Evening Star, and each ascribed a separate meaning to each phase. All were also aware of the eight-year cycle of Venus when</w:t>
      </w:r>
      <w:r w:rsidRPr="00961602">
        <w:t> it return</w:t>
      </w:r>
      <w:r w:rsidR="00421D9E">
        <w:t>ed</w:t>
      </w:r>
      <w:r w:rsidRPr="00961602">
        <w:t xml:space="preserve"> to the same place in </w:t>
      </w:r>
      <w:r>
        <w:t>the</w:t>
      </w:r>
      <w:r w:rsidRPr="00961602">
        <w:t xml:space="preserve"> sky on </w:t>
      </w:r>
      <w:r>
        <w:t>approximately</w:t>
      </w:r>
      <w:r w:rsidRPr="00961602">
        <w:t xml:space="preserve"> the same date</w:t>
      </w:r>
      <w:r>
        <w:t xml:space="preserve">. All created detailed calendars that incorporated the cycles of Venus and created omens based on its movements and positions, which were used to help make decisions in earthly matters. </w:t>
      </w:r>
    </w:p>
    <w:p w14:paraId="5B79252C" w14:textId="67B9546A" w:rsidR="00746022" w:rsidRPr="00A36D4C" w:rsidRDefault="00000000" w:rsidP="00746022">
      <w:pPr>
        <w:ind w:firstLine="720"/>
        <w:rPr>
          <w:lang w:val="en-US"/>
        </w:rPr>
      </w:pPr>
      <w:r>
        <w:t>This essay also explored several areas of debate among scholars of ancient astrology. Among these is the use of the cycles of Venus to time battles among the Mayans. While Susan Milbrath</w:t>
      </w:r>
      <w:r>
        <w:rPr>
          <w:rStyle w:val="FootnoteReference"/>
        </w:rPr>
        <w:footnoteReference w:id="85"/>
      </w:r>
      <w:r>
        <w:t xml:space="preserve">, </w:t>
      </w:r>
      <w:r w:rsidRPr="00677985">
        <w:t>Linda Schele</w:t>
      </w:r>
      <w:r w:rsidR="006A0E05">
        <w:t xml:space="preserve"> </w:t>
      </w:r>
      <w:r>
        <w:t xml:space="preserve">and </w:t>
      </w:r>
      <w:r w:rsidRPr="00677985">
        <w:t>David</w:t>
      </w:r>
      <w:r>
        <w:t xml:space="preserve"> </w:t>
      </w:r>
      <w:r w:rsidRPr="00677985">
        <w:t>Freidel</w:t>
      </w:r>
      <w:r>
        <w:rPr>
          <w:rStyle w:val="FootnoteReference"/>
        </w:rPr>
        <w:footnoteReference w:id="86"/>
      </w:r>
      <w:r>
        <w:t xml:space="preserve"> and Simon Martin</w:t>
      </w:r>
      <w:r>
        <w:rPr>
          <w:rStyle w:val="FootnoteReference"/>
        </w:rPr>
        <w:footnoteReference w:id="87"/>
      </w:r>
      <w:r>
        <w:t xml:space="preserve"> believed, </w:t>
      </w:r>
      <w:r>
        <w:lastRenderedPageBreak/>
        <w:t>based on what they saw in the codices, that the Venus cycles were incorporated into this timing, others such as Gerardo Aldana proposed an alternative translation for what was found there.</w:t>
      </w:r>
      <w:r>
        <w:rPr>
          <w:rStyle w:val="FootnoteReference"/>
        </w:rPr>
        <w:footnoteReference w:id="88"/>
      </w:r>
      <w:r>
        <w:t xml:space="preserve"> In addition, there is ongoing discussion around the possible connections and transmissions between the astrology of these three civilizations. He </w:t>
      </w:r>
      <w:r w:rsidRPr="00B1031F">
        <w:rPr>
          <w:noProof/>
          <w:lang w:val="en-US"/>
        </w:rPr>
        <w:t>Zhang</w:t>
      </w:r>
      <w:r>
        <w:rPr>
          <w:noProof/>
          <w:lang w:val="en-US"/>
        </w:rPr>
        <w:t xml:space="preserve"> described many similarities </w:t>
      </w:r>
      <w:r w:rsidR="008E64C8">
        <w:rPr>
          <w:noProof/>
          <w:lang w:val="en-US"/>
        </w:rPr>
        <w:t>relating</w:t>
      </w:r>
      <w:r>
        <w:rPr>
          <w:noProof/>
          <w:lang w:val="en-US"/>
        </w:rPr>
        <w:t xml:space="preserve"> the Babylonian </w:t>
      </w:r>
      <w:r w:rsidR="008E64C8">
        <w:rPr>
          <w:noProof/>
          <w:lang w:val="en-US"/>
        </w:rPr>
        <w:t xml:space="preserve">to </w:t>
      </w:r>
      <w:r>
        <w:rPr>
          <w:noProof/>
          <w:lang w:val="en-US"/>
        </w:rPr>
        <w:t>the Chinese in how they tracked the movements and cycles of Venus and the identical meanings of many of the omens, leading her to conclude that the Chinese documents were a translation of the Babylonian.</w:t>
      </w:r>
      <w:r>
        <w:rPr>
          <w:rStyle w:val="FootnoteReference"/>
          <w:noProof/>
          <w:lang w:val="en-US"/>
        </w:rPr>
        <w:footnoteReference w:id="89"/>
      </w:r>
      <w:r>
        <w:rPr>
          <w:noProof/>
          <w:lang w:val="en-US"/>
        </w:rPr>
        <w:t xml:space="preserve"> </w:t>
      </w:r>
      <w:r w:rsidR="00F133E5">
        <w:rPr>
          <w:noProof/>
          <w:lang w:val="en-US"/>
        </w:rPr>
        <w:t>Conversely</w:t>
      </w:r>
      <w:r>
        <w:rPr>
          <w:noProof/>
          <w:lang w:val="en-US"/>
        </w:rPr>
        <w:t xml:space="preserve">, </w:t>
      </w:r>
      <w:r w:rsidRPr="00930F0F">
        <w:t>David Pan</w:t>
      </w:r>
      <w:r>
        <w:t>ken</w:t>
      </w:r>
      <w:r w:rsidRPr="00930F0F">
        <w:t>ier</w:t>
      </w:r>
      <w:r>
        <w:t xml:space="preserve"> disagreed, citing translation errors in </w:t>
      </w:r>
      <w:r w:rsidR="000F750D">
        <w:t>earlier</w:t>
      </w:r>
      <w:r>
        <w:t xml:space="preserve"> scholarship and concluding that Chinese astrology and Venus omens had developed separately.</w:t>
      </w:r>
      <w:r>
        <w:rPr>
          <w:rStyle w:val="FootnoteReference"/>
        </w:rPr>
        <w:footnoteReference w:id="90"/>
      </w:r>
      <w:r>
        <w:t xml:space="preserve"> Zhang also explored the parallels between Chinese and Mesoamerican astrology, including the identical forms of some aspects of their calendars and cosmologies. However, due to the geographic distance between these two civilizations and considering the rich history and intricacy of each, she concluded that the two evolved separately.</w:t>
      </w:r>
      <w:r>
        <w:rPr>
          <w:rStyle w:val="FootnoteReference"/>
        </w:rPr>
        <w:footnoteReference w:id="91"/>
      </w:r>
      <w:r>
        <w:t xml:space="preserve">  These discussions highlighted the complexity of interpreting ancient texts but also brought awareness to the fact that </w:t>
      </w:r>
      <w:r>
        <w:rPr>
          <w:lang w:val="en-US"/>
        </w:rPr>
        <w:t xml:space="preserve">Venus was a universal symbol regardless of culture or location and that each of the cultures who followed </w:t>
      </w:r>
      <w:r w:rsidR="00A115D8">
        <w:rPr>
          <w:lang w:val="en-US"/>
        </w:rPr>
        <w:t>them</w:t>
      </w:r>
      <w:r>
        <w:rPr>
          <w:lang w:val="en-US"/>
        </w:rPr>
        <w:t xml:space="preserve"> saw its planetary cycles as a source of guidance and meaning and a powerful force, deeply connected to </w:t>
      </w:r>
      <w:r w:rsidR="00E91048">
        <w:rPr>
          <w:lang w:val="en-US"/>
        </w:rPr>
        <w:t xml:space="preserve">the cycles of </w:t>
      </w:r>
      <w:r>
        <w:rPr>
          <w:lang w:val="en-US"/>
        </w:rPr>
        <w:t>their lives on Earth.</w:t>
      </w:r>
    </w:p>
    <w:p w14:paraId="5193EAFD" w14:textId="77777777" w:rsidR="00746022" w:rsidRPr="00A36D4C" w:rsidRDefault="00746022" w:rsidP="00746022">
      <w:pPr>
        <w:rPr>
          <w:lang w:val="en-US"/>
        </w:rPr>
      </w:pPr>
    </w:p>
    <w:p w14:paraId="3F7C7489" w14:textId="32AADC3B" w:rsidR="000C7EA7" w:rsidRDefault="000C7EA7" w:rsidP="009C7BF4">
      <w:pPr>
        <w:rPr>
          <w:lang w:val="en-US"/>
        </w:rPr>
      </w:pPr>
    </w:p>
    <w:p w14:paraId="7234B9C9" w14:textId="776FD6F9" w:rsidR="00EA054D" w:rsidRDefault="00EA054D" w:rsidP="009C7BF4">
      <w:pPr>
        <w:rPr>
          <w:lang w:val="en-US"/>
        </w:rPr>
      </w:pPr>
    </w:p>
    <w:p w14:paraId="2327E6C3" w14:textId="2A08A299" w:rsidR="00A70F80" w:rsidRDefault="00A70F80">
      <w:pPr>
        <w:rPr>
          <w:b/>
          <w:bCs/>
          <w:u w:val="single"/>
          <w:lang w:val="en-US"/>
        </w:rPr>
      </w:pPr>
    </w:p>
    <w:p w14:paraId="4E90D40A" w14:textId="77777777" w:rsidR="00624C06" w:rsidRDefault="00624C06">
      <w:pPr>
        <w:rPr>
          <w:b/>
          <w:bCs/>
          <w:u w:val="single"/>
          <w:lang w:val="en-US"/>
        </w:rPr>
      </w:pPr>
    </w:p>
    <w:p w14:paraId="5710D049" w14:textId="77777777" w:rsidR="00624C06" w:rsidRDefault="00624C06">
      <w:pPr>
        <w:rPr>
          <w:b/>
          <w:bCs/>
          <w:u w:val="single"/>
          <w:lang w:val="en-US"/>
        </w:rPr>
      </w:pPr>
    </w:p>
    <w:p w14:paraId="724FF824" w14:textId="77777777" w:rsidR="00624C06" w:rsidRDefault="00624C06">
      <w:pPr>
        <w:rPr>
          <w:b/>
          <w:bCs/>
          <w:u w:val="single"/>
          <w:lang w:val="en-US"/>
        </w:rPr>
      </w:pPr>
    </w:p>
    <w:p w14:paraId="7C44A051" w14:textId="77777777" w:rsidR="00624C06" w:rsidRDefault="00624C06">
      <w:pPr>
        <w:rPr>
          <w:b/>
          <w:bCs/>
          <w:u w:val="single"/>
          <w:lang w:val="en-US"/>
        </w:rPr>
      </w:pPr>
    </w:p>
    <w:p w14:paraId="51FE7D74" w14:textId="77777777" w:rsidR="001C2095" w:rsidRDefault="001C2095" w:rsidP="00AD48BC">
      <w:pPr>
        <w:rPr>
          <w:b/>
          <w:bCs/>
          <w:u w:val="single"/>
          <w:lang w:val="en-US"/>
        </w:rPr>
      </w:pPr>
    </w:p>
    <w:p w14:paraId="1E65C6B1" w14:textId="6E9B2C46" w:rsidR="004F3CA6" w:rsidRDefault="00000000" w:rsidP="00AD48BC">
      <w:pPr>
        <w:rPr>
          <w:b/>
          <w:bCs/>
          <w:u w:val="single"/>
          <w:lang w:val="en-US"/>
        </w:rPr>
      </w:pPr>
      <w:r w:rsidRPr="00A70F80">
        <w:rPr>
          <w:b/>
          <w:bCs/>
          <w:u w:val="single"/>
          <w:lang w:val="en-US"/>
        </w:rPr>
        <w:lastRenderedPageBreak/>
        <w:t>BIBLIOGRAPHY</w:t>
      </w:r>
    </w:p>
    <w:p w14:paraId="70936984" w14:textId="77777777" w:rsidR="007A440A" w:rsidRDefault="007A440A" w:rsidP="00AD48BC">
      <w:pPr>
        <w:rPr>
          <w:b/>
          <w:bCs/>
          <w:u w:val="single"/>
          <w:lang w:val="en-US"/>
        </w:rPr>
      </w:pPr>
    </w:p>
    <w:p w14:paraId="6224B254" w14:textId="661CCF8E" w:rsidR="007A440A" w:rsidRPr="007A440A" w:rsidRDefault="00000000" w:rsidP="00AD48BC">
      <w:pPr>
        <w:rPr>
          <w:b/>
          <w:bCs/>
          <w:u w:val="single"/>
          <w:lang w:val="en-US"/>
        </w:rPr>
      </w:pPr>
      <w:r>
        <w:rPr>
          <w:b/>
          <w:bCs/>
          <w:u w:val="single"/>
          <w:lang w:val="en-US"/>
        </w:rPr>
        <w:t>PRIMARY SOURCES</w:t>
      </w:r>
    </w:p>
    <w:p w14:paraId="364774B6" w14:textId="77777777" w:rsidR="00AD48BC" w:rsidRDefault="00000000" w:rsidP="00AD48BC">
      <w:pPr>
        <w:pStyle w:val="Bibliography"/>
        <w:ind w:left="720" w:hanging="720"/>
        <w:rPr>
          <w:noProof/>
          <w:kern w:val="0"/>
          <w:lang w:val="en-US"/>
          <w14:ligatures w14:val="none"/>
        </w:rPr>
      </w:pPr>
      <w:r>
        <w:rPr>
          <w:lang w:val="en-US"/>
        </w:rPr>
        <w:fldChar w:fldCharType="begin"/>
      </w:r>
      <w:r>
        <w:rPr>
          <w:lang w:val="en-US"/>
        </w:rPr>
        <w:instrText xml:space="preserve"> BIBLIOGRAPHY  \l 1033 </w:instrText>
      </w:r>
      <w:r>
        <w:rPr>
          <w:lang w:val="en-US"/>
        </w:rPr>
        <w:fldChar w:fldCharType="separate"/>
      </w:r>
      <w:r>
        <w:rPr>
          <w:noProof/>
          <w:lang w:val="en-US"/>
        </w:rPr>
        <w:t xml:space="preserve">Aj-tz'ib, Unknown Maya. 1250. "Dresden Codex." </w:t>
      </w:r>
      <w:r>
        <w:rPr>
          <w:i/>
          <w:iCs/>
          <w:noProof/>
          <w:lang w:val="en-US"/>
        </w:rPr>
        <w:t>Archive.Org.</w:t>
      </w:r>
      <w:r>
        <w:rPr>
          <w:noProof/>
          <w:lang w:val="en-US"/>
        </w:rPr>
        <w:t xml:space="preserve"> Accessed December 16, 2024. https://archive.org/details/dresden-codex.</w:t>
      </w:r>
    </w:p>
    <w:p w14:paraId="6E552A07" w14:textId="77777777" w:rsidR="00AD48BC" w:rsidRDefault="00000000" w:rsidP="00AD48BC">
      <w:pPr>
        <w:pStyle w:val="Bibliography"/>
        <w:ind w:left="720" w:hanging="720"/>
        <w:rPr>
          <w:noProof/>
          <w:lang w:val="en-US"/>
        </w:rPr>
      </w:pPr>
      <w:r>
        <w:rPr>
          <w:noProof/>
          <w:lang w:val="en-US"/>
        </w:rPr>
        <w:t xml:space="preserve">Aj-tz'ib', Unknown Maya. 1200. "Madrid Codex." </w:t>
      </w:r>
      <w:r>
        <w:rPr>
          <w:i/>
          <w:iCs/>
          <w:noProof/>
          <w:lang w:val="en-US"/>
        </w:rPr>
        <w:t>Archive.Org.</w:t>
      </w:r>
      <w:r>
        <w:rPr>
          <w:noProof/>
          <w:lang w:val="en-US"/>
        </w:rPr>
        <w:t xml:space="preserve"> Accessed December 16, 2024. https://archive.org/details/madrid-codex.</w:t>
      </w:r>
    </w:p>
    <w:p w14:paraId="543A4C6C" w14:textId="77777777" w:rsidR="00AD48BC" w:rsidRDefault="00000000" w:rsidP="00AD48BC">
      <w:pPr>
        <w:pStyle w:val="Bibliography"/>
        <w:ind w:left="720" w:hanging="720"/>
        <w:rPr>
          <w:noProof/>
          <w:lang w:val="en-US"/>
        </w:rPr>
      </w:pPr>
      <w:r>
        <w:rPr>
          <w:noProof/>
          <w:lang w:val="en-US"/>
        </w:rPr>
        <w:t xml:space="preserve">—. n.d. "Paris Codex." </w:t>
      </w:r>
      <w:r>
        <w:rPr>
          <w:i/>
          <w:iCs/>
          <w:noProof/>
          <w:lang w:val="en-US"/>
        </w:rPr>
        <w:t>Archive.Org.</w:t>
      </w:r>
      <w:r>
        <w:rPr>
          <w:noProof/>
          <w:lang w:val="en-US"/>
        </w:rPr>
        <w:t xml:space="preserve"> Accessed December 16, 2024. https://archive.org/details/paris-codex/page/n1/mode/2up.</w:t>
      </w:r>
    </w:p>
    <w:p w14:paraId="4D6C789C" w14:textId="77777777" w:rsidR="005C38F3" w:rsidRDefault="00000000" w:rsidP="005C38F3">
      <w:pPr>
        <w:pStyle w:val="Bibliography"/>
        <w:ind w:left="720" w:hanging="720"/>
        <w:rPr>
          <w:noProof/>
          <w:lang w:val="en-US"/>
        </w:rPr>
      </w:pPr>
      <w:r>
        <w:rPr>
          <w:noProof/>
          <w:lang w:val="en-US"/>
        </w:rPr>
        <w:t xml:space="preserve">n.d. "Codex Borgia." </w:t>
      </w:r>
      <w:r>
        <w:rPr>
          <w:i/>
          <w:iCs/>
          <w:noProof/>
          <w:lang w:val="en-US"/>
        </w:rPr>
        <w:t>Archive.Org.</w:t>
      </w:r>
      <w:r>
        <w:rPr>
          <w:noProof/>
          <w:lang w:val="en-US"/>
        </w:rPr>
        <w:t xml:space="preserve"> Accessed December 16, 2024. https://archive.org/details/codex-borgia.</w:t>
      </w:r>
    </w:p>
    <w:p w14:paraId="0FCF29B8" w14:textId="77777777" w:rsidR="0002296E" w:rsidRDefault="00000000" w:rsidP="0002296E">
      <w:pPr>
        <w:pStyle w:val="Bibliography"/>
        <w:ind w:left="720" w:hanging="720"/>
        <w:rPr>
          <w:noProof/>
          <w:lang w:val="en-US"/>
        </w:rPr>
      </w:pPr>
      <w:r>
        <w:rPr>
          <w:noProof/>
          <w:lang w:val="en-US"/>
        </w:rPr>
        <w:t xml:space="preserve">n.d. "Venus tablet of Ammisaduqa (Enuma Anu Enlil Tablet 63)." </w:t>
      </w:r>
      <w:r>
        <w:rPr>
          <w:i/>
          <w:iCs/>
          <w:noProof/>
          <w:lang w:val="en-US"/>
        </w:rPr>
        <w:t>British Museum.</w:t>
      </w:r>
      <w:r>
        <w:rPr>
          <w:noProof/>
          <w:lang w:val="en-US"/>
        </w:rPr>
        <w:t xml:space="preserve"> Accessed December 16, 2024. https://www.britishmuseum.org/collection/object/W_K-160.</w:t>
      </w:r>
    </w:p>
    <w:p w14:paraId="13C37BAE" w14:textId="77777777" w:rsidR="005C38F3" w:rsidRPr="005C38F3" w:rsidRDefault="005C38F3" w:rsidP="005C38F3">
      <w:pPr>
        <w:rPr>
          <w:lang w:val="en-US"/>
        </w:rPr>
      </w:pPr>
    </w:p>
    <w:p w14:paraId="6C44AF76" w14:textId="77777777" w:rsidR="007A440A" w:rsidRDefault="007A440A" w:rsidP="007A440A">
      <w:pPr>
        <w:rPr>
          <w:lang w:val="en-US"/>
        </w:rPr>
      </w:pPr>
    </w:p>
    <w:p w14:paraId="4AB44545" w14:textId="339F7927" w:rsidR="007A440A" w:rsidRPr="007A440A" w:rsidRDefault="00000000" w:rsidP="007A440A">
      <w:pPr>
        <w:rPr>
          <w:b/>
          <w:bCs/>
          <w:u w:val="single"/>
          <w:lang w:val="en-US"/>
        </w:rPr>
      </w:pPr>
      <w:r w:rsidRPr="007A440A">
        <w:rPr>
          <w:b/>
          <w:bCs/>
          <w:u w:val="single"/>
          <w:lang w:val="en-US"/>
        </w:rPr>
        <w:t>SECONDARY SOURCES</w:t>
      </w:r>
    </w:p>
    <w:p w14:paraId="5B92AB11" w14:textId="77777777" w:rsidR="00AD48BC" w:rsidRDefault="00000000" w:rsidP="00AD48BC">
      <w:pPr>
        <w:pStyle w:val="Bibliography"/>
        <w:ind w:left="720" w:hanging="720"/>
        <w:rPr>
          <w:noProof/>
          <w:lang w:val="en-US"/>
        </w:rPr>
      </w:pPr>
      <w:r>
        <w:rPr>
          <w:noProof/>
          <w:lang w:val="en-US"/>
        </w:rPr>
        <w:t xml:space="preserve">Aldana, Gerardo. 2005. "Agency and the “Star War” Glyph - A historical reassessment of Classic Maya astrology and warfare." </w:t>
      </w:r>
      <w:r>
        <w:rPr>
          <w:i/>
          <w:iCs/>
          <w:noProof/>
          <w:lang w:val="en-US"/>
        </w:rPr>
        <w:t>Ancient Mesoamerica, 16</w:t>
      </w:r>
      <w:r>
        <w:rPr>
          <w:noProof/>
          <w:lang w:val="en-US"/>
        </w:rPr>
        <w:t xml:space="preserve"> pp. 305–320.</w:t>
      </w:r>
    </w:p>
    <w:p w14:paraId="24B9913B" w14:textId="77777777" w:rsidR="00AD48BC" w:rsidRDefault="00000000" w:rsidP="00AD48BC">
      <w:pPr>
        <w:pStyle w:val="Bibliography"/>
        <w:ind w:left="720" w:hanging="720"/>
        <w:rPr>
          <w:noProof/>
          <w:lang w:val="en-US"/>
        </w:rPr>
      </w:pPr>
      <w:r>
        <w:rPr>
          <w:noProof/>
          <w:lang w:val="en-US"/>
        </w:rPr>
        <w:t xml:space="preserve">Aveni, Anthony. 1989. </w:t>
      </w:r>
      <w:r>
        <w:rPr>
          <w:i/>
          <w:iCs/>
          <w:noProof/>
          <w:lang w:val="en-US"/>
        </w:rPr>
        <w:t>Empires of Time: Calendars, Clocks, and Cultures.</w:t>
      </w:r>
      <w:r>
        <w:rPr>
          <w:noProof/>
          <w:lang w:val="en-US"/>
        </w:rPr>
        <w:t xml:space="preserve"> New York: Basic Books, Inc.</w:t>
      </w:r>
    </w:p>
    <w:p w14:paraId="7E05470B" w14:textId="77777777" w:rsidR="00AD48BC" w:rsidRDefault="00000000" w:rsidP="00AD48BC">
      <w:pPr>
        <w:pStyle w:val="Bibliography"/>
        <w:ind w:left="720" w:hanging="720"/>
        <w:rPr>
          <w:noProof/>
          <w:lang w:val="en-US"/>
        </w:rPr>
      </w:pPr>
      <w:r>
        <w:rPr>
          <w:noProof/>
          <w:lang w:val="en-US"/>
        </w:rPr>
        <w:t xml:space="preserve">—. 1980. </w:t>
      </w:r>
      <w:r>
        <w:rPr>
          <w:i/>
          <w:iCs/>
          <w:noProof/>
          <w:lang w:val="en-US"/>
        </w:rPr>
        <w:t>Skywatchers of Ancient Mexico.</w:t>
      </w:r>
      <w:r>
        <w:rPr>
          <w:noProof/>
          <w:lang w:val="en-US"/>
        </w:rPr>
        <w:t xml:space="preserve"> Austin: University of Texas Press.</w:t>
      </w:r>
    </w:p>
    <w:p w14:paraId="2B835D32" w14:textId="77777777" w:rsidR="00AD48BC" w:rsidRDefault="00000000" w:rsidP="00AD48BC">
      <w:pPr>
        <w:pStyle w:val="Bibliography"/>
        <w:ind w:left="720" w:hanging="720"/>
        <w:rPr>
          <w:noProof/>
          <w:lang w:val="en-US"/>
        </w:rPr>
      </w:pPr>
      <w:r>
        <w:rPr>
          <w:noProof/>
          <w:lang w:val="en-US"/>
        </w:rPr>
        <w:t xml:space="preserve">Aveni, Anthony. 1992. "The Moon and the Venus Table: An Example of Commensuration in the Mayan Calendar." In </w:t>
      </w:r>
      <w:r>
        <w:rPr>
          <w:i/>
          <w:iCs/>
          <w:noProof/>
          <w:lang w:val="en-US"/>
        </w:rPr>
        <w:t>The Sky in Mayan Literature</w:t>
      </w:r>
      <w:r>
        <w:rPr>
          <w:noProof/>
          <w:lang w:val="en-US"/>
        </w:rPr>
        <w:t>, by Anthony Aveni, pp. 87-101. New York: Oxford University Press.</w:t>
      </w:r>
    </w:p>
    <w:p w14:paraId="699B05BA" w14:textId="77777777" w:rsidR="00AD48BC" w:rsidRDefault="00000000" w:rsidP="00AD48BC">
      <w:pPr>
        <w:pStyle w:val="Bibliography"/>
        <w:ind w:left="720" w:hanging="720"/>
        <w:rPr>
          <w:noProof/>
          <w:lang w:val="en-US"/>
        </w:rPr>
      </w:pPr>
      <w:r>
        <w:rPr>
          <w:noProof/>
          <w:lang w:val="en-US"/>
        </w:rPr>
        <w:t xml:space="preserve">Campion, Nicholas. 2012. </w:t>
      </w:r>
      <w:r>
        <w:rPr>
          <w:i/>
          <w:iCs/>
          <w:noProof/>
          <w:lang w:val="en-US"/>
        </w:rPr>
        <w:t>Astrology and Cosmology in the World's Religions.</w:t>
      </w:r>
      <w:r>
        <w:rPr>
          <w:noProof/>
          <w:lang w:val="en-US"/>
        </w:rPr>
        <w:t xml:space="preserve"> New York: New York University Press.</w:t>
      </w:r>
    </w:p>
    <w:p w14:paraId="209FA376" w14:textId="77777777" w:rsidR="00AD48BC" w:rsidRDefault="00000000" w:rsidP="00AD48BC">
      <w:pPr>
        <w:pStyle w:val="Bibliography"/>
        <w:ind w:left="720" w:hanging="720"/>
        <w:rPr>
          <w:noProof/>
          <w:lang w:val="en-US"/>
        </w:rPr>
      </w:pPr>
      <w:r>
        <w:rPr>
          <w:noProof/>
          <w:lang w:val="en-US"/>
        </w:rPr>
        <w:t xml:space="preserve">Cooley, Jeffrey L. 2008. "Inanna And Šukaletuda: A Sumerian Astral Myth." </w:t>
      </w:r>
      <w:r>
        <w:rPr>
          <w:i/>
          <w:iCs/>
          <w:noProof/>
          <w:lang w:val="en-US"/>
        </w:rPr>
        <w:t>KASKAL - Rivista di storia, ambienti e culture del Vicino Oriente Antico Volume 5</w:t>
      </w:r>
      <w:r>
        <w:rPr>
          <w:noProof/>
          <w:lang w:val="en-US"/>
        </w:rPr>
        <w:t xml:space="preserve"> pp. 161-172.</w:t>
      </w:r>
    </w:p>
    <w:p w14:paraId="274E9EE4" w14:textId="77777777" w:rsidR="00AD48BC" w:rsidRDefault="00000000" w:rsidP="00AD48BC">
      <w:pPr>
        <w:pStyle w:val="Bibliography"/>
        <w:ind w:left="720" w:hanging="720"/>
        <w:rPr>
          <w:noProof/>
          <w:lang w:val="en-US"/>
        </w:rPr>
      </w:pPr>
      <w:r>
        <w:rPr>
          <w:noProof/>
          <w:lang w:val="en-US"/>
        </w:rPr>
        <w:lastRenderedPageBreak/>
        <w:t xml:space="preserve">Cullen, Christopher. 2011. "Understanding the Planets in Ancient China: Prediction and Divination in the "Wu xing zhan"." </w:t>
      </w:r>
      <w:r>
        <w:rPr>
          <w:i/>
          <w:iCs/>
          <w:noProof/>
          <w:lang w:val="en-US"/>
        </w:rPr>
        <w:t>Early Science and Medicine, Vol. 16, No. 3</w:t>
      </w:r>
      <w:r>
        <w:rPr>
          <w:noProof/>
          <w:lang w:val="en-US"/>
        </w:rPr>
        <w:t xml:space="preserve"> pp. 218-251.</w:t>
      </w:r>
    </w:p>
    <w:p w14:paraId="0E324D13" w14:textId="77777777" w:rsidR="00AD48BC" w:rsidRDefault="00000000" w:rsidP="00AD48BC">
      <w:pPr>
        <w:pStyle w:val="Bibliography"/>
        <w:ind w:left="720" w:hanging="720"/>
        <w:rPr>
          <w:noProof/>
          <w:lang w:val="en-US"/>
        </w:rPr>
      </w:pPr>
      <w:r>
        <w:rPr>
          <w:noProof/>
          <w:lang w:val="en-US"/>
        </w:rPr>
        <w:t xml:space="preserve">Eagleton, Terry. 2000. </w:t>
      </w:r>
      <w:r>
        <w:rPr>
          <w:i/>
          <w:iCs/>
          <w:noProof/>
          <w:lang w:val="en-US"/>
        </w:rPr>
        <w:t>The Idea of Culture.</w:t>
      </w:r>
      <w:r>
        <w:rPr>
          <w:noProof/>
          <w:lang w:val="en-US"/>
        </w:rPr>
        <w:t xml:space="preserve"> Oxford: Blackwell.</w:t>
      </w:r>
    </w:p>
    <w:p w14:paraId="3AC386E1" w14:textId="77777777" w:rsidR="00AD48BC" w:rsidRDefault="00000000" w:rsidP="00AD48BC">
      <w:pPr>
        <w:pStyle w:val="Bibliography"/>
        <w:ind w:left="720" w:hanging="720"/>
        <w:rPr>
          <w:noProof/>
          <w:lang w:val="en-US"/>
        </w:rPr>
      </w:pPr>
      <w:r>
        <w:rPr>
          <w:noProof/>
          <w:lang w:val="en-US"/>
        </w:rPr>
        <w:t xml:space="preserve">Freidel, Linda Schele and David. 1990. </w:t>
      </w:r>
      <w:r>
        <w:rPr>
          <w:i/>
          <w:iCs/>
          <w:noProof/>
          <w:lang w:val="en-US"/>
        </w:rPr>
        <w:t>A Forest of Kings : The Untold Story of the Ancient Maya.</w:t>
      </w:r>
      <w:r>
        <w:rPr>
          <w:noProof/>
          <w:lang w:val="en-US"/>
        </w:rPr>
        <w:t xml:space="preserve"> New York: William Morrow and Company.</w:t>
      </w:r>
    </w:p>
    <w:p w14:paraId="7A1A2952" w14:textId="77777777" w:rsidR="00AD48BC" w:rsidRDefault="00000000" w:rsidP="00AD48BC">
      <w:pPr>
        <w:pStyle w:val="Bibliography"/>
        <w:ind w:left="720" w:hanging="720"/>
        <w:rPr>
          <w:noProof/>
          <w:lang w:val="en-US"/>
        </w:rPr>
      </w:pPr>
      <w:r>
        <w:rPr>
          <w:noProof/>
          <w:lang w:val="en-US"/>
        </w:rPr>
        <w:t xml:space="preserve">Geertz, Clifford. 1993. "Religion as a cultural system." In </w:t>
      </w:r>
      <w:r>
        <w:rPr>
          <w:i/>
          <w:iCs/>
          <w:noProof/>
          <w:lang w:val="en-US"/>
        </w:rPr>
        <w:t>The interpretation of cultures: selected essays</w:t>
      </w:r>
      <w:r>
        <w:rPr>
          <w:noProof/>
          <w:lang w:val="en-US"/>
        </w:rPr>
        <w:t>, by Clifford Geertz, pp.87-125. Fontana Press.</w:t>
      </w:r>
    </w:p>
    <w:p w14:paraId="58B028D9" w14:textId="77777777" w:rsidR="00AD48BC" w:rsidRDefault="00000000" w:rsidP="00AD48BC">
      <w:pPr>
        <w:pStyle w:val="Bibliography"/>
        <w:ind w:left="720" w:hanging="720"/>
        <w:rPr>
          <w:noProof/>
          <w:lang w:val="en-US"/>
        </w:rPr>
      </w:pPr>
      <w:r>
        <w:rPr>
          <w:noProof/>
          <w:lang w:val="en-US"/>
        </w:rPr>
        <w:t xml:space="preserve">Hunger, Hermann. 2009. "The Relation of Babylonian Astronomy to its Culture and Society." </w:t>
      </w:r>
      <w:r>
        <w:rPr>
          <w:i/>
          <w:iCs/>
          <w:noProof/>
          <w:lang w:val="en-US"/>
        </w:rPr>
        <w:t>Proceedings IAU Symposium No. 260.</w:t>
      </w:r>
      <w:r>
        <w:rPr>
          <w:noProof/>
          <w:lang w:val="en-US"/>
        </w:rPr>
        <w:t xml:space="preserve"> International Astronomical Union. pp. 62-73.</w:t>
      </w:r>
    </w:p>
    <w:p w14:paraId="791BE29F" w14:textId="77777777" w:rsidR="00AD48BC" w:rsidRDefault="00000000" w:rsidP="00AD48BC">
      <w:pPr>
        <w:pStyle w:val="Bibliography"/>
        <w:ind w:left="720" w:hanging="720"/>
        <w:rPr>
          <w:noProof/>
          <w:lang w:val="en-US"/>
        </w:rPr>
      </w:pPr>
      <w:r>
        <w:rPr>
          <w:noProof/>
          <w:lang w:val="en-US"/>
        </w:rPr>
        <w:t xml:space="preserve">Kurtik, G.E. 1999. "The Identification of Inanna With the Planet Venus: A Criterion For the Time Determination of the Recognition of Constellations in Ancient Mesopotamia." </w:t>
      </w:r>
      <w:r>
        <w:rPr>
          <w:i/>
          <w:iCs/>
          <w:noProof/>
          <w:lang w:val="en-US"/>
        </w:rPr>
        <w:t>Astronomical &amp; Astrophysical Transactions,</w:t>
      </w:r>
      <w:r>
        <w:rPr>
          <w:noProof/>
          <w:lang w:val="en-US"/>
        </w:rPr>
        <w:t xml:space="preserve"> pp. 501 - 513.</w:t>
      </w:r>
    </w:p>
    <w:p w14:paraId="3DD1ED24" w14:textId="77777777" w:rsidR="00AD48BC" w:rsidRDefault="00000000" w:rsidP="00AD48BC">
      <w:pPr>
        <w:pStyle w:val="Bibliography"/>
        <w:ind w:left="720" w:hanging="720"/>
        <w:rPr>
          <w:noProof/>
          <w:lang w:val="en-US"/>
        </w:rPr>
      </w:pPr>
      <w:r>
        <w:rPr>
          <w:noProof/>
          <w:lang w:val="en-US"/>
        </w:rPr>
        <w:t xml:space="preserve">Love, Julye Bidmead and Marilyn. Spring/Summer 2018. "Ištar’s Journey Above and Below." </w:t>
      </w:r>
      <w:r>
        <w:rPr>
          <w:i/>
          <w:iCs/>
          <w:noProof/>
          <w:lang w:val="en-US"/>
        </w:rPr>
        <w:t>Culture and Cosmos, Vol. 22 no 1</w:t>
      </w:r>
      <w:r>
        <w:rPr>
          <w:noProof/>
          <w:lang w:val="en-US"/>
        </w:rPr>
        <w:t xml:space="preserve"> pp. 5-28.</w:t>
      </w:r>
    </w:p>
    <w:p w14:paraId="39834FD3" w14:textId="77777777" w:rsidR="00AD48BC" w:rsidRDefault="00000000" w:rsidP="00AD48BC">
      <w:pPr>
        <w:pStyle w:val="Bibliography"/>
        <w:ind w:left="720" w:hanging="720"/>
        <w:rPr>
          <w:noProof/>
          <w:lang w:val="en-US"/>
        </w:rPr>
      </w:pPr>
      <w:r>
        <w:rPr>
          <w:noProof/>
          <w:lang w:val="en-US"/>
        </w:rPr>
        <w:t xml:space="preserve">Martin, Simon. 1996. "Tikal’s “Star War” against Naranjo. In Eighth Palenque Round Table, 1993, edited by Martha J. Macri and Jan McHargue, pp. 223–236." </w:t>
      </w:r>
      <w:r>
        <w:rPr>
          <w:i/>
          <w:iCs/>
          <w:noProof/>
          <w:lang w:val="en-US"/>
        </w:rPr>
        <w:t>Pre-Columbian Art Research Institute, San Francisco.</w:t>
      </w:r>
      <w:r>
        <w:rPr>
          <w:noProof/>
          <w:lang w:val="en-US"/>
        </w:rPr>
        <w:t xml:space="preserve"> </w:t>
      </w:r>
    </w:p>
    <w:p w14:paraId="7D9A3202" w14:textId="77777777" w:rsidR="00AD48BC" w:rsidRDefault="00000000" w:rsidP="00AD48BC">
      <w:pPr>
        <w:pStyle w:val="Bibliography"/>
        <w:ind w:left="720" w:hanging="720"/>
        <w:rPr>
          <w:noProof/>
          <w:lang w:val="en-US"/>
        </w:rPr>
      </w:pPr>
      <w:r>
        <w:rPr>
          <w:noProof/>
          <w:lang w:val="en-US"/>
        </w:rPr>
        <w:t xml:space="preserve">Milbrath, Susan. 1999. </w:t>
      </w:r>
      <w:r>
        <w:rPr>
          <w:i/>
          <w:iCs/>
          <w:noProof/>
          <w:lang w:val="en-US"/>
        </w:rPr>
        <w:t>Star Gods of the Maya : Astronomy in Art, Folklore, and Calendars.</w:t>
      </w:r>
      <w:r>
        <w:rPr>
          <w:noProof/>
          <w:lang w:val="en-US"/>
        </w:rPr>
        <w:t xml:space="preserve"> Austin: University of Texas Press.</w:t>
      </w:r>
    </w:p>
    <w:p w14:paraId="1F7D6732" w14:textId="77777777" w:rsidR="00AD48BC" w:rsidRDefault="00000000" w:rsidP="00AD48BC">
      <w:pPr>
        <w:pStyle w:val="Bibliography"/>
        <w:ind w:left="720" w:hanging="720"/>
        <w:rPr>
          <w:noProof/>
          <w:lang w:val="en-US"/>
        </w:rPr>
      </w:pPr>
      <w:r>
        <w:rPr>
          <w:noProof/>
          <w:lang w:val="en-US"/>
        </w:rPr>
        <w:t xml:space="preserve">Milbrath, Susan. 2014. "The many faces of Venus in Mesoamerica." In </w:t>
      </w:r>
      <w:r>
        <w:rPr>
          <w:i/>
          <w:iCs/>
          <w:noProof/>
          <w:lang w:val="en-US"/>
        </w:rPr>
        <w:t>Archaeoastronomy and the Maya</w:t>
      </w:r>
      <w:r>
        <w:rPr>
          <w:noProof/>
          <w:lang w:val="en-US"/>
        </w:rPr>
        <w:t>, by Gerardo Villalobos and Edwin L. Barnhart Gerardo Aldana, pp 111-134. Oxbow Books.</w:t>
      </w:r>
    </w:p>
    <w:p w14:paraId="28ECB55E" w14:textId="77777777" w:rsidR="00AD48BC" w:rsidRDefault="00000000" w:rsidP="00AD48BC">
      <w:pPr>
        <w:pStyle w:val="Bibliography"/>
        <w:ind w:left="720" w:hanging="720"/>
        <w:rPr>
          <w:noProof/>
          <w:lang w:val="en-US"/>
        </w:rPr>
      </w:pPr>
      <w:r>
        <w:rPr>
          <w:noProof/>
          <w:lang w:val="en-US"/>
        </w:rPr>
        <w:t xml:space="preserve">Pankenier, David W. 2013. </w:t>
      </w:r>
      <w:r>
        <w:rPr>
          <w:i/>
          <w:iCs/>
          <w:noProof/>
          <w:lang w:val="en-US"/>
        </w:rPr>
        <w:t>Astrology and Cosmology in Early China: Conforming Earth to Heaven.</w:t>
      </w:r>
      <w:r>
        <w:rPr>
          <w:noProof/>
          <w:lang w:val="en-US"/>
        </w:rPr>
        <w:t xml:space="preserve"> Cambridge: Cambridge University Press.</w:t>
      </w:r>
    </w:p>
    <w:p w14:paraId="1BF6A693" w14:textId="77777777" w:rsidR="00AD48BC" w:rsidRDefault="00000000" w:rsidP="00AD48BC">
      <w:pPr>
        <w:pStyle w:val="Bibliography"/>
        <w:ind w:left="720" w:hanging="720"/>
        <w:rPr>
          <w:noProof/>
          <w:lang w:val="en-US"/>
        </w:rPr>
      </w:pPr>
      <w:r>
        <w:rPr>
          <w:noProof/>
          <w:lang w:val="en-US"/>
        </w:rPr>
        <w:t xml:space="preserve">Pankenier, David W. 2014. "Did Babylonian Astrology Influence Early Chinese Astral Prognostication Xing Zhan Shu </w:t>
      </w:r>
      <w:r>
        <w:rPr>
          <w:rFonts w:ascii="MS Gothic" w:eastAsia="MS Gothic" w:hAnsi="MS Gothic" w:cs="MS Gothic" w:hint="eastAsia"/>
          <w:noProof/>
          <w:lang w:val="en-US"/>
        </w:rPr>
        <w:t>星占術</w:t>
      </w:r>
      <w:r>
        <w:rPr>
          <w:noProof/>
          <w:lang w:val="en-US"/>
        </w:rPr>
        <w:t xml:space="preserve">?" </w:t>
      </w:r>
      <w:r>
        <w:rPr>
          <w:i/>
          <w:iCs/>
          <w:noProof/>
          <w:lang w:val="en-US"/>
        </w:rPr>
        <w:t>Early China vol 37</w:t>
      </w:r>
      <w:r>
        <w:rPr>
          <w:noProof/>
          <w:lang w:val="en-US"/>
        </w:rPr>
        <w:t xml:space="preserve"> pp. 1–13.</w:t>
      </w:r>
    </w:p>
    <w:p w14:paraId="60611D8E" w14:textId="77777777" w:rsidR="00AD48BC" w:rsidRDefault="00000000" w:rsidP="00AD48BC">
      <w:pPr>
        <w:pStyle w:val="Bibliography"/>
        <w:ind w:left="720" w:hanging="720"/>
        <w:rPr>
          <w:noProof/>
          <w:lang w:val="en-US"/>
        </w:rPr>
      </w:pPr>
      <w:r>
        <w:rPr>
          <w:noProof/>
          <w:lang w:val="en-US"/>
        </w:rPr>
        <w:t xml:space="preserve">Pingree, Erica Reiner and David. 1975. </w:t>
      </w:r>
      <w:r>
        <w:rPr>
          <w:i/>
          <w:iCs/>
          <w:noProof/>
          <w:lang w:val="en-US"/>
        </w:rPr>
        <w:t>Babylonian Planetary Omens Part 1: Enuma Anu Enlil Tablet 63: The Venus Tablet of Ammisaduqa.</w:t>
      </w:r>
      <w:r>
        <w:rPr>
          <w:noProof/>
          <w:lang w:val="en-US"/>
        </w:rPr>
        <w:t xml:space="preserve"> Pasadena: Undena Publications.</w:t>
      </w:r>
    </w:p>
    <w:p w14:paraId="08B7CDB8" w14:textId="77777777" w:rsidR="00AD48BC" w:rsidRDefault="00000000" w:rsidP="00AD48BC">
      <w:pPr>
        <w:pStyle w:val="Bibliography"/>
        <w:ind w:left="720" w:hanging="720"/>
        <w:rPr>
          <w:noProof/>
          <w:lang w:val="en-US"/>
        </w:rPr>
      </w:pPr>
      <w:r>
        <w:rPr>
          <w:noProof/>
          <w:lang w:val="en-US"/>
        </w:rPr>
        <w:t xml:space="preserve">—. 1998. </w:t>
      </w:r>
      <w:r>
        <w:rPr>
          <w:i/>
          <w:iCs/>
          <w:noProof/>
          <w:lang w:val="en-US"/>
        </w:rPr>
        <w:t>Babylonian Planetary Omens Part 3.</w:t>
      </w:r>
      <w:r>
        <w:rPr>
          <w:noProof/>
          <w:lang w:val="en-US"/>
        </w:rPr>
        <w:t xml:space="preserve"> Groningen: Styx Publications.</w:t>
      </w:r>
    </w:p>
    <w:p w14:paraId="0E5BCC5C" w14:textId="77777777" w:rsidR="00AD48BC" w:rsidRDefault="00000000" w:rsidP="00AD48BC">
      <w:pPr>
        <w:pStyle w:val="Bibliography"/>
        <w:ind w:left="720" w:hanging="720"/>
        <w:rPr>
          <w:noProof/>
          <w:lang w:val="en-US"/>
        </w:rPr>
      </w:pPr>
      <w:r>
        <w:rPr>
          <w:noProof/>
          <w:lang w:val="en-US"/>
        </w:rPr>
        <w:t xml:space="preserve">Reiner, Erica. 1998. </w:t>
      </w:r>
      <w:r>
        <w:rPr>
          <w:i/>
          <w:iCs/>
          <w:noProof/>
          <w:lang w:val="en-US"/>
        </w:rPr>
        <w:t>Babylonian Planetary Omens Part 3.</w:t>
      </w:r>
      <w:r>
        <w:rPr>
          <w:noProof/>
          <w:lang w:val="en-US"/>
        </w:rPr>
        <w:t xml:space="preserve"> Groningen: Styx Publications.</w:t>
      </w:r>
    </w:p>
    <w:p w14:paraId="72BBA7F5" w14:textId="77777777" w:rsidR="00AD48BC" w:rsidRDefault="00000000" w:rsidP="00AD48BC">
      <w:pPr>
        <w:pStyle w:val="Bibliography"/>
        <w:ind w:left="720" w:hanging="720"/>
        <w:rPr>
          <w:noProof/>
          <w:lang w:val="en-US"/>
        </w:rPr>
      </w:pPr>
      <w:r>
        <w:rPr>
          <w:noProof/>
          <w:lang w:val="en-US"/>
        </w:rPr>
        <w:lastRenderedPageBreak/>
        <w:t xml:space="preserve">Šprajc, Ivan. 1993. "The Venus-Rain Maize Complex in the Mesoamerican World View: Part I." </w:t>
      </w:r>
      <w:r>
        <w:rPr>
          <w:i/>
          <w:iCs/>
          <w:noProof/>
          <w:lang w:val="en-US"/>
        </w:rPr>
        <w:t>Journal for the History of Astronomy April 1993</w:t>
      </w:r>
      <w:r>
        <w:rPr>
          <w:noProof/>
          <w:lang w:val="en-US"/>
        </w:rPr>
        <w:t xml:space="preserve"> pp. 17-70.</w:t>
      </w:r>
    </w:p>
    <w:p w14:paraId="2427473C" w14:textId="77777777" w:rsidR="00AD48BC" w:rsidRDefault="00000000" w:rsidP="00AD48BC">
      <w:pPr>
        <w:pStyle w:val="Bibliography"/>
        <w:ind w:left="720" w:hanging="720"/>
        <w:rPr>
          <w:noProof/>
          <w:lang w:val="en-US"/>
        </w:rPr>
      </w:pPr>
      <w:r>
        <w:rPr>
          <w:noProof/>
          <w:lang w:val="en-US"/>
        </w:rPr>
        <w:t xml:space="preserve">Šprajc, Ivan. 1993. "The Venus-Rain-Maize Complex in the Mesoamerican World View: Part II." </w:t>
      </w:r>
      <w:r>
        <w:rPr>
          <w:i/>
          <w:iCs/>
          <w:noProof/>
          <w:lang w:val="en-US"/>
        </w:rPr>
        <w:t>Archaeoastronomy, no. 18 (JHA, xxiv (1993))</w:t>
      </w:r>
      <w:r>
        <w:rPr>
          <w:noProof/>
          <w:lang w:val="en-US"/>
        </w:rPr>
        <w:t xml:space="preserve"> pp. 27-53.</w:t>
      </w:r>
    </w:p>
    <w:p w14:paraId="11E48B90" w14:textId="77777777" w:rsidR="00AD48BC" w:rsidRDefault="00000000" w:rsidP="00AD48BC">
      <w:pPr>
        <w:pStyle w:val="Bibliography"/>
        <w:ind w:left="720" w:hanging="720"/>
        <w:rPr>
          <w:noProof/>
          <w:lang w:val="en-US"/>
        </w:rPr>
      </w:pPr>
      <w:r>
        <w:rPr>
          <w:noProof/>
          <w:lang w:val="en-US"/>
        </w:rPr>
        <w:t xml:space="preserve">Šprajc, Ivan. 1992. "Venus-Rain-Maize complex in Mesoamerica: Associated with the evening star?" </w:t>
      </w:r>
      <w:r>
        <w:rPr>
          <w:i/>
          <w:iCs/>
          <w:noProof/>
          <w:lang w:val="en-US"/>
        </w:rPr>
        <w:t>Indiana</w:t>
      </w:r>
      <w:r>
        <w:rPr>
          <w:noProof/>
          <w:lang w:val="en-US"/>
        </w:rPr>
        <w:t xml:space="preserve"> pp. 225-257.</w:t>
      </w:r>
    </w:p>
    <w:p w14:paraId="07CAC0B9" w14:textId="77777777" w:rsidR="00AD48BC" w:rsidRDefault="00000000" w:rsidP="00AD48BC">
      <w:pPr>
        <w:pStyle w:val="Bibliography"/>
        <w:ind w:left="720" w:hanging="720"/>
        <w:rPr>
          <w:noProof/>
          <w:lang w:val="en-US"/>
        </w:rPr>
      </w:pPr>
      <w:r>
        <w:rPr>
          <w:noProof/>
          <w:lang w:val="en-US"/>
        </w:rPr>
        <w:t xml:space="preserve">Thompson, J. E. S. 1974. "Maya Astronomy." </w:t>
      </w:r>
      <w:r>
        <w:rPr>
          <w:i/>
          <w:iCs/>
          <w:noProof/>
          <w:lang w:val="en-US"/>
        </w:rPr>
        <w:t>Philosophical Transactions of the Royal Society of London. Series A, Mathematicaland Physical Sciences, Vol. 276, No. 1257</w:t>
      </w:r>
      <w:r>
        <w:rPr>
          <w:noProof/>
          <w:lang w:val="en-US"/>
        </w:rPr>
        <w:t xml:space="preserve"> pp. 83-98.</w:t>
      </w:r>
    </w:p>
    <w:p w14:paraId="08502F89" w14:textId="77777777" w:rsidR="00AD48BC" w:rsidRDefault="00000000" w:rsidP="00AD48BC">
      <w:pPr>
        <w:pStyle w:val="Bibliography"/>
        <w:ind w:left="720" w:hanging="720"/>
        <w:rPr>
          <w:noProof/>
          <w:lang w:val="en-US"/>
        </w:rPr>
      </w:pPr>
      <w:r>
        <w:rPr>
          <w:noProof/>
          <w:lang w:val="en-US"/>
        </w:rPr>
        <w:t xml:space="preserve">Vail, Gabrielle. 2017. "Venus Lore in the Postclassic Maya Codices: Deity Manifestations of the Morning and Evening Star." </w:t>
      </w:r>
      <w:r>
        <w:rPr>
          <w:i/>
          <w:iCs/>
          <w:noProof/>
          <w:lang w:val="en-US"/>
        </w:rPr>
        <w:t>Ancient Mesoamerica, 28</w:t>
      </w:r>
      <w:r>
        <w:rPr>
          <w:noProof/>
          <w:lang w:val="en-US"/>
        </w:rPr>
        <w:t xml:space="preserve"> pp. 475–488.</w:t>
      </w:r>
    </w:p>
    <w:p w14:paraId="2DC98D1F" w14:textId="77777777" w:rsidR="00AD48BC" w:rsidRDefault="00000000" w:rsidP="00AD48BC">
      <w:pPr>
        <w:pStyle w:val="Bibliography"/>
        <w:ind w:left="720" w:hanging="720"/>
        <w:rPr>
          <w:noProof/>
          <w:lang w:val="en-US"/>
        </w:rPr>
      </w:pPr>
      <w:r>
        <w:rPr>
          <w:noProof/>
          <w:lang w:val="en-US"/>
        </w:rPr>
        <w:t xml:space="preserve">Zhang, He. 2020. "The Chinese 60-Day/Year and Mesoamerican 260-Day Calendars: A Comparative Study of Cyclical Calendrical Systems and Cosmology." </w:t>
      </w:r>
      <w:r>
        <w:rPr>
          <w:i/>
          <w:iCs/>
          <w:noProof/>
          <w:lang w:val="en-US"/>
        </w:rPr>
        <w:t>Sino-Platonic Papers Number 305</w:t>
      </w:r>
      <w:r>
        <w:rPr>
          <w:noProof/>
          <w:lang w:val="en-US"/>
        </w:rPr>
        <w:t>, November: pp. 1-35.</w:t>
      </w:r>
    </w:p>
    <w:p w14:paraId="2837BABA" w14:textId="77777777" w:rsidR="00AD48BC" w:rsidRDefault="00000000" w:rsidP="00AD48BC">
      <w:pPr>
        <w:pStyle w:val="Bibliography"/>
        <w:ind w:left="720" w:hanging="720"/>
        <w:rPr>
          <w:noProof/>
          <w:lang w:val="en-US"/>
        </w:rPr>
      </w:pPr>
      <w:r>
        <w:rPr>
          <w:noProof/>
          <w:lang w:val="en-US"/>
        </w:rPr>
        <w:t xml:space="preserve">—. 2021. "Planet Venus in the Astrology of Ancient Mesopotamia and China: Evidence of Direct Transmission of Knowledge and Practice as Demonstrated in Enuma Anu Enlil and Wu Xing Zhan." </w:t>
      </w:r>
      <w:r>
        <w:rPr>
          <w:i/>
          <w:iCs/>
          <w:noProof/>
          <w:lang w:val="en-US"/>
        </w:rPr>
        <w:t>Sino-Platonic Papers Number 319</w:t>
      </w:r>
      <w:r>
        <w:rPr>
          <w:noProof/>
          <w:lang w:val="en-US"/>
        </w:rPr>
        <w:t>, December: pp. 1-130.</w:t>
      </w:r>
    </w:p>
    <w:p w14:paraId="4D2E2E6E" w14:textId="7D032A96" w:rsidR="00AD48BC" w:rsidRPr="00E4518C" w:rsidRDefault="00000000" w:rsidP="00AD48BC">
      <w:pPr>
        <w:rPr>
          <w:lang w:val="en-US"/>
        </w:rPr>
      </w:pPr>
      <w:r>
        <w:rPr>
          <w:lang w:val="en-US"/>
        </w:rPr>
        <w:fldChar w:fldCharType="end"/>
      </w:r>
    </w:p>
    <w:sectPr w:rsidR="00AD48BC" w:rsidRPr="00E451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95452" w14:textId="77777777" w:rsidR="000A7C35" w:rsidRDefault="000A7C35">
      <w:pPr>
        <w:spacing w:after="0" w:line="240" w:lineRule="auto"/>
      </w:pPr>
      <w:r>
        <w:separator/>
      </w:r>
    </w:p>
  </w:endnote>
  <w:endnote w:type="continuationSeparator" w:id="0">
    <w:p w14:paraId="2FB1B5EF" w14:textId="77777777" w:rsidR="000A7C35" w:rsidRDefault="000A7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8350C9" w14:paraId="5E793F85" w14:textId="77777777">
      <w:trPr>
        <w:trHeight w:hRule="exact" w:val="115"/>
        <w:jc w:val="center"/>
      </w:trPr>
      <w:tc>
        <w:tcPr>
          <w:tcW w:w="4686" w:type="dxa"/>
          <w:shd w:val="clear" w:color="auto" w:fill="156082" w:themeFill="accent1"/>
          <w:tcMar>
            <w:top w:w="0" w:type="dxa"/>
            <w:bottom w:w="0" w:type="dxa"/>
          </w:tcMar>
        </w:tcPr>
        <w:p w14:paraId="56C8DCDD" w14:textId="77777777" w:rsidR="009C7BF4" w:rsidRDefault="009C7BF4">
          <w:pPr>
            <w:pStyle w:val="Header"/>
            <w:tabs>
              <w:tab w:val="clear" w:pos="4680"/>
              <w:tab w:val="clear" w:pos="9360"/>
            </w:tabs>
            <w:rPr>
              <w:caps/>
              <w:sz w:val="18"/>
            </w:rPr>
          </w:pPr>
        </w:p>
      </w:tc>
      <w:tc>
        <w:tcPr>
          <w:tcW w:w="4674" w:type="dxa"/>
          <w:shd w:val="clear" w:color="auto" w:fill="156082" w:themeFill="accent1"/>
          <w:tcMar>
            <w:top w:w="0" w:type="dxa"/>
            <w:bottom w:w="0" w:type="dxa"/>
          </w:tcMar>
        </w:tcPr>
        <w:p w14:paraId="72CDDBE1" w14:textId="77777777" w:rsidR="009C7BF4" w:rsidRDefault="009C7BF4">
          <w:pPr>
            <w:pStyle w:val="Header"/>
            <w:tabs>
              <w:tab w:val="clear" w:pos="4680"/>
              <w:tab w:val="clear" w:pos="9360"/>
            </w:tabs>
            <w:jc w:val="right"/>
            <w:rPr>
              <w:caps/>
              <w:sz w:val="18"/>
            </w:rPr>
          </w:pPr>
        </w:p>
      </w:tc>
    </w:tr>
    <w:tr w:rsidR="008350C9" w14:paraId="6C17E261" w14:textId="77777777">
      <w:trPr>
        <w:jc w:val="center"/>
      </w:trPr>
      <w:sdt>
        <w:sdtPr>
          <w:rPr>
            <w:caps/>
            <w:color w:val="808080" w:themeColor="background1" w:themeShade="80"/>
            <w:sz w:val="18"/>
            <w:szCs w:val="18"/>
          </w:rPr>
          <w:alias w:val="Author"/>
          <w:id w:val="1534151868"/>
          <w:placeholder>
            <w:docPart w:val="A40C30F4413D4940BC51D22104701A0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C86CA06" w14:textId="4D64BCD6" w:rsidR="009C7BF4" w:rsidRDefault="00000000">
              <w:pPr>
                <w:pStyle w:val="Footer"/>
                <w:tabs>
                  <w:tab w:val="clear" w:pos="4680"/>
                  <w:tab w:val="clear" w:pos="9360"/>
                </w:tabs>
                <w:rPr>
                  <w:caps/>
                  <w:color w:val="808080" w:themeColor="background1" w:themeShade="80"/>
                  <w:sz w:val="18"/>
                  <w:szCs w:val="18"/>
                </w:rPr>
              </w:pPr>
              <w:r w:rsidRPr="00AE7A3D">
                <w:rPr>
                  <w:caps/>
                  <w:color w:val="808080" w:themeColor="background1" w:themeShade="80"/>
                  <w:sz w:val="18"/>
                  <w:szCs w:val="18"/>
                </w:rPr>
                <w:t>Beth Scannell - HPCA7015 – Essay 3</w:t>
              </w:r>
            </w:p>
          </w:tc>
        </w:sdtContent>
      </w:sdt>
      <w:tc>
        <w:tcPr>
          <w:tcW w:w="4674" w:type="dxa"/>
          <w:shd w:val="clear" w:color="auto" w:fill="auto"/>
          <w:vAlign w:val="center"/>
        </w:tcPr>
        <w:p w14:paraId="0A0139ED" w14:textId="77777777" w:rsidR="009C7BF4" w:rsidRDefault="00000000">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EAC9167" w14:textId="77777777" w:rsidR="009C7BF4" w:rsidRDefault="009C7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B9C45" w14:textId="77777777" w:rsidR="000A7C35" w:rsidRDefault="000A7C35" w:rsidP="009C7BF4">
      <w:pPr>
        <w:spacing w:after="0" w:line="240" w:lineRule="auto"/>
      </w:pPr>
      <w:r>
        <w:separator/>
      </w:r>
    </w:p>
  </w:footnote>
  <w:footnote w:type="continuationSeparator" w:id="0">
    <w:p w14:paraId="7F987CC7" w14:textId="77777777" w:rsidR="000A7C35" w:rsidRDefault="000A7C35" w:rsidP="009C7BF4">
      <w:pPr>
        <w:spacing w:after="0" w:line="240" w:lineRule="auto"/>
      </w:pPr>
      <w:r>
        <w:continuationSeparator/>
      </w:r>
    </w:p>
  </w:footnote>
  <w:footnote w:id="1">
    <w:p w14:paraId="6D1FF636" w14:textId="7CE98042" w:rsidR="004868C8" w:rsidRPr="00241FBA" w:rsidRDefault="00000000" w:rsidP="004868C8">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1250. </w:t>
      </w:r>
      <w:r w:rsidRPr="00241FBA">
        <w:rPr>
          <w:noProof/>
          <w:sz w:val="20"/>
          <w:szCs w:val="20"/>
          <w:lang w:val="en-US"/>
        </w:rPr>
        <w:t xml:space="preserve">"Dresden Codex." </w:t>
      </w:r>
      <w:r w:rsidRPr="00241FBA">
        <w:rPr>
          <w:i/>
          <w:iCs/>
          <w:noProof/>
          <w:sz w:val="20"/>
          <w:szCs w:val="20"/>
          <w:lang w:val="en-US"/>
        </w:rPr>
        <w:t>Archive.Org.</w:t>
      </w:r>
      <w:r w:rsidRPr="00241FBA">
        <w:rPr>
          <w:noProof/>
          <w:sz w:val="20"/>
          <w:szCs w:val="20"/>
          <w:lang w:val="en-US"/>
        </w:rPr>
        <w:t xml:space="preserve"> Accessed December 16, 2024. </w:t>
      </w:r>
      <w:hyperlink r:id="rId1" w:history="1">
        <w:r w:rsidR="004868C8" w:rsidRPr="00241FBA">
          <w:rPr>
            <w:rStyle w:val="Hyperlink"/>
            <w:noProof/>
            <w:sz w:val="20"/>
            <w:szCs w:val="20"/>
            <w:lang w:val="en-US"/>
          </w:rPr>
          <w:t>https://archive.org/details/dresden-codex</w:t>
        </w:r>
      </w:hyperlink>
      <w:r w:rsidR="008345C2" w:rsidRPr="00241FBA">
        <w:rPr>
          <w:noProof/>
          <w:sz w:val="20"/>
          <w:szCs w:val="20"/>
          <w:lang w:val="en-US"/>
        </w:rPr>
        <w:t>.</w:t>
      </w:r>
    </w:p>
  </w:footnote>
  <w:footnote w:id="2">
    <w:p w14:paraId="528F2579" w14:textId="19ABDCF3" w:rsidR="004868C8" w:rsidRPr="00241FBA" w:rsidRDefault="00000000" w:rsidP="004868C8">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1200. </w:t>
      </w:r>
      <w:r w:rsidRPr="00241FBA">
        <w:rPr>
          <w:noProof/>
          <w:sz w:val="20"/>
          <w:szCs w:val="20"/>
          <w:lang w:val="en-US"/>
        </w:rPr>
        <w:t xml:space="preserve">"Madrid Codex." </w:t>
      </w:r>
      <w:r w:rsidRPr="00241FBA">
        <w:rPr>
          <w:i/>
          <w:iCs/>
          <w:noProof/>
          <w:sz w:val="20"/>
          <w:szCs w:val="20"/>
          <w:lang w:val="en-US"/>
        </w:rPr>
        <w:t>Archive.Org.</w:t>
      </w:r>
      <w:r w:rsidRPr="00241FBA">
        <w:rPr>
          <w:noProof/>
          <w:sz w:val="20"/>
          <w:szCs w:val="20"/>
          <w:lang w:val="en-US"/>
        </w:rPr>
        <w:t xml:space="preserve"> Accessed December 16, 2024. </w:t>
      </w:r>
      <w:hyperlink r:id="rId2" w:history="1">
        <w:r w:rsidR="004868C8" w:rsidRPr="00241FBA">
          <w:rPr>
            <w:rStyle w:val="Hyperlink"/>
            <w:noProof/>
            <w:sz w:val="20"/>
            <w:szCs w:val="20"/>
            <w:lang w:val="en-US"/>
          </w:rPr>
          <w:t>https://archive.org/details/madrid-codex</w:t>
        </w:r>
      </w:hyperlink>
      <w:r w:rsidR="008345C2" w:rsidRPr="00241FBA">
        <w:rPr>
          <w:noProof/>
          <w:sz w:val="20"/>
          <w:szCs w:val="20"/>
          <w:lang w:val="en-US"/>
        </w:rPr>
        <w:t>.</w:t>
      </w:r>
    </w:p>
  </w:footnote>
  <w:footnote w:id="3">
    <w:p w14:paraId="13429565" w14:textId="2E79C0C1" w:rsidR="004868C8" w:rsidRPr="00241FBA" w:rsidRDefault="00000000" w:rsidP="00831A8B">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n.d. </w:t>
      </w:r>
      <w:r w:rsidRPr="00241FBA">
        <w:rPr>
          <w:noProof/>
          <w:sz w:val="20"/>
          <w:szCs w:val="20"/>
          <w:lang w:val="en-US"/>
        </w:rPr>
        <w:t xml:space="preserve">"Paris Codex." </w:t>
      </w:r>
      <w:r w:rsidRPr="00241FBA">
        <w:rPr>
          <w:i/>
          <w:iCs/>
          <w:noProof/>
          <w:sz w:val="20"/>
          <w:szCs w:val="20"/>
          <w:lang w:val="en-US"/>
        </w:rPr>
        <w:t>Archive.Org.</w:t>
      </w:r>
      <w:r w:rsidRPr="00241FBA">
        <w:rPr>
          <w:noProof/>
          <w:sz w:val="20"/>
          <w:szCs w:val="20"/>
          <w:lang w:val="en-US"/>
        </w:rPr>
        <w:t xml:space="preserve"> Accessed December 16, 2024. </w:t>
      </w:r>
      <w:hyperlink r:id="rId3" w:history="1">
        <w:r w:rsidR="004868C8" w:rsidRPr="00241FBA">
          <w:rPr>
            <w:rStyle w:val="Hyperlink"/>
            <w:noProof/>
            <w:sz w:val="20"/>
            <w:szCs w:val="20"/>
            <w:lang w:val="en-US"/>
          </w:rPr>
          <w:t>https://archive.org/details/paris-codex</w:t>
        </w:r>
      </w:hyperlink>
      <w:r w:rsidR="008345C2" w:rsidRPr="00241FBA">
        <w:rPr>
          <w:noProof/>
          <w:sz w:val="20"/>
          <w:szCs w:val="20"/>
          <w:lang w:val="en-US"/>
        </w:rPr>
        <w:t>.</w:t>
      </w:r>
    </w:p>
  </w:footnote>
  <w:footnote w:id="4">
    <w:p w14:paraId="30836B5C" w14:textId="5B092033" w:rsidR="00C82038" w:rsidRPr="00C82038" w:rsidRDefault="00000000" w:rsidP="00C82038">
      <w:pPr>
        <w:pStyle w:val="Bibliography"/>
        <w:ind w:left="720" w:hanging="720"/>
        <w:rPr>
          <w:noProof/>
          <w:sz w:val="20"/>
          <w:szCs w:val="20"/>
          <w:lang w:val="en-US"/>
        </w:rPr>
      </w:pPr>
      <w:r>
        <w:rPr>
          <w:rStyle w:val="FootnoteReference"/>
        </w:rPr>
        <w:footnoteRef/>
      </w:r>
      <w:r>
        <w:t xml:space="preserve"> </w:t>
      </w:r>
      <w:r w:rsidRPr="00C82038">
        <w:rPr>
          <w:noProof/>
          <w:sz w:val="20"/>
          <w:szCs w:val="20"/>
          <w:lang w:val="en-US"/>
        </w:rPr>
        <w:t xml:space="preserve">n.d. "Codex Borgia." </w:t>
      </w:r>
      <w:r w:rsidRPr="00C82038">
        <w:rPr>
          <w:i/>
          <w:iCs/>
          <w:noProof/>
          <w:sz w:val="20"/>
          <w:szCs w:val="20"/>
          <w:lang w:val="en-US"/>
        </w:rPr>
        <w:t>Archive.Org.</w:t>
      </w:r>
      <w:r w:rsidRPr="00C82038">
        <w:rPr>
          <w:noProof/>
          <w:sz w:val="20"/>
          <w:szCs w:val="20"/>
          <w:lang w:val="en-US"/>
        </w:rPr>
        <w:t xml:space="preserve"> Accessed December 16, 2024. https://archive.org/details/codex-borgia.</w:t>
      </w:r>
    </w:p>
  </w:footnote>
  <w:footnote w:id="5">
    <w:p w14:paraId="6B955346" w14:textId="39036EE7" w:rsidR="008345C2" w:rsidRDefault="00000000">
      <w:pPr>
        <w:pStyle w:val="FootnoteText"/>
        <w:rPr>
          <w:noProof/>
          <w:lang w:val="en-US"/>
        </w:rPr>
      </w:pPr>
      <w:r w:rsidRPr="00241FBA">
        <w:rPr>
          <w:rStyle w:val="FootnoteReference"/>
        </w:rPr>
        <w:footnoteRef/>
      </w:r>
      <w:r w:rsidRPr="00241FBA">
        <w:t xml:space="preserve"> </w:t>
      </w:r>
      <w:r w:rsidRPr="00241FBA">
        <w:rPr>
          <w:noProof/>
          <w:lang w:val="en-US"/>
        </w:rPr>
        <w:t xml:space="preserve"> </w:t>
      </w:r>
      <w:r w:rsidR="00831A8B" w:rsidRPr="00241FBA">
        <w:rPr>
          <w:noProof/>
          <w:lang w:val="en-US"/>
        </w:rPr>
        <w:t xml:space="preserve">"Venus tablet of Ammisaduqa (Enuma Anu Enlil Tablet 63)." </w:t>
      </w:r>
      <w:r w:rsidR="00831A8B" w:rsidRPr="00241FBA">
        <w:rPr>
          <w:i/>
          <w:iCs/>
          <w:noProof/>
          <w:lang w:val="en-US"/>
        </w:rPr>
        <w:t>British Museum.</w:t>
      </w:r>
      <w:r w:rsidR="00831A8B" w:rsidRPr="00241FBA">
        <w:rPr>
          <w:noProof/>
          <w:lang w:val="en-US"/>
        </w:rPr>
        <w:t xml:space="preserve"> Accessed December 16, 2024. </w:t>
      </w:r>
      <w:hyperlink r:id="rId4" w:history="1">
        <w:r w:rsidR="00831A8B" w:rsidRPr="00241FBA">
          <w:rPr>
            <w:rStyle w:val="Hyperlink"/>
            <w:noProof/>
            <w:lang w:val="en-US"/>
          </w:rPr>
          <w:t>https://www.britishmuseum.org/collection/object/W_K-160</w:t>
        </w:r>
      </w:hyperlink>
      <w:r w:rsidRPr="00241FBA">
        <w:rPr>
          <w:noProof/>
          <w:lang w:val="en-US"/>
        </w:rPr>
        <w:t>.</w:t>
      </w:r>
    </w:p>
    <w:p w14:paraId="15EDC486" w14:textId="77777777" w:rsidR="00241FBA" w:rsidRPr="00241FBA" w:rsidRDefault="00241FBA">
      <w:pPr>
        <w:pStyle w:val="FootnoteText"/>
        <w:rPr>
          <w:noProof/>
          <w:lang w:val="en-US"/>
        </w:rPr>
      </w:pPr>
    </w:p>
  </w:footnote>
  <w:footnote w:id="6">
    <w:p w14:paraId="5C654BE3" w14:textId="66B93BA5" w:rsidR="008345C2" w:rsidRPr="00241FBA" w:rsidRDefault="00000000" w:rsidP="008345C2">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Pr="00241FBA">
        <w:rPr>
          <w:noProof/>
          <w:sz w:val="20"/>
          <w:szCs w:val="20"/>
          <w:lang w:val="en-US"/>
        </w:rPr>
        <w:t xml:space="preserve">Eagleton, Terry. 2000. </w:t>
      </w:r>
      <w:r w:rsidRPr="00241FBA">
        <w:rPr>
          <w:i/>
          <w:iCs/>
          <w:noProof/>
          <w:sz w:val="20"/>
          <w:szCs w:val="20"/>
          <w:lang w:val="en-US"/>
        </w:rPr>
        <w:t>The Idea of Culture.</w:t>
      </w:r>
      <w:r w:rsidRPr="00241FBA">
        <w:rPr>
          <w:noProof/>
          <w:sz w:val="20"/>
          <w:szCs w:val="20"/>
          <w:lang w:val="en-US"/>
        </w:rPr>
        <w:t xml:space="preserve"> Oxford: Blackwell.</w:t>
      </w:r>
    </w:p>
  </w:footnote>
  <w:footnote w:id="7">
    <w:p w14:paraId="74AAF5D4" w14:textId="1769B3EC" w:rsidR="008345C2" w:rsidRPr="00241FBA" w:rsidRDefault="00000000" w:rsidP="00241FBA">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Pr="00241FBA">
        <w:rPr>
          <w:noProof/>
          <w:sz w:val="20"/>
          <w:szCs w:val="20"/>
          <w:lang w:val="en-US"/>
        </w:rPr>
        <w:t xml:space="preserve">Geertz, Clifford. 1993. "Religion as a cultural system." In </w:t>
      </w:r>
      <w:r w:rsidRPr="00241FBA">
        <w:rPr>
          <w:i/>
          <w:iCs/>
          <w:noProof/>
          <w:sz w:val="20"/>
          <w:szCs w:val="20"/>
          <w:lang w:val="en-US"/>
        </w:rPr>
        <w:t>The interpretation of cultures: selected essays</w:t>
      </w:r>
      <w:r w:rsidRPr="00241FBA">
        <w:rPr>
          <w:noProof/>
          <w:sz w:val="20"/>
          <w:szCs w:val="20"/>
          <w:lang w:val="en-US"/>
        </w:rPr>
        <w:t>, by Clifford Geertz, p.90. Fontana Press.</w:t>
      </w:r>
    </w:p>
  </w:footnote>
  <w:footnote w:id="8">
    <w:p w14:paraId="769207DE" w14:textId="5B936E90" w:rsidR="00763105" w:rsidRPr="006025B6" w:rsidRDefault="00000000" w:rsidP="006025B6">
      <w:pPr>
        <w:pStyle w:val="Bibliography"/>
        <w:ind w:left="720" w:hanging="720"/>
        <w:rPr>
          <w:noProof/>
          <w:sz w:val="20"/>
          <w:szCs w:val="20"/>
          <w:lang w:val="en-US"/>
        </w:rPr>
      </w:pPr>
      <w:r>
        <w:rPr>
          <w:rStyle w:val="FootnoteReference"/>
        </w:rPr>
        <w:footnoteRef/>
      </w:r>
      <w:r>
        <w:t xml:space="preserve"> </w:t>
      </w:r>
      <w:r w:rsidRPr="00763105">
        <w:rPr>
          <w:noProof/>
          <w:sz w:val="20"/>
          <w:szCs w:val="20"/>
          <w:lang w:val="en-US"/>
        </w:rPr>
        <w:t xml:space="preserve">Aveni, Anthony. 1989. </w:t>
      </w:r>
      <w:r w:rsidRPr="00763105">
        <w:rPr>
          <w:i/>
          <w:iCs/>
          <w:noProof/>
          <w:sz w:val="20"/>
          <w:szCs w:val="20"/>
          <w:lang w:val="en-US"/>
        </w:rPr>
        <w:t>Empires of Time: Calendars, Clocks, and Cultures.</w:t>
      </w:r>
      <w:r w:rsidRPr="00763105">
        <w:rPr>
          <w:noProof/>
          <w:sz w:val="20"/>
          <w:szCs w:val="20"/>
          <w:lang w:val="en-US"/>
        </w:rPr>
        <w:t xml:space="preserve"> New York: Basic Books, Inc.</w:t>
      </w:r>
    </w:p>
  </w:footnote>
  <w:footnote w:id="9">
    <w:p w14:paraId="47132865" w14:textId="4EC9F049" w:rsidR="002800CD" w:rsidRPr="002800CD" w:rsidRDefault="00000000" w:rsidP="002800CD">
      <w:pPr>
        <w:pStyle w:val="Bibliography"/>
        <w:ind w:left="720" w:hanging="720"/>
        <w:rPr>
          <w:noProof/>
          <w:kern w:val="0"/>
          <w:sz w:val="20"/>
          <w:szCs w:val="20"/>
          <w:lang w:val="en-US"/>
          <w14:ligatures w14:val="none"/>
        </w:rPr>
      </w:pPr>
      <w:r>
        <w:rPr>
          <w:rStyle w:val="FootnoteReference"/>
        </w:rPr>
        <w:footnoteRef/>
      </w:r>
      <w:r>
        <w:t xml:space="preserve"> </w:t>
      </w:r>
      <w:r w:rsidRPr="002800CD">
        <w:rPr>
          <w:noProof/>
          <w:sz w:val="20"/>
          <w:szCs w:val="20"/>
          <w:lang w:val="en-US"/>
        </w:rPr>
        <w:t xml:space="preserve">Aj-tz'ib, Unknown Maya. 1250. "Dresden Codex." </w:t>
      </w:r>
      <w:r w:rsidRPr="002800CD">
        <w:rPr>
          <w:i/>
          <w:iCs/>
          <w:noProof/>
          <w:sz w:val="20"/>
          <w:szCs w:val="20"/>
          <w:lang w:val="en-US"/>
        </w:rPr>
        <w:t>Archive.Org.</w:t>
      </w:r>
      <w:r w:rsidRPr="002800CD">
        <w:rPr>
          <w:noProof/>
          <w:sz w:val="20"/>
          <w:szCs w:val="20"/>
          <w:lang w:val="en-US"/>
        </w:rPr>
        <w:t xml:space="preserve"> Accessed December 16, 2024. https://archive.org/details/dresden-codex.</w:t>
      </w:r>
    </w:p>
  </w:footnote>
  <w:footnote w:id="10">
    <w:p w14:paraId="5FED95A4" w14:textId="4D84A3F7" w:rsidR="006025B6" w:rsidRPr="00B55C94" w:rsidRDefault="00000000" w:rsidP="00B55C94">
      <w:pPr>
        <w:pStyle w:val="Bibliography"/>
        <w:ind w:left="720" w:hanging="720"/>
        <w:rPr>
          <w:noProof/>
          <w:sz w:val="20"/>
          <w:szCs w:val="20"/>
          <w:lang w:val="en-US"/>
        </w:rPr>
      </w:pPr>
      <w:r>
        <w:rPr>
          <w:rStyle w:val="FootnoteReference"/>
        </w:rPr>
        <w:footnoteRef/>
      </w:r>
      <w:r>
        <w:t xml:space="preserve"> </w:t>
      </w:r>
      <w:r w:rsidRPr="006025B6">
        <w:rPr>
          <w:noProof/>
          <w:sz w:val="20"/>
          <w:szCs w:val="20"/>
          <w:lang w:val="en-US"/>
        </w:rPr>
        <w:t xml:space="preserve">Aveni, </w:t>
      </w:r>
      <w:r w:rsidRPr="006025B6">
        <w:rPr>
          <w:i/>
          <w:iCs/>
          <w:noProof/>
          <w:sz w:val="20"/>
          <w:szCs w:val="20"/>
          <w:lang w:val="en-US"/>
        </w:rPr>
        <w:t>Empires of Time, p. 228-233.</w:t>
      </w:r>
    </w:p>
  </w:footnote>
  <w:footnote w:id="11">
    <w:p w14:paraId="26065357" w14:textId="1D55E1B4" w:rsidR="00B55C94" w:rsidRPr="004868CD" w:rsidRDefault="00000000" w:rsidP="004868CD">
      <w:pPr>
        <w:pStyle w:val="Bibliography"/>
        <w:ind w:left="720" w:hanging="720"/>
        <w:rPr>
          <w:noProof/>
          <w:sz w:val="20"/>
          <w:szCs w:val="20"/>
          <w:lang w:val="en-US"/>
        </w:rPr>
      </w:pPr>
      <w:r>
        <w:rPr>
          <w:rStyle w:val="FootnoteReference"/>
        </w:rPr>
        <w:footnoteRef/>
      </w:r>
      <w:r>
        <w:t xml:space="preserve"> </w:t>
      </w:r>
      <w:r w:rsidRPr="00B55C94">
        <w:rPr>
          <w:sz w:val="20"/>
          <w:szCs w:val="20"/>
        </w:rPr>
        <w:t>Aveni, Anthony</w:t>
      </w:r>
      <w:r w:rsidRPr="00B55C94">
        <w:rPr>
          <w:noProof/>
          <w:sz w:val="20"/>
          <w:szCs w:val="20"/>
          <w:lang w:val="en-US"/>
        </w:rPr>
        <w:t xml:space="preserve">. 1980. </w:t>
      </w:r>
      <w:r w:rsidRPr="00B55C94">
        <w:rPr>
          <w:i/>
          <w:iCs/>
          <w:noProof/>
          <w:sz w:val="20"/>
          <w:szCs w:val="20"/>
          <w:lang w:val="en-US"/>
        </w:rPr>
        <w:t>Skywatchers of Ancient Mexico.</w:t>
      </w:r>
      <w:r w:rsidRPr="00B55C94">
        <w:rPr>
          <w:noProof/>
          <w:sz w:val="20"/>
          <w:szCs w:val="20"/>
          <w:lang w:val="en-US"/>
        </w:rPr>
        <w:t xml:space="preserve"> Austin: University of Texas Press</w:t>
      </w:r>
      <w:r>
        <w:rPr>
          <w:noProof/>
          <w:sz w:val="20"/>
          <w:szCs w:val="20"/>
          <w:lang w:val="en-US"/>
        </w:rPr>
        <w:t xml:space="preserve">. p. </w:t>
      </w:r>
      <w:r w:rsidR="00623579">
        <w:rPr>
          <w:noProof/>
          <w:sz w:val="20"/>
          <w:szCs w:val="20"/>
          <w:lang w:val="en-US"/>
        </w:rPr>
        <w:t>85.</w:t>
      </w:r>
    </w:p>
  </w:footnote>
  <w:footnote w:id="12">
    <w:p w14:paraId="059A23E3" w14:textId="3B563996" w:rsidR="004868CD" w:rsidRPr="004868CD" w:rsidRDefault="00000000">
      <w:pPr>
        <w:pStyle w:val="FootnoteText"/>
        <w:rPr>
          <w:lang w:val="en-US"/>
        </w:rPr>
      </w:pPr>
      <w:r>
        <w:rPr>
          <w:rStyle w:val="FootnoteReference"/>
        </w:rPr>
        <w:footnoteRef/>
      </w:r>
      <w:r>
        <w:t xml:space="preserve"> </w:t>
      </w:r>
      <w:r>
        <w:rPr>
          <w:lang w:val="en-US"/>
        </w:rPr>
        <w:t xml:space="preserve">Aveni, </w:t>
      </w:r>
      <w:r w:rsidRPr="00B30852">
        <w:rPr>
          <w:i/>
          <w:iCs/>
          <w:lang w:val="en-US"/>
        </w:rPr>
        <w:t>Skywatchers</w:t>
      </w:r>
      <w:r>
        <w:rPr>
          <w:lang w:val="en-US"/>
        </w:rPr>
        <w:t>, p. 192.</w:t>
      </w:r>
    </w:p>
  </w:footnote>
  <w:footnote w:id="13">
    <w:p w14:paraId="69D7FBD5" w14:textId="4B48A828" w:rsidR="00AF24CB" w:rsidRPr="00F02499" w:rsidRDefault="00000000" w:rsidP="00F02499">
      <w:pPr>
        <w:pStyle w:val="Bibliography"/>
        <w:ind w:left="720" w:hanging="720"/>
        <w:rPr>
          <w:noProof/>
          <w:sz w:val="20"/>
          <w:szCs w:val="20"/>
          <w:lang w:val="en-US"/>
        </w:rPr>
      </w:pPr>
      <w:r w:rsidRPr="00AF24CB">
        <w:rPr>
          <w:rStyle w:val="FootnoteReference"/>
          <w:sz w:val="20"/>
          <w:szCs w:val="20"/>
        </w:rPr>
        <w:footnoteRef/>
      </w:r>
      <w:r w:rsidRPr="00AF24CB">
        <w:rPr>
          <w:sz w:val="20"/>
          <w:szCs w:val="20"/>
        </w:rPr>
        <w:t xml:space="preserve"> </w:t>
      </w:r>
      <w:r w:rsidRPr="00AF24CB">
        <w:rPr>
          <w:noProof/>
          <w:sz w:val="20"/>
          <w:szCs w:val="20"/>
          <w:lang w:val="en-US"/>
        </w:rPr>
        <w:t xml:space="preserve">Thompson, J. E. S. 1974. "Maya Astronomy." </w:t>
      </w:r>
      <w:r w:rsidRPr="00AF24CB">
        <w:rPr>
          <w:i/>
          <w:iCs/>
          <w:noProof/>
          <w:sz w:val="20"/>
          <w:szCs w:val="20"/>
          <w:lang w:val="en-US"/>
        </w:rPr>
        <w:t>Philosophical Transactions of the Royal Society of London. Series A, Mathematicaland Physical Sciences, Vol. 276, No. 1257</w:t>
      </w:r>
      <w:r w:rsidRPr="00AF24CB">
        <w:rPr>
          <w:noProof/>
          <w:sz w:val="20"/>
          <w:szCs w:val="20"/>
          <w:lang w:val="en-US"/>
        </w:rPr>
        <w:t xml:space="preserve"> p. 8</w:t>
      </w:r>
      <w:r>
        <w:rPr>
          <w:noProof/>
          <w:sz w:val="20"/>
          <w:szCs w:val="20"/>
          <w:lang w:val="en-US"/>
        </w:rPr>
        <w:t>6</w:t>
      </w:r>
      <w:r w:rsidRPr="00AF24CB">
        <w:rPr>
          <w:noProof/>
          <w:sz w:val="20"/>
          <w:szCs w:val="20"/>
          <w:lang w:val="en-US"/>
        </w:rPr>
        <w:t>.</w:t>
      </w:r>
    </w:p>
  </w:footnote>
  <w:footnote w:id="14">
    <w:p w14:paraId="2BD80D20" w14:textId="5E10EC53" w:rsidR="000C2ED7" w:rsidRPr="000C2ED7" w:rsidRDefault="00000000">
      <w:pPr>
        <w:pStyle w:val="FootnoteText"/>
        <w:rPr>
          <w:lang w:val="en-US"/>
        </w:rPr>
      </w:pPr>
      <w:r>
        <w:rPr>
          <w:rStyle w:val="FootnoteReference"/>
        </w:rPr>
        <w:footnoteRef/>
      </w:r>
      <w:r>
        <w:t xml:space="preserve"> </w:t>
      </w:r>
      <w:r>
        <w:rPr>
          <w:lang w:val="en-US"/>
        </w:rPr>
        <w:t xml:space="preserve">Thompson, </w:t>
      </w:r>
      <w:r w:rsidRPr="000C2ED7">
        <w:rPr>
          <w:i/>
          <w:iCs/>
          <w:lang w:val="en-US"/>
        </w:rPr>
        <w:t>Maya Astronomy</w:t>
      </w:r>
      <w:r>
        <w:rPr>
          <w:lang w:val="en-US"/>
        </w:rPr>
        <w:t>, p. 87.</w:t>
      </w:r>
    </w:p>
  </w:footnote>
  <w:footnote w:id="15">
    <w:p w14:paraId="5FA26F2D" w14:textId="378A3052" w:rsidR="00042F15" w:rsidRPr="00042F15" w:rsidRDefault="00000000">
      <w:pPr>
        <w:pStyle w:val="FootnoteText"/>
        <w:rPr>
          <w:lang w:val="en-US"/>
        </w:rPr>
      </w:pPr>
      <w:r>
        <w:rPr>
          <w:rStyle w:val="FootnoteReference"/>
        </w:rPr>
        <w:footnoteRef/>
      </w:r>
      <w:r>
        <w:t xml:space="preserve"> </w:t>
      </w:r>
      <w:r w:rsidRPr="006025B6">
        <w:rPr>
          <w:noProof/>
          <w:lang w:val="en-US"/>
        </w:rPr>
        <w:t xml:space="preserve">Aveni, </w:t>
      </w:r>
      <w:r w:rsidRPr="006025B6">
        <w:rPr>
          <w:i/>
          <w:iCs/>
          <w:noProof/>
          <w:lang w:val="en-US"/>
        </w:rPr>
        <w:t xml:space="preserve">Empires of Time, p. </w:t>
      </w:r>
      <w:r>
        <w:rPr>
          <w:i/>
          <w:iCs/>
          <w:noProof/>
          <w:lang w:val="en-US"/>
        </w:rPr>
        <w:t>225.</w:t>
      </w:r>
    </w:p>
  </w:footnote>
  <w:footnote w:id="16">
    <w:p w14:paraId="698D2EE5" w14:textId="0B2AB678" w:rsidR="00704DF9" w:rsidRPr="00704DF9" w:rsidRDefault="00000000">
      <w:pPr>
        <w:pStyle w:val="FootnoteText"/>
        <w:rPr>
          <w:lang w:val="en-US"/>
        </w:rPr>
      </w:pPr>
      <w:r>
        <w:rPr>
          <w:rStyle w:val="FootnoteReference"/>
        </w:rPr>
        <w:footnoteRef/>
      </w:r>
      <w:r>
        <w:t xml:space="preserve"> </w:t>
      </w:r>
      <w:r>
        <w:rPr>
          <w:noProof/>
          <w:lang w:val="en-US"/>
        </w:rPr>
        <w:t>ibid</w:t>
      </w:r>
      <w:r w:rsidRPr="00704DF9">
        <w:rPr>
          <w:noProof/>
          <w:lang w:val="en-US"/>
        </w:rPr>
        <w:t>, p. 228.</w:t>
      </w:r>
    </w:p>
  </w:footnote>
  <w:footnote w:id="17">
    <w:p w14:paraId="24C27039" w14:textId="4F156217" w:rsidR="000F7643" w:rsidRPr="000F7643" w:rsidRDefault="00000000" w:rsidP="000F7643">
      <w:pPr>
        <w:pStyle w:val="Bibliography"/>
        <w:ind w:left="720" w:hanging="720"/>
        <w:rPr>
          <w:noProof/>
          <w:sz w:val="20"/>
          <w:szCs w:val="20"/>
          <w:lang w:val="en-US"/>
        </w:rPr>
      </w:pPr>
      <w:r w:rsidRPr="000F7643">
        <w:rPr>
          <w:rStyle w:val="FootnoteReference"/>
          <w:sz w:val="20"/>
          <w:szCs w:val="20"/>
        </w:rPr>
        <w:footnoteRef/>
      </w:r>
      <w:r w:rsidRPr="000F7643">
        <w:rPr>
          <w:sz w:val="20"/>
          <w:szCs w:val="20"/>
        </w:rPr>
        <w:t xml:space="preserve"> </w:t>
      </w:r>
      <w:r w:rsidRPr="000F7643">
        <w:rPr>
          <w:noProof/>
          <w:sz w:val="20"/>
          <w:szCs w:val="20"/>
          <w:lang w:val="en-US"/>
        </w:rPr>
        <w:t xml:space="preserve">Šprajc, Ivan. 1993. "The Venus-Rain-Maize Complex in the Mesoamerican World View: Part II." </w:t>
      </w:r>
      <w:r w:rsidRPr="000F7643">
        <w:rPr>
          <w:i/>
          <w:iCs/>
          <w:noProof/>
          <w:sz w:val="20"/>
          <w:szCs w:val="20"/>
          <w:lang w:val="en-US"/>
        </w:rPr>
        <w:t>Archaeoastronomy, no. 18 (JHA, xxiv (1993))</w:t>
      </w:r>
      <w:r w:rsidRPr="000F7643">
        <w:rPr>
          <w:noProof/>
          <w:sz w:val="20"/>
          <w:szCs w:val="20"/>
          <w:lang w:val="en-US"/>
        </w:rPr>
        <w:t xml:space="preserve"> pp. 27-53.</w:t>
      </w:r>
    </w:p>
  </w:footnote>
  <w:footnote w:id="18">
    <w:p w14:paraId="1AD906CE" w14:textId="1B4843BD" w:rsidR="00284C86" w:rsidRPr="00284C86" w:rsidRDefault="00000000">
      <w:pPr>
        <w:pStyle w:val="FootnoteText"/>
        <w:rPr>
          <w:lang w:val="en-US"/>
        </w:rPr>
      </w:pPr>
      <w:r>
        <w:rPr>
          <w:rStyle w:val="FootnoteReference"/>
        </w:rPr>
        <w:footnoteRef/>
      </w:r>
      <w:r>
        <w:t xml:space="preserve"> </w:t>
      </w:r>
      <w:r w:rsidRPr="00284C86">
        <w:rPr>
          <w:noProof/>
          <w:lang w:val="en-US"/>
        </w:rPr>
        <w:t>Unknown Maya</w:t>
      </w:r>
      <w:r>
        <w:rPr>
          <w:noProof/>
          <w:lang w:val="en-US"/>
        </w:rPr>
        <w:t>,</w:t>
      </w:r>
      <w:r w:rsidRPr="00284C86">
        <w:rPr>
          <w:noProof/>
          <w:lang w:val="en-US"/>
        </w:rPr>
        <w:t xml:space="preserve"> </w:t>
      </w:r>
      <w:r w:rsidRPr="00284C86">
        <w:rPr>
          <w:i/>
          <w:iCs/>
          <w:noProof/>
          <w:lang w:val="en-US"/>
        </w:rPr>
        <w:t>Dresden Codex</w:t>
      </w:r>
      <w:r>
        <w:rPr>
          <w:noProof/>
          <w:lang w:val="en-US"/>
        </w:rPr>
        <w:t>.</w:t>
      </w:r>
    </w:p>
  </w:footnote>
  <w:footnote w:id="19">
    <w:p w14:paraId="7B007DDB" w14:textId="64C6D046" w:rsidR="001B39F3" w:rsidRPr="001B39F3" w:rsidRDefault="00000000" w:rsidP="001B39F3">
      <w:pPr>
        <w:pStyle w:val="Bibliography"/>
        <w:ind w:left="720" w:hanging="720"/>
        <w:rPr>
          <w:noProof/>
          <w:sz w:val="20"/>
          <w:szCs w:val="20"/>
          <w:lang w:val="en-US"/>
        </w:rPr>
      </w:pPr>
      <w:r>
        <w:rPr>
          <w:rStyle w:val="FootnoteReference"/>
        </w:rPr>
        <w:footnoteRef/>
      </w:r>
      <w:r>
        <w:t xml:space="preserve"> </w:t>
      </w:r>
      <w:r w:rsidRPr="001B39F3">
        <w:rPr>
          <w:noProof/>
          <w:sz w:val="20"/>
          <w:szCs w:val="20"/>
          <w:lang w:val="en-US"/>
        </w:rPr>
        <w:t xml:space="preserve">Aveni, Anthony. 1992. "The Moon and the Venus Table: An Example of Commensuration in the Mayan Calendar." In </w:t>
      </w:r>
      <w:r w:rsidRPr="001B39F3">
        <w:rPr>
          <w:i/>
          <w:iCs/>
          <w:noProof/>
          <w:sz w:val="20"/>
          <w:szCs w:val="20"/>
          <w:lang w:val="en-US"/>
        </w:rPr>
        <w:t>The Sky in Mayan Literature</w:t>
      </w:r>
      <w:r w:rsidRPr="001B39F3">
        <w:rPr>
          <w:noProof/>
          <w:sz w:val="20"/>
          <w:szCs w:val="20"/>
          <w:lang w:val="en-US"/>
        </w:rPr>
        <w:t>, by Anthony Aveni, pp. 87-101. New York: Oxford University Press.</w:t>
      </w:r>
    </w:p>
  </w:footnote>
  <w:footnote w:id="20">
    <w:p w14:paraId="1AA0B645" w14:textId="5CD7C535" w:rsidR="00536CDC" w:rsidRPr="00536CDC" w:rsidRDefault="00000000">
      <w:pPr>
        <w:pStyle w:val="FootnoteText"/>
        <w:rPr>
          <w:lang w:val="en-US"/>
        </w:rPr>
      </w:pPr>
      <w:r>
        <w:rPr>
          <w:rStyle w:val="FootnoteReference"/>
        </w:rPr>
        <w:footnoteRef/>
      </w:r>
      <w:r>
        <w:t xml:space="preserve"> </w:t>
      </w:r>
      <w:r>
        <w:rPr>
          <w:lang w:val="en-US"/>
        </w:rPr>
        <w:t>Ibid.</w:t>
      </w:r>
    </w:p>
  </w:footnote>
  <w:footnote w:id="21">
    <w:p w14:paraId="0C1A5D6B" w14:textId="168BA6C4" w:rsidR="004046A7" w:rsidRPr="004046A7" w:rsidRDefault="00000000">
      <w:pPr>
        <w:pStyle w:val="FootnoteText"/>
        <w:rPr>
          <w:lang w:val="en-US"/>
        </w:rPr>
      </w:pPr>
      <w:r>
        <w:rPr>
          <w:rStyle w:val="FootnoteReference"/>
        </w:rPr>
        <w:footnoteRef/>
      </w:r>
      <w:r>
        <w:t xml:space="preserve"> </w:t>
      </w:r>
      <w:r w:rsidRPr="00284C86">
        <w:rPr>
          <w:noProof/>
          <w:lang w:val="en-US"/>
        </w:rPr>
        <w:t>Unknown Maya</w:t>
      </w:r>
      <w:r>
        <w:rPr>
          <w:noProof/>
          <w:lang w:val="en-US"/>
        </w:rPr>
        <w:t>,</w:t>
      </w:r>
      <w:r w:rsidRPr="00284C86">
        <w:rPr>
          <w:noProof/>
          <w:lang w:val="en-US"/>
        </w:rPr>
        <w:t xml:space="preserve"> </w:t>
      </w:r>
      <w:r w:rsidRPr="00284C86">
        <w:rPr>
          <w:i/>
          <w:iCs/>
          <w:noProof/>
          <w:lang w:val="en-US"/>
        </w:rPr>
        <w:t>Dresden Code</w:t>
      </w:r>
      <w:r>
        <w:rPr>
          <w:i/>
          <w:iCs/>
          <w:noProof/>
          <w:lang w:val="en-US"/>
        </w:rPr>
        <w:t>x.</w:t>
      </w:r>
    </w:p>
  </w:footnote>
  <w:footnote w:id="22">
    <w:p w14:paraId="430F6069" w14:textId="06896E52" w:rsidR="004046A7" w:rsidRPr="004046A7" w:rsidRDefault="00000000">
      <w:pPr>
        <w:pStyle w:val="FootnoteText"/>
        <w:rPr>
          <w:lang w:val="en-US"/>
        </w:rPr>
      </w:pPr>
      <w:r>
        <w:rPr>
          <w:rStyle w:val="FootnoteReference"/>
        </w:rPr>
        <w:footnoteRef/>
      </w:r>
      <w:r>
        <w:t xml:space="preserve"> </w:t>
      </w:r>
      <w:r w:rsidRPr="00241FBA">
        <w:rPr>
          <w:noProof/>
          <w:lang w:val="en-US"/>
        </w:rPr>
        <w:t>Unknown Maya</w:t>
      </w:r>
      <w:r>
        <w:rPr>
          <w:noProof/>
          <w:lang w:val="en-US"/>
        </w:rPr>
        <w:t xml:space="preserve">, </w:t>
      </w:r>
      <w:r w:rsidRPr="004046A7">
        <w:rPr>
          <w:i/>
          <w:iCs/>
          <w:noProof/>
          <w:lang w:val="en-US"/>
        </w:rPr>
        <w:t>Madrid Codex</w:t>
      </w:r>
      <w:r w:rsidRPr="00241FBA">
        <w:rPr>
          <w:noProof/>
          <w:lang w:val="en-US"/>
        </w:rPr>
        <w:t>.</w:t>
      </w:r>
    </w:p>
  </w:footnote>
  <w:footnote w:id="23">
    <w:p w14:paraId="644EB1E6" w14:textId="617EB4A9" w:rsidR="00044283" w:rsidRPr="00044283" w:rsidRDefault="00000000">
      <w:pPr>
        <w:pStyle w:val="FootnoteText"/>
        <w:rPr>
          <w:lang w:val="en-US"/>
        </w:rPr>
      </w:pPr>
      <w:r>
        <w:rPr>
          <w:rStyle w:val="FootnoteReference"/>
        </w:rPr>
        <w:footnoteRef/>
      </w:r>
      <w:r>
        <w:t xml:space="preserve"> </w:t>
      </w:r>
      <w:r>
        <w:rPr>
          <w:noProof/>
          <w:lang w:val="en-US"/>
        </w:rPr>
        <w:t xml:space="preserve">Vail, Gabrielle. 2017. "Venus Lore in the Postclassic Maya Codices: Deity Manifestations of the Morning and Evening Star." </w:t>
      </w:r>
      <w:r>
        <w:rPr>
          <w:i/>
          <w:iCs/>
          <w:noProof/>
          <w:lang w:val="en-US"/>
        </w:rPr>
        <w:t>Ancient Mesoamerica, 28</w:t>
      </w:r>
      <w:r>
        <w:rPr>
          <w:noProof/>
          <w:lang w:val="en-US"/>
        </w:rPr>
        <w:t xml:space="preserve"> pp. 47</w:t>
      </w:r>
      <w:r w:rsidR="004046A7">
        <w:rPr>
          <w:noProof/>
          <w:lang w:val="en-US"/>
        </w:rPr>
        <w:t>6</w:t>
      </w:r>
      <w:r>
        <w:rPr>
          <w:noProof/>
          <w:lang w:val="en-US"/>
        </w:rPr>
        <w:t>.</w:t>
      </w:r>
    </w:p>
  </w:footnote>
  <w:footnote w:id="24">
    <w:p w14:paraId="48B35C11" w14:textId="3D2F1185" w:rsidR="00002511" w:rsidRPr="00002511" w:rsidRDefault="00000000">
      <w:pPr>
        <w:pStyle w:val="FootnoteText"/>
        <w:rPr>
          <w:lang w:val="en-US"/>
        </w:rPr>
      </w:pPr>
      <w:r>
        <w:rPr>
          <w:rStyle w:val="FootnoteReference"/>
        </w:rPr>
        <w:footnoteRef/>
      </w:r>
      <w:r>
        <w:t xml:space="preserve"> </w:t>
      </w:r>
      <w:r>
        <w:rPr>
          <w:noProof/>
          <w:lang w:val="en-US"/>
        </w:rPr>
        <w:t>Milbrat</w:t>
      </w:r>
      <w:r w:rsidR="00631AAF">
        <w:rPr>
          <w:noProof/>
          <w:lang w:val="en-US"/>
        </w:rPr>
        <w:t>h, Susan.</w:t>
      </w:r>
      <w:r>
        <w:rPr>
          <w:noProof/>
          <w:lang w:val="en-US"/>
        </w:rPr>
        <w:t xml:space="preserve"> 1999. </w:t>
      </w:r>
      <w:r>
        <w:rPr>
          <w:i/>
          <w:iCs/>
          <w:noProof/>
          <w:lang w:val="en-US"/>
        </w:rPr>
        <w:t>Star Gods of the Maya : Astronomy in Art, Folklore, and Calendars.</w:t>
      </w:r>
      <w:r>
        <w:rPr>
          <w:noProof/>
          <w:lang w:val="en-US"/>
        </w:rPr>
        <w:t xml:space="preserve"> Austin: University of Texas Press, p. 174.</w:t>
      </w:r>
    </w:p>
  </w:footnote>
  <w:footnote w:id="25">
    <w:p w14:paraId="3AD5FA70" w14:textId="6228CCCA" w:rsidR="0047772F" w:rsidRPr="0047772F" w:rsidRDefault="00000000">
      <w:pPr>
        <w:pStyle w:val="FootnoteText"/>
        <w:rPr>
          <w:lang w:val="en-US"/>
        </w:rPr>
      </w:pPr>
      <w:r>
        <w:rPr>
          <w:rStyle w:val="FootnoteReference"/>
        </w:rPr>
        <w:footnoteRef/>
      </w:r>
      <w:r>
        <w:t xml:space="preserve"> </w:t>
      </w:r>
      <w:r w:rsidR="00631AAF">
        <w:rPr>
          <w:noProof/>
          <w:lang w:val="en-US"/>
        </w:rPr>
        <w:t xml:space="preserve">Milbrath, Susan. 2014. "The many faces of Venus in Mesoamerica." In </w:t>
      </w:r>
      <w:r w:rsidR="00631AAF">
        <w:rPr>
          <w:i/>
          <w:iCs/>
          <w:noProof/>
          <w:lang w:val="en-US"/>
        </w:rPr>
        <w:t>Archaeoastronomy and the Maya</w:t>
      </w:r>
      <w:r w:rsidR="00631AAF">
        <w:rPr>
          <w:noProof/>
          <w:lang w:val="en-US"/>
        </w:rPr>
        <w:t>, by Gerardo Villalobos and Edwin L. Barnhart Gerardo Aldana, p. 127.</w:t>
      </w:r>
    </w:p>
  </w:footnote>
  <w:footnote w:id="26">
    <w:p w14:paraId="5F88CD0B" w14:textId="623A0248" w:rsidR="00677985" w:rsidRPr="00677985" w:rsidRDefault="00000000">
      <w:pPr>
        <w:pStyle w:val="FootnoteText"/>
        <w:rPr>
          <w:lang w:val="en-US"/>
        </w:rPr>
      </w:pPr>
      <w:r>
        <w:rPr>
          <w:rStyle w:val="FootnoteReference"/>
        </w:rPr>
        <w:footnoteRef/>
      </w:r>
      <w:r>
        <w:t xml:space="preserve"> </w:t>
      </w:r>
      <w:r w:rsidR="00C95CB3">
        <w:t xml:space="preserve">Schele, Linda and </w:t>
      </w:r>
      <w:r>
        <w:rPr>
          <w:noProof/>
          <w:lang w:val="en-US"/>
        </w:rPr>
        <w:t>Freidel,</w:t>
      </w:r>
      <w:r w:rsidR="00C95CB3">
        <w:rPr>
          <w:noProof/>
          <w:lang w:val="en-US"/>
        </w:rPr>
        <w:t xml:space="preserve"> </w:t>
      </w:r>
      <w:r>
        <w:rPr>
          <w:noProof/>
          <w:lang w:val="en-US"/>
        </w:rPr>
        <w:t xml:space="preserve">David. 1990. </w:t>
      </w:r>
      <w:r>
        <w:rPr>
          <w:i/>
          <w:iCs/>
          <w:noProof/>
          <w:lang w:val="en-US"/>
        </w:rPr>
        <w:t>A Forest of Kings : The Untold Story of the Ancient Maya.</w:t>
      </w:r>
      <w:r>
        <w:rPr>
          <w:noProof/>
          <w:lang w:val="en-US"/>
        </w:rPr>
        <w:t xml:space="preserve"> New York: William Morrow and Company.</w:t>
      </w:r>
    </w:p>
  </w:footnote>
  <w:footnote w:id="27">
    <w:p w14:paraId="1028C6E8" w14:textId="7DB26429" w:rsidR="000B338C" w:rsidRPr="000B338C" w:rsidRDefault="00000000">
      <w:pPr>
        <w:pStyle w:val="FootnoteText"/>
        <w:rPr>
          <w:lang w:val="en-US"/>
        </w:rPr>
      </w:pPr>
      <w:r>
        <w:rPr>
          <w:rStyle w:val="FootnoteReference"/>
        </w:rPr>
        <w:footnoteRef/>
      </w:r>
      <w:r>
        <w:t xml:space="preserve"> </w:t>
      </w:r>
      <w:r>
        <w:rPr>
          <w:noProof/>
          <w:lang w:val="en-US"/>
        </w:rPr>
        <w:t xml:space="preserve">Martin, Simon. 1996. "Tikal’s “Star War” against Naranjo. In Eighth Palenque Round Table, 1993, edited by Martha J. Macri and Jan McHargue, pp. 223–236." </w:t>
      </w:r>
      <w:r>
        <w:rPr>
          <w:i/>
          <w:iCs/>
          <w:noProof/>
          <w:lang w:val="en-US"/>
        </w:rPr>
        <w:t>Pre-Columbian Art Research Institute, San Francisco</w:t>
      </w:r>
      <w:r w:rsidR="00740251">
        <w:rPr>
          <w:i/>
          <w:iCs/>
          <w:noProof/>
          <w:lang w:val="en-US"/>
        </w:rPr>
        <w:t>..</w:t>
      </w:r>
    </w:p>
  </w:footnote>
  <w:footnote w:id="28">
    <w:p w14:paraId="5FA5FCC4" w14:textId="2918E777" w:rsidR="00A84722" w:rsidRPr="00A84722" w:rsidRDefault="00000000">
      <w:pPr>
        <w:pStyle w:val="FootnoteText"/>
        <w:rPr>
          <w:lang w:val="en-US"/>
        </w:rPr>
      </w:pPr>
      <w:r>
        <w:rPr>
          <w:rStyle w:val="FootnoteReference"/>
        </w:rPr>
        <w:footnoteRef/>
      </w:r>
      <w:r>
        <w:t xml:space="preserve"> </w:t>
      </w:r>
      <w:r>
        <w:rPr>
          <w:noProof/>
          <w:lang w:val="en-US"/>
        </w:rPr>
        <w:t xml:space="preserve">Aldana, Gerardo. 2005. "Agency and the “Star War” Glyph - A historical reassessment of Classic Maya astrology and warfare." </w:t>
      </w:r>
      <w:r>
        <w:rPr>
          <w:i/>
          <w:iCs/>
          <w:noProof/>
          <w:lang w:val="en-US"/>
        </w:rPr>
        <w:t>Ancient Mesoamerica, 16</w:t>
      </w:r>
      <w:r>
        <w:rPr>
          <w:noProof/>
          <w:lang w:val="en-US"/>
        </w:rPr>
        <w:t xml:space="preserve"> p 306.</w:t>
      </w:r>
    </w:p>
  </w:footnote>
  <w:footnote w:id="29">
    <w:p w14:paraId="7D26E9AA" w14:textId="55634AF9" w:rsidR="00A84722" w:rsidRPr="00A84722" w:rsidRDefault="00000000">
      <w:pPr>
        <w:pStyle w:val="FootnoteText"/>
        <w:rPr>
          <w:lang w:val="en-US"/>
        </w:rPr>
      </w:pPr>
      <w:r>
        <w:rPr>
          <w:rStyle w:val="FootnoteReference"/>
        </w:rPr>
        <w:footnoteRef/>
      </w:r>
      <w:r>
        <w:t xml:space="preserve"> </w:t>
      </w:r>
      <w:r>
        <w:rPr>
          <w:lang w:val="en-US"/>
        </w:rPr>
        <w:t xml:space="preserve">Martin, </w:t>
      </w:r>
      <w:r w:rsidRPr="00A84722">
        <w:rPr>
          <w:i/>
          <w:iCs/>
          <w:lang w:val="en-US"/>
        </w:rPr>
        <w:t>Star War</w:t>
      </w:r>
      <w:r>
        <w:rPr>
          <w:lang w:val="en-US"/>
        </w:rPr>
        <w:t>, p. 2.</w:t>
      </w:r>
    </w:p>
  </w:footnote>
  <w:footnote w:id="30">
    <w:p w14:paraId="7E9251C0" w14:textId="722F6BEE" w:rsidR="00A84722" w:rsidRPr="00271DB7" w:rsidRDefault="00000000">
      <w:pPr>
        <w:pStyle w:val="FootnoteText"/>
        <w:rPr>
          <w:lang w:val="en-US"/>
        </w:rPr>
      </w:pPr>
      <w:r>
        <w:rPr>
          <w:rStyle w:val="FootnoteReference"/>
        </w:rPr>
        <w:footnoteRef/>
      </w:r>
      <w:r>
        <w:t xml:space="preserve"> </w:t>
      </w:r>
      <w:r>
        <w:rPr>
          <w:lang w:val="en-US"/>
        </w:rPr>
        <w:t xml:space="preserve">Aldano, </w:t>
      </w:r>
      <w:r w:rsidRPr="00A84722">
        <w:rPr>
          <w:i/>
          <w:iCs/>
          <w:lang w:val="en-US"/>
        </w:rPr>
        <w:t>Agency</w:t>
      </w:r>
      <w:r w:rsidR="00271DB7">
        <w:rPr>
          <w:i/>
          <w:iCs/>
          <w:lang w:val="en-US"/>
        </w:rPr>
        <w:t xml:space="preserve">, </w:t>
      </w:r>
      <w:r w:rsidR="00271DB7" w:rsidRPr="00271DB7">
        <w:rPr>
          <w:lang w:val="en-US"/>
        </w:rPr>
        <w:t>p. 305.</w:t>
      </w:r>
    </w:p>
  </w:footnote>
  <w:footnote w:id="31">
    <w:p w14:paraId="7E397C0B" w14:textId="18675563" w:rsidR="00271DB7" w:rsidRPr="00271DB7" w:rsidRDefault="00000000">
      <w:pPr>
        <w:pStyle w:val="FootnoteText"/>
        <w:rPr>
          <w:lang w:val="en-US"/>
        </w:rPr>
      </w:pPr>
      <w:r>
        <w:rPr>
          <w:rStyle w:val="FootnoteReference"/>
        </w:rPr>
        <w:footnoteRef/>
      </w:r>
      <w:r>
        <w:t xml:space="preserve"> </w:t>
      </w:r>
      <w:r>
        <w:rPr>
          <w:lang w:val="en-US"/>
        </w:rPr>
        <w:t>Ibid, p 313-314</w:t>
      </w:r>
    </w:p>
  </w:footnote>
  <w:footnote w:id="32">
    <w:p w14:paraId="4BBE2026" w14:textId="3FB96552" w:rsidR="00145FBF" w:rsidRPr="00145FBF" w:rsidRDefault="00000000">
      <w:pPr>
        <w:pStyle w:val="FootnoteText"/>
        <w:rPr>
          <w:lang w:val="en-US"/>
        </w:rPr>
      </w:pPr>
      <w:r>
        <w:rPr>
          <w:rStyle w:val="FootnoteReference"/>
        </w:rPr>
        <w:footnoteRef/>
      </w:r>
      <w:r>
        <w:t xml:space="preserve"> </w:t>
      </w:r>
      <w:r>
        <w:rPr>
          <w:noProof/>
          <w:lang w:val="en-US"/>
        </w:rPr>
        <w:t xml:space="preserve">Milbrath, </w:t>
      </w:r>
      <w:r>
        <w:rPr>
          <w:i/>
          <w:iCs/>
          <w:noProof/>
          <w:lang w:val="en-US"/>
        </w:rPr>
        <w:t xml:space="preserve">Star Gods of the Maya, </w:t>
      </w:r>
      <w:r w:rsidRPr="00145FBF">
        <w:rPr>
          <w:noProof/>
          <w:lang w:val="en-US"/>
        </w:rPr>
        <w:t>p. 166</w:t>
      </w:r>
      <w:r w:rsidR="00740251">
        <w:rPr>
          <w:noProof/>
          <w:lang w:val="en-US"/>
        </w:rPr>
        <w:t>.</w:t>
      </w:r>
    </w:p>
  </w:footnote>
  <w:footnote w:id="33">
    <w:p w14:paraId="3AF13964" w14:textId="4670BEE6" w:rsidR="00DE49FA" w:rsidRPr="00DE49FA" w:rsidRDefault="00000000" w:rsidP="00DE49FA">
      <w:pPr>
        <w:pStyle w:val="Bibliography"/>
        <w:ind w:left="720" w:hanging="720"/>
        <w:rPr>
          <w:noProof/>
          <w:sz w:val="20"/>
          <w:szCs w:val="20"/>
          <w:lang w:val="en-US"/>
        </w:rPr>
      </w:pPr>
      <w:r w:rsidRPr="00DE49FA">
        <w:rPr>
          <w:rStyle w:val="FootnoteReference"/>
          <w:sz w:val="20"/>
          <w:szCs w:val="20"/>
        </w:rPr>
        <w:footnoteRef/>
      </w:r>
      <w:r w:rsidRPr="00DE49FA">
        <w:rPr>
          <w:sz w:val="20"/>
          <w:szCs w:val="20"/>
        </w:rPr>
        <w:t xml:space="preserve"> </w:t>
      </w:r>
      <w:r w:rsidRPr="00DE49FA">
        <w:rPr>
          <w:noProof/>
          <w:sz w:val="20"/>
          <w:szCs w:val="20"/>
          <w:lang w:val="en-US"/>
        </w:rPr>
        <w:t xml:space="preserve">Aveni, </w:t>
      </w:r>
      <w:r w:rsidRPr="00DE49FA">
        <w:rPr>
          <w:i/>
          <w:iCs/>
          <w:noProof/>
          <w:sz w:val="20"/>
          <w:szCs w:val="20"/>
          <w:lang w:val="en-US"/>
        </w:rPr>
        <w:t>The Moon and the Venus Table</w:t>
      </w:r>
      <w:r>
        <w:rPr>
          <w:noProof/>
          <w:sz w:val="20"/>
          <w:szCs w:val="20"/>
          <w:lang w:val="en-US"/>
        </w:rPr>
        <w:t>, p. 89</w:t>
      </w:r>
      <w:r w:rsidR="00740251">
        <w:rPr>
          <w:noProof/>
          <w:sz w:val="20"/>
          <w:szCs w:val="20"/>
          <w:lang w:val="en-US"/>
        </w:rPr>
        <w:t>.</w:t>
      </w:r>
    </w:p>
  </w:footnote>
  <w:footnote w:id="34">
    <w:p w14:paraId="5B206AA1" w14:textId="091333D2" w:rsidR="00AD6297" w:rsidRPr="00AD6297" w:rsidRDefault="00000000" w:rsidP="00AD6297">
      <w:pPr>
        <w:pStyle w:val="Bibliography"/>
        <w:ind w:left="720" w:hanging="720"/>
        <w:rPr>
          <w:noProof/>
          <w:sz w:val="20"/>
          <w:szCs w:val="20"/>
          <w:lang w:val="en-US"/>
        </w:rPr>
      </w:pPr>
      <w:r>
        <w:rPr>
          <w:rStyle w:val="FootnoteReference"/>
        </w:rPr>
        <w:footnoteRef/>
      </w:r>
      <w:r>
        <w:t xml:space="preserve"> </w:t>
      </w:r>
      <w:r w:rsidRPr="00AD6297">
        <w:rPr>
          <w:noProof/>
          <w:sz w:val="20"/>
          <w:szCs w:val="20"/>
          <w:lang w:val="en-US"/>
        </w:rPr>
        <w:t xml:space="preserve">n.d. "Codex Borgia." </w:t>
      </w:r>
      <w:r w:rsidRPr="00AD6297">
        <w:rPr>
          <w:i/>
          <w:iCs/>
          <w:noProof/>
          <w:sz w:val="20"/>
          <w:szCs w:val="20"/>
          <w:lang w:val="en-US"/>
        </w:rPr>
        <w:t>Archive.Org.</w:t>
      </w:r>
      <w:r w:rsidRPr="00AD6297">
        <w:rPr>
          <w:noProof/>
          <w:sz w:val="20"/>
          <w:szCs w:val="20"/>
          <w:lang w:val="en-US"/>
        </w:rPr>
        <w:t xml:space="preserve"> Accessed December 16, 2024. https://archive.org/details/codex-borgia.</w:t>
      </w:r>
    </w:p>
  </w:footnote>
  <w:footnote w:id="35">
    <w:p w14:paraId="1BF07C62" w14:textId="299D6227" w:rsidR="00AD6297" w:rsidRPr="00665492" w:rsidRDefault="00000000" w:rsidP="00665492">
      <w:pPr>
        <w:pStyle w:val="Bibliography"/>
        <w:ind w:left="720" w:hanging="720"/>
        <w:rPr>
          <w:noProof/>
          <w:sz w:val="20"/>
          <w:szCs w:val="20"/>
          <w:lang w:val="en-US"/>
        </w:rPr>
      </w:pPr>
      <w:r w:rsidRPr="00AD6297">
        <w:rPr>
          <w:rStyle w:val="FootnoteReference"/>
          <w:sz w:val="20"/>
          <w:szCs w:val="20"/>
        </w:rPr>
        <w:footnoteRef/>
      </w:r>
      <w:r w:rsidRPr="00AD6297">
        <w:rPr>
          <w:sz w:val="20"/>
          <w:szCs w:val="20"/>
        </w:rPr>
        <w:t xml:space="preserve"> </w:t>
      </w:r>
      <w:r w:rsidRPr="00AD6297">
        <w:rPr>
          <w:noProof/>
          <w:sz w:val="20"/>
          <w:szCs w:val="20"/>
          <w:lang w:val="en-US"/>
        </w:rPr>
        <w:t xml:space="preserve">Milbrath, </w:t>
      </w:r>
      <w:r w:rsidRPr="0052607A">
        <w:rPr>
          <w:i/>
          <w:iCs/>
          <w:noProof/>
          <w:sz w:val="20"/>
          <w:szCs w:val="20"/>
          <w:lang w:val="en-US"/>
        </w:rPr>
        <w:t xml:space="preserve">The </w:t>
      </w:r>
      <w:r w:rsidR="0052607A">
        <w:rPr>
          <w:i/>
          <w:iCs/>
          <w:noProof/>
          <w:sz w:val="20"/>
          <w:szCs w:val="20"/>
          <w:lang w:val="en-US"/>
        </w:rPr>
        <w:t>M</w:t>
      </w:r>
      <w:r w:rsidRPr="0052607A">
        <w:rPr>
          <w:i/>
          <w:iCs/>
          <w:noProof/>
          <w:sz w:val="20"/>
          <w:szCs w:val="20"/>
          <w:lang w:val="en-US"/>
        </w:rPr>
        <w:t xml:space="preserve">any </w:t>
      </w:r>
      <w:r w:rsidR="0052607A">
        <w:rPr>
          <w:i/>
          <w:iCs/>
          <w:noProof/>
          <w:sz w:val="20"/>
          <w:szCs w:val="20"/>
          <w:lang w:val="en-US"/>
        </w:rPr>
        <w:t>F</w:t>
      </w:r>
      <w:r w:rsidRPr="0052607A">
        <w:rPr>
          <w:i/>
          <w:iCs/>
          <w:noProof/>
          <w:sz w:val="20"/>
          <w:szCs w:val="20"/>
          <w:lang w:val="en-US"/>
        </w:rPr>
        <w:t>aces of Venus in Mesoamerica</w:t>
      </w:r>
      <w:r w:rsidRPr="00AD6297">
        <w:rPr>
          <w:noProof/>
          <w:sz w:val="20"/>
          <w:szCs w:val="20"/>
          <w:lang w:val="en-US"/>
        </w:rPr>
        <w:t xml:space="preserve">, </w:t>
      </w:r>
      <w:r>
        <w:rPr>
          <w:noProof/>
          <w:sz w:val="20"/>
          <w:szCs w:val="20"/>
          <w:lang w:val="en-US"/>
        </w:rPr>
        <w:t>p. 120</w:t>
      </w:r>
      <w:r w:rsidRPr="00AD6297">
        <w:rPr>
          <w:noProof/>
          <w:sz w:val="20"/>
          <w:szCs w:val="20"/>
          <w:lang w:val="en-US"/>
        </w:rPr>
        <w:t>.</w:t>
      </w:r>
    </w:p>
  </w:footnote>
  <w:footnote w:id="36">
    <w:p w14:paraId="35C0A9DF" w14:textId="745E4D3E" w:rsidR="00740251" w:rsidRPr="00665492" w:rsidRDefault="00000000">
      <w:pPr>
        <w:pStyle w:val="FootnoteText"/>
        <w:rPr>
          <w:noProof/>
          <w:lang w:val="en-US"/>
        </w:rPr>
      </w:pPr>
      <w:r>
        <w:rPr>
          <w:rStyle w:val="FootnoteReference"/>
        </w:rPr>
        <w:footnoteRef/>
      </w:r>
      <w:r>
        <w:t xml:space="preserve"> </w:t>
      </w:r>
      <w:r w:rsidR="0052607A">
        <w:rPr>
          <w:noProof/>
          <w:lang w:val="en-US"/>
        </w:rPr>
        <w:t xml:space="preserve">Šprajc, </w:t>
      </w:r>
      <w:r w:rsidR="0052607A" w:rsidRPr="00740251">
        <w:rPr>
          <w:i/>
          <w:iCs/>
          <w:noProof/>
          <w:lang w:val="en-US"/>
        </w:rPr>
        <w:t>Venus-Rain-Maize Complex II</w:t>
      </w:r>
      <w:r w:rsidR="0052607A">
        <w:rPr>
          <w:i/>
          <w:iCs/>
          <w:noProof/>
          <w:lang w:val="en-US"/>
        </w:rPr>
        <w:t>,</w:t>
      </w:r>
      <w:r w:rsidR="0052607A">
        <w:rPr>
          <w:noProof/>
          <w:lang w:val="en-US"/>
        </w:rPr>
        <w:t xml:space="preserve"> </w:t>
      </w:r>
      <w:r>
        <w:rPr>
          <w:noProof/>
          <w:lang w:val="en-US"/>
        </w:rPr>
        <w:t>pp. 27.</w:t>
      </w:r>
    </w:p>
  </w:footnote>
  <w:footnote w:id="37">
    <w:p w14:paraId="12269436" w14:textId="5B73BEA2" w:rsidR="00740251" w:rsidRPr="00740251"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w:t>
      </w:r>
    </w:p>
  </w:footnote>
  <w:footnote w:id="38">
    <w:p w14:paraId="3A6F016E" w14:textId="428DF819" w:rsidR="00740251" w:rsidRPr="00740251" w:rsidRDefault="00000000">
      <w:pPr>
        <w:pStyle w:val="FootnoteText"/>
        <w:rPr>
          <w:lang w:val="en-US"/>
        </w:rPr>
      </w:pPr>
      <w:r>
        <w:rPr>
          <w:rStyle w:val="FootnoteReference"/>
        </w:rPr>
        <w:footnoteRef/>
      </w:r>
      <w:r>
        <w:t xml:space="preserve"> </w:t>
      </w:r>
      <w:r>
        <w:rPr>
          <w:noProof/>
          <w:lang w:val="en-US"/>
        </w:rPr>
        <w:t xml:space="preserve">Šprajc, Ivan. 1993. "The Venus-Rain Maize Complex in the Mesoamerican World View: Part I." </w:t>
      </w:r>
      <w:r>
        <w:rPr>
          <w:i/>
          <w:iCs/>
          <w:noProof/>
          <w:lang w:val="en-US"/>
        </w:rPr>
        <w:t>Journal for the History of Astronomy April 1993</w:t>
      </w:r>
      <w:r>
        <w:rPr>
          <w:noProof/>
          <w:lang w:val="en-US"/>
        </w:rPr>
        <w:t xml:space="preserve"> pp. 17-70.</w:t>
      </w:r>
    </w:p>
  </w:footnote>
  <w:footnote w:id="39">
    <w:p w14:paraId="64BA06AA" w14:textId="03AD31C6" w:rsidR="00912D31" w:rsidRPr="00912D31"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 xml:space="preserve">, </w:t>
      </w:r>
      <w:r w:rsidRPr="00912D31">
        <w:rPr>
          <w:noProof/>
          <w:lang w:val="en-US"/>
        </w:rPr>
        <w:t>p. 30.</w:t>
      </w:r>
    </w:p>
  </w:footnote>
  <w:footnote w:id="40">
    <w:p w14:paraId="2240A1DD" w14:textId="45FDA589" w:rsidR="001E0E14" w:rsidRPr="001E0E14" w:rsidRDefault="00000000">
      <w:pPr>
        <w:pStyle w:val="FootnoteText"/>
        <w:rPr>
          <w:lang w:val="en-US"/>
        </w:rPr>
      </w:pPr>
      <w:r>
        <w:rPr>
          <w:rStyle w:val="FootnoteReference"/>
        </w:rPr>
        <w:footnoteRef/>
      </w:r>
      <w:r>
        <w:t xml:space="preserve"> </w:t>
      </w:r>
      <w:r>
        <w:rPr>
          <w:lang w:val="en-US"/>
        </w:rPr>
        <w:t>Ibid.</w:t>
      </w:r>
    </w:p>
  </w:footnote>
  <w:footnote w:id="41">
    <w:p w14:paraId="6D8F92F3" w14:textId="638F747D" w:rsidR="00B94F7E" w:rsidRPr="00B94F7E"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w:t>
      </w:r>
      <w:r>
        <w:rPr>
          <w:i/>
          <w:iCs/>
          <w:noProof/>
          <w:lang w:val="en-US"/>
        </w:rPr>
        <w:t xml:space="preserve">, </w:t>
      </w:r>
      <w:r w:rsidRPr="00912D31">
        <w:rPr>
          <w:noProof/>
          <w:lang w:val="en-US"/>
        </w:rPr>
        <w:t>p</w:t>
      </w:r>
      <w:r>
        <w:rPr>
          <w:noProof/>
          <w:lang w:val="en-US"/>
        </w:rPr>
        <w:t>p. 20-21</w:t>
      </w:r>
      <w:r w:rsidRPr="00912D31">
        <w:rPr>
          <w:noProof/>
          <w:lang w:val="en-US"/>
        </w:rPr>
        <w:t>.</w:t>
      </w:r>
    </w:p>
  </w:footnote>
  <w:footnote w:id="42">
    <w:p w14:paraId="3A1FF499" w14:textId="2CE8BABD" w:rsidR="00676E38" w:rsidRPr="00676E38" w:rsidRDefault="00000000">
      <w:pPr>
        <w:pStyle w:val="FootnoteText"/>
        <w:rPr>
          <w:lang w:val="en-US"/>
        </w:rPr>
      </w:pPr>
      <w:r>
        <w:rPr>
          <w:rStyle w:val="FootnoteReference"/>
        </w:rPr>
        <w:footnoteRef/>
      </w:r>
      <w:r>
        <w:t xml:space="preserve"> </w:t>
      </w:r>
      <w:r>
        <w:rPr>
          <w:noProof/>
          <w:lang w:val="en-US"/>
        </w:rPr>
        <w:t xml:space="preserve">Šprajc, Ivan. 1992. "Venus-Rain-Maize complex in Mesoamerica: Associated with the evening star?" </w:t>
      </w:r>
      <w:r>
        <w:rPr>
          <w:i/>
          <w:iCs/>
          <w:noProof/>
          <w:lang w:val="en-US"/>
        </w:rPr>
        <w:t>Indiana</w:t>
      </w:r>
      <w:r>
        <w:rPr>
          <w:noProof/>
          <w:lang w:val="en-US"/>
        </w:rPr>
        <w:t xml:space="preserve"> pp. 228-229.</w:t>
      </w:r>
    </w:p>
  </w:footnote>
  <w:footnote w:id="43">
    <w:p w14:paraId="5A898D6A" w14:textId="206F83A0" w:rsidR="009F7B88" w:rsidRPr="009F7B88" w:rsidRDefault="00000000">
      <w:pPr>
        <w:pStyle w:val="FootnoteText"/>
        <w:rPr>
          <w:lang w:val="en-US"/>
        </w:rPr>
      </w:pPr>
      <w:r>
        <w:rPr>
          <w:rStyle w:val="FootnoteReference"/>
        </w:rPr>
        <w:footnoteRef/>
      </w:r>
      <w:r>
        <w:t xml:space="preserve"> </w:t>
      </w:r>
      <w:r>
        <w:rPr>
          <w:noProof/>
          <w:lang w:val="en-US"/>
        </w:rPr>
        <w:t xml:space="preserve">Šprajc, </w:t>
      </w:r>
      <w:r w:rsidRPr="009F7B88">
        <w:rPr>
          <w:i/>
          <w:iCs/>
          <w:noProof/>
          <w:lang w:val="en-US"/>
        </w:rPr>
        <w:t>Associated with the Evening Star</w:t>
      </w:r>
      <w:r>
        <w:rPr>
          <w:noProof/>
          <w:lang w:val="en-US"/>
        </w:rPr>
        <w:t>, pp. 230-233.</w:t>
      </w:r>
    </w:p>
  </w:footnote>
  <w:footnote w:id="44">
    <w:p w14:paraId="7BBC3CE4" w14:textId="5B0FB36D" w:rsidR="001737CD" w:rsidRPr="008C510A" w:rsidRDefault="00000000" w:rsidP="008C510A">
      <w:pPr>
        <w:pStyle w:val="Bibliography"/>
        <w:ind w:left="720" w:hanging="720"/>
        <w:rPr>
          <w:noProof/>
          <w:sz w:val="20"/>
          <w:szCs w:val="20"/>
          <w:lang w:val="en-US"/>
        </w:rPr>
      </w:pPr>
      <w:r>
        <w:rPr>
          <w:rStyle w:val="FootnoteReference"/>
        </w:rPr>
        <w:footnoteRef/>
      </w:r>
      <w:r>
        <w:t xml:space="preserve"> “</w:t>
      </w:r>
      <w:r w:rsidRPr="001737CD">
        <w:rPr>
          <w:noProof/>
          <w:sz w:val="20"/>
          <w:szCs w:val="20"/>
          <w:lang w:val="en-US"/>
        </w:rPr>
        <w:t>Venus tablet of Ammisaduqa (Enuma Anu Enlil Tablet 63)</w:t>
      </w:r>
      <w:r>
        <w:rPr>
          <w:noProof/>
          <w:sz w:val="20"/>
          <w:szCs w:val="20"/>
          <w:lang w:val="en-US"/>
        </w:rPr>
        <w:t>”</w:t>
      </w:r>
      <w:r w:rsidRPr="001737CD">
        <w:rPr>
          <w:noProof/>
          <w:sz w:val="20"/>
          <w:szCs w:val="20"/>
          <w:lang w:val="en-US"/>
        </w:rPr>
        <w:t xml:space="preserve">. </w:t>
      </w:r>
      <w:r w:rsidRPr="001737CD">
        <w:rPr>
          <w:i/>
          <w:iCs/>
          <w:noProof/>
          <w:sz w:val="20"/>
          <w:szCs w:val="20"/>
          <w:lang w:val="en-US"/>
        </w:rPr>
        <w:t>British Museum.</w:t>
      </w:r>
      <w:r w:rsidRPr="001737CD">
        <w:rPr>
          <w:noProof/>
          <w:sz w:val="20"/>
          <w:szCs w:val="20"/>
          <w:lang w:val="en-US"/>
        </w:rPr>
        <w:t xml:space="preserve"> Accessed December 16, 2024. https://www.britishmuseum.org/collection/object/W_K-160.</w:t>
      </w:r>
    </w:p>
  </w:footnote>
  <w:footnote w:id="45">
    <w:p w14:paraId="711EB647" w14:textId="1F4E1F5C" w:rsidR="008C510A" w:rsidRPr="008C510A" w:rsidRDefault="00000000">
      <w:pPr>
        <w:pStyle w:val="FootnoteText"/>
        <w:rPr>
          <w:lang w:val="en-US"/>
        </w:rPr>
      </w:pPr>
      <w:r>
        <w:rPr>
          <w:rStyle w:val="FootnoteReference"/>
        </w:rPr>
        <w:footnoteRef/>
      </w:r>
      <w:r>
        <w:t xml:space="preserve"> </w:t>
      </w:r>
      <w:r w:rsidR="005D39E2">
        <w:rPr>
          <w:noProof/>
          <w:lang w:val="en-US"/>
        </w:rPr>
        <w:t>Reiner</w:t>
      </w:r>
      <w:r>
        <w:rPr>
          <w:noProof/>
          <w:lang w:val="en-US"/>
        </w:rPr>
        <w:t xml:space="preserve">, Erica and </w:t>
      </w:r>
      <w:r w:rsidR="005D39E2">
        <w:rPr>
          <w:noProof/>
          <w:lang w:val="en-US"/>
        </w:rPr>
        <w:t xml:space="preserve">Pingree, </w:t>
      </w:r>
      <w:r>
        <w:rPr>
          <w:noProof/>
          <w:lang w:val="en-US"/>
        </w:rPr>
        <w:t xml:space="preserve">David. 1975. </w:t>
      </w:r>
      <w:r>
        <w:rPr>
          <w:i/>
          <w:iCs/>
          <w:noProof/>
          <w:lang w:val="en-US"/>
        </w:rPr>
        <w:t>Babylonian Planetary Omens Part 1: Enuma Anu Enlil Tablet 63: The Venus Tablet of Ammisaduqa.</w:t>
      </w:r>
      <w:r>
        <w:rPr>
          <w:noProof/>
          <w:lang w:val="en-US"/>
        </w:rPr>
        <w:t xml:space="preserve"> Pasadena: Undena Publications.</w:t>
      </w:r>
    </w:p>
  </w:footnote>
  <w:footnote w:id="46">
    <w:p w14:paraId="412E1575" w14:textId="6AADA99B" w:rsidR="004D023E" w:rsidRPr="0076444B" w:rsidRDefault="00000000">
      <w:pPr>
        <w:pStyle w:val="FootnoteText"/>
        <w:rPr>
          <w:noProof/>
          <w:lang w:val="en-US"/>
        </w:rPr>
      </w:pPr>
      <w:r w:rsidRPr="0076444B">
        <w:rPr>
          <w:rStyle w:val="FootnoteReference"/>
        </w:rPr>
        <w:footnoteRef/>
      </w:r>
      <w:r w:rsidRPr="0076444B">
        <w:t xml:space="preserve"> </w:t>
      </w:r>
      <w:r w:rsidRPr="0076444B">
        <w:rPr>
          <w:noProof/>
          <w:lang w:val="en-US"/>
        </w:rPr>
        <w:t xml:space="preserve">Reiner and Pingree, </w:t>
      </w:r>
      <w:r w:rsidRPr="0076444B">
        <w:rPr>
          <w:i/>
          <w:iCs/>
          <w:noProof/>
          <w:lang w:val="en-US"/>
        </w:rPr>
        <w:t>Babylonian Planetary Omens Part 1</w:t>
      </w:r>
      <w:r w:rsidRPr="0076444B">
        <w:rPr>
          <w:noProof/>
          <w:lang w:val="en-US"/>
        </w:rPr>
        <w:t>, p. 29.</w:t>
      </w:r>
    </w:p>
  </w:footnote>
  <w:footnote w:id="47">
    <w:p w14:paraId="54EB5714" w14:textId="794F71E7" w:rsidR="009F0CC9" w:rsidRPr="0076444B" w:rsidRDefault="00000000">
      <w:pPr>
        <w:pStyle w:val="FootnoteText"/>
        <w:rPr>
          <w:lang w:val="en-US"/>
        </w:rPr>
      </w:pPr>
      <w:r w:rsidRPr="0076444B">
        <w:rPr>
          <w:rStyle w:val="FootnoteReference"/>
        </w:rPr>
        <w:footnoteRef/>
      </w:r>
      <w:r w:rsidRPr="0076444B">
        <w:t xml:space="preserve"> </w:t>
      </w:r>
      <w:r w:rsidRPr="0076444B">
        <w:rPr>
          <w:lang w:val="en-US"/>
        </w:rPr>
        <w:t>Ibid.</w:t>
      </w:r>
    </w:p>
  </w:footnote>
  <w:footnote w:id="48">
    <w:p w14:paraId="00F32D36" w14:textId="34F4B221" w:rsidR="00B87305" w:rsidRPr="0076444B" w:rsidRDefault="00000000" w:rsidP="00F4754D">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Hunger, Hermann. 2009. "The Relation of Babylonian Astronomy to its Culture and Society." </w:t>
      </w:r>
      <w:r w:rsidRPr="0076444B">
        <w:rPr>
          <w:i/>
          <w:iCs/>
          <w:noProof/>
          <w:sz w:val="20"/>
          <w:szCs w:val="20"/>
          <w:lang w:val="en-US"/>
        </w:rPr>
        <w:t>Proceedings IAU Symposium No. 260.</w:t>
      </w:r>
      <w:r w:rsidRPr="0076444B">
        <w:rPr>
          <w:noProof/>
          <w:sz w:val="20"/>
          <w:szCs w:val="20"/>
          <w:lang w:val="en-US"/>
        </w:rPr>
        <w:t xml:space="preserve"> International Astronomical Union. p. 72.</w:t>
      </w:r>
    </w:p>
  </w:footnote>
  <w:footnote w:id="49">
    <w:p w14:paraId="7F02D2F8" w14:textId="1BCA71BD" w:rsidR="00F4754D" w:rsidRPr="0076444B" w:rsidRDefault="00000000" w:rsidP="0076444B">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Hunger, </w:t>
      </w:r>
      <w:r w:rsidRPr="0076444B">
        <w:rPr>
          <w:i/>
          <w:iCs/>
          <w:noProof/>
          <w:sz w:val="20"/>
          <w:szCs w:val="20"/>
          <w:lang w:val="en-US"/>
        </w:rPr>
        <w:t>Relation of Babylonian Astronomy to Culture and Society</w:t>
      </w:r>
      <w:r w:rsidRPr="0076444B">
        <w:rPr>
          <w:noProof/>
          <w:sz w:val="20"/>
          <w:szCs w:val="20"/>
          <w:lang w:val="en-US"/>
        </w:rPr>
        <w:t>, p. 68.</w:t>
      </w:r>
    </w:p>
  </w:footnote>
  <w:footnote w:id="50">
    <w:p w14:paraId="66AE49EE" w14:textId="26F1AC6E" w:rsidR="0076444B" w:rsidRPr="00171ED6" w:rsidRDefault="00000000" w:rsidP="00171ED6">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Reiner, Erica and Pingree, David. 1998. </w:t>
      </w:r>
      <w:r w:rsidRPr="0076444B">
        <w:rPr>
          <w:i/>
          <w:iCs/>
          <w:noProof/>
          <w:sz w:val="20"/>
          <w:szCs w:val="20"/>
          <w:lang w:val="en-US"/>
        </w:rPr>
        <w:t>Babylonian Planetary Omens Part 3.</w:t>
      </w:r>
      <w:r w:rsidRPr="0076444B">
        <w:rPr>
          <w:noProof/>
          <w:sz w:val="20"/>
          <w:szCs w:val="20"/>
          <w:lang w:val="en-US"/>
        </w:rPr>
        <w:t xml:space="preserve"> Groningen: Styx Publications.</w:t>
      </w:r>
    </w:p>
  </w:footnote>
  <w:footnote w:id="51">
    <w:p w14:paraId="22EDD247" w14:textId="6B9FDD8E" w:rsidR="00EB2431" w:rsidRPr="00EB2431" w:rsidRDefault="00000000" w:rsidP="00EB2431">
      <w:pPr>
        <w:pStyle w:val="Bibliography"/>
        <w:ind w:left="720" w:hanging="720"/>
        <w:rPr>
          <w:noProof/>
          <w:sz w:val="20"/>
          <w:szCs w:val="20"/>
          <w:lang w:val="en-US"/>
        </w:rPr>
      </w:pPr>
      <w:r>
        <w:rPr>
          <w:rStyle w:val="FootnoteReference"/>
        </w:rPr>
        <w:footnoteRef/>
      </w:r>
      <w:r>
        <w:t xml:space="preserve"> </w:t>
      </w:r>
      <w:r w:rsidRPr="0076444B">
        <w:rPr>
          <w:noProof/>
          <w:sz w:val="20"/>
          <w:szCs w:val="20"/>
          <w:lang w:val="en-US"/>
        </w:rPr>
        <w:t xml:space="preserve">Hunger, </w:t>
      </w:r>
      <w:r w:rsidRPr="0076444B">
        <w:rPr>
          <w:i/>
          <w:iCs/>
          <w:noProof/>
          <w:sz w:val="20"/>
          <w:szCs w:val="20"/>
          <w:lang w:val="en-US"/>
        </w:rPr>
        <w:t>Relation of Babylonian Astronomy to Culture and Society</w:t>
      </w:r>
      <w:r w:rsidRPr="0076444B">
        <w:rPr>
          <w:noProof/>
          <w:sz w:val="20"/>
          <w:szCs w:val="20"/>
          <w:lang w:val="en-US"/>
        </w:rPr>
        <w:t xml:space="preserve">, p. </w:t>
      </w:r>
      <w:r>
        <w:rPr>
          <w:noProof/>
          <w:sz w:val="20"/>
          <w:szCs w:val="20"/>
          <w:lang w:val="en-US"/>
        </w:rPr>
        <w:t>70.</w:t>
      </w:r>
    </w:p>
  </w:footnote>
  <w:footnote w:id="52">
    <w:p w14:paraId="7A8F087F" w14:textId="2B29A259" w:rsidR="00171ED6" w:rsidRPr="00171ED6" w:rsidRDefault="00000000">
      <w:pPr>
        <w:pStyle w:val="FootnoteText"/>
        <w:rPr>
          <w:lang w:val="en-US"/>
        </w:rPr>
      </w:pPr>
      <w:r>
        <w:rPr>
          <w:rStyle w:val="FootnoteReference"/>
        </w:rPr>
        <w:footnoteRef/>
      </w:r>
      <w:r>
        <w:t xml:space="preserve"> </w:t>
      </w:r>
      <w:r w:rsidR="00FE022A">
        <w:rPr>
          <w:noProof/>
          <w:lang w:val="en-US"/>
        </w:rPr>
        <w:t>Ibid</w:t>
      </w:r>
      <w:r w:rsidRPr="0076444B">
        <w:rPr>
          <w:noProof/>
          <w:lang w:val="en-US"/>
        </w:rPr>
        <w:t>, p. 6</w:t>
      </w:r>
      <w:r>
        <w:rPr>
          <w:noProof/>
          <w:lang w:val="en-US"/>
        </w:rPr>
        <w:t>6.</w:t>
      </w:r>
    </w:p>
  </w:footnote>
  <w:footnote w:id="53">
    <w:p w14:paraId="11697D52" w14:textId="7EB9DE2D" w:rsidR="00E041CE" w:rsidRPr="006A4893" w:rsidRDefault="00000000" w:rsidP="006A4893">
      <w:pPr>
        <w:pStyle w:val="Bibliography"/>
        <w:ind w:left="720" w:hanging="720"/>
        <w:rPr>
          <w:noProof/>
          <w:sz w:val="20"/>
          <w:szCs w:val="20"/>
          <w:lang w:val="en-US"/>
        </w:rPr>
      </w:pPr>
      <w:r>
        <w:rPr>
          <w:rStyle w:val="FootnoteReference"/>
        </w:rPr>
        <w:footnoteRef/>
      </w:r>
      <w:r>
        <w:t xml:space="preserve"> </w:t>
      </w:r>
      <w:r w:rsidRPr="00641DDB">
        <w:rPr>
          <w:noProof/>
          <w:sz w:val="20"/>
          <w:szCs w:val="20"/>
          <w:lang w:val="en-US"/>
        </w:rPr>
        <w:t xml:space="preserve">Kurtik, G.E. 1999. "The Identification of Inanna With the Planet Venus: A Criterion For the Time Determination of the Recognition of Constellations in Ancient Mesopotamia." </w:t>
      </w:r>
      <w:r w:rsidRPr="00641DDB">
        <w:rPr>
          <w:i/>
          <w:iCs/>
          <w:noProof/>
          <w:sz w:val="20"/>
          <w:szCs w:val="20"/>
          <w:lang w:val="en-US"/>
        </w:rPr>
        <w:t>Astronomical &amp; Astrophysical Transactions,</w:t>
      </w:r>
      <w:r w:rsidRPr="00641DDB">
        <w:rPr>
          <w:noProof/>
          <w:sz w:val="20"/>
          <w:szCs w:val="20"/>
          <w:lang w:val="en-US"/>
        </w:rPr>
        <w:t xml:space="preserve"> pp. 501 - 513.</w:t>
      </w:r>
    </w:p>
  </w:footnote>
  <w:footnote w:id="54">
    <w:p w14:paraId="402DA3C9" w14:textId="48B6035A" w:rsidR="006A4893" w:rsidRPr="006A4893"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 xml:space="preserve">, </w:t>
      </w:r>
      <w:r w:rsidRPr="00912D31">
        <w:rPr>
          <w:noProof/>
          <w:lang w:val="en-US"/>
        </w:rPr>
        <w:t>p. 30.</w:t>
      </w:r>
    </w:p>
  </w:footnote>
  <w:footnote w:id="55">
    <w:p w14:paraId="53489138" w14:textId="3458C46C" w:rsidR="00E524C9" w:rsidRPr="003732AE" w:rsidRDefault="00000000" w:rsidP="003732AE">
      <w:pPr>
        <w:pStyle w:val="Bibliography"/>
        <w:ind w:left="720" w:hanging="720"/>
        <w:rPr>
          <w:noProof/>
          <w:sz w:val="20"/>
          <w:szCs w:val="20"/>
          <w:lang w:val="en-US"/>
        </w:rPr>
      </w:pPr>
      <w:r>
        <w:rPr>
          <w:rStyle w:val="FootnoteReference"/>
        </w:rPr>
        <w:footnoteRef/>
      </w:r>
      <w:r>
        <w:t xml:space="preserve"> </w:t>
      </w:r>
      <w:r w:rsidRPr="00641DDB">
        <w:rPr>
          <w:noProof/>
          <w:sz w:val="20"/>
          <w:szCs w:val="20"/>
          <w:lang w:val="en-US"/>
        </w:rPr>
        <w:t xml:space="preserve">Kurtik,  </w:t>
      </w:r>
      <w:r w:rsidRPr="00E524C9">
        <w:rPr>
          <w:i/>
          <w:iCs/>
          <w:noProof/>
          <w:sz w:val="20"/>
          <w:szCs w:val="20"/>
          <w:lang w:val="en-US"/>
        </w:rPr>
        <w:t>The Identification of Inanna With the Planet Venus</w:t>
      </w:r>
      <w:r w:rsidRPr="00641DDB">
        <w:rPr>
          <w:i/>
          <w:iCs/>
          <w:noProof/>
          <w:sz w:val="20"/>
          <w:szCs w:val="20"/>
          <w:lang w:val="en-US"/>
        </w:rPr>
        <w:t>,</w:t>
      </w:r>
      <w:r w:rsidRPr="00641DDB">
        <w:rPr>
          <w:noProof/>
          <w:sz w:val="20"/>
          <w:szCs w:val="20"/>
          <w:lang w:val="en-US"/>
        </w:rPr>
        <w:t xml:space="preserve"> p. 5</w:t>
      </w:r>
      <w:r>
        <w:rPr>
          <w:noProof/>
          <w:sz w:val="20"/>
          <w:szCs w:val="20"/>
          <w:lang w:val="en-US"/>
        </w:rPr>
        <w:t>12</w:t>
      </w:r>
      <w:r w:rsidRPr="00641DDB">
        <w:rPr>
          <w:noProof/>
          <w:sz w:val="20"/>
          <w:szCs w:val="20"/>
          <w:lang w:val="en-US"/>
        </w:rPr>
        <w:t>.</w:t>
      </w:r>
    </w:p>
  </w:footnote>
  <w:footnote w:id="56">
    <w:p w14:paraId="5A9D4AD3" w14:textId="4F32975D" w:rsidR="003732AE" w:rsidRPr="00310A14" w:rsidRDefault="00000000" w:rsidP="00310A14">
      <w:pPr>
        <w:pStyle w:val="Bibliography"/>
        <w:ind w:left="720" w:hanging="720"/>
        <w:rPr>
          <w:noProof/>
          <w:sz w:val="20"/>
          <w:szCs w:val="20"/>
          <w:lang w:val="en-US"/>
        </w:rPr>
      </w:pPr>
      <w:r>
        <w:rPr>
          <w:rStyle w:val="FootnoteReference"/>
        </w:rPr>
        <w:footnoteRef/>
      </w:r>
      <w:r>
        <w:t xml:space="preserve"> </w:t>
      </w:r>
      <w:r w:rsidR="00E84932">
        <w:rPr>
          <w:noProof/>
          <w:sz w:val="20"/>
          <w:szCs w:val="20"/>
          <w:lang w:val="en-US"/>
        </w:rPr>
        <w:t>Ibid</w:t>
      </w:r>
      <w:r w:rsidRPr="00641DDB">
        <w:rPr>
          <w:i/>
          <w:iCs/>
          <w:noProof/>
          <w:sz w:val="20"/>
          <w:szCs w:val="20"/>
          <w:lang w:val="en-US"/>
        </w:rPr>
        <w:t>,</w:t>
      </w:r>
      <w:r w:rsidRPr="00641DDB">
        <w:rPr>
          <w:noProof/>
          <w:sz w:val="20"/>
          <w:szCs w:val="20"/>
          <w:lang w:val="en-US"/>
        </w:rPr>
        <w:t xml:space="preserve"> p. 5</w:t>
      </w:r>
      <w:r>
        <w:rPr>
          <w:noProof/>
          <w:sz w:val="20"/>
          <w:szCs w:val="20"/>
          <w:lang w:val="en-US"/>
        </w:rPr>
        <w:t>05</w:t>
      </w:r>
      <w:r w:rsidRPr="00641DDB">
        <w:rPr>
          <w:noProof/>
          <w:sz w:val="20"/>
          <w:szCs w:val="20"/>
          <w:lang w:val="en-US"/>
        </w:rPr>
        <w:t>.</w:t>
      </w:r>
    </w:p>
  </w:footnote>
  <w:footnote w:id="57">
    <w:p w14:paraId="450B4018" w14:textId="1E8CE48E" w:rsidR="00310A14" w:rsidRPr="00631377" w:rsidRDefault="00000000" w:rsidP="00631377">
      <w:pPr>
        <w:pStyle w:val="Bibliography"/>
        <w:ind w:left="720" w:hanging="720"/>
        <w:rPr>
          <w:noProof/>
          <w:sz w:val="20"/>
          <w:szCs w:val="20"/>
          <w:lang w:val="en-US"/>
        </w:rPr>
      </w:pPr>
      <w:r>
        <w:rPr>
          <w:rStyle w:val="FootnoteReference"/>
        </w:rPr>
        <w:footnoteRef/>
      </w:r>
      <w:r>
        <w:t xml:space="preserve"> </w:t>
      </w:r>
      <w:r>
        <w:rPr>
          <w:noProof/>
          <w:sz w:val="20"/>
          <w:szCs w:val="20"/>
          <w:lang w:val="en-US"/>
        </w:rPr>
        <w:t>Ibid.</w:t>
      </w:r>
    </w:p>
  </w:footnote>
  <w:footnote w:id="58">
    <w:p w14:paraId="4B90A831" w14:textId="47463FB5" w:rsidR="00631377" w:rsidRPr="00631377" w:rsidRDefault="00000000">
      <w:pPr>
        <w:pStyle w:val="FootnoteText"/>
        <w:rPr>
          <w:lang w:val="en-US"/>
        </w:rPr>
      </w:pPr>
      <w:r>
        <w:rPr>
          <w:rStyle w:val="FootnoteReference"/>
        </w:rPr>
        <w:footnoteRef/>
      </w:r>
      <w:r>
        <w:t xml:space="preserve"> </w:t>
      </w:r>
      <w:r>
        <w:rPr>
          <w:noProof/>
          <w:lang w:val="en-US"/>
        </w:rPr>
        <w:t xml:space="preserve">Cooley, Jeffrey L. 2008. "Inanna And Šukaletuda: A Sumerian Astral Myth." </w:t>
      </w:r>
      <w:r>
        <w:rPr>
          <w:i/>
          <w:iCs/>
          <w:noProof/>
          <w:lang w:val="en-US"/>
        </w:rPr>
        <w:t>KASKAL - Rivista di storia, ambienti e culture del Vicino Oriente Antico Volume 5</w:t>
      </w:r>
      <w:r>
        <w:rPr>
          <w:noProof/>
          <w:lang w:val="en-US"/>
        </w:rPr>
        <w:t xml:space="preserve"> pp. 161-172.</w:t>
      </w:r>
    </w:p>
  </w:footnote>
  <w:footnote w:id="59">
    <w:p w14:paraId="2CDB3746" w14:textId="748B4990" w:rsidR="002B0F74" w:rsidRPr="00631377" w:rsidRDefault="00000000" w:rsidP="002B0F74">
      <w:pPr>
        <w:pStyle w:val="FootnoteText"/>
        <w:rPr>
          <w:lang w:val="en-US"/>
        </w:rPr>
      </w:pPr>
      <w:r>
        <w:rPr>
          <w:rStyle w:val="FootnoteReference"/>
        </w:rPr>
        <w:footnoteRef/>
      </w:r>
      <w:r>
        <w:t xml:space="preserve"> </w:t>
      </w:r>
      <w:r>
        <w:rPr>
          <w:noProof/>
          <w:lang w:val="en-US"/>
        </w:rPr>
        <w:t xml:space="preserve">Cooley, </w:t>
      </w:r>
      <w:r w:rsidRPr="002B0F74">
        <w:rPr>
          <w:i/>
          <w:iCs/>
          <w:noProof/>
          <w:lang w:val="en-US"/>
        </w:rPr>
        <w:t>Inanna And Šukaletuda</w:t>
      </w:r>
      <w:r>
        <w:rPr>
          <w:noProof/>
          <w:lang w:val="en-US"/>
        </w:rPr>
        <w:t>, pp. 16</w:t>
      </w:r>
      <w:r w:rsidR="00252ECB">
        <w:rPr>
          <w:noProof/>
          <w:lang w:val="en-US"/>
        </w:rPr>
        <w:t>3-164</w:t>
      </w:r>
      <w:r>
        <w:rPr>
          <w:noProof/>
          <w:lang w:val="en-US"/>
        </w:rPr>
        <w:t>.</w:t>
      </w:r>
    </w:p>
    <w:p w14:paraId="736C2254" w14:textId="70E4466D" w:rsidR="002B0F74" w:rsidRPr="002B0F74" w:rsidRDefault="002B0F74">
      <w:pPr>
        <w:pStyle w:val="FootnoteText"/>
        <w:rPr>
          <w:lang w:val="en-US"/>
        </w:rPr>
      </w:pPr>
    </w:p>
  </w:footnote>
  <w:footnote w:id="60">
    <w:p w14:paraId="57E1C759" w14:textId="330D4209" w:rsidR="00252ECB" w:rsidRPr="00252ECB" w:rsidRDefault="00000000">
      <w:pPr>
        <w:pStyle w:val="FootnoteText"/>
        <w:rPr>
          <w:lang w:val="en-US"/>
        </w:rPr>
      </w:pPr>
      <w:r>
        <w:rPr>
          <w:rStyle w:val="FootnoteReference"/>
        </w:rPr>
        <w:footnoteRef/>
      </w:r>
      <w:r>
        <w:t xml:space="preserve"> </w:t>
      </w:r>
      <w:r w:rsidR="00E84932">
        <w:rPr>
          <w:noProof/>
          <w:lang w:val="en-US"/>
        </w:rPr>
        <w:t>Ibid</w:t>
      </w:r>
      <w:r>
        <w:rPr>
          <w:noProof/>
          <w:lang w:val="en-US"/>
        </w:rPr>
        <w:t>, pp. 170.</w:t>
      </w:r>
    </w:p>
  </w:footnote>
  <w:footnote w:id="61">
    <w:p w14:paraId="71CE08F9" w14:textId="0FC3B197" w:rsidR="00581582" w:rsidRPr="00581582" w:rsidRDefault="00000000">
      <w:pPr>
        <w:pStyle w:val="FootnoteText"/>
        <w:rPr>
          <w:lang w:val="en-US"/>
        </w:rPr>
      </w:pPr>
      <w:r>
        <w:rPr>
          <w:rStyle w:val="FootnoteReference"/>
        </w:rPr>
        <w:footnoteRef/>
      </w:r>
      <w:r>
        <w:t xml:space="preserve"> Bidmead, Julye and </w:t>
      </w:r>
      <w:r>
        <w:rPr>
          <w:noProof/>
          <w:lang w:val="en-US"/>
        </w:rPr>
        <w:t xml:space="preserve">Love, Marilyn. Spring/Summer 2018. "Ištar’s Journey Above and Below." </w:t>
      </w:r>
      <w:r>
        <w:rPr>
          <w:i/>
          <w:iCs/>
          <w:noProof/>
          <w:lang w:val="en-US"/>
        </w:rPr>
        <w:t>Culture and Cosmos, Vol. 22 no 1</w:t>
      </w:r>
      <w:r>
        <w:rPr>
          <w:noProof/>
          <w:lang w:val="en-US"/>
        </w:rPr>
        <w:t xml:space="preserve"> pp. 5-28.</w:t>
      </w:r>
    </w:p>
  </w:footnote>
  <w:footnote w:id="62">
    <w:p w14:paraId="187453FA" w14:textId="4BCD4A23" w:rsidR="00DD477B" w:rsidRPr="00DD477B" w:rsidRDefault="00000000">
      <w:pPr>
        <w:pStyle w:val="FootnoteText"/>
        <w:rPr>
          <w:lang w:val="en-US"/>
        </w:rPr>
      </w:pPr>
      <w:r>
        <w:rPr>
          <w:rStyle w:val="FootnoteReference"/>
        </w:rPr>
        <w:footnoteRef/>
      </w:r>
      <w:r>
        <w:t xml:space="preserve"> Bidmead and </w:t>
      </w:r>
      <w:r>
        <w:rPr>
          <w:noProof/>
          <w:lang w:val="en-US"/>
        </w:rPr>
        <w:t xml:space="preserve">Love, </w:t>
      </w:r>
      <w:r w:rsidRPr="00DD477B">
        <w:rPr>
          <w:i/>
          <w:iCs/>
          <w:noProof/>
          <w:lang w:val="en-US"/>
        </w:rPr>
        <w:t>Ištar’s Journey Above and Below</w:t>
      </w:r>
      <w:r>
        <w:rPr>
          <w:noProof/>
          <w:lang w:val="en-US"/>
        </w:rPr>
        <w:t>, p</w:t>
      </w:r>
      <w:r w:rsidR="00806328">
        <w:rPr>
          <w:noProof/>
          <w:lang w:val="en-US"/>
        </w:rPr>
        <w:t xml:space="preserve"> 11.</w:t>
      </w:r>
    </w:p>
  </w:footnote>
  <w:footnote w:id="63">
    <w:p w14:paraId="1532A5FB" w14:textId="43E7D67E" w:rsidR="00CF1BED" w:rsidRPr="00933DA8" w:rsidRDefault="00000000" w:rsidP="00933DA8">
      <w:pPr>
        <w:pStyle w:val="Bibliography"/>
        <w:ind w:left="720" w:hanging="720"/>
        <w:rPr>
          <w:noProof/>
          <w:sz w:val="20"/>
          <w:szCs w:val="20"/>
          <w:lang w:val="en-US"/>
        </w:rPr>
      </w:pPr>
      <w:r>
        <w:rPr>
          <w:rStyle w:val="FootnoteReference"/>
        </w:rPr>
        <w:footnoteRef/>
      </w:r>
      <w:r>
        <w:t xml:space="preserve"> </w:t>
      </w:r>
      <w:r w:rsidRPr="00CF1BED">
        <w:rPr>
          <w:noProof/>
          <w:sz w:val="20"/>
          <w:szCs w:val="20"/>
          <w:lang w:val="en-US"/>
        </w:rPr>
        <w:t xml:space="preserve">Cullen, Christopher. 2011. "Understanding the Planets in Ancient China: Prediction and Divination in the "Wu xing zhan"." </w:t>
      </w:r>
      <w:r w:rsidRPr="00CF1BED">
        <w:rPr>
          <w:i/>
          <w:iCs/>
          <w:noProof/>
          <w:sz w:val="20"/>
          <w:szCs w:val="20"/>
          <w:lang w:val="en-US"/>
        </w:rPr>
        <w:t>Early Science and Medicine, Vol. 16, No. 3</w:t>
      </w:r>
      <w:r w:rsidRPr="00CF1BED">
        <w:rPr>
          <w:noProof/>
          <w:sz w:val="20"/>
          <w:szCs w:val="20"/>
          <w:lang w:val="en-US"/>
        </w:rPr>
        <w:t xml:space="preserve"> pp. 218-251.</w:t>
      </w:r>
    </w:p>
  </w:footnote>
  <w:footnote w:id="64">
    <w:p w14:paraId="05030D12" w14:textId="1627582A" w:rsidR="00AC062F" w:rsidRPr="00AC062F" w:rsidRDefault="00000000" w:rsidP="00AC062F">
      <w:pPr>
        <w:pStyle w:val="FootnoteText"/>
        <w:rPr>
          <w:lang w:val="en-US"/>
        </w:rPr>
      </w:pPr>
      <w:r>
        <w:rPr>
          <w:rStyle w:val="FootnoteReference"/>
        </w:rPr>
        <w:footnoteRef/>
      </w:r>
      <w:r>
        <w:t xml:space="preserve"> </w:t>
      </w:r>
      <w:r w:rsidRPr="00CF1BED">
        <w:rPr>
          <w:noProof/>
          <w:lang w:val="en-US"/>
        </w:rPr>
        <w:t xml:space="preserve">Cullen, </w:t>
      </w:r>
      <w:r w:rsidRPr="00933DA8">
        <w:rPr>
          <w:i/>
          <w:iCs/>
          <w:noProof/>
          <w:lang w:val="en-US"/>
        </w:rPr>
        <w:t>Understanding the Planets in Ancient China</w:t>
      </w:r>
      <w:r>
        <w:rPr>
          <w:noProof/>
          <w:lang w:val="en-US"/>
        </w:rPr>
        <w:t>, p. 224.</w:t>
      </w:r>
    </w:p>
  </w:footnote>
  <w:footnote w:id="65">
    <w:p w14:paraId="593929A6" w14:textId="53520A54" w:rsidR="00933DA8" w:rsidRPr="00933DA8" w:rsidRDefault="00000000">
      <w:pPr>
        <w:pStyle w:val="FootnoteText"/>
        <w:rPr>
          <w:lang w:val="en-US"/>
        </w:rPr>
      </w:pPr>
      <w:r>
        <w:rPr>
          <w:rStyle w:val="FootnoteReference"/>
        </w:rPr>
        <w:footnoteRef/>
      </w:r>
      <w:r>
        <w:t xml:space="preserve"> </w:t>
      </w:r>
      <w:r w:rsidR="00AC062F">
        <w:rPr>
          <w:noProof/>
          <w:lang w:val="en-US"/>
        </w:rPr>
        <w:t>ibid</w:t>
      </w:r>
      <w:r>
        <w:rPr>
          <w:noProof/>
          <w:lang w:val="en-US"/>
        </w:rPr>
        <w:t>.</w:t>
      </w:r>
    </w:p>
  </w:footnote>
  <w:footnote w:id="66">
    <w:p w14:paraId="4CD16544" w14:textId="18DC74FD" w:rsidR="006E7E3C" w:rsidRPr="00D804AF" w:rsidRDefault="00000000" w:rsidP="00D804AF">
      <w:pPr>
        <w:pStyle w:val="Bibliography"/>
        <w:ind w:left="720" w:hanging="720"/>
        <w:rPr>
          <w:noProof/>
          <w:sz w:val="20"/>
          <w:szCs w:val="20"/>
          <w:lang w:val="en-US"/>
        </w:rPr>
      </w:pPr>
      <w:r>
        <w:rPr>
          <w:rStyle w:val="FootnoteReference"/>
        </w:rPr>
        <w:footnoteRef/>
      </w:r>
      <w:r>
        <w:t xml:space="preserve"> </w:t>
      </w:r>
      <w:r w:rsidRPr="006E7E3C">
        <w:rPr>
          <w:noProof/>
          <w:sz w:val="20"/>
          <w:szCs w:val="20"/>
          <w:lang w:val="en-US"/>
        </w:rPr>
        <w:t xml:space="preserve">Pankenier, David W. 2013. </w:t>
      </w:r>
      <w:r w:rsidRPr="006E7E3C">
        <w:rPr>
          <w:i/>
          <w:iCs/>
          <w:noProof/>
          <w:sz w:val="20"/>
          <w:szCs w:val="20"/>
          <w:lang w:val="en-US"/>
        </w:rPr>
        <w:t>Astrology and Cosmology in Early China: Conforming Earth to Heaven.</w:t>
      </w:r>
      <w:r w:rsidRPr="006E7E3C">
        <w:rPr>
          <w:noProof/>
          <w:sz w:val="20"/>
          <w:szCs w:val="20"/>
          <w:lang w:val="en-US"/>
        </w:rPr>
        <w:t xml:space="preserve"> Cambridge: Cambridge University Press</w:t>
      </w:r>
      <w:r>
        <w:rPr>
          <w:noProof/>
          <w:sz w:val="20"/>
          <w:szCs w:val="20"/>
          <w:lang w:val="en-US"/>
        </w:rPr>
        <w:t>, p. 452.</w:t>
      </w:r>
    </w:p>
  </w:footnote>
  <w:footnote w:id="67">
    <w:p w14:paraId="2162C63B" w14:textId="6F2441D0" w:rsidR="00CF0291" w:rsidRPr="00B75D89" w:rsidRDefault="00000000" w:rsidP="00B75D89">
      <w:pPr>
        <w:spacing w:line="276" w:lineRule="auto"/>
        <w:rPr>
          <w:sz w:val="20"/>
          <w:szCs w:val="20"/>
          <w:u w:val="single"/>
        </w:rPr>
      </w:pPr>
      <w:r>
        <w:rPr>
          <w:rStyle w:val="FootnoteReference"/>
        </w:rPr>
        <w:footnoteRef/>
      </w:r>
      <w:r>
        <w:t xml:space="preserve"> </w:t>
      </w:r>
      <w:r w:rsidRPr="00CF0291">
        <w:rPr>
          <w:noProof/>
          <w:sz w:val="20"/>
          <w:szCs w:val="20"/>
          <w:lang w:val="en-US"/>
        </w:rPr>
        <w:t>Zhang</w:t>
      </w:r>
      <w:r w:rsidR="006A5F38">
        <w:rPr>
          <w:noProof/>
          <w:sz w:val="20"/>
          <w:szCs w:val="20"/>
          <w:lang w:val="en-US"/>
        </w:rPr>
        <w:t>, He</w:t>
      </w:r>
      <w:r w:rsidRPr="00CF0291">
        <w:rPr>
          <w:noProof/>
          <w:sz w:val="20"/>
          <w:szCs w:val="20"/>
          <w:lang w:val="en-US"/>
        </w:rPr>
        <w:t xml:space="preserve">. 2021. "Planet Venus in the Astrology of Ancient Mesopotamia and China: Evidence of Direct Transmission of Knowledge and Practice as Demonstrated in Enuma Anu Enlil and Wu Xing Zhan." </w:t>
      </w:r>
      <w:r w:rsidRPr="00CF0291">
        <w:rPr>
          <w:i/>
          <w:iCs/>
          <w:noProof/>
          <w:sz w:val="20"/>
          <w:szCs w:val="20"/>
          <w:lang w:val="en-US"/>
        </w:rPr>
        <w:t>S</w:t>
      </w:r>
      <w:r w:rsidR="003C4699">
        <w:rPr>
          <w:i/>
          <w:iCs/>
          <w:noProof/>
          <w:sz w:val="20"/>
          <w:szCs w:val="20"/>
          <w:lang w:val="en-US"/>
        </w:rPr>
        <w:t>ino</w:t>
      </w:r>
      <w:r w:rsidRPr="00CF0291">
        <w:rPr>
          <w:i/>
          <w:iCs/>
          <w:noProof/>
          <w:sz w:val="20"/>
          <w:szCs w:val="20"/>
          <w:lang w:val="en-US"/>
        </w:rPr>
        <w:t>-</w:t>
      </w:r>
      <w:r w:rsidR="003C4699">
        <w:rPr>
          <w:i/>
          <w:iCs/>
          <w:noProof/>
          <w:sz w:val="20"/>
          <w:szCs w:val="20"/>
          <w:lang w:val="en-US"/>
        </w:rPr>
        <w:t>Platonic</w:t>
      </w:r>
      <w:r w:rsidRPr="00CF0291">
        <w:rPr>
          <w:i/>
          <w:iCs/>
          <w:noProof/>
          <w:sz w:val="20"/>
          <w:szCs w:val="20"/>
          <w:lang w:val="en-US"/>
        </w:rPr>
        <w:t xml:space="preserve"> </w:t>
      </w:r>
      <w:r w:rsidR="003C4699">
        <w:rPr>
          <w:i/>
          <w:iCs/>
          <w:noProof/>
          <w:sz w:val="20"/>
          <w:szCs w:val="20"/>
          <w:lang w:val="en-US"/>
        </w:rPr>
        <w:t xml:space="preserve">Papers </w:t>
      </w:r>
      <w:r w:rsidRPr="00CF0291">
        <w:rPr>
          <w:i/>
          <w:iCs/>
          <w:noProof/>
          <w:sz w:val="20"/>
          <w:szCs w:val="20"/>
          <w:lang w:val="en-US"/>
        </w:rPr>
        <w:t>Number 319</w:t>
      </w:r>
      <w:r w:rsidRPr="00CF0291">
        <w:rPr>
          <w:noProof/>
          <w:sz w:val="20"/>
          <w:szCs w:val="20"/>
          <w:lang w:val="en-US"/>
        </w:rPr>
        <w:t>, pp. 1-130</w:t>
      </w:r>
      <w:r w:rsidR="00135B12">
        <w:rPr>
          <w:noProof/>
          <w:sz w:val="20"/>
          <w:szCs w:val="20"/>
          <w:lang w:val="en-US"/>
        </w:rPr>
        <w:t>.</w:t>
      </w:r>
    </w:p>
  </w:footnote>
  <w:footnote w:id="68">
    <w:p w14:paraId="44045DE4" w14:textId="25B4487C" w:rsidR="00B75D89" w:rsidRPr="006F1FCB" w:rsidRDefault="00000000" w:rsidP="006F1FCB">
      <w:pPr>
        <w:spacing w:line="276" w:lineRule="auto"/>
        <w:rPr>
          <w:noProof/>
          <w:sz w:val="20"/>
          <w:szCs w:val="20"/>
          <w:lang w:val="en-US"/>
        </w:rPr>
      </w:pPr>
      <w:r>
        <w:rPr>
          <w:rStyle w:val="FootnoteReference"/>
        </w:rPr>
        <w:footnoteRef/>
      </w:r>
      <w:r>
        <w:t xml:space="preserve"> </w:t>
      </w:r>
      <w:r w:rsidR="006A5F38">
        <w:rPr>
          <w:noProof/>
          <w:sz w:val="20"/>
          <w:szCs w:val="20"/>
          <w:lang w:val="en-US"/>
        </w:rPr>
        <w:t>Zhang</w:t>
      </w:r>
      <w:r w:rsidRPr="00CF0291">
        <w:rPr>
          <w:noProof/>
          <w:sz w:val="20"/>
          <w:szCs w:val="20"/>
          <w:lang w:val="en-US"/>
        </w:rPr>
        <w:t xml:space="preserve">, </w:t>
      </w:r>
      <w:r w:rsidRPr="00B75D89">
        <w:rPr>
          <w:i/>
          <w:iCs/>
          <w:noProof/>
          <w:sz w:val="20"/>
          <w:szCs w:val="20"/>
          <w:lang w:val="en-US"/>
        </w:rPr>
        <w:t>Planet Venus in the Astrology of Ancient Mesopotamia and China</w:t>
      </w:r>
      <w:r>
        <w:rPr>
          <w:noProof/>
          <w:sz w:val="20"/>
          <w:szCs w:val="20"/>
          <w:lang w:val="en-US"/>
        </w:rPr>
        <w:t xml:space="preserve">, </w:t>
      </w:r>
      <w:r w:rsidRPr="00CF0291">
        <w:rPr>
          <w:noProof/>
          <w:sz w:val="20"/>
          <w:szCs w:val="20"/>
          <w:lang w:val="en-US"/>
        </w:rPr>
        <w:t xml:space="preserve">pp. </w:t>
      </w:r>
      <w:r w:rsidR="00305EDB">
        <w:rPr>
          <w:noProof/>
          <w:sz w:val="20"/>
          <w:szCs w:val="20"/>
          <w:lang w:val="en-US"/>
        </w:rPr>
        <w:t>9-1</w:t>
      </w:r>
      <w:r w:rsidR="00274691">
        <w:rPr>
          <w:noProof/>
          <w:sz w:val="20"/>
          <w:szCs w:val="20"/>
          <w:lang w:val="en-US"/>
        </w:rPr>
        <w:t>1</w:t>
      </w:r>
      <w:r w:rsidR="00305EDB">
        <w:rPr>
          <w:noProof/>
          <w:sz w:val="20"/>
          <w:szCs w:val="20"/>
          <w:lang w:val="en-US"/>
        </w:rPr>
        <w:t>.</w:t>
      </w:r>
    </w:p>
  </w:footnote>
  <w:footnote w:id="69">
    <w:p w14:paraId="3496F379" w14:textId="7C8720F0" w:rsidR="006F1FCB" w:rsidRPr="006F1FCB" w:rsidRDefault="00000000">
      <w:pPr>
        <w:pStyle w:val="FootnoteText"/>
        <w:rPr>
          <w:lang w:val="en-US"/>
        </w:rPr>
      </w:pPr>
      <w:r>
        <w:rPr>
          <w:rStyle w:val="FootnoteReference"/>
        </w:rPr>
        <w:footnoteRef/>
      </w:r>
      <w:r>
        <w:t xml:space="preserve"> Ibid, pp. 12-15.</w:t>
      </w:r>
    </w:p>
  </w:footnote>
  <w:footnote w:id="70">
    <w:p w14:paraId="1C81EFF2" w14:textId="00307F2B" w:rsidR="006C6AE3" w:rsidRPr="006C6AE3" w:rsidRDefault="00000000">
      <w:pPr>
        <w:pStyle w:val="FootnoteText"/>
        <w:rPr>
          <w:lang w:val="en-US"/>
        </w:rPr>
      </w:pPr>
      <w:r>
        <w:rPr>
          <w:rStyle w:val="FootnoteReference"/>
        </w:rPr>
        <w:footnoteRef/>
      </w:r>
      <w:r>
        <w:t xml:space="preserve"> </w:t>
      </w:r>
      <w:r>
        <w:rPr>
          <w:lang w:val="en-US"/>
        </w:rPr>
        <w:t xml:space="preserve">Ibid, pp. 15-16. </w:t>
      </w:r>
    </w:p>
  </w:footnote>
  <w:footnote w:id="71">
    <w:p w14:paraId="7A07FB87" w14:textId="1C705F89" w:rsidR="0033393A" w:rsidRPr="0033393A" w:rsidRDefault="00000000">
      <w:pPr>
        <w:pStyle w:val="FootnoteText"/>
        <w:rPr>
          <w:lang w:val="en-US"/>
        </w:rPr>
      </w:pPr>
      <w:r>
        <w:rPr>
          <w:rStyle w:val="FootnoteReference"/>
        </w:rPr>
        <w:footnoteRef/>
      </w:r>
      <w:r>
        <w:t xml:space="preserve"> </w:t>
      </w:r>
      <w:r>
        <w:rPr>
          <w:lang w:val="en-US"/>
        </w:rPr>
        <w:t>Ibid, pp. 16-37.</w:t>
      </w:r>
    </w:p>
  </w:footnote>
  <w:footnote w:id="72">
    <w:p w14:paraId="21DF6D1D" w14:textId="3F0E9680" w:rsidR="00016F07" w:rsidRPr="00016F07" w:rsidRDefault="00000000">
      <w:pPr>
        <w:pStyle w:val="FootnoteText"/>
        <w:rPr>
          <w:lang w:val="en-US"/>
        </w:rPr>
      </w:pPr>
      <w:r>
        <w:rPr>
          <w:rStyle w:val="FootnoteReference"/>
        </w:rPr>
        <w:footnoteRef/>
      </w:r>
      <w:r>
        <w:t xml:space="preserve"> </w:t>
      </w:r>
      <w:r>
        <w:rPr>
          <w:lang w:val="en-US"/>
        </w:rPr>
        <w:t>Ibid, p. 49.</w:t>
      </w:r>
    </w:p>
  </w:footnote>
  <w:footnote w:id="73">
    <w:p w14:paraId="4773BDCD" w14:textId="4D778A88" w:rsidR="00930F0F" w:rsidRPr="00930F0F" w:rsidRDefault="00000000">
      <w:pPr>
        <w:pStyle w:val="FootnoteText"/>
        <w:rPr>
          <w:lang w:val="en-US"/>
        </w:rPr>
      </w:pPr>
      <w:r>
        <w:rPr>
          <w:rStyle w:val="FootnoteReference"/>
        </w:rPr>
        <w:footnoteRef/>
      </w:r>
      <w:r>
        <w:t xml:space="preserve"> </w:t>
      </w:r>
      <w:r>
        <w:rPr>
          <w:noProof/>
          <w:lang w:val="en-US"/>
        </w:rPr>
        <w:t xml:space="preserve">Pankenier, David W. 2014. "Did Babylonian Astrology Influence Early Chinese Astral Prognostication Xing Zhan Shu </w:t>
      </w:r>
      <w:r>
        <w:rPr>
          <w:rFonts w:ascii="MS Gothic" w:eastAsia="MS Gothic" w:hAnsi="MS Gothic" w:cs="MS Gothic" w:hint="eastAsia"/>
          <w:noProof/>
          <w:lang w:val="en-US"/>
        </w:rPr>
        <w:t>星占術</w:t>
      </w:r>
      <w:r>
        <w:rPr>
          <w:noProof/>
          <w:lang w:val="en-US"/>
        </w:rPr>
        <w:t xml:space="preserve">?" </w:t>
      </w:r>
      <w:r>
        <w:rPr>
          <w:i/>
          <w:iCs/>
          <w:noProof/>
          <w:lang w:val="en-US"/>
        </w:rPr>
        <w:t>Early China vol 37</w:t>
      </w:r>
      <w:r>
        <w:rPr>
          <w:noProof/>
          <w:lang w:val="en-US"/>
        </w:rPr>
        <w:t xml:space="preserve"> pp. 1–13.</w:t>
      </w:r>
    </w:p>
  </w:footnote>
  <w:footnote w:id="74">
    <w:p w14:paraId="32276FFA" w14:textId="363F2E85" w:rsidR="00E91AA8" w:rsidRPr="00E91AA8" w:rsidRDefault="00000000">
      <w:pPr>
        <w:pStyle w:val="FootnoteText"/>
        <w:rPr>
          <w:lang w:val="en-US"/>
        </w:rPr>
      </w:pPr>
      <w:r>
        <w:rPr>
          <w:rStyle w:val="FootnoteReference"/>
        </w:rPr>
        <w:footnoteRef/>
      </w:r>
      <w:r>
        <w:t xml:space="preserve"> </w:t>
      </w:r>
      <w:r>
        <w:rPr>
          <w:noProof/>
          <w:lang w:val="en-US"/>
        </w:rPr>
        <w:t xml:space="preserve">Pankenier, </w:t>
      </w:r>
      <w:r w:rsidRPr="00E91AA8">
        <w:rPr>
          <w:i/>
          <w:iCs/>
          <w:noProof/>
          <w:lang w:val="en-US"/>
        </w:rPr>
        <w:t>Did Babylonian Astrology Influence Early Chinese Astral Prognostication</w:t>
      </w:r>
      <w:r>
        <w:rPr>
          <w:i/>
          <w:iCs/>
          <w:noProof/>
          <w:lang w:val="en-US"/>
        </w:rPr>
        <w:t>,</w:t>
      </w:r>
      <w:r>
        <w:rPr>
          <w:noProof/>
          <w:lang w:val="en-US"/>
        </w:rPr>
        <w:t xml:space="preserve"> p. 13.</w:t>
      </w:r>
    </w:p>
  </w:footnote>
  <w:footnote w:id="75">
    <w:p w14:paraId="3A466A03" w14:textId="1DDFB389" w:rsidR="006F48C8" w:rsidRPr="006F48C8" w:rsidRDefault="00000000">
      <w:pPr>
        <w:pStyle w:val="FootnoteText"/>
        <w:rPr>
          <w:lang w:val="en-US"/>
        </w:rPr>
      </w:pPr>
      <w:r>
        <w:rPr>
          <w:rStyle w:val="FootnoteReference"/>
        </w:rPr>
        <w:footnoteRef/>
      </w:r>
      <w:r w:rsidR="006A5F38">
        <w:t xml:space="preserve"> </w:t>
      </w:r>
      <w:r>
        <w:t>Zhang</w:t>
      </w:r>
      <w:r w:rsidR="006A5F38">
        <w:t>, He</w:t>
      </w:r>
      <w:r>
        <w:rPr>
          <w:noProof/>
          <w:lang w:val="en-US"/>
        </w:rPr>
        <w:t xml:space="preserve">. 2020. "The Chinese 60-Day/Year and Mesoamerican 260-Day Calendars: A Comparative Study of Cyclical Calendrical Systems and Cosmology." </w:t>
      </w:r>
      <w:r w:rsidR="003C4699">
        <w:rPr>
          <w:i/>
          <w:iCs/>
          <w:noProof/>
          <w:lang w:val="en-US"/>
        </w:rPr>
        <w:t>Sino</w:t>
      </w:r>
      <w:r>
        <w:rPr>
          <w:i/>
          <w:iCs/>
          <w:noProof/>
          <w:lang w:val="en-US"/>
        </w:rPr>
        <w:t>-</w:t>
      </w:r>
      <w:r w:rsidR="003C4699">
        <w:rPr>
          <w:i/>
          <w:iCs/>
          <w:noProof/>
          <w:lang w:val="en-US"/>
        </w:rPr>
        <w:t>Platonic</w:t>
      </w:r>
      <w:r>
        <w:rPr>
          <w:i/>
          <w:iCs/>
          <w:noProof/>
          <w:lang w:val="en-US"/>
        </w:rPr>
        <w:t xml:space="preserve"> </w:t>
      </w:r>
      <w:r w:rsidR="003C4699">
        <w:rPr>
          <w:i/>
          <w:iCs/>
          <w:noProof/>
          <w:lang w:val="en-US"/>
        </w:rPr>
        <w:t>Papers</w:t>
      </w:r>
      <w:r w:rsidR="00135B12">
        <w:rPr>
          <w:i/>
          <w:iCs/>
          <w:noProof/>
          <w:lang w:val="en-US"/>
        </w:rPr>
        <w:t xml:space="preserve"> Number 305</w:t>
      </w:r>
      <w:r w:rsidR="00135B12">
        <w:rPr>
          <w:noProof/>
          <w:lang w:val="en-US"/>
        </w:rPr>
        <w:t>,</w:t>
      </w:r>
      <w:r>
        <w:rPr>
          <w:noProof/>
          <w:lang w:val="en-US"/>
        </w:rPr>
        <w:t xml:space="preserve"> pp. 1-35.</w:t>
      </w:r>
    </w:p>
  </w:footnote>
  <w:footnote w:id="76">
    <w:p w14:paraId="611FCC35" w14:textId="76829B12" w:rsidR="00330EA9" w:rsidRPr="00330EA9" w:rsidRDefault="00000000">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noProof/>
          <w:lang w:val="en-US"/>
        </w:rPr>
        <w:t>, p. 9.</w:t>
      </w:r>
    </w:p>
  </w:footnote>
  <w:footnote w:id="77">
    <w:p w14:paraId="14D99706" w14:textId="7107B4B4" w:rsidR="007619DA" w:rsidRPr="007619DA" w:rsidRDefault="00000000">
      <w:pPr>
        <w:pStyle w:val="FootnoteText"/>
        <w:rPr>
          <w:lang w:val="en-US"/>
        </w:rPr>
      </w:pPr>
      <w:r>
        <w:rPr>
          <w:rStyle w:val="FootnoteReference"/>
        </w:rPr>
        <w:footnoteRef/>
      </w:r>
      <w:r>
        <w:t xml:space="preserve"> </w:t>
      </w:r>
      <w:r w:rsidR="00DC6BF5">
        <w:t>Ibid</w:t>
      </w:r>
      <w:r>
        <w:rPr>
          <w:noProof/>
          <w:lang w:val="en-US"/>
        </w:rPr>
        <w:t>, p. 13.</w:t>
      </w:r>
    </w:p>
  </w:footnote>
  <w:footnote w:id="78">
    <w:p w14:paraId="59A95D12" w14:textId="268BD6A8" w:rsidR="00DC6BF5" w:rsidRPr="00DC6BF5" w:rsidRDefault="00000000">
      <w:pPr>
        <w:pStyle w:val="FootnoteText"/>
        <w:rPr>
          <w:lang w:val="en-US"/>
        </w:rPr>
      </w:pPr>
      <w:r>
        <w:rPr>
          <w:rStyle w:val="FootnoteReference"/>
        </w:rPr>
        <w:footnoteRef/>
      </w:r>
      <w:r>
        <w:t xml:space="preserve"> </w:t>
      </w:r>
      <w:r>
        <w:rPr>
          <w:lang w:val="en-US"/>
        </w:rPr>
        <w:t>Ibid, pp. 13-14.</w:t>
      </w:r>
    </w:p>
  </w:footnote>
  <w:footnote w:id="79">
    <w:p w14:paraId="33E2F7DB" w14:textId="08FA217E" w:rsidR="00BA0999" w:rsidRPr="00BA0999" w:rsidRDefault="00000000">
      <w:pPr>
        <w:pStyle w:val="FootnoteText"/>
        <w:rPr>
          <w:lang w:val="en-US"/>
        </w:rPr>
      </w:pPr>
      <w:r>
        <w:rPr>
          <w:rStyle w:val="FootnoteReference"/>
        </w:rPr>
        <w:footnoteRef/>
      </w:r>
      <w:r>
        <w:t xml:space="preserve"> </w:t>
      </w:r>
      <w:r>
        <w:rPr>
          <w:lang w:val="en-US"/>
        </w:rPr>
        <w:t>Ibid, pp. 14-17.</w:t>
      </w:r>
    </w:p>
  </w:footnote>
  <w:footnote w:id="80">
    <w:p w14:paraId="422790A4" w14:textId="2B2451A5" w:rsidR="00311BD3" w:rsidRPr="00311BD3" w:rsidRDefault="00000000">
      <w:pPr>
        <w:pStyle w:val="FootnoteText"/>
        <w:rPr>
          <w:lang w:val="en-US"/>
        </w:rPr>
      </w:pPr>
      <w:r>
        <w:rPr>
          <w:rStyle w:val="FootnoteReference"/>
        </w:rPr>
        <w:footnoteRef/>
      </w:r>
      <w:r>
        <w:t xml:space="preserve"> </w:t>
      </w:r>
      <w:r>
        <w:rPr>
          <w:lang w:val="en-US"/>
        </w:rPr>
        <w:t>Ibid, p. 16.</w:t>
      </w:r>
    </w:p>
  </w:footnote>
  <w:footnote w:id="81">
    <w:p w14:paraId="38798DFA" w14:textId="5B71C140" w:rsidR="00460B27" w:rsidRPr="00460B27" w:rsidRDefault="00000000">
      <w:pPr>
        <w:pStyle w:val="FootnoteText"/>
        <w:rPr>
          <w:lang w:val="en-US"/>
        </w:rPr>
      </w:pPr>
      <w:r>
        <w:rPr>
          <w:rStyle w:val="FootnoteReference"/>
        </w:rPr>
        <w:footnoteRef/>
      </w:r>
      <w:r>
        <w:t xml:space="preserve"> </w:t>
      </w:r>
      <w:r>
        <w:rPr>
          <w:lang w:val="en-US"/>
        </w:rPr>
        <w:t>Ibid, p. 17.</w:t>
      </w:r>
    </w:p>
  </w:footnote>
  <w:footnote w:id="82">
    <w:p w14:paraId="2F9D34F6" w14:textId="5CECA55D" w:rsidR="00D826D2" w:rsidRPr="00401A31" w:rsidRDefault="00000000" w:rsidP="00D826D2">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lang w:val="en-US"/>
        </w:rPr>
        <w:t>, pp. 3-4</w:t>
      </w:r>
      <w:r w:rsidR="0010032F">
        <w:rPr>
          <w:lang w:val="en-US"/>
        </w:rPr>
        <w:t xml:space="preserve">, </w:t>
      </w:r>
      <w:r w:rsidR="006E31F4">
        <w:rPr>
          <w:lang w:val="en-US"/>
        </w:rPr>
        <w:t>20.</w:t>
      </w:r>
    </w:p>
  </w:footnote>
  <w:footnote w:id="83">
    <w:p w14:paraId="65D3D933" w14:textId="1D719DF9" w:rsidR="006E31F4" w:rsidRPr="006E31F4" w:rsidRDefault="00000000">
      <w:pPr>
        <w:pStyle w:val="FootnoteText"/>
        <w:rPr>
          <w:lang w:val="en-US"/>
        </w:rPr>
      </w:pPr>
      <w:r>
        <w:rPr>
          <w:rStyle w:val="FootnoteReference"/>
        </w:rPr>
        <w:footnoteRef/>
      </w:r>
      <w:r>
        <w:t xml:space="preserve"> </w:t>
      </w:r>
      <w:r>
        <w:rPr>
          <w:lang w:val="en-US"/>
        </w:rPr>
        <w:t>Ibid, p. 21.</w:t>
      </w:r>
    </w:p>
  </w:footnote>
  <w:footnote w:id="84">
    <w:p w14:paraId="5FCF819F" w14:textId="77777777" w:rsidR="00746022" w:rsidRPr="00E76DB6" w:rsidRDefault="00000000" w:rsidP="00746022">
      <w:pPr>
        <w:pStyle w:val="FootnoteText"/>
        <w:rPr>
          <w:lang w:val="en-US"/>
        </w:rPr>
      </w:pPr>
      <w:r>
        <w:rPr>
          <w:rStyle w:val="FootnoteReference"/>
        </w:rPr>
        <w:footnoteRef/>
      </w:r>
      <w:r>
        <w:t xml:space="preserve"> </w:t>
      </w:r>
      <w:r>
        <w:rPr>
          <w:noProof/>
          <w:lang w:val="en-US"/>
        </w:rPr>
        <w:t xml:space="preserve">Campion, Nicholas. 2012. </w:t>
      </w:r>
      <w:r>
        <w:rPr>
          <w:i/>
          <w:iCs/>
          <w:noProof/>
          <w:lang w:val="en-US"/>
        </w:rPr>
        <w:t>Astrology and Cosmology in the World's Religions.</w:t>
      </w:r>
      <w:r>
        <w:rPr>
          <w:noProof/>
          <w:lang w:val="en-US"/>
        </w:rPr>
        <w:t xml:space="preserve"> New York: New York University Press, p. 94.</w:t>
      </w:r>
    </w:p>
  </w:footnote>
  <w:footnote w:id="85">
    <w:p w14:paraId="36ACA7D3" w14:textId="77777777" w:rsidR="00746022" w:rsidRPr="003062FE" w:rsidRDefault="00000000" w:rsidP="00746022">
      <w:pPr>
        <w:pStyle w:val="FootnoteText"/>
        <w:rPr>
          <w:lang w:val="en-US"/>
        </w:rPr>
      </w:pPr>
      <w:r>
        <w:rPr>
          <w:rStyle w:val="FootnoteReference"/>
        </w:rPr>
        <w:footnoteRef/>
      </w:r>
      <w:r>
        <w:t xml:space="preserve"> </w:t>
      </w:r>
      <w:r>
        <w:rPr>
          <w:noProof/>
          <w:lang w:val="en-US"/>
        </w:rPr>
        <w:t xml:space="preserve">Milbrath, </w:t>
      </w:r>
      <w:r w:rsidRPr="003062FE">
        <w:rPr>
          <w:i/>
          <w:iCs/>
          <w:noProof/>
          <w:lang w:val="en-US"/>
        </w:rPr>
        <w:t>The many faces of Venus in Mesoamerica</w:t>
      </w:r>
      <w:r>
        <w:rPr>
          <w:noProof/>
          <w:lang w:val="en-US"/>
        </w:rPr>
        <w:t>, p. 127.</w:t>
      </w:r>
    </w:p>
  </w:footnote>
  <w:footnote w:id="86">
    <w:p w14:paraId="18AF152F" w14:textId="77777777" w:rsidR="00746022" w:rsidRPr="00677985" w:rsidRDefault="00000000" w:rsidP="00746022">
      <w:pPr>
        <w:pStyle w:val="FootnoteText"/>
        <w:rPr>
          <w:lang w:val="en-US"/>
        </w:rPr>
      </w:pPr>
      <w:r>
        <w:rPr>
          <w:rStyle w:val="FootnoteReference"/>
        </w:rPr>
        <w:footnoteRef/>
      </w:r>
      <w:r>
        <w:rPr>
          <w:noProof/>
          <w:lang w:val="en-US"/>
        </w:rPr>
        <w:t xml:space="preserve"> Schele and Freidel, </w:t>
      </w:r>
      <w:r>
        <w:rPr>
          <w:i/>
          <w:iCs/>
          <w:noProof/>
          <w:lang w:val="en-US"/>
        </w:rPr>
        <w:t>A Forest of Kings</w:t>
      </w:r>
      <w:r>
        <w:rPr>
          <w:noProof/>
          <w:lang w:val="en-US"/>
        </w:rPr>
        <w:t>.</w:t>
      </w:r>
    </w:p>
  </w:footnote>
  <w:footnote w:id="87">
    <w:p w14:paraId="0FCC6326" w14:textId="77777777" w:rsidR="00746022" w:rsidRPr="000B338C" w:rsidRDefault="00000000" w:rsidP="00746022">
      <w:pPr>
        <w:pStyle w:val="FootnoteText"/>
        <w:rPr>
          <w:lang w:val="en-US"/>
        </w:rPr>
      </w:pPr>
      <w:r>
        <w:rPr>
          <w:rStyle w:val="FootnoteReference"/>
        </w:rPr>
        <w:footnoteRef/>
      </w:r>
      <w:r>
        <w:t xml:space="preserve"> </w:t>
      </w:r>
      <w:r>
        <w:rPr>
          <w:noProof/>
          <w:lang w:val="en-US"/>
        </w:rPr>
        <w:t xml:space="preserve">Martin, </w:t>
      </w:r>
      <w:r w:rsidRPr="0078214F">
        <w:rPr>
          <w:i/>
          <w:iCs/>
          <w:noProof/>
          <w:lang w:val="en-US"/>
        </w:rPr>
        <w:t>Tikal’s “Star War</w:t>
      </w:r>
      <w:r>
        <w:rPr>
          <w:i/>
          <w:iCs/>
          <w:noProof/>
          <w:lang w:val="en-US"/>
        </w:rPr>
        <w:t>”</w:t>
      </w:r>
      <w:r>
        <w:rPr>
          <w:noProof/>
          <w:lang w:val="en-US"/>
        </w:rPr>
        <w:t>, pp. 223–236.</w:t>
      </w:r>
    </w:p>
  </w:footnote>
  <w:footnote w:id="88">
    <w:p w14:paraId="2F046FB0" w14:textId="36D98BE8" w:rsidR="00746022" w:rsidRPr="00E612E4" w:rsidRDefault="00000000" w:rsidP="00746022">
      <w:pPr>
        <w:pStyle w:val="FootnoteText"/>
        <w:rPr>
          <w:lang w:val="en-US"/>
        </w:rPr>
      </w:pPr>
      <w:r>
        <w:rPr>
          <w:rStyle w:val="FootnoteReference"/>
        </w:rPr>
        <w:footnoteRef/>
      </w:r>
      <w:r>
        <w:t xml:space="preserve"> </w:t>
      </w:r>
      <w:r>
        <w:rPr>
          <w:lang w:val="en-US"/>
        </w:rPr>
        <w:t>Aldan</w:t>
      </w:r>
      <w:r w:rsidR="00707D7B">
        <w:rPr>
          <w:lang w:val="en-US"/>
        </w:rPr>
        <w:t>a</w:t>
      </w:r>
      <w:r>
        <w:rPr>
          <w:lang w:val="en-US"/>
        </w:rPr>
        <w:t xml:space="preserve">, </w:t>
      </w:r>
      <w:r w:rsidRPr="00A84722">
        <w:rPr>
          <w:i/>
          <w:iCs/>
          <w:lang w:val="en-US"/>
        </w:rPr>
        <w:t>Agency</w:t>
      </w:r>
      <w:r>
        <w:rPr>
          <w:i/>
          <w:iCs/>
          <w:lang w:val="en-US"/>
        </w:rPr>
        <w:t xml:space="preserve">, </w:t>
      </w:r>
      <w:r w:rsidRPr="00271DB7">
        <w:rPr>
          <w:lang w:val="en-US"/>
        </w:rPr>
        <w:t>p. 305.</w:t>
      </w:r>
    </w:p>
  </w:footnote>
  <w:footnote w:id="89">
    <w:p w14:paraId="583D8655" w14:textId="77777777" w:rsidR="00746022" w:rsidRPr="00157395" w:rsidRDefault="00000000" w:rsidP="00746022">
      <w:pPr>
        <w:spacing w:line="276" w:lineRule="auto"/>
        <w:rPr>
          <w:noProof/>
          <w:sz w:val="20"/>
          <w:szCs w:val="20"/>
          <w:lang w:val="en-US"/>
        </w:rPr>
      </w:pPr>
      <w:r>
        <w:rPr>
          <w:rStyle w:val="FootnoteReference"/>
        </w:rPr>
        <w:footnoteRef/>
      </w:r>
      <w:r>
        <w:t xml:space="preserve"> </w:t>
      </w:r>
      <w:r>
        <w:rPr>
          <w:noProof/>
          <w:sz w:val="20"/>
          <w:szCs w:val="20"/>
          <w:lang w:val="en-US"/>
        </w:rPr>
        <w:t>Zhang</w:t>
      </w:r>
      <w:r w:rsidRPr="00CF0291">
        <w:rPr>
          <w:noProof/>
          <w:sz w:val="20"/>
          <w:szCs w:val="20"/>
          <w:lang w:val="en-US"/>
        </w:rPr>
        <w:t xml:space="preserve">, </w:t>
      </w:r>
      <w:r w:rsidRPr="00B75D89">
        <w:rPr>
          <w:i/>
          <w:iCs/>
          <w:noProof/>
          <w:sz w:val="20"/>
          <w:szCs w:val="20"/>
          <w:lang w:val="en-US"/>
        </w:rPr>
        <w:t>Planet Venus in the Astrology of Ancient Mesopotamia and China</w:t>
      </w:r>
      <w:r>
        <w:rPr>
          <w:noProof/>
          <w:sz w:val="20"/>
          <w:szCs w:val="20"/>
          <w:lang w:val="en-US"/>
        </w:rPr>
        <w:t xml:space="preserve">, </w:t>
      </w:r>
      <w:r w:rsidRPr="00CF0291">
        <w:rPr>
          <w:noProof/>
          <w:sz w:val="20"/>
          <w:szCs w:val="20"/>
          <w:lang w:val="en-US"/>
        </w:rPr>
        <w:t xml:space="preserve">pp. </w:t>
      </w:r>
      <w:r>
        <w:rPr>
          <w:noProof/>
          <w:sz w:val="20"/>
          <w:szCs w:val="20"/>
          <w:lang w:val="en-US"/>
        </w:rPr>
        <w:t>9-11.</w:t>
      </w:r>
    </w:p>
  </w:footnote>
  <w:footnote w:id="90">
    <w:p w14:paraId="4B574B16" w14:textId="77777777" w:rsidR="00746022" w:rsidRPr="00E91AA8" w:rsidRDefault="00000000" w:rsidP="00746022">
      <w:pPr>
        <w:pStyle w:val="FootnoteText"/>
        <w:rPr>
          <w:lang w:val="en-US"/>
        </w:rPr>
      </w:pPr>
      <w:r>
        <w:rPr>
          <w:rStyle w:val="FootnoteReference"/>
        </w:rPr>
        <w:footnoteRef/>
      </w:r>
      <w:r>
        <w:t xml:space="preserve"> </w:t>
      </w:r>
      <w:r>
        <w:rPr>
          <w:noProof/>
          <w:lang w:val="en-US"/>
        </w:rPr>
        <w:t xml:space="preserve">Pankenier, </w:t>
      </w:r>
      <w:r w:rsidRPr="00E91AA8">
        <w:rPr>
          <w:i/>
          <w:iCs/>
          <w:noProof/>
          <w:lang w:val="en-US"/>
        </w:rPr>
        <w:t>Did Babylonian Astrology Influence Early Chinese Astral Prognostication</w:t>
      </w:r>
      <w:r>
        <w:rPr>
          <w:i/>
          <w:iCs/>
          <w:noProof/>
          <w:lang w:val="en-US"/>
        </w:rPr>
        <w:t>,</w:t>
      </w:r>
      <w:r>
        <w:rPr>
          <w:noProof/>
          <w:lang w:val="en-US"/>
        </w:rPr>
        <w:t xml:space="preserve"> p. 13.</w:t>
      </w:r>
    </w:p>
    <w:p w14:paraId="6EE86D85" w14:textId="77777777" w:rsidR="00746022" w:rsidRPr="006B72E4" w:rsidRDefault="00746022" w:rsidP="00746022">
      <w:pPr>
        <w:pStyle w:val="FootnoteText"/>
        <w:rPr>
          <w:lang w:val="en-US"/>
        </w:rPr>
      </w:pPr>
    </w:p>
  </w:footnote>
  <w:footnote w:id="91">
    <w:p w14:paraId="65BE820C" w14:textId="77777777" w:rsidR="00746022" w:rsidRPr="00401A31" w:rsidRDefault="00000000" w:rsidP="00746022">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lang w:val="en-US"/>
        </w:rPr>
        <w:t>, p. 21.</w:t>
      </w:r>
    </w:p>
    <w:p w14:paraId="588FF494" w14:textId="77777777" w:rsidR="00746022" w:rsidRPr="00CD0035" w:rsidRDefault="00746022" w:rsidP="00746022">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35D6F"/>
    <w:multiLevelType w:val="hybridMultilevel"/>
    <w:tmpl w:val="E9922F40"/>
    <w:lvl w:ilvl="0" w:tplc="0008739C">
      <w:start w:val="16"/>
      <w:numFmt w:val="bullet"/>
      <w:lvlText w:val="-"/>
      <w:lvlJc w:val="left"/>
      <w:pPr>
        <w:ind w:left="720" w:hanging="360"/>
      </w:pPr>
      <w:rPr>
        <w:rFonts w:ascii="Aptos" w:eastAsiaTheme="minorHAnsi" w:hAnsi="Aptos" w:cstheme="minorBidi" w:hint="default"/>
      </w:rPr>
    </w:lvl>
    <w:lvl w:ilvl="1" w:tplc="A59AAA00" w:tentative="1">
      <w:start w:val="1"/>
      <w:numFmt w:val="bullet"/>
      <w:lvlText w:val="o"/>
      <w:lvlJc w:val="left"/>
      <w:pPr>
        <w:ind w:left="1440" w:hanging="360"/>
      </w:pPr>
      <w:rPr>
        <w:rFonts w:ascii="Courier New" w:hAnsi="Courier New" w:cs="Courier New" w:hint="default"/>
      </w:rPr>
    </w:lvl>
    <w:lvl w:ilvl="2" w:tplc="4E08D96A" w:tentative="1">
      <w:start w:val="1"/>
      <w:numFmt w:val="bullet"/>
      <w:lvlText w:val=""/>
      <w:lvlJc w:val="left"/>
      <w:pPr>
        <w:ind w:left="2160" w:hanging="360"/>
      </w:pPr>
      <w:rPr>
        <w:rFonts w:ascii="Wingdings" w:hAnsi="Wingdings" w:hint="default"/>
      </w:rPr>
    </w:lvl>
    <w:lvl w:ilvl="3" w:tplc="6DD289B4" w:tentative="1">
      <w:start w:val="1"/>
      <w:numFmt w:val="bullet"/>
      <w:lvlText w:val=""/>
      <w:lvlJc w:val="left"/>
      <w:pPr>
        <w:ind w:left="2880" w:hanging="360"/>
      </w:pPr>
      <w:rPr>
        <w:rFonts w:ascii="Symbol" w:hAnsi="Symbol" w:hint="default"/>
      </w:rPr>
    </w:lvl>
    <w:lvl w:ilvl="4" w:tplc="62C49978" w:tentative="1">
      <w:start w:val="1"/>
      <w:numFmt w:val="bullet"/>
      <w:lvlText w:val="o"/>
      <w:lvlJc w:val="left"/>
      <w:pPr>
        <w:ind w:left="3600" w:hanging="360"/>
      </w:pPr>
      <w:rPr>
        <w:rFonts w:ascii="Courier New" w:hAnsi="Courier New" w:cs="Courier New" w:hint="default"/>
      </w:rPr>
    </w:lvl>
    <w:lvl w:ilvl="5" w:tplc="0DB66C10" w:tentative="1">
      <w:start w:val="1"/>
      <w:numFmt w:val="bullet"/>
      <w:lvlText w:val=""/>
      <w:lvlJc w:val="left"/>
      <w:pPr>
        <w:ind w:left="4320" w:hanging="360"/>
      </w:pPr>
      <w:rPr>
        <w:rFonts w:ascii="Wingdings" w:hAnsi="Wingdings" w:hint="default"/>
      </w:rPr>
    </w:lvl>
    <w:lvl w:ilvl="6" w:tplc="214E07DC" w:tentative="1">
      <w:start w:val="1"/>
      <w:numFmt w:val="bullet"/>
      <w:lvlText w:val=""/>
      <w:lvlJc w:val="left"/>
      <w:pPr>
        <w:ind w:left="5040" w:hanging="360"/>
      </w:pPr>
      <w:rPr>
        <w:rFonts w:ascii="Symbol" w:hAnsi="Symbol" w:hint="default"/>
      </w:rPr>
    </w:lvl>
    <w:lvl w:ilvl="7" w:tplc="D9202750" w:tentative="1">
      <w:start w:val="1"/>
      <w:numFmt w:val="bullet"/>
      <w:lvlText w:val="o"/>
      <w:lvlJc w:val="left"/>
      <w:pPr>
        <w:ind w:left="5760" w:hanging="360"/>
      </w:pPr>
      <w:rPr>
        <w:rFonts w:ascii="Courier New" w:hAnsi="Courier New" w:cs="Courier New" w:hint="default"/>
      </w:rPr>
    </w:lvl>
    <w:lvl w:ilvl="8" w:tplc="AF7E28D6" w:tentative="1">
      <w:start w:val="1"/>
      <w:numFmt w:val="bullet"/>
      <w:lvlText w:val=""/>
      <w:lvlJc w:val="left"/>
      <w:pPr>
        <w:ind w:left="6480" w:hanging="360"/>
      </w:pPr>
      <w:rPr>
        <w:rFonts w:ascii="Wingdings" w:hAnsi="Wingdings" w:hint="default"/>
      </w:rPr>
    </w:lvl>
  </w:abstractNum>
  <w:abstractNum w:abstractNumId="1" w15:restartNumberingAfterBreak="0">
    <w:nsid w:val="40C502F7"/>
    <w:multiLevelType w:val="hybridMultilevel"/>
    <w:tmpl w:val="49FCDB5E"/>
    <w:lvl w:ilvl="0" w:tplc="C5E8CC7E">
      <w:numFmt w:val="bullet"/>
      <w:lvlText w:val="-"/>
      <w:lvlJc w:val="left"/>
      <w:pPr>
        <w:ind w:left="720" w:hanging="360"/>
      </w:pPr>
      <w:rPr>
        <w:rFonts w:ascii="Aptos" w:eastAsiaTheme="minorHAnsi" w:hAnsi="Aptos" w:cstheme="minorBidi" w:hint="default"/>
      </w:rPr>
    </w:lvl>
    <w:lvl w:ilvl="1" w:tplc="73D63D2E" w:tentative="1">
      <w:start w:val="1"/>
      <w:numFmt w:val="bullet"/>
      <w:lvlText w:val="o"/>
      <w:lvlJc w:val="left"/>
      <w:pPr>
        <w:ind w:left="1440" w:hanging="360"/>
      </w:pPr>
      <w:rPr>
        <w:rFonts w:ascii="Courier New" w:hAnsi="Courier New" w:cs="Courier New" w:hint="default"/>
      </w:rPr>
    </w:lvl>
    <w:lvl w:ilvl="2" w:tplc="84C61AF2" w:tentative="1">
      <w:start w:val="1"/>
      <w:numFmt w:val="bullet"/>
      <w:lvlText w:val=""/>
      <w:lvlJc w:val="left"/>
      <w:pPr>
        <w:ind w:left="2160" w:hanging="360"/>
      </w:pPr>
      <w:rPr>
        <w:rFonts w:ascii="Wingdings" w:hAnsi="Wingdings" w:hint="default"/>
      </w:rPr>
    </w:lvl>
    <w:lvl w:ilvl="3" w:tplc="F86619EC" w:tentative="1">
      <w:start w:val="1"/>
      <w:numFmt w:val="bullet"/>
      <w:lvlText w:val=""/>
      <w:lvlJc w:val="left"/>
      <w:pPr>
        <w:ind w:left="2880" w:hanging="360"/>
      </w:pPr>
      <w:rPr>
        <w:rFonts w:ascii="Symbol" w:hAnsi="Symbol" w:hint="default"/>
      </w:rPr>
    </w:lvl>
    <w:lvl w:ilvl="4" w:tplc="CCC8A85C" w:tentative="1">
      <w:start w:val="1"/>
      <w:numFmt w:val="bullet"/>
      <w:lvlText w:val="o"/>
      <w:lvlJc w:val="left"/>
      <w:pPr>
        <w:ind w:left="3600" w:hanging="360"/>
      </w:pPr>
      <w:rPr>
        <w:rFonts w:ascii="Courier New" w:hAnsi="Courier New" w:cs="Courier New" w:hint="default"/>
      </w:rPr>
    </w:lvl>
    <w:lvl w:ilvl="5" w:tplc="63CAC024" w:tentative="1">
      <w:start w:val="1"/>
      <w:numFmt w:val="bullet"/>
      <w:lvlText w:val=""/>
      <w:lvlJc w:val="left"/>
      <w:pPr>
        <w:ind w:left="4320" w:hanging="360"/>
      </w:pPr>
      <w:rPr>
        <w:rFonts w:ascii="Wingdings" w:hAnsi="Wingdings" w:hint="default"/>
      </w:rPr>
    </w:lvl>
    <w:lvl w:ilvl="6" w:tplc="D6C62B32" w:tentative="1">
      <w:start w:val="1"/>
      <w:numFmt w:val="bullet"/>
      <w:lvlText w:val=""/>
      <w:lvlJc w:val="left"/>
      <w:pPr>
        <w:ind w:left="5040" w:hanging="360"/>
      </w:pPr>
      <w:rPr>
        <w:rFonts w:ascii="Symbol" w:hAnsi="Symbol" w:hint="default"/>
      </w:rPr>
    </w:lvl>
    <w:lvl w:ilvl="7" w:tplc="8BC0DF96" w:tentative="1">
      <w:start w:val="1"/>
      <w:numFmt w:val="bullet"/>
      <w:lvlText w:val="o"/>
      <w:lvlJc w:val="left"/>
      <w:pPr>
        <w:ind w:left="5760" w:hanging="360"/>
      </w:pPr>
      <w:rPr>
        <w:rFonts w:ascii="Courier New" w:hAnsi="Courier New" w:cs="Courier New" w:hint="default"/>
      </w:rPr>
    </w:lvl>
    <w:lvl w:ilvl="8" w:tplc="1F0A38F6" w:tentative="1">
      <w:start w:val="1"/>
      <w:numFmt w:val="bullet"/>
      <w:lvlText w:val=""/>
      <w:lvlJc w:val="left"/>
      <w:pPr>
        <w:ind w:left="6480" w:hanging="360"/>
      </w:pPr>
      <w:rPr>
        <w:rFonts w:ascii="Wingdings" w:hAnsi="Wingdings" w:hint="default"/>
      </w:rPr>
    </w:lvl>
  </w:abstractNum>
  <w:abstractNum w:abstractNumId="2" w15:restartNumberingAfterBreak="0">
    <w:nsid w:val="58FA3FDE"/>
    <w:multiLevelType w:val="hybridMultilevel"/>
    <w:tmpl w:val="CA8E5404"/>
    <w:lvl w:ilvl="0" w:tplc="9E78F468">
      <w:start w:val="1"/>
      <w:numFmt w:val="bullet"/>
      <w:lvlText w:val=""/>
      <w:lvlJc w:val="left"/>
      <w:pPr>
        <w:ind w:left="720" w:hanging="360"/>
      </w:pPr>
      <w:rPr>
        <w:rFonts w:ascii="Symbol" w:hAnsi="Symbol" w:hint="default"/>
      </w:rPr>
    </w:lvl>
    <w:lvl w:ilvl="1" w:tplc="CB30A6D6">
      <w:start w:val="1"/>
      <w:numFmt w:val="bullet"/>
      <w:lvlText w:val="o"/>
      <w:lvlJc w:val="left"/>
      <w:pPr>
        <w:ind w:left="1440" w:hanging="360"/>
      </w:pPr>
      <w:rPr>
        <w:rFonts w:ascii="Courier New" w:hAnsi="Courier New" w:cs="Courier New" w:hint="default"/>
      </w:rPr>
    </w:lvl>
    <w:lvl w:ilvl="2" w:tplc="EDAEC93E" w:tentative="1">
      <w:start w:val="1"/>
      <w:numFmt w:val="bullet"/>
      <w:lvlText w:val=""/>
      <w:lvlJc w:val="left"/>
      <w:pPr>
        <w:ind w:left="2160" w:hanging="360"/>
      </w:pPr>
      <w:rPr>
        <w:rFonts w:ascii="Wingdings" w:hAnsi="Wingdings" w:hint="default"/>
      </w:rPr>
    </w:lvl>
    <w:lvl w:ilvl="3" w:tplc="FD100668" w:tentative="1">
      <w:start w:val="1"/>
      <w:numFmt w:val="bullet"/>
      <w:lvlText w:val=""/>
      <w:lvlJc w:val="left"/>
      <w:pPr>
        <w:ind w:left="2880" w:hanging="360"/>
      </w:pPr>
      <w:rPr>
        <w:rFonts w:ascii="Symbol" w:hAnsi="Symbol" w:hint="default"/>
      </w:rPr>
    </w:lvl>
    <w:lvl w:ilvl="4" w:tplc="417EDB94" w:tentative="1">
      <w:start w:val="1"/>
      <w:numFmt w:val="bullet"/>
      <w:lvlText w:val="o"/>
      <w:lvlJc w:val="left"/>
      <w:pPr>
        <w:ind w:left="3600" w:hanging="360"/>
      </w:pPr>
      <w:rPr>
        <w:rFonts w:ascii="Courier New" w:hAnsi="Courier New" w:cs="Courier New" w:hint="default"/>
      </w:rPr>
    </w:lvl>
    <w:lvl w:ilvl="5" w:tplc="543A95E2" w:tentative="1">
      <w:start w:val="1"/>
      <w:numFmt w:val="bullet"/>
      <w:lvlText w:val=""/>
      <w:lvlJc w:val="left"/>
      <w:pPr>
        <w:ind w:left="4320" w:hanging="360"/>
      </w:pPr>
      <w:rPr>
        <w:rFonts w:ascii="Wingdings" w:hAnsi="Wingdings" w:hint="default"/>
      </w:rPr>
    </w:lvl>
    <w:lvl w:ilvl="6" w:tplc="68DC3DB4" w:tentative="1">
      <w:start w:val="1"/>
      <w:numFmt w:val="bullet"/>
      <w:lvlText w:val=""/>
      <w:lvlJc w:val="left"/>
      <w:pPr>
        <w:ind w:left="5040" w:hanging="360"/>
      </w:pPr>
      <w:rPr>
        <w:rFonts w:ascii="Symbol" w:hAnsi="Symbol" w:hint="default"/>
      </w:rPr>
    </w:lvl>
    <w:lvl w:ilvl="7" w:tplc="99421A64" w:tentative="1">
      <w:start w:val="1"/>
      <w:numFmt w:val="bullet"/>
      <w:lvlText w:val="o"/>
      <w:lvlJc w:val="left"/>
      <w:pPr>
        <w:ind w:left="5760" w:hanging="360"/>
      </w:pPr>
      <w:rPr>
        <w:rFonts w:ascii="Courier New" w:hAnsi="Courier New" w:cs="Courier New" w:hint="default"/>
      </w:rPr>
    </w:lvl>
    <w:lvl w:ilvl="8" w:tplc="D05AAA98" w:tentative="1">
      <w:start w:val="1"/>
      <w:numFmt w:val="bullet"/>
      <w:lvlText w:val=""/>
      <w:lvlJc w:val="left"/>
      <w:pPr>
        <w:ind w:left="6480" w:hanging="360"/>
      </w:pPr>
      <w:rPr>
        <w:rFonts w:ascii="Wingdings" w:hAnsi="Wingdings" w:hint="default"/>
      </w:rPr>
    </w:lvl>
  </w:abstractNum>
  <w:abstractNum w:abstractNumId="3" w15:restartNumberingAfterBreak="0">
    <w:nsid w:val="70077CD0"/>
    <w:multiLevelType w:val="multilevel"/>
    <w:tmpl w:val="1238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6A20FB"/>
    <w:multiLevelType w:val="hybridMultilevel"/>
    <w:tmpl w:val="842E6784"/>
    <w:lvl w:ilvl="0" w:tplc="861C6220">
      <w:start w:val="1"/>
      <w:numFmt w:val="bullet"/>
      <w:lvlText w:val=""/>
      <w:lvlJc w:val="left"/>
      <w:pPr>
        <w:ind w:left="720" w:hanging="360"/>
      </w:pPr>
      <w:rPr>
        <w:rFonts w:ascii="Symbol" w:hAnsi="Symbol" w:hint="default"/>
      </w:rPr>
    </w:lvl>
    <w:lvl w:ilvl="1" w:tplc="F79CA6B8" w:tentative="1">
      <w:start w:val="1"/>
      <w:numFmt w:val="bullet"/>
      <w:lvlText w:val="o"/>
      <w:lvlJc w:val="left"/>
      <w:pPr>
        <w:ind w:left="1440" w:hanging="360"/>
      </w:pPr>
      <w:rPr>
        <w:rFonts w:ascii="Courier New" w:hAnsi="Courier New" w:cs="Courier New" w:hint="default"/>
      </w:rPr>
    </w:lvl>
    <w:lvl w:ilvl="2" w:tplc="6EDC682C" w:tentative="1">
      <w:start w:val="1"/>
      <w:numFmt w:val="bullet"/>
      <w:lvlText w:val=""/>
      <w:lvlJc w:val="left"/>
      <w:pPr>
        <w:ind w:left="2160" w:hanging="360"/>
      </w:pPr>
      <w:rPr>
        <w:rFonts w:ascii="Wingdings" w:hAnsi="Wingdings" w:hint="default"/>
      </w:rPr>
    </w:lvl>
    <w:lvl w:ilvl="3" w:tplc="DF4E4812" w:tentative="1">
      <w:start w:val="1"/>
      <w:numFmt w:val="bullet"/>
      <w:lvlText w:val=""/>
      <w:lvlJc w:val="left"/>
      <w:pPr>
        <w:ind w:left="2880" w:hanging="360"/>
      </w:pPr>
      <w:rPr>
        <w:rFonts w:ascii="Symbol" w:hAnsi="Symbol" w:hint="default"/>
      </w:rPr>
    </w:lvl>
    <w:lvl w:ilvl="4" w:tplc="46CC4C54" w:tentative="1">
      <w:start w:val="1"/>
      <w:numFmt w:val="bullet"/>
      <w:lvlText w:val="o"/>
      <w:lvlJc w:val="left"/>
      <w:pPr>
        <w:ind w:left="3600" w:hanging="360"/>
      </w:pPr>
      <w:rPr>
        <w:rFonts w:ascii="Courier New" w:hAnsi="Courier New" w:cs="Courier New" w:hint="default"/>
      </w:rPr>
    </w:lvl>
    <w:lvl w:ilvl="5" w:tplc="902EBBC0" w:tentative="1">
      <w:start w:val="1"/>
      <w:numFmt w:val="bullet"/>
      <w:lvlText w:val=""/>
      <w:lvlJc w:val="left"/>
      <w:pPr>
        <w:ind w:left="4320" w:hanging="360"/>
      </w:pPr>
      <w:rPr>
        <w:rFonts w:ascii="Wingdings" w:hAnsi="Wingdings" w:hint="default"/>
      </w:rPr>
    </w:lvl>
    <w:lvl w:ilvl="6" w:tplc="3F60B76C" w:tentative="1">
      <w:start w:val="1"/>
      <w:numFmt w:val="bullet"/>
      <w:lvlText w:val=""/>
      <w:lvlJc w:val="left"/>
      <w:pPr>
        <w:ind w:left="5040" w:hanging="360"/>
      </w:pPr>
      <w:rPr>
        <w:rFonts w:ascii="Symbol" w:hAnsi="Symbol" w:hint="default"/>
      </w:rPr>
    </w:lvl>
    <w:lvl w:ilvl="7" w:tplc="3EDE281A" w:tentative="1">
      <w:start w:val="1"/>
      <w:numFmt w:val="bullet"/>
      <w:lvlText w:val="o"/>
      <w:lvlJc w:val="left"/>
      <w:pPr>
        <w:ind w:left="5760" w:hanging="360"/>
      </w:pPr>
      <w:rPr>
        <w:rFonts w:ascii="Courier New" w:hAnsi="Courier New" w:cs="Courier New" w:hint="default"/>
      </w:rPr>
    </w:lvl>
    <w:lvl w:ilvl="8" w:tplc="C4DCA710" w:tentative="1">
      <w:start w:val="1"/>
      <w:numFmt w:val="bullet"/>
      <w:lvlText w:val=""/>
      <w:lvlJc w:val="left"/>
      <w:pPr>
        <w:ind w:left="6480" w:hanging="360"/>
      </w:pPr>
      <w:rPr>
        <w:rFonts w:ascii="Wingdings" w:hAnsi="Wingdings" w:hint="default"/>
      </w:rPr>
    </w:lvl>
  </w:abstractNum>
  <w:num w:numId="1" w16cid:durableId="781806651">
    <w:abstractNumId w:val="2"/>
  </w:num>
  <w:num w:numId="2" w16cid:durableId="1118063833">
    <w:abstractNumId w:val="3"/>
  </w:num>
  <w:num w:numId="3" w16cid:durableId="1558205876">
    <w:abstractNumId w:val="0"/>
  </w:num>
  <w:num w:numId="4" w16cid:durableId="209268156">
    <w:abstractNumId w:val="1"/>
  </w:num>
  <w:num w:numId="5" w16cid:durableId="775292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BF4"/>
    <w:rsid w:val="00002511"/>
    <w:rsid w:val="00016F07"/>
    <w:rsid w:val="000170C0"/>
    <w:rsid w:val="00017797"/>
    <w:rsid w:val="0002296E"/>
    <w:rsid w:val="000257B6"/>
    <w:rsid w:val="00031D0D"/>
    <w:rsid w:val="000363EE"/>
    <w:rsid w:val="00042F15"/>
    <w:rsid w:val="00044283"/>
    <w:rsid w:val="00051D7E"/>
    <w:rsid w:val="00066CC2"/>
    <w:rsid w:val="00082C82"/>
    <w:rsid w:val="000955A5"/>
    <w:rsid w:val="000A7C35"/>
    <w:rsid w:val="000B338C"/>
    <w:rsid w:val="000B4056"/>
    <w:rsid w:val="000B56D2"/>
    <w:rsid w:val="000B69A9"/>
    <w:rsid w:val="000C2ED7"/>
    <w:rsid w:val="000C7EA7"/>
    <w:rsid w:val="000D06CA"/>
    <w:rsid w:val="000D59B7"/>
    <w:rsid w:val="000F175B"/>
    <w:rsid w:val="000F3B04"/>
    <w:rsid w:val="000F750D"/>
    <w:rsid w:val="000F7643"/>
    <w:rsid w:val="0010032F"/>
    <w:rsid w:val="00100AB7"/>
    <w:rsid w:val="00101493"/>
    <w:rsid w:val="00110D5D"/>
    <w:rsid w:val="00113D01"/>
    <w:rsid w:val="00127BBE"/>
    <w:rsid w:val="00132271"/>
    <w:rsid w:val="00135B12"/>
    <w:rsid w:val="00137664"/>
    <w:rsid w:val="00141805"/>
    <w:rsid w:val="00145FBF"/>
    <w:rsid w:val="0014725C"/>
    <w:rsid w:val="00157395"/>
    <w:rsid w:val="00160638"/>
    <w:rsid w:val="00167F3C"/>
    <w:rsid w:val="00171ED6"/>
    <w:rsid w:val="0017362C"/>
    <w:rsid w:val="001737CD"/>
    <w:rsid w:val="00173B82"/>
    <w:rsid w:val="0018036E"/>
    <w:rsid w:val="00181CD3"/>
    <w:rsid w:val="0019136E"/>
    <w:rsid w:val="001A5AE5"/>
    <w:rsid w:val="001A6EEE"/>
    <w:rsid w:val="001B39F3"/>
    <w:rsid w:val="001B4D95"/>
    <w:rsid w:val="001C2095"/>
    <w:rsid w:val="001C3BE4"/>
    <w:rsid w:val="001C4ECA"/>
    <w:rsid w:val="001C6B4A"/>
    <w:rsid w:val="001D67AA"/>
    <w:rsid w:val="001D6C0A"/>
    <w:rsid w:val="001E0E14"/>
    <w:rsid w:val="001E0F57"/>
    <w:rsid w:val="001E324E"/>
    <w:rsid w:val="001E7A7A"/>
    <w:rsid w:val="001F59FC"/>
    <w:rsid w:val="00200ABB"/>
    <w:rsid w:val="00205608"/>
    <w:rsid w:val="0021068B"/>
    <w:rsid w:val="002116C1"/>
    <w:rsid w:val="00216497"/>
    <w:rsid w:val="00224213"/>
    <w:rsid w:val="00232DE1"/>
    <w:rsid w:val="00234998"/>
    <w:rsid w:val="00234E0E"/>
    <w:rsid w:val="00241FBA"/>
    <w:rsid w:val="0025093E"/>
    <w:rsid w:val="00252ECB"/>
    <w:rsid w:val="00261121"/>
    <w:rsid w:val="002716DE"/>
    <w:rsid w:val="00271808"/>
    <w:rsid w:val="00271DB7"/>
    <w:rsid w:val="00274691"/>
    <w:rsid w:val="002800CD"/>
    <w:rsid w:val="00280464"/>
    <w:rsid w:val="0028282A"/>
    <w:rsid w:val="00284C86"/>
    <w:rsid w:val="00287B6E"/>
    <w:rsid w:val="002B0F74"/>
    <w:rsid w:val="002C63E7"/>
    <w:rsid w:val="002D1D3E"/>
    <w:rsid w:val="002D5B29"/>
    <w:rsid w:val="002E03E0"/>
    <w:rsid w:val="002E0D69"/>
    <w:rsid w:val="00301AFD"/>
    <w:rsid w:val="00302C07"/>
    <w:rsid w:val="003045C9"/>
    <w:rsid w:val="00304720"/>
    <w:rsid w:val="00305EDB"/>
    <w:rsid w:val="003062FE"/>
    <w:rsid w:val="00310A14"/>
    <w:rsid w:val="00311BD3"/>
    <w:rsid w:val="003203FF"/>
    <w:rsid w:val="00330EA9"/>
    <w:rsid w:val="0033152A"/>
    <w:rsid w:val="0033393A"/>
    <w:rsid w:val="0033660F"/>
    <w:rsid w:val="00337409"/>
    <w:rsid w:val="00340518"/>
    <w:rsid w:val="00345B15"/>
    <w:rsid w:val="00350F6F"/>
    <w:rsid w:val="00354F91"/>
    <w:rsid w:val="003622A3"/>
    <w:rsid w:val="00362B9B"/>
    <w:rsid w:val="00363A21"/>
    <w:rsid w:val="00363CA4"/>
    <w:rsid w:val="00364609"/>
    <w:rsid w:val="00365E9F"/>
    <w:rsid w:val="003732AE"/>
    <w:rsid w:val="003764A2"/>
    <w:rsid w:val="003818B5"/>
    <w:rsid w:val="00386A62"/>
    <w:rsid w:val="003903C7"/>
    <w:rsid w:val="003A3915"/>
    <w:rsid w:val="003A7631"/>
    <w:rsid w:val="003B2420"/>
    <w:rsid w:val="003C4699"/>
    <w:rsid w:val="003C7F48"/>
    <w:rsid w:val="003D26A9"/>
    <w:rsid w:val="003E15C8"/>
    <w:rsid w:val="003E4835"/>
    <w:rsid w:val="003F3C3A"/>
    <w:rsid w:val="004008A2"/>
    <w:rsid w:val="00400DEC"/>
    <w:rsid w:val="00401A31"/>
    <w:rsid w:val="004046A7"/>
    <w:rsid w:val="0041703E"/>
    <w:rsid w:val="004174D5"/>
    <w:rsid w:val="00421D9E"/>
    <w:rsid w:val="00423238"/>
    <w:rsid w:val="004237FF"/>
    <w:rsid w:val="004272ED"/>
    <w:rsid w:val="0044343E"/>
    <w:rsid w:val="004443DF"/>
    <w:rsid w:val="004501D2"/>
    <w:rsid w:val="00453745"/>
    <w:rsid w:val="00457265"/>
    <w:rsid w:val="00460B27"/>
    <w:rsid w:val="00463FD5"/>
    <w:rsid w:val="004732BF"/>
    <w:rsid w:val="00473B59"/>
    <w:rsid w:val="0047772F"/>
    <w:rsid w:val="00480030"/>
    <w:rsid w:val="004868C8"/>
    <w:rsid w:val="004868CD"/>
    <w:rsid w:val="00496212"/>
    <w:rsid w:val="004A08E7"/>
    <w:rsid w:val="004A0957"/>
    <w:rsid w:val="004A228C"/>
    <w:rsid w:val="004A468A"/>
    <w:rsid w:val="004A477C"/>
    <w:rsid w:val="004A5290"/>
    <w:rsid w:val="004A5A68"/>
    <w:rsid w:val="004B3D7F"/>
    <w:rsid w:val="004B50E8"/>
    <w:rsid w:val="004B6A93"/>
    <w:rsid w:val="004C3872"/>
    <w:rsid w:val="004C4107"/>
    <w:rsid w:val="004D023E"/>
    <w:rsid w:val="004D09C1"/>
    <w:rsid w:val="004E0DFE"/>
    <w:rsid w:val="004F0578"/>
    <w:rsid w:val="004F3CA6"/>
    <w:rsid w:val="00512DCE"/>
    <w:rsid w:val="005159F0"/>
    <w:rsid w:val="0052096D"/>
    <w:rsid w:val="0052163F"/>
    <w:rsid w:val="0052607A"/>
    <w:rsid w:val="00527497"/>
    <w:rsid w:val="0052750F"/>
    <w:rsid w:val="00536CDC"/>
    <w:rsid w:val="0054029A"/>
    <w:rsid w:val="00544BCE"/>
    <w:rsid w:val="00547FB7"/>
    <w:rsid w:val="00553E2E"/>
    <w:rsid w:val="00555DFB"/>
    <w:rsid w:val="00566074"/>
    <w:rsid w:val="00581582"/>
    <w:rsid w:val="0059348D"/>
    <w:rsid w:val="005957EF"/>
    <w:rsid w:val="005B32D2"/>
    <w:rsid w:val="005B6680"/>
    <w:rsid w:val="005C2AAF"/>
    <w:rsid w:val="005C38F3"/>
    <w:rsid w:val="005D39E2"/>
    <w:rsid w:val="006001C1"/>
    <w:rsid w:val="006025B6"/>
    <w:rsid w:val="00602E22"/>
    <w:rsid w:val="00605B45"/>
    <w:rsid w:val="006069E8"/>
    <w:rsid w:val="00607177"/>
    <w:rsid w:val="00610B87"/>
    <w:rsid w:val="0062053E"/>
    <w:rsid w:val="00623579"/>
    <w:rsid w:val="00624C06"/>
    <w:rsid w:val="0062616C"/>
    <w:rsid w:val="00630639"/>
    <w:rsid w:val="00631377"/>
    <w:rsid w:val="00631AAF"/>
    <w:rsid w:val="006330BF"/>
    <w:rsid w:val="00633D98"/>
    <w:rsid w:val="00637AEF"/>
    <w:rsid w:val="00641DDB"/>
    <w:rsid w:val="006521E2"/>
    <w:rsid w:val="00663141"/>
    <w:rsid w:val="00664D0E"/>
    <w:rsid w:val="00665492"/>
    <w:rsid w:val="00674339"/>
    <w:rsid w:val="00674F78"/>
    <w:rsid w:val="00676E38"/>
    <w:rsid w:val="00677985"/>
    <w:rsid w:val="00685725"/>
    <w:rsid w:val="0068778D"/>
    <w:rsid w:val="00693F71"/>
    <w:rsid w:val="006A0860"/>
    <w:rsid w:val="006A0E05"/>
    <w:rsid w:val="006A4893"/>
    <w:rsid w:val="006A5F38"/>
    <w:rsid w:val="006B41E6"/>
    <w:rsid w:val="006B72E4"/>
    <w:rsid w:val="006C5CE8"/>
    <w:rsid w:val="006C6AE3"/>
    <w:rsid w:val="006D1ECA"/>
    <w:rsid w:val="006E31F4"/>
    <w:rsid w:val="006E7E3C"/>
    <w:rsid w:val="006F1FCB"/>
    <w:rsid w:val="006F3019"/>
    <w:rsid w:val="006F48C8"/>
    <w:rsid w:val="007011DF"/>
    <w:rsid w:val="00703C78"/>
    <w:rsid w:val="00703F42"/>
    <w:rsid w:val="00704DF9"/>
    <w:rsid w:val="00707D7B"/>
    <w:rsid w:val="00712D54"/>
    <w:rsid w:val="007166B6"/>
    <w:rsid w:val="0071727F"/>
    <w:rsid w:val="0072025F"/>
    <w:rsid w:val="007318EA"/>
    <w:rsid w:val="00737916"/>
    <w:rsid w:val="00740251"/>
    <w:rsid w:val="00742F00"/>
    <w:rsid w:val="00745D1C"/>
    <w:rsid w:val="00746022"/>
    <w:rsid w:val="00752DA2"/>
    <w:rsid w:val="00753E75"/>
    <w:rsid w:val="00755B98"/>
    <w:rsid w:val="007619DA"/>
    <w:rsid w:val="00762405"/>
    <w:rsid w:val="00763105"/>
    <w:rsid w:val="0076444B"/>
    <w:rsid w:val="0077023F"/>
    <w:rsid w:val="00776F50"/>
    <w:rsid w:val="0078214F"/>
    <w:rsid w:val="00790940"/>
    <w:rsid w:val="00795204"/>
    <w:rsid w:val="007A0EEE"/>
    <w:rsid w:val="007A131F"/>
    <w:rsid w:val="007A440A"/>
    <w:rsid w:val="007A4897"/>
    <w:rsid w:val="007A6EFA"/>
    <w:rsid w:val="007D1217"/>
    <w:rsid w:val="007D623A"/>
    <w:rsid w:val="007D6660"/>
    <w:rsid w:val="007E4833"/>
    <w:rsid w:val="007E7138"/>
    <w:rsid w:val="007E7930"/>
    <w:rsid w:val="007E79E8"/>
    <w:rsid w:val="007F19E5"/>
    <w:rsid w:val="008015E4"/>
    <w:rsid w:val="00802312"/>
    <w:rsid w:val="00806328"/>
    <w:rsid w:val="00830381"/>
    <w:rsid w:val="00831A8B"/>
    <w:rsid w:val="008345C2"/>
    <w:rsid w:val="008350C9"/>
    <w:rsid w:val="00837A16"/>
    <w:rsid w:val="00841807"/>
    <w:rsid w:val="00846048"/>
    <w:rsid w:val="00853504"/>
    <w:rsid w:val="00857027"/>
    <w:rsid w:val="008620BB"/>
    <w:rsid w:val="00866BD2"/>
    <w:rsid w:val="0087630F"/>
    <w:rsid w:val="00883BB6"/>
    <w:rsid w:val="00884915"/>
    <w:rsid w:val="008872FF"/>
    <w:rsid w:val="00887BA5"/>
    <w:rsid w:val="00893F5D"/>
    <w:rsid w:val="00894E8A"/>
    <w:rsid w:val="00894F07"/>
    <w:rsid w:val="008B16A2"/>
    <w:rsid w:val="008B2A9A"/>
    <w:rsid w:val="008B65E8"/>
    <w:rsid w:val="008C510A"/>
    <w:rsid w:val="008C58BC"/>
    <w:rsid w:val="008D4B86"/>
    <w:rsid w:val="008D6CB6"/>
    <w:rsid w:val="008E64C8"/>
    <w:rsid w:val="008E6882"/>
    <w:rsid w:val="008F3FD7"/>
    <w:rsid w:val="00901C7F"/>
    <w:rsid w:val="00912D31"/>
    <w:rsid w:val="009306F6"/>
    <w:rsid w:val="00930F0F"/>
    <w:rsid w:val="00933DA8"/>
    <w:rsid w:val="009357D2"/>
    <w:rsid w:val="0093668B"/>
    <w:rsid w:val="00951E11"/>
    <w:rsid w:val="00955358"/>
    <w:rsid w:val="009558D6"/>
    <w:rsid w:val="00955C6B"/>
    <w:rsid w:val="00961602"/>
    <w:rsid w:val="00961EA4"/>
    <w:rsid w:val="00965A6C"/>
    <w:rsid w:val="00984528"/>
    <w:rsid w:val="009A2C3D"/>
    <w:rsid w:val="009C2217"/>
    <w:rsid w:val="009C491C"/>
    <w:rsid w:val="009C686E"/>
    <w:rsid w:val="009C7BF4"/>
    <w:rsid w:val="009D5FB8"/>
    <w:rsid w:val="009D7E92"/>
    <w:rsid w:val="009E4904"/>
    <w:rsid w:val="009F0CC9"/>
    <w:rsid w:val="009F1CAB"/>
    <w:rsid w:val="009F4CDD"/>
    <w:rsid w:val="009F4F6E"/>
    <w:rsid w:val="009F7A27"/>
    <w:rsid w:val="009F7B88"/>
    <w:rsid w:val="00A0642D"/>
    <w:rsid w:val="00A105AD"/>
    <w:rsid w:val="00A115D8"/>
    <w:rsid w:val="00A21D5D"/>
    <w:rsid w:val="00A32F95"/>
    <w:rsid w:val="00A33C42"/>
    <w:rsid w:val="00A36D4C"/>
    <w:rsid w:val="00A375BA"/>
    <w:rsid w:val="00A37BA6"/>
    <w:rsid w:val="00A44486"/>
    <w:rsid w:val="00A64C7D"/>
    <w:rsid w:val="00A66BF2"/>
    <w:rsid w:val="00A70141"/>
    <w:rsid w:val="00A70F80"/>
    <w:rsid w:val="00A74D4F"/>
    <w:rsid w:val="00A84722"/>
    <w:rsid w:val="00A8745C"/>
    <w:rsid w:val="00AA78B2"/>
    <w:rsid w:val="00AB3032"/>
    <w:rsid w:val="00AB6EBD"/>
    <w:rsid w:val="00AC062F"/>
    <w:rsid w:val="00AC1A7D"/>
    <w:rsid w:val="00AC5A11"/>
    <w:rsid w:val="00AD120F"/>
    <w:rsid w:val="00AD48BC"/>
    <w:rsid w:val="00AD5191"/>
    <w:rsid w:val="00AD6297"/>
    <w:rsid w:val="00AE594B"/>
    <w:rsid w:val="00AE631F"/>
    <w:rsid w:val="00AE7A3D"/>
    <w:rsid w:val="00AF24CB"/>
    <w:rsid w:val="00AF6504"/>
    <w:rsid w:val="00B04217"/>
    <w:rsid w:val="00B1031F"/>
    <w:rsid w:val="00B14540"/>
    <w:rsid w:val="00B228AD"/>
    <w:rsid w:val="00B245C9"/>
    <w:rsid w:val="00B30852"/>
    <w:rsid w:val="00B4008D"/>
    <w:rsid w:val="00B40782"/>
    <w:rsid w:val="00B42AA7"/>
    <w:rsid w:val="00B4374B"/>
    <w:rsid w:val="00B47D1B"/>
    <w:rsid w:val="00B5372E"/>
    <w:rsid w:val="00B55C94"/>
    <w:rsid w:val="00B60D01"/>
    <w:rsid w:val="00B75D89"/>
    <w:rsid w:val="00B85A3C"/>
    <w:rsid w:val="00B87305"/>
    <w:rsid w:val="00B94F7E"/>
    <w:rsid w:val="00BA0999"/>
    <w:rsid w:val="00BA0CB4"/>
    <w:rsid w:val="00BA6728"/>
    <w:rsid w:val="00BA68E8"/>
    <w:rsid w:val="00BB40E8"/>
    <w:rsid w:val="00BB61FD"/>
    <w:rsid w:val="00BB7896"/>
    <w:rsid w:val="00BB7ED2"/>
    <w:rsid w:val="00BC1E8D"/>
    <w:rsid w:val="00BE010B"/>
    <w:rsid w:val="00BE0D9A"/>
    <w:rsid w:val="00BE12E0"/>
    <w:rsid w:val="00BE29DE"/>
    <w:rsid w:val="00BE38D6"/>
    <w:rsid w:val="00BE4365"/>
    <w:rsid w:val="00BE4475"/>
    <w:rsid w:val="00BF5A79"/>
    <w:rsid w:val="00BF7F0C"/>
    <w:rsid w:val="00C015F2"/>
    <w:rsid w:val="00C11D18"/>
    <w:rsid w:val="00C32EEE"/>
    <w:rsid w:val="00C3719E"/>
    <w:rsid w:val="00C405DE"/>
    <w:rsid w:val="00C42159"/>
    <w:rsid w:val="00C6009F"/>
    <w:rsid w:val="00C6209D"/>
    <w:rsid w:val="00C82038"/>
    <w:rsid w:val="00C9137F"/>
    <w:rsid w:val="00C935E0"/>
    <w:rsid w:val="00C95CB3"/>
    <w:rsid w:val="00C979BD"/>
    <w:rsid w:val="00CA7947"/>
    <w:rsid w:val="00CB1068"/>
    <w:rsid w:val="00CB6C9F"/>
    <w:rsid w:val="00CD0035"/>
    <w:rsid w:val="00CD7FD9"/>
    <w:rsid w:val="00CE1112"/>
    <w:rsid w:val="00CE1AF5"/>
    <w:rsid w:val="00CE655C"/>
    <w:rsid w:val="00CE7554"/>
    <w:rsid w:val="00CF0291"/>
    <w:rsid w:val="00CF1BED"/>
    <w:rsid w:val="00D10E44"/>
    <w:rsid w:val="00D13564"/>
    <w:rsid w:val="00D15FB9"/>
    <w:rsid w:val="00D21742"/>
    <w:rsid w:val="00D26CFB"/>
    <w:rsid w:val="00D4154B"/>
    <w:rsid w:val="00D422D3"/>
    <w:rsid w:val="00D50216"/>
    <w:rsid w:val="00D50664"/>
    <w:rsid w:val="00D7103D"/>
    <w:rsid w:val="00D75FE9"/>
    <w:rsid w:val="00D804AF"/>
    <w:rsid w:val="00D80D45"/>
    <w:rsid w:val="00D81758"/>
    <w:rsid w:val="00D826D2"/>
    <w:rsid w:val="00D84C78"/>
    <w:rsid w:val="00D90258"/>
    <w:rsid w:val="00D92E3C"/>
    <w:rsid w:val="00DA323E"/>
    <w:rsid w:val="00DA4A14"/>
    <w:rsid w:val="00DA7B7F"/>
    <w:rsid w:val="00DA7C54"/>
    <w:rsid w:val="00DB74F9"/>
    <w:rsid w:val="00DC175F"/>
    <w:rsid w:val="00DC6BF5"/>
    <w:rsid w:val="00DD477B"/>
    <w:rsid w:val="00DE1501"/>
    <w:rsid w:val="00DE49FA"/>
    <w:rsid w:val="00DF2501"/>
    <w:rsid w:val="00DF5865"/>
    <w:rsid w:val="00DF781D"/>
    <w:rsid w:val="00E041CE"/>
    <w:rsid w:val="00E11FA7"/>
    <w:rsid w:val="00E22013"/>
    <w:rsid w:val="00E3200B"/>
    <w:rsid w:val="00E33637"/>
    <w:rsid w:val="00E336A3"/>
    <w:rsid w:val="00E34F75"/>
    <w:rsid w:val="00E360F5"/>
    <w:rsid w:val="00E36CF5"/>
    <w:rsid w:val="00E37767"/>
    <w:rsid w:val="00E41B59"/>
    <w:rsid w:val="00E4518C"/>
    <w:rsid w:val="00E524C9"/>
    <w:rsid w:val="00E612E4"/>
    <w:rsid w:val="00E65994"/>
    <w:rsid w:val="00E66C9F"/>
    <w:rsid w:val="00E74996"/>
    <w:rsid w:val="00E76DB6"/>
    <w:rsid w:val="00E80277"/>
    <w:rsid w:val="00E812DE"/>
    <w:rsid w:val="00E83BF6"/>
    <w:rsid w:val="00E84932"/>
    <w:rsid w:val="00E91048"/>
    <w:rsid w:val="00E91AA8"/>
    <w:rsid w:val="00E920C0"/>
    <w:rsid w:val="00E94C24"/>
    <w:rsid w:val="00E972C3"/>
    <w:rsid w:val="00EA054D"/>
    <w:rsid w:val="00EA304D"/>
    <w:rsid w:val="00EA5704"/>
    <w:rsid w:val="00EB2431"/>
    <w:rsid w:val="00EB71EA"/>
    <w:rsid w:val="00EC10C3"/>
    <w:rsid w:val="00ED17BC"/>
    <w:rsid w:val="00ED29D9"/>
    <w:rsid w:val="00EE2A99"/>
    <w:rsid w:val="00EE59F1"/>
    <w:rsid w:val="00EE758D"/>
    <w:rsid w:val="00EF1503"/>
    <w:rsid w:val="00EF602A"/>
    <w:rsid w:val="00EF73E8"/>
    <w:rsid w:val="00EF77D3"/>
    <w:rsid w:val="00F02499"/>
    <w:rsid w:val="00F133E5"/>
    <w:rsid w:val="00F209A2"/>
    <w:rsid w:val="00F2252A"/>
    <w:rsid w:val="00F30A8E"/>
    <w:rsid w:val="00F34DEA"/>
    <w:rsid w:val="00F4754D"/>
    <w:rsid w:val="00F519E1"/>
    <w:rsid w:val="00F64754"/>
    <w:rsid w:val="00F728C7"/>
    <w:rsid w:val="00F812FA"/>
    <w:rsid w:val="00F81B8C"/>
    <w:rsid w:val="00F81D7E"/>
    <w:rsid w:val="00F8206E"/>
    <w:rsid w:val="00F8573D"/>
    <w:rsid w:val="00F87BA3"/>
    <w:rsid w:val="00F93793"/>
    <w:rsid w:val="00FA74C3"/>
    <w:rsid w:val="00FA7F54"/>
    <w:rsid w:val="00FB0113"/>
    <w:rsid w:val="00FB6425"/>
    <w:rsid w:val="00FB66D7"/>
    <w:rsid w:val="00FC55D7"/>
    <w:rsid w:val="00FD5D98"/>
    <w:rsid w:val="00FE022A"/>
    <w:rsid w:val="00FE0FD8"/>
    <w:rsid w:val="00FF3D4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02F43F"/>
  <w15:chartTrackingRefBased/>
  <w15:docId w15:val="{2E1E019B-2412-47BB-937C-CC4B01B45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BA6"/>
  </w:style>
  <w:style w:type="paragraph" w:styleId="Heading1">
    <w:name w:val="heading 1"/>
    <w:basedOn w:val="Normal"/>
    <w:next w:val="Normal"/>
    <w:link w:val="Heading1Char"/>
    <w:uiPriority w:val="9"/>
    <w:qFormat/>
    <w:rsid w:val="009C7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7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9C7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7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C7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C7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BF4"/>
    <w:rPr>
      <w:rFonts w:eastAsiaTheme="majorEastAsia" w:cstheme="majorBidi"/>
      <w:color w:val="272727" w:themeColor="text1" w:themeTint="D8"/>
    </w:rPr>
  </w:style>
  <w:style w:type="paragraph" w:styleId="Title">
    <w:name w:val="Title"/>
    <w:basedOn w:val="Normal"/>
    <w:next w:val="Normal"/>
    <w:link w:val="TitleChar"/>
    <w:uiPriority w:val="10"/>
    <w:qFormat/>
    <w:rsid w:val="009C7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BF4"/>
    <w:pPr>
      <w:spacing w:before="160"/>
      <w:jc w:val="center"/>
    </w:pPr>
    <w:rPr>
      <w:i/>
      <w:iCs/>
      <w:color w:val="404040" w:themeColor="text1" w:themeTint="BF"/>
    </w:rPr>
  </w:style>
  <w:style w:type="character" w:customStyle="1" w:styleId="QuoteChar">
    <w:name w:val="Quote Char"/>
    <w:basedOn w:val="DefaultParagraphFont"/>
    <w:link w:val="Quote"/>
    <w:uiPriority w:val="29"/>
    <w:rsid w:val="009C7BF4"/>
    <w:rPr>
      <w:i/>
      <w:iCs/>
      <w:color w:val="404040" w:themeColor="text1" w:themeTint="BF"/>
    </w:rPr>
  </w:style>
  <w:style w:type="paragraph" w:styleId="ListParagraph">
    <w:name w:val="List Paragraph"/>
    <w:basedOn w:val="Normal"/>
    <w:uiPriority w:val="34"/>
    <w:qFormat/>
    <w:rsid w:val="009C7BF4"/>
    <w:pPr>
      <w:ind w:left="720"/>
      <w:contextualSpacing/>
    </w:pPr>
  </w:style>
  <w:style w:type="character" w:styleId="IntenseEmphasis">
    <w:name w:val="Intense Emphasis"/>
    <w:basedOn w:val="DefaultParagraphFont"/>
    <w:uiPriority w:val="21"/>
    <w:qFormat/>
    <w:rsid w:val="009C7BF4"/>
    <w:rPr>
      <w:i/>
      <w:iCs/>
      <w:color w:val="0F4761" w:themeColor="accent1" w:themeShade="BF"/>
    </w:rPr>
  </w:style>
  <w:style w:type="paragraph" w:styleId="IntenseQuote">
    <w:name w:val="Intense Quote"/>
    <w:basedOn w:val="Normal"/>
    <w:next w:val="Normal"/>
    <w:link w:val="IntenseQuoteChar"/>
    <w:uiPriority w:val="30"/>
    <w:qFormat/>
    <w:rsid w:val="009C7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BF4"/>
    <w:rPr>
      <w:i/>
      <w:iCs/>
      <w:color w:val="0F4761" w:themeColor="accent1" w:themeShade="BF"/>
    </w:rPr>
  </w:style>
  <w:style w:type="character" w:styleId="IntenseReference">
    <w:name w:val="Intense Reference"/>
    <w:basedOn w:val="DefaultParagraphFont"/>
    <w:uiPriority w:val="32"/>
    <w:qFormat/>
    <w:rsid w:val="009C7BF4"/>
    <w:rPr>
      <w:b/>
      <w:bCs/>
      <w:smallCaps/>
      <w:color w:val="0F4761" w:themeColor="accent1" w:themeShade="BF"/>
      <w:spacing w:val="5"/>
    </w:rPr>
  </w:style>
  <w:style w:type="paragraph" w:styleId="Header">
    <w:name w:val="header"/>
    <w:basedOn w:val="Normal"/>
    <w:link w:val="HeaderChar"/>
    <w:uiPriority w:val="99"/>
    <w:unhideWhenUsed/>
    <w:rsid w:val="009C7B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7BF4"/>
  </w:style>
  <w:style w:type="paragraph" w:styleId="Footer">
    <w:name w:val="footer"/>
    <w:basedOn w:val="Normal"/>
    <w:link w:val="FooterChar"/>
    <w:uiPriority w:val="99"/>
    <w:unhideWhenUsed/>
    <w:rsid w:val="009C7B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7BF4"/>
  </w:style>
  <w:style w:type="paragraph" w:styleId="Bibliography">
    <w:name w:val="Bibliography"/>
    <w:basedOn w:val="Normal"/>
    <w:next w:val="Normal"/>
    <w:uiPriority w:val="37"/>
    <w:unhideWhenUsed/>
    <w:rsid w:val="004F3CA6"/>
  </w:style>
  <w:style w:type="paragraph" w:styleId="FootnoteText">
    <w:name w:val="footnote text"/>
    <w:basedOn w:val="Normal"/>
    <w:link w:val="FootnoteTextChar"/>
    <w:uiPriority w:val="99"/>
    <w:unhideWhenUsed/>
    <w:rsid w:val="003A3915"/>
    <w:pPr>
      <w:spacing w:after="0" w:line="240" w:lineRule="auto"/>
    </w:pPr>
    <w:rPr>
      <w:sz w:val="20"/>
      <w:szCs w:val="20"/>
    </w:rPr>
  </w:style>
  <w:style w:type="character" w:customStyle="1" w:styleId="FootnoteTextChar">
    <w:name w:val="Footnote Text Char"/>
    <w:basedOn w:val="DefaultParagraphFont"/>
    <w:link w:val="FootnoteText"/>
    <w:uiPriority w:val="99"/>
    <w:rsid w:val="003A3915"/>
    <w:rPr>
      <w:sz w:val="20"/>
      <w:szCs w:val="20"/>
    </w:rPr>
  </w:style>
  <w:style w:type="character" w:styleId="FootnoteReference">
    <w:name w:val="footnote reference"/>
    <w:basedOn w:val="DefaultParagraphFont"/>
    <w:uiPriority w:val="99"/>
    <w:semiHidden/>
    <w:unhideWhenUsed/>
    <w:rsid w:val="003A3915"/>
    <w:rPr>
      <w:vertAlign w:val="superscript"/>
    </w:rPr>
  </w:style>
  <w:style w:type="character" w:styleId="Hyperlink">
    <w:name w:val="Hyperlink"/>
    <w:basedOn w:val="DefaultParagraphFont"/>
    <w:uiPriority w:val="99"/>
    <w:unhideWhenUsed/>
    <w:rsid w:val="003A3915"/>
    <w:rPr>
      <w:color w:val="467886" w:themeColor="hyperlink"/>
      <w:u w:val="single"/>
    </w:rPr>
  </w:style>
  <w:style w:type="character" w:styleId="UnresolvedMention">
    <w:name w:val="Unresolved Mention"/>
    <w:basedOn w:val="DefaultParagraphFont"/>
    <w:uiPriority w:val="99"/>
    <w:semiHidden/>
    <w:unhideWhenUsed/>
    <w:rsid w:val="003A3915"/>
    <w:rPr>
      <w:color w:val="605E5C"/>
      <w:shd w:val="clear" w:color="auto" w:fill="E1DFDD"/>
    </w:rPr>
  </w:style>
  <w:style w:type="paragraph" w:styleId="NormalWeb">
    <w:name w:val="Normal (Web)"/>
    <w:basedOn w:val="Normal"/>
    <w:rsid w:val="00F812FA"/>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paris-codex" TargetMode="External"/><Relationship Id="rId2" Type="http://schemas.openxmlformats.org/officeDocument/2006/relationships/hyperlink" Target="https://archive.org/details/madrid-codex" TargetMode="External"/><Relationship Id="rId1" Type="http://schemas.openxmlformats.org/officeDocument/2006/relationships/hyperlink" Target="https://archive.org/details/dresden-codex" TargetMode="External"/><Relationship Id="rId4" Type="http://schemas.openxmlformats.org/officeDocument/2006/relationships/hyperlink" Target="https://www.britishmuseum.org/collection/object/W_K-16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0C30F4413D4940BC51D22104701A04"/>
        <w:category>
          <w:name w:val="General"/>
          <w:gallery w:val="placeholder"/>
        </w:category>
        <w:types>
          <w:type w:val="bbPlcHdr"/>
        </w:types>
        <w:behaviors>
          <w:behavior w:val="content"/>
        </w:behaviors>
        <w:guid w:val="{4B027629-DFFB-4B5F-B1E4-94D21BD206D6}"/>
      </w:docPartPr>
      <w:docPartBody>
        <w:p w:rsidR="00846048" w:rsidRDefault="00000000" w:rsidP="00846048">
          <w:pPr>
            <w:pStyle w:val="A40C30F4413D4940BC51D22104701A04"/>
          </w:pPr>
          <w:r>
            <w:rPr>
              <w:rStyle w:val="PlaceholderText"/>
            </w:rPr>
            <w:t>[Author]</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10CD6" w:rsidRDefault="00610CD6">
      <w:pPr>
        <w:spacing w:after="0" w:line="240" w:lineRule="auto"/>
      </w:pPr>
      <w:r>
        <w:separator/>
      </w:r>
    </w:p>
  </w:endnote>
  <w:endnote w:type="continuationSeparator" w:id="0">
    <w:p w:rsidR="00610CD6" w:rsidRDefault="00610CD6">
      <w:pPr>
        <w:spacing w:after="0"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10CD6" w:rsidRDefault="00610CD6">
      <w:pPr>
        <w:spacing w:after="0" w:line="240" w:lineRule="auto"/>
      </w:pPr>
      <w:r>
        <w:separator/>
      </w:r>
    </w:p>
  </w:footnote>
  <w:footnote w:type="continuationSeparator" w:id="0">
    <w:p w:rsidR="00610CD6" w:rsidRDefault="00610CD6">
      <w:pPr>
        <w:spacing w:after="0" w:line="240"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048"/>
    <w:rsid w:val="00200ABB"/>
    <w:rsid w:val="002716DE"/>
    <w:rsid w:val="00345B15"/>
    <w:rsid w:val="004237FF"/>
    <w:rsid w:val="004A228C"/>
    <w:rsid w:val="00610CD6"/>
    <w:rsid w:val="00670D06"/>
    <w:rsid w:val="0072025F"/>
    <w:rsid w:val="007D6660"/>
    <w:rsid w:val="00830381"/>
    <w:rsid w:val="00846048"/>
    <w:rsid w:val="00853504"/>
    <w:rsid w:val="008B65E8"/>
    <w:rsid w:val="009A2C3D"/>
    <w:rsid w:val="00A44486"/>
    <w:rsid w:val="00AC1BD0"/>
    <w:rsid w:val="00BB40E8"/>
    <w:rsid w:val="00C9137F"/>
    <w:rsid w:val="00D15FB9"/>
    <w:rsid w:val="00EE758D"/>
    <w:rsid w:val="00F728C7"/>
    <w:rsid w:val="00FC55D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CA" w:eastAsia="en-C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6048"/>
    <w:rPr>
      <w:color w:val="808080"/>
    </w:rPr>
  </w:style>
  <w:style w:type="paragraph" w:customStyle="1" w:styleId="A40C30F4413D4940BC51D22104701A04">
    <w:name w:val="A40C30F4413D4940BC51D22104701A04"/>
    <w:rsid w:val="008460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JES74</b:Tag>
    <b:SourceType>JournalArticle</b:SourceType>
    <b:Guid>{0AD0C9D1-E181-43EB-97D5-98ADA293CE07}</b:Guid>
    <b:Author>
      <b:Author>
        <b:NameList>
          <b:Person>
            <b:Last>Thompson</b:Last>
            <b:First>J.</b:First>
            <b:Middle>E. S.</b:Middle>
          </b:Person>
        </b:NameList>
      </b:Author>
    </b:Author>
    <b:Title>Maya Astronomy</b:Title>
    <b:JournalName>Philosophical Transactions of the Royal Society of London. Series A, Mathematicaland Physical Sciences, Vol. 276, No. 1257</b:JournalName>
    <b:Year>1974</b:Year>
    <b:Pages>pp. 83-98</b:Pages>
    <b:RefOrder>1</b:RefOrder>
  </b:Source>
  <b:Source>
    <b:Tag>Iva93</b:Tag>
    <b:SourceType>JournalArticle</b:SourceType>
    <b:Guid>{C2BC8871-6B81-4805-8A6D-3626E03176B3}</b:Guid>
    <b:Title>The Venus-Rain Maize Complex in the Mesoamerican World View: Part I</b:Title>
    <b:Pages>pp. 17-70</b:Pages>
    <b:Year>1993</b:Year>
    <b:Author>
      <b:Author>
        <b:NameList>
          <b:Person>
            <b:Last>Šprajc</b:Last>
            <b:First>Ivan</b:First>
          </b:Person>
        </b:NameList>
      </b:Author>
    </b:Author>
    <b:JournalName>Journal for the History of Astronomy April 1993</b:JournalName>
    <b:RefOrder>2</b:RefOrder>
  </b:Source>
  <b:Source>
    <b:Tag>Rei98</b:Tag>
    <b:SourceType>Book</b:SourceType>
    <b:Guid>{2B0B8195-BB7F-425E-8B74-A3E8367BECE0}</b:Guid>
    <b:Author>
      <b:Author>
        <b:NameList>
          <b:Person>
            <b:Last>Reiner</b:Last>
            <b:First>Erica</b:First>
          </b:Person>
        </b:NameList>
      </b:Author>
    </b:Author>
    <b:Title>Babylonian Planetary Omens Part 3</b:Title>
    <b:Year>1998</b:Year>
    <b:City>Groningen</b:City>
    <b:Publisher>Styx Publications</b:Publisher>
    <b:RefOrder>3</b:RefOrder>
  </b:Source>
  <b:Source>
    <b:Tag>Pan14</b:Tag>
    <b:SourceType>JournalArticle</b:SourceType>
    <b:Guid>{24BF9CAC-B0AC-4B8A-8417-EB704EE921BA}</b:Guid>
    <b:Author>
      <b:Author>
        <b:NameList>
          <b:Person>
            <b:Last>Pankenier</b:Last>
            <b:First>David</b:First>
            <b:Middle>W.</b:Middle>
          </b:Person>
        </b:NameList>
      </b:Author>
    </b:Author>
    <b:Title>Did Babylonian Astrology Influence Early Chinese Astral Prognostication Xing Zhan Shu 星占術?</b:Title>
    <b:Year>2014</b:Year>
    <b:JournalName>Early China vol 37</b:JournalName>
    <b:Pages>pp. 1–13</b:Pages>
    <b:RefOrder>4</b:RefOrder>
  </b:Source>
  <b:Source>
    <b:Tag>Dav13</b:Tag>
    <b:SourceType>Book</b:SourceType>
    <b:Guid>{9D21F4B6-A993-4B8E-9B8B-B26FA3EBA321}</b:Guid>
    <b:Title>Astrology and Cosmology in Early China: Conforming Earth to Heaven</b:Title>
    <b:Year>2013</b:Year>
    <b:Author>
      <b:Author>
        <b:NameList>
          <b:Person>
            <b:Last>Pankenier</b:Last>
            <b:First>David</b:First>
            <b:Middle>W</b:Middle>
          </b:Person>
        </b:NameList>
      </b:Author>
    </b:Author>
    <b:City>Cambridge</b:City>
    <b:Publisher>Cambridge University Press</b:Publisher>
    <b:RefOrder>5</b:RefOrder>
  </b:Source>
  <b:Source>
    <b:Tag>Sus14</b:Tag>
    <b:SourceType>BookSection</b:SourceType>
    <b:Guid>{B1B0D6C9-EBCD-435E-B2C5-5E3223A30142}</b:Guid>
    <b:Title>The many faces of Venus in Mesoamerica</b:Title>
    <b:Year>2014</b:Year>
    <b:Pages>pp 111-134</b:Pages>
    <b:Author>
      <b:Author>
        <b:NameList>
          <b:Person>
            <b:Last>Milbrath</b:Last>
            <b:First>Susan</b:First>
          </b:Person>
        </b:NameList>
      </b:Author>
      <b:BookAuthor>
        <b:NameList>
          <b:Person>
            <b:Last>Gerardo Aldana</b:Last>
            <b:First>Gerardo</b:First>
            <b:Middle>Villalobos and Edwin L. Barnhart</b:Middle>
          </b:Person>
        </b:NameList>
      </b:BookAuthor>
    </b:Author>
    <b:BookTitle>Archaeoastronomy and the Maya</b:BookTitle>
    <b:Publisher>Oxbow Books</b:Publisher>
    <b:RefOrder>6</b:RefOrder>
  </b:Source>
  <b:Source>
    <b:Tag>Lov18</b:Tag>
    <b:SourceType>JournalArticle</b:SourceType>
    <b:Guid>{2D2CDA61-DAD0-402B-B5FD-50A4B28DD5C9}</b:Guid>
    <b:Author>
      <b:Author>
        <b:NameList>
          <b:Person>
            <b:Last>Love</b:Last>
            <b:First>Julye</b:First>
            <b:Middle>Bidmead and Marilyn</b:Middle>
          </b:Person>
        </b:NameList>
      </b:Author>
    </b:Author>
    <b:Title>Ištar’s Journey Above and Below</b:Title>
    <b:Year>Spring/Summer 2018</b:Year>
    <b:Pages>pp. 5-28</b:Pages>
    <b:JournalName>Culture and Cosmos, Vol. 22 no 1</b:JournalName>
    <b:RefOrder>7</b:RefOrder>
  </b:Source>
  <b:Source>
    <b:Tag>Hun09</b:Tag>
    <b:SourceType>ConferenceProceedings</b:SourceType>
    <b:Guid>{9C23090C-5BA9-4E4B-AD29-E0D4841ADA25}</b:Guid>
    <b:Author>
      <b:Author>
        <b:NameList>
          <b:Person>
            <b:Last>Hunger</b:Last>
            <b:First>Hermann</b:First>
          </b:Person>
        </b:NameList>
      </b:Author>
    </b:Author>
    <b:Title>The Relation of Babylonian Astronomy to its Culture and Society</b:Title>
    <b:Year>2009</b:Year>
    <b:Pages>pp. 62-73</b:Pages>
    <b:ConferenceName>Proceedings IAU Symposium No. 260</b:ConferenceName>
    <b:Publisher>International Astronomical Union</b:Publisher>
    <b:RefOrder>8</b:RefOrder>
  </b:Source>
  <b:Source>
    <b:Tag>Chr11</b:Tag>
    <b:SourceType>JournalArticle</b:SourceType>
    <b:Guid>{13168E32-BF71-404D-BA8E-1FDBB37F1788}</b:Guid>
    <b:Author>
      <b:Author>
        <b:NameList>
          <b:Person>
            <b:Last>Cullen</b:Last>
            <b:First>Christopher</b:First>
          </b:Person>
        </b:NameList>
      </b:Author>
    </b:Author>
    <b:Title>Understanding the Planets in Ancient China: Prediction and Divination in the "Wu xing zhan"</b:Title>
    <b:Year>2011</b:Year>
    <b:JournalName>Early Science and Medicine, Vol. 16, No. 3</b:JournalName>
    <b:Pages>pp. 218-251</b:Pages>
    <b:RefOrder>9</b:RefOrder>
  </b:Source>
  <b:Source>
    <b:Tag>Ger05</b:Tag>
    <b:SourceType>JournalArticle</b:SourceType>
    <b:Guid>{2E4ED14B-4FE5-4A9D-81A5-EB133F7FA7F8}</b:Guid>
    <b:Author>
      <b:Author>
        <b:NameList>
          <b:Person>
            <b:Last>Aldana</b:Last>
            <b:First>Gerardo</b:First>
          </b:Person>
        </b:NameList>
      </b:Author>
    </b:Author>
    <b:Title>Agency and the “Star War” Glyph - A historical reassessment of Classic Maya astrology and warfare</b:Title>
    <b:JournalName>Ancient Mesoamerica, 16</b:JournalName>
    <b:Year>2005</b:Year>
    <b:Pages>pp. 305–320</b:Pages>
    <b:RefOrder>10</b:RefOrder>
  </b:Source>
  <b:Source>
    <b:Tag>Cli93</b:Tag>
    <b:SourceType>BookSection</b:SourceType>
    <b:Guid>{FC5028D8-DFC6-49D0-B279-FAA9C2F890A2}</b:Guid>
    <b:Title>Religion as a cultural system</b:Title>
    <b:Year>1993</b:Year>
    <b:Pages>pp.87-125</b:Pages>
    <b:Author>
      <b:Author>
        <b:NameList>
          <b:Person>
            <b:Last>Geertz</b:Last>
            <b:First>Clifford</b:First>
          </b:Person>
        </b:NameList>
      </b:Author>
      <b:BookAuthor>
        <b:NameList>
          <b:Person>
            <b:Last>Geertz</b:Last>
            <b:First>Clifford</b:First>
          </b:Person>
        </b:NameList>
      </b:BookAuthor>
    </b:Author>
    <b:BookTitle>The interpretation of cultures: selected essays</b:BookTitle>
    <b:Publisher>Fontana Press</b:Publisher>
    <b:RefOrder>11</b:RefOrder>
  </b:Source>
  <b:Source>
    <b:Tag>Unk243</b:Tag>
    <b:SourceType>DocumentFromInternetSite</b:SourceType>
    <b:Guid>{CF394DED-F79B-4360-A026-29BF031C1746}</b:Guid>
    <b:Title>Codex Borgia</b:Title>
    <b:InternetSiteTitle>Archive.Org</b:InternetSiteTitle>
    <b:YearAccessed>2024</b:YearAccessed>
    <b:MonthAccessed>December</b:MonthAccessed>
    <b:DayAccessed>16</b:DayAccessed>
    <b:URL>https://archive.org/details/codex-borgia</b:URL>
    <b:RefOrder>12</b:RefOrder>
  </b:Source>
  <b:Source>
    <b:Tag>Unk244</b:Tag>
    <b:SourceType>DocumentFromInternetSite</b:SourceType>
    <b:Guid>{4ADFE3F5-D248-412A-8E2D-1E7704A1A6C8}</b:Guid>
    <b:Title>Venus tablet of Ammisaduqa (Enuma Anu Enlil Tablet 63)</b:Title>
    <b:InternetSiteTitle>British Museum</b:InternetSiteTitle>
    <b:YearAccessed>2024</b:YearAccessed>
    <b:MonthAccessed>December</b:MonthAccessed>
    <b:DayAccessed>16</b:DayAccessed>
    <b:URL>https://www.britishmuseum.org/collection/object/W_K-160</b:URL>
    <b:RefOrder>13</b:RefOrder>
  </b:Source>
  <b:Source>
    <b:Tag>Eag00</b:Tag>
    <b:SourceType>Book</b:SourceType>
    <b:Guid>{03A270F7-1956-447E-BAEB-93B93C1C3C81}</b:Guid>
    <b:Author>
      <b:Author>
        <b:NameList>
          <b:Person>
            <b:Last>Eagleton</b:Last>
            <b:First>Terry</b:First>
          </b:Person>
        </b:NameList>
      </b:Author>
    </b:Author>
    <b:Title>The Idea of Culture</b:Title>
    <b:Year>2000</b:Year>
    <b:City>Oxford</b:City>
    <b:Publisher>Blackwell</b:Publisher>
    <b:RefOrder>14</b:RefOrder>
  </b:Source>
  <b:Source>
    <b:Tag>Unk241</b:Tag>
    <b:SourceType>DocumentFromInternetSite</b:SourceType>
    <b:Guid>{D81D6895-ED6C-455C-88C6-7BD183B0EFCD}</b:Guid>
    <b:Title>Dresden Codex</b:Title>
    <b:InternetSiteTitle>Archive.Org</b:InternetSiteTitle>
    <b:YearAccessed>2024</b:YearAccessed>
    <b:MonthAccessed>December</b:MonthAccessed>
    <b:DayAccessed>16</b:DayAccessed>
    <b:URL>https://archive.org/details/dresden-codex</b:URL>
    <b:Author>
      <b:Author>
        <b:NameList>
          <b:Person>
            <b:Last>Aj-tz'ib</b:Last>
            <b:First>Unknown</b:First>
            <b:Middle>Maya</b:Middle>
          </b:Person>
        </b:NameList>
      </b:Author>
    </b:Author>
    <b:Year>1250</b:Year>
    <b:RefOrder>15</b:RefOrder>
  </b:Source>
  <b:Source>
    <b:Tag>Unk24</b:Tag>
    <b:SourceType>DocumentFromInternetSite</b:SourceType>
    <b:Guid>{A3B6044D-50EC-460E-9C61-FD8A9062BC08}</b:Guid>
    <b:Title>Madrid Codex</b:Title>
    <b:InternetSiteTitle>Archive.Org</b:InternetSiteTitle>
    <b:YearAccessed>2024</b:YearAccessed>
    <b:MonthAccessed>December</b:MonthAccessed>
    <b:DayAccessed>16</b:DayAccessed>
    <b:URL>https://archive.org/details/madrid-codex</b:URL>
    <b:Author>
      <b:Author>
        <b:NameList>
          <b:Person>
            <b:Last>Aj-tz'ib'</b:Last>
            <b:First>Unknown</b:First>
            <b:Middle>Maya</b:Middle>
          </b:Person>
        </b:NameList>
      </b:Author>
    </b:Author>
    <b:Year>1200</b:Year>
    <b:RefOrder>16</b:RefOrder>
  </b:Source>
  <b:Source>
    <b:Tag>Unk242</b:Tag>
    <b:SourceType>DocumentFromInternetSite</b:SourceType>
    <b:Guid>{13C3F0A1-BAF2-4FBF-A943-F9EC1FA73069}</b:Guid>
    <b:Title>Paris Codex</b:Title>
    <b:InternetSiteTitle>Archive.Org</b:InternetSiteTitle>
    <b:YearAccessed>2024</b:YearAccessed>
    <b:MonthAccessed>December</b:MonthAccessed>
    <b:DayAccessed>16</b:DayAccessed>
    <b:URL>https://archive.org/details/paris-codex/page/n1/mode/2up</b:URL>
    <b:Author>
      <b:Author>
        <b:NameList>
          <b:Person>
            <b:Last>Aj-tz'ib'</b:Last>
            <b:First>Unknown</b:First>
            <b:Middle>Maya</b:Middle>
          </b:Person>
        </b:NameList>
      </b:Author>
    </b:Author>
    <b:RefOrder>17</b:RefOrder>
  </b:Source>
  <b:Source>
    <b:Tag>Ant89</b:Tag>
    <b:SourceType>Book</b:SourceType>
    <b:Guid>{47213B86-0443-452F-BA41-312DC1D773A9}</b:Guid>
    <b:Author>
      <b:Author>
        <b:NameList>
          <b:Person>
            <b:Last>Aveni</b:Last>
            <b:First>Anthony</b:First>
          </b:Person>
        </b:NameList>
      </b:Author>
    </b:Author>
    <b:Title>Empires of Time: Calendars, Clocks, and Cultures</b:Title>
    <b:Year>1989</b:Year>
    <b:City>New York</b:City>
    <b:Publisher>Basic Books, Inc.</b:Publisher>
    <b:RefOrder>18</b:RefOrder>
  </b:Source>
  <b:Source>
    <b:Tag>Ant80</b:Tag>
    <b:SourceType>Book</b:SourceType>
    <b:Guid>{CCCF2DE2-3B43-4873-8C85-DD3271CC9158}</b:Guid>
    <b:Author>
      <b:Author>
        <b:NameList>
          <b:Person>
            <b:Last>Aveni</b:Last>
            <b:First>Anthony</b:First>
          </b:Person>
        </b:NameList>
      </b:Author>
    </b:Author>
    <b:Title>Skywatchers of Ancient Mexico</b:Title>
    <b:Year>1980</b:Year>
    <b:City>Austin</b:City>
    <b:Publisher>University of Texas Press</b:Publisher>
    <b:RefOrder>19</b:RefOrder>
  </b:Source>
  <b:Source>
    <b:Tag>Gab17</b:Tag>
    <b:SourceType>JournalArticle</b:SourceType>
    <b:Guid>{743E9552-1C05-4DA8-B07A-0CDF0C8FADAE}</b:Guid>
    <b:Author>
      <b:Author>
        <b:NameList>
          <b:Person>
            <b:Last>Vail</b:Last>
            <b:First>Gabrielle</b:First>
          </b:Person>
        </b:NameList>
      </b:Author>
    </b:Author>
    <b:Title>Venus Lore in the Postclassic Maya Codices: Deity Manifestations of the Morning and Evening Star</b:Title>
    <b:JournalName>Ancient Mesoamerica, 28</b:JournalName>
    <b:Year>2017</b:Year>
    <b:Pages>pp. 475–488</b:Pages>
    <b:RefOrder>20</b:RefOrder>
  </b:Source>
  <b:Source>
    <b:Tag>Sus99</b:Tag>
    <b:SourceType>Book</b:SourceType>
    <b:Guid>{D6C42CD0-7F56-4496-BD8A-6F10645F57A9}</b:Guid>
    <b:Author>
      <b:Author>
        <b:NameList>
          <b:Person>
            <b:Last>Milbrath</b:Last>
            <b:First>Susan</b:First>
          </b:Person>
        </b:NameList>
      </b:Author>
    </b:Author>
    <b:Title>Star Gods of the Maya : Astronomy in Art, Folklore, and Calendars</b:Title>
    <b:Year>1999</b:Year>
    <b:City>Austin</b:City>
    <b:Publisher>University of Texas Press</b:Publisher>
    <b:RefOrder>21</b:RefOrder>
  </b:Source>
  <b:Source>
    <b:Tag>Lin90</b:Tag>
    <b:SourceType>Book</b:SourceType>
    <b:Guid>{0114BD8C-633E-41E4-BD91-61CF2EBDF16A}</b:Guid>
    <b:Author>
      <b:Author>
        <b:NameList>
          <b:Person>
            <b:Last>Freidel</b:Last>
            <b:First>Linda</b:First>
            <b:Middle>Schele and David</b:Middle>
          </b:Person>
        </b:NameList>
      </b:Author>
    </b:Author>
    <b:Title>A Forest of Kings : The Untold Story of the Ancient Maya</b:Title>
    <b:Year>1990</b:Year>
    <b:City>New York</b:City>
    <b:Publisher>William Morrow and Company</b:Publisher>
    <b:RefOrder>22</b:RefOrder>
  </b:Source>
  <b:Source>
    <b:Tag>Sim93</b:Tag>
    <b:SourceType>JournalArticle</b:SourceType>
    <b:Guid>{D92B4E33-EF26-49D1-8660-0D4557EAA13E}</b:Guid>
    <b:Title>Tikal’s “Star War” against Naranjo. In Eighth Palenque Round Table, 1993, edited by Martha J. Macri and Jan McHargue, pp. 223–236</b:Title>
    <b:Year>1996</b:Year>
    <b:Author>
      <b:Author>
        <b:NameList>
          <b:Person>
            <b:Last>Martin</b:Last>
            <b:First>Simon</b:First>
          </b:Person>
        </b:NameList>
      </b:Author>
    </b:Author>
    <b:JournalName>Pre-Columbian Art Research Institute, San Francisco.</b:JournalName>
    <b:RefOrder>23</b:RefOrder>
  </b:Source>
  <b:Source>
    <b:Tag>Ave92</b:Tag>
    <b:SourceType>BookSection</b:SourceType>
    <b:Guid>{725E77C2-36B1-43B6-B355-180437166278}</b:Guid>
    <b:Author>
      <b:Author>
        <b:NameList>
          <b:Person>
            <b:Last>Aveni</b:Last>
            <b:First>Anthony</b:First>
          </b:Person>
        </b:NameList>
      </b:Author>
      <b:BookAuthor>
        <b:NameList>
          <b:Person>
            <b:Last>Aveni</b:Last>
            <b:First>Anthony</b:First>
          </b:Person>
        </b:NameList>
      </b:BookAuthor>
    </b:Author>
    <b:Title>The Moon and the Venus Table: An Example of Commensuration in the Mayan Calendar</b:Title>
    <b:Year>1992</b:Year>
    <b:Pages>pp. 87-101</b:Pages>
    <b:BookTitle>The Sky in Mayan Literature</b:BookTitle>
    <b:City>New York</b:City>
    <b:Publisher>Oxford University Press</b:Publisher>
    <b:RefOrder>24</b:RefOrder>
  </b:Source>
  <b:Source>
    <b:Tag>Špr93</b:Tag>
    <b:SourceType>JournalArticle</b:SourceType>
    <b:Guid>{E556230A-DE9D-4CBE-9578-5B321B860EE4}</b:Guid>
    <b:Title>The Venus-Rain-Maize Complex in the Mesoamerican World View: Part II</b:Title>
    <b:Year>1993</b:Year>
    <b:Author>
      <b:Author>
        <b:NameList>
          <b:Person>
            <b:Last>Šprajc</b:Last>
            <b:First>Ivan</b:First>
          </b:Person>
        </b:NameList>
      </b:Author>
    </b:Author>
    <b:JournalName>Archaeoastronomy, no. 18 (JHA, xxiv (1993))</b:JournalName>
    <b:Pages>pp. 27-53</b:Pages>
    <b:RefOrder>25</b:RefOrder>
  </b:Source>
  <b:Source>
    <b:Tag>Špr92</b:Tag>
    <b:SourceType>JournalArticle</b:SourceType>
    <b:Guid>{89EA2499-2C13-4D71-A53F-402638129E0B}</b:Guid>
    <b:Author>
      <b:Author>
        <b:NameList>
          <b:Person>
            <b:Last>Šprajc</b:Last>
            <b:First>Ivan</b:First>
          </b:Person>
        </b:NameList>
      </b:Author>
    </b:Author>
    <b:Title>Venus-Rain-Maize complex in Mesoamerica: Associated with the evening star?</b:Title>
    <b:JournalName>Indiana</b:JournalName>
    <b:Year>1992</b:Year>
    <b:Pages>pp. 225-257</b:Pages>
    <b:RefOrder>26</b:RefOrder>
  </b:Source>
  <b:Source>
    <b:Tag>Eri75</b:Tag>
    <b:SourceType>Book</b:SourceType>
    <b:Guid>{DB2E702F-2866-4F09-8122-1F4C9378499E}</b:Guid>
    <b:Author>
      <b:Author>
        <b:NameList>
          <b:Person>
            <b:Last>Pingree</b:Last>
            <b:First>Erica</b:First>
            <b:Middle>Reiner and David</b:Middle>
          </b:Person>
        </b:NameList>
      </b:Author>
    </b:Author>
    <b:Title>Babylonian Planetary Omens Part 1: Enuma Anu Enlil Tablet 63: The Venus Tablet of Ammisaduqa</b:Title>
    <b:Year>1975</b:Year>
    <b:City>Pasadena</b:City>
    <b:Publisher>Undena Publications</b:Publisher>
    <b:RefOrder>27</b:RefOrder>
  </b:Source>
  <b:Source>
    <b:Tag>Pin98</b:Tag>
    <b:SourceType>Book</b:SourceType>
    <b:Guid>{01AD4647-2008-4468-8B9C-3F1B847D421E}</b:Guid>
    <b:Author>
      <b:Author>
        <b:NameList>
          <b:Person>
            <b:Last>Pingree</b:Last>
            <b:First>Erica</b:First>
            <b:Middle>Reiner and David</b:Middle>
          </b:Person>
        </b:NameList>
      </b:Author>
    </b:Author>
    <b:Title>Babylonian Planetary Omens Part 3</b:Title>
    <b:Year>1998</b:Year>
    <b:City>Groningen</b:City>
    <b:Publisher>Styx Publications</b:Publisher>
    <b:RefOrder>28</b:RefOrder>
  </b:Source>
  <b:Source>
    <b:Tag>GEK99</b:Tag>
    <b:SourceType>JournalArticle</b:SourceType>
    <b:Guid>{126C1D71-3B39-4BF7-B4A2-5D86869262D1}</b:Guid>
    <b:Title>The Identification of Inanna With the Planet Venus: A Criterion For the Time Determination of the Recognition of Constellations in Ancient Mesopotamia</b:Title>
    <b:Year>1999</b:Year>
    <b:Author>
      <b:Author>
        <b:NameList>
          <b:Person>
            <b:Last>Kurtik</b:Last>
            <b:First>G.E.</b:First>
          </b:Person>
        </b:NameList>
      </b:Author>
    </b:Author>
    <b:JournalName>Astronomical &amp; Astrophysical Transactions,</b:JournalName>
    <b:Pages>pp. 501 - 513</b:Pages>
    <b:RefOrder>29</b:RefOrder>
  </b:Source>
  <b:Source>
    <b:Tag>Jef08</b:Tag>
    <b:SourceType>JournalArticle</b:SourceType>
    <b:Guid>{09B87C02-8DD7-4D35-B25A-334D09F89532}</b:Guid>
    <b:Author>
      <b:Author>
        <b:NameList>
          <b:Person>
            <b:Last>Cooley</b:Last>
            <b:First>Jeffrey</b:First>
            <b:Middle>L.</b:Middle>
          </b:Person>
        </b:NameList>
      </b:Author>
    </b:Author>
    <b:Title>Inanna And Šukaletuda: A Sumerian Astral Myth</b:Title>
    <b:JournalName>KASKAL - Rivista di storia, ambienti e culture del Vicino Oriente Antico Volume 5</b:JournalName>
    <b:Year>2008</b:Year>
    <b:Pages>pp. 161-172</b:Pages>
    <b:RefOrder>30</b:RefOrder>
  </b:Source>
  <b:Source>
    <b:Tag>Nic12</b:Tag>
    <b:SourceType>Book</b:SourceType>
    <b:Guid>{8CD71493-3771-4404-A527-06F27449AEAD}</b:Guid>
    <b:Author>
      <b:Author>
        <b:NameList>
          <b:Person>
            <b:Last>Campion</b:Last>
            <b:First>Nicholas</b:First>
          </b:Person>
        </b:NameList>
      </b:Author>
    </b:Author>
    <b:Title>Astrology and Cosmology in the World's Religions</b:Title>
    <b:Year>2012</b:Year>
    <b:City>New York</b:City>
    <b:Publisher>New York University Press</b:Publisher>
    <b:RefOrder>31</b:RefOrder>
  </b:Source>
  <b:Source>
    <b:Tag>Zha21</b:Tag>
    <b:SourceType>ArticleInAPeriodical</b:SourceType>
    <b:Guid>{8D2BA30A-41D5-4FB9-8D19-EC9F9BA1B52E}</b:Guid>
    <b:Author>
      <b:Author>
        <b:NameList>
          <b:Person>
            <b:Last>Zhang</b:Last>
            <b:First>He</b:First>
          </b:Person>
        </b:NameList>
      </b:Author>
    </b:Author>
    <b:Title>Planet Venus in the Astrology of Ancient Mesopotamia and China: Evidence of Direct Transmission of Knowledge and Practice as Demonstrated in Enuma Anu Enlil and Wu Xing Zhan</b:Title>
    <b:PeriodicalTitle>Sino-Platonic Papers Number 319</b:PeriodicalTitle>
    <b:Year>2021</b:Year>
    <b:Month>December</b:Month>
    <b:Pages>pp. 1-130</b:Pages>
    <b:RefOrder>32</b:RefOrder>
  </b:Source>
  <b:Source>
    <b:Tag>HeZ20</b:Tag>
    <b:SourceType>ArticleInAPeriodical</b:SourceType>
    <b:Guid>{251BC5B2-4794-4A3D-93A0-EB66F9ACAE76}</b:Guid>
    <b:Author>
      <b:Author>
        <b:NameList>
          <b:Person>
            <b:Last>Zhang</b:Last>
            <b:First>He</b:First>
          </b:Person>
        </b:NameList>
      </b:Author>
    </b:Author>
    <b:Title>The Chinese 60-Day/Year and Mesoamerican 260-Day Calendars: A Comparative Study of Cyclical Calendrical Systems and Cosmology</b:Title>
    <b:JournalName>SINO-PLATONIC PAPERS Number 305</b:JournalName>
    <b:Year>2020</b:Year>
    <b:Pages>pp. 1-35</b:Pages>
    <b:PeriodicalTitle>Sino-Platonic Papers Number 305</b:PeriodicalTitle>
    <b:Month>November</b:Month>
    <b:RefOrder>33</b:RefOrder>
  </b:Source>
</b:Sources>
</file>

<file path=customXml/itemProps1.xml><?xml version="1.0" encoding="utf-8"?>
<ds:datastoreItem xmlns:ds="http://schemas.openxmlformats.org/officeDocument/2006/customXml" ds:itemID="{6BB439F7-1844-4458-A386-169D30A48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4142</TotalTime>
  <Pages>18</Pages>
  <Words>4262</Words>
  <Characters>24297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 Scannell - HPCA7015 – Essay 3</dc:creator>
  <cp:lastModifiedBy>Beth Scannell</cp:lastModifiedBy>
  <cp:revision>428</cp:revision>
  <dcterms:created xsi:type="dcterms:W3CDTF">2024-12-16T20:48:00Z</dcterms:created>
  <dcterms:modified xsi:type="dcterms:W3CDTF">2025-01-04T22:10:00Z</dcterms:modified>
</cp:coreProperties>
</file>