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2AC4" w:rsidRDefault="001B2AC4"/>
    <w:p w:rsidR="001B2AC4" w:rsidRDefault="001B2AC4">
      <w:pPr>
        <w:widowControl/>
        <w:jc w:val="left"/>
      </w:pPr>
      <w:r>
        <w:br w:type="page"/>
      </w:r>
    </w:p>
    <w:p w:rsidR="001B2AC4" w:rsidRDefault="001B2AC4" w:rsidP="001B2AC4">
      <w:pPr>
        <w:pStyle w:val="1"/>
      </w:pPr>
      <w:bookmarkStart w:id="0" w:name="_Toc28934398"/>
      <w:r w:rsidRPr="001B2AC4">
        <w:lastRenderedPageBreak/>
        <w:t>EXECUTIVE SUMMARY</w:t>
      </w:r>
      <w:bookmarkEnd w:id="0"/>
    </w:p>
    <w:p w:rsidR="001B2AC4" w:rsidRDefault="001B2AC4" w:rsidP="001B2AC4">
      <w:r w:rsidRPr="001B2AC4">
        <w:t xml:space="preserve">The report analyzed the potential challenges that the British enterprises may encounter when operating in </w:t>
      </w:r>
      <w:proofErr w:type="spellStart"/>
      <w:r w:rsidRPr="001B2AC4">
        <w:t>Cyrpus</w:t>
      </w:r>
      <w:proofErr w:type="spellEnd"/>
      <w:r w:rsidRPr="001B2AC4">
        <w:t xml:space="preserve"> through the lens of Hofstede’s six cultural dimensions. The overarching purpose is to ease the difficulties for the British enterprises in the Cypriot markets through more effective business communication.</w:t>
      </w:r>
    </w:p>
    <w:p w:rsidR="0041086D" w:rsidRPr="001B2AC4" w:rsidRDefault="0041086D" w:rsidP="001B2AC4"/>
    <w:p w:rsidR="001B2AC4" w:rsidRDefault="0041086D">
      <w:pPr>
        <w:widowControl/>
        <w:jc w:val="left"/>
      </w:pPr>
      <w:r w:rsidRPr="0041086D">
        <w:t>The report finds that the Cypriot culture and the British culture share some similarities in the masculinity dimension and long-term orientation dimension, it also observes significant differences regarding other dimensions. These differences add difficulties in human resources management and business communications. The awareness of cultural differences between two cultures will lay a solid foundation for the British enterprises to take appropriate actions to address the potential challenges.</w:t>
      </w:r>
    </w:p>
    <w:p w:rsidR="001B2AC4" w:rsidRDefault="001B2AC4">
      <w:pPr>
        <w:widowControl/>
        <w:jc w:val="left"/>
      </w:pPr>
    </w:p>
    <w:p w:rsidR="001B2AC4" w:rsidRDefault="001B2AC4"/>
    <w:p w:rsidR="001B2AC4" w:rsidRDefault="001B2AC4">
      <w:pPr>
        <w:widowControl/>
        <w:jc w:val="left"/>
      </w:pPr>
      <w:r>
        <w:br w:type="page"/>
      </w:r>
    </w:p>
    <w:p w:rsidR="0041086D" w:rsidRDefault="0041086D">
      <w:pPr>
        <w:rPr>
          <w:b/>
          <w:bCs/>
        </w:rPr>
      </w:pPr>
      <w:proofErr w:type="spellStart"/>
      <w:r w:rsidRPr="0041086D">
        <w:rPr>
          <w:rFonts w:hint="eastAsia"/>
          <w:b/>
          <w:bCs/>
        </w:rPr>
        <w:lastRenderedPageBreak/>
        <w:t>C</w:t>
      </w:r>
      <w:r w:rsidRPr="0041086D">
        <w:rPr>
          <w:b/>
          <w:bCs/>
        </w:rPr>
        <w:t>ontect</w:t>
      </w:r>
      <w:proofErr w:type="spellEnd"/>
    </w:p>
    <w:p w:rsidR="0041086D" w:rsidRDefault="0041086D">
      <w:pPr>
        <w:pStyle w:val="TOC1"/>
        <w:tabs>
          <w:tab w:val="right" w:pos="8290"/>
        </w:tabs>
        <w:rPr>
          <w:noProof/>
        </w:rPr>
      </w:pPr>
      <w:r>
        <w:rPr>
          <w:b/>
          <w:bCs/>
          <w:sz w:val="22"/>
          <w:szCs w:val="22"/>
        </w:rPr>
        <w:fldChar w:fldCharType="begin"/>
      </w:r>
      <w:r>
        <w:rPr>
          <w:b/>
          <w:bCs/>
          <w:sz w:val="22"/>
          <w:szCs w:val="22"/>
        </w:rPr>
        <w:instrText xml:space="preserve"> </w:instrText>
      </w:r>
      <w:r>
        <w:rPr>
          <w:rFonts w:hint="eastAsia"/>
          <w:b/>
          <w:bCs/>
          <w:sz w:val="22"/>
          <w:szCs w:val="22"/>
        </w:rPr>
        <w:instrText>TOC \o "1-3" \h \z \u</w:instrText>
      </w:r>
      <w:r>
        <w:rPr>
          <w:b/>
          <w:bCs/>
          <w:sz w:val="22"/>
          <w:szCs w:val="22"/>
        </w:rPr>
        <w:instrText xml:space="preserve"> </w:instrText>
      </w:r>
      <w:r>
        <w:rPr>
          <w:b/>
          <w:bCs/>
          <w:sz w:val="22"/>
          <w:szCs w:val="22"/>
        </w:rPr>
        <w:fldChar w:fldCharType="separate"/>
      </w:r>
      <w:hyperlink w:anchor="_Toc28934398" w:history="1">
        <w:r w:rsidRPr="002D3E30">
          <w:rPr>
            <w:rStyle w:val="a4"/>
            <w:noProof/>
          </w:rPr>
          <w:t>EXECUTIVE SUMMARY</w:t>
        </w:r>
        <w:r>
          <w:rPr>
            <w:noProof/>
            <w:webHidden/>
          </w:rPr>
          <w:tab/>
        </w:r>
        <w:r>
          <w:rPr>
            <w:noProof/>
            <w:webHidden/>
          </w:rPr>
          <w:fldChar w:fldCharType="begin"/>
        </w:r>
        <w:r>
          <w:rPr>
            <w:noProof/>
            <w:webHidden/>
          </w:rPr>
          <w:instrText xml:space="preserve"> PAGEREF _Toc28934398 \h </w:instrText>
        </w:r>
        <w:r>
          <w:rPr>
            <w:noProof/>
            <w:webHidden/>
          </w:rPr>
        </w:r>
        <w:r>
          <w:rPr>
            <w:noProof/>
            <w:webHidden/>
          </w:rPr>
          <w:fldChar w:fldCharType="separate"/>
        </w:r>
        <w:r>
          <w:rPr>
            <w:noProof/>
            <w:webHidden/>
          </w:rPr>
          <w:t>2</w:t>
        </w:r>
        <w:r>
          <w:rPr>
            <w:noProof/>
            <w:webHidden/>
          </w:rPr>
          <w:fldChar w:fldCharType="end"/>
        </w:r>
      </w:hyperlink>
    </w:p>
    <w:p w:rsidR="0041086D" w:rsidRDefault="0041086D">
      <w:pPr>
        <w:pStyle w:val="TOC1"/>
        <w:tabs>
          <w:tab w:val="right" w:pos="8290"/>
        </w:tabs>
        <w:rPr>
          <w:noProof/>
        </w:rPr>
      </w:pPr>
      <w:hyperlink w:anchor="_Toc28934399" w:history="1">
        <w:r w:rsidRPr="002D3E30">
          <w:rPr>
            <w:rStyle w:val="a4"/>
            <w:noProof/>
          </w:rPr>
          <w:t>INTERNATIONAL</w:t>
        </w:r>
        <w:r>
          <w:rPr>
            <w:noProof/>
            <w:webHidden/>
          </w:rPr>
          <w:tab/>
        </w:r>
        <w:r>
          <w:rPr>
            <w:noProof/>
            <w:webHidden/>
          </w:rPr>
          <w:fldChar w:fldCharType="begin"/>
        </w:r>
        <w:r>
          <w:rPr>
            <w:noProof/>
            <w:webHidden/>
          </w:rPr>
          <w:instrText xml:space="preserve"> PAGEREF _Toc28934399 \h </w:instrText>
        </w:r>
        <w:r>
          <w:rPr>
            <w:noProof/>
            <w:webHidden/>
          </w:rPr>
        </w:r>
        <w:r>
          <w:rPr>
            <w:noProof/>
            <w:webHidden/>
          </w:rPr>
          <w:fldChar w:fldCharType="separate"/>
        </w:r>
        <w:r>
          <w:rPr>
            <w:noProof/>
            <w:webHidden/>
          </w:rPr>
          <w:t>4</w:t>
        </w:r>
        <w:r>
          <w:rPr>
            <w:noProof/>
            <w:webHidden/>
          </w:rPr>
          <w:fldChar w:fldCharType="end"/>
        </w:r>
      </w:hyperlink>
    </w:p>
    <w:p w:rsidR="0041086D" w:rsidRDefault="0041086D">
      <w:pPr>
        <w:pStyle w:val="TOC1"/>
        <w:tabs>
          <w:tab w:val="right" w:pos="8290"/>
        </w:tabs>
        <w:rPr>
          <w:noProof/>
        </w:rPr>
      </w:pPr>
      <w:hyperlink w:anchor="_Toc28934400" w:history="1">
        <w:r w:rsidRPr="002D3E30">
          <w:rPr>
            <w:rStyle w:val="a4"/>
            <w:noProof/>
          </w:rPr>
          <w:t>INTERNATIONAL TRADE: THE BRITISH ENTERPRISES IN CYPRUS</w:t>
        </w:r>
        <w:r>
          <w:rPr>
            <w:noProof/>
            <w:webHidden/>
          </w:rPr>
          <w:tab/>
        </w:r>
        <w:r>
          <w:rPr>
            <w:noProof/>
            <w:webHidden/>
          </w:rPr>
          <w:fldChar w:fldCharType="begin"/>
        </w:r>
        <w:r>
          <w:rPr>
            <w:noProof/>
            <w:webHidden/>
          </w:rPr>
          <w:instrText xml:space="preserve"> PAGEREF _Toc28934400 \h </w:instrText>
        </w:r>
        <w:r>
          <w:rPr>
            <w:noProof/>
            <w:webHidden/>
          </w:rPr>
        </w:r>
        <w:r>
          <w:rPr>
            <w:noProof/>
            <w:webHidden/>
          </w:rPr>
          <w:fldChar w:fldCharType="separate"/>
        </w:r>
        <w:r>
          <w:rPr>
            <w:noProof/>
            <w:webHidden/>
          </w:rPr>
          <w:t>5</w:t>
        </w:r>
        <w:r>
          <w:rPr>
            <w:noProof/>
            <w:webHidden/>
          </w:rPr>
          <w:fldChar w:fldCharType="end"/>
        </w:r>
      </w:hyperlink>
    </w:p>
    <w:p w:rsidR="0041086D" w:rsidRDefault="0041086D">
      <w:pPr>
        <w:pStyle w:val="TOC1"/>
        <w:tabs>
          <w:tab w:val="right" w:pos="8290"/>
        </w:tabs>
        <w:rPr>
          <w:noProof/>
        </w:rPr>
      </w:pPr>
      <w:hyperlink w:anchor="_Toc28934401" w:history="1">
        <w:r w:rsidRPr="002D3E30">
          <w:rPr>
            <w:rStyle w:val="a4"/>
            <w:noProof/>
          </w:rPr>
          <w:t>THE EVALUATION OF CULTURAL DIFFERENCES</w:t>
        </w:r>
        <w:r>
          <w:rPr>
            <w:noProof/>
            <w:webHidden/>
          </w:rPr>
          <w:tab/>
        </w:r>
        <w:r>
          <w:rPr>
            <w:noProof/>
            <w:webHidden/>
          </w:rPr>
          <w:fldChar w:fldCharType="begin"/>
        </w:r>
        <w:r>
          <w:rPr>
            <w:noProof/>
            <w:webHidden/>
          </w:rPr>
          <w:instrText xml:space="preserve"> PAGEREF _Toc28934401 \h </w:instrText>
        </w:r>
        <w:r>
          <w:rPr>
            <w:noProof/>
            <w:webHidden/>
          </w:rPr>
        </w:r>
        <w:r>
          <w:rPr>
            <w:noProof/>
            <w:webHidden/>
          </w:rPr>
          <w:fldChar w:fldCharType="separate"/>
        </w:r>
        <w:r>
          <w:rPr>
            <w:noProof/>
            <w:webHidden/>
          </w:rPr>
          <w:t>8</w:t>
        </w:r>
        <w:r>
          <w:rPr>
            <w:noProof/>
            <w:webHidden/>
          </w:rPr>
          <w:fldChar w:fldCharType="end"/>
        </w:r>
      </w:hyperlink>
    </w:p>
    <w:p w:rsidR="0041086D" w:rsidRDefault="0041086D">
      <w:pPr>
        <w:pStyle w:val="TOC2"/>
        <w:tabs>
          <w:tab w:val="right" w:pos="8290"/>
        </w:tabs>
        <w:ind w:left="480"/>
        <w:rPr>
          <w:noProof/>
        </w:rPr>
      </w:pPr>
      <w:hyperlink w:anchor="_Toc28934402" w:history="1">
        <w:r w:rsidRPr="002D3E30">
          <w:rPr>
            <w:rStyle w:val="a4"/>
            <w:noProof/>
          </w:rPr>
          <w:t>Power Distance</w:t>
        </w:r>
        <w:r>
          <w:rPr>
            <w:noProof/>
            <w:webHidden/>
          </w:rPr>
          <w:tab/>
        </w:r>
        <w:r>
          <w:rPr>
            <w:noProof/>
            <w:webHidden/>
          </w:rPr>
          <w:fldChar w:fldCharType="begin"/>
        </w:r>
        <w:r>
          <w:rPr>
            <w:noProof/>
            <w:webHidden/>
          </w:rPr>
          <w:instrText xml:space="preserve"> PAGEREF _Toc28934402 \h </w:instrText>
        </w:r>
        <w:r>
          <w:rPr>
            <w:noProof/>
            <w:webHidden/>
          </w:rPr>
        </w:r>
        <w:r>
          <w:rPr>
            <w:noProof/>
            <w:webHidden/>
          </w:rPr>
          <w:fldChar w:fldCharType="separate"/>
        </w:r>
        <w:r>
          <w:rPr>
            <w:noProof/>
            <w:webHidden/>
          </w:rPr>
          <w:t>8</w:t>
        </w:r>
        <w:r>
          <w:rPr>
            <w:noProof/>
            <w:webHidden/>
          </w:rPr>
          <w:fldChar w:fldCharType="end"/>
        </w:r>
      </w:hyperlink>
    </w:p>
    <w:p w:rsidR="0041086D" w:rsidRDefault="0041086D">
      <w:pPr>
        <w:pStyle w:val="TOC1"/>
        <w:tabs>
          <w:tab w:val="right" w:pos="8290"/>
        </w:tabs>
        <w:rPr>
          <w:noProof/>
        </w:rPr>
      </w:pPr>
      <w:hyperlink w:anchor="_Toc28934403" w:history="1">
        <w:r w:rsidRPr="002D3E30">
          <w:rPr>
            <w:rStyle w:val="a4"/>
            <w:noProof/>
          </w:rPr>
          <w:t>CONCLUSIONS</w:t>
        </w:r>
        <w:r>
          <w:rPr>
            <w:noProof/>
            <w:webHidden/>
          </w:rPr>
          <w:tab/>
        </w:r>
        <w:r>
          <w:rPr>
            <w:noProof/>
            <w:webHidden/>
          </w:rPr>
          <w:fldChar w:fldCharType="begin"/>
        </w:r>
        <w:r>
          <w:rPr>
            <w:noProof/>
            <w:webHidden/>
          </w:rPr>
          <w:instrText xml:space="preserve"> PAGEREF _Toc28934403 \h </w:instrText>
        </w:r>
        <w:r>
          <w:rPr>
            <w:noProof/>
            <w:webHidden/>
          </w:rPr>
        </w:r>
        <w:r>
          <w:rPr>
            <w:noProof/>
            <w:webHidden/>
          </w:rPr>
          <w:fldChar w:fldCharType="separate"/>
        </w:r>
        <w:r>
          <w:rPr>
            <w:noProof/>
            <w:webHidden/>
          </w:rPr>
          <w:t>13</w:t>
        </w:r>
        <w:r>
          <w:rPr>
            <w:noProof/>
            <w:webHidden/>
          </w:rPr>
          <w:fldChar w:fldCharType="end"/>
        </w:r>
      </w:hyperlink>
    </w:p>
    <w:p w:rsidR="0041086D" w:rsidRDefault="0041086D">
      <w:pPr>
        <w:pStyle w:val="TOC1"/>
        <w:tabs>
          <w:tab w:val="right" w:pos="8290"/>
        </w:tabs>
        <w:rPr>
          <w:noProof/>
        </w:rPr>
      </w:pPr>
      <w:hyperlink w:anchor="_Toc28934404" w:history="1">
        <w:r w:rsidRPr="002D3E30">
          <w:rPr>
            <w:rStyle w:val="a4"/>
            <w:noProof/>
          </w:rPr>
          <w:t>Reference List</w:t>
        </w:r>
        <w:r>
          <w:rPr>
            <w:noProof/>
            <w:webHidden/>
          </w:rPr>
          <w:tab/>
        </w:r>
        <w:r>
          <w:rPr>
            <w:noProof/>
            <w:webHidden/>
          </w:rPr>
          <w:fldChar w:fldCharType="begin"/>
        </w:r>
        <w:r>
          <w:rPr>
            <w:noProof/>
            <w:webHidden/>
          </w:rPr>
          <w:instrText xml:space="preserve"> PAGEREF _Toc28934404 \h </w:instrText>
        </w:r>
        <w:r>
          <w:rPr>
            <w:noProof/>
            <w:webHidden/>
          </w:rPr>
        </w:r>
        <w:r>
          <w:rPr>
            <w:noProof/>
            <w:webHidden/>
          </w:rPr>
          <w:fldChar w:fldCharType="separate"/>
        </w:r>
        <w:r>
          <w:rPr>
            <w:noProof/>
            <w:webHidden/>
          </w:rPr>
          <w:t>14</w:t>
        </w:r>
        <w:r>
          <w:rPr>
            <w:noProof/>
            <w:webHidden/>
          </w:rPr>
          <w:fldChar w:fldCharType="end"/>
        </w:r>
      </w:hyperlink>
    </w:p>
    <w:p w:rsidR="0041086D" w:rsidRPr="0041086D" w:rsidRDefault="0041086D">
      <w:pPr>
        <w:rPr>
          <w:rFonts w:hint="eastAsia"/>
          <w:b/>
          <w:bCs/>
          <w:sz w:val="22"/>
          <w:szCs w:val="22"/>
        </w:rPr>
      </w:pPr>
      <w:r>
        <w:rPr>
          <w:b/>
          <w:bCs/>
          <w:sz w:val="22"/>
          <w:szCs w:val="22"/>
        </w:rPr>
        <w:fldChar w:fldCharType="end"/>
      </w:r>
    </w:p>
    <w:p w:rsidR="001B2AC4" w:rsidRDefault="001B2AC4">
      <w:pPr>
        <w:widowControl/>
        <w:jc w:val="left"/>
      </w:pPr>
      <w:r>
        <w:br w:type="page"/>
      </w:r>
      <w:bookmarkStart w:id="1" w:name="_GoBack"/>
      <w:bookmarkEnd w:id="1"/>
    </w:p>
    <w:p w:rsidR="00162B38" w:rsidRDefault="0041086D" w:rsidP="0041086D">
      <w:pPr>
        <w:pStyle w:val="1"/>
      </w:pPr>
      <w:bookmarkStart w:id="2" w:name="_Toc28934399"/>
      <w:r w:rsidRPr="0041086D">
        <w:lastRenderedPageBreak/>
        <w:t>INTERNATIONAL</w:t>
      </w:r>
      <w:bookmarkEnd w:id="2"/>
    </w:p>
    <w:p w:rsidR="0041086D" w:rsidRDefault="0041086D" w:rsidP="0041086D">
      <w:r>
        <w:t>As the international marketplace becomes increasingly more accessible for enterprises due to the increasing globalization and economic integration, enterprises nowadays continue to expand across nations through international trade. International trade refers to the exchange of tangible goods and intangible services between countries around the world (</w:t>
      </w:r>
      <w:proofErr w:type="spellStart"/>
      <w:r>
        <w:t>Markusen</w:t>
      </w:r>
      <w:proofErr w:type="spellEnd"/>
      <w:r>
        <w:t xml:space="preserve"> et al., 1995). The development of international trade is often affected by differences in cultural background, language, way of thinking, and local customs (</w:t>
      </w:r>
      <w:proofErr w:type="spellStart"/>
      <w:r>
        <w:t>Feenstra</w:t>
      </w:r>
      <w:proofErr w:type="spellEnd"/>
      <w:r>
        <w:t>, 2015). Under the context of increasing international trade activities, cross-cultural structure to proceed operations are becoming ever more common, indicating multinational enterprises can harvest the benefits of a diverse knowledge scope and insightful business approaches (Rivera-</w:t>
      </w:r>
      <w:proofErr w:type="spellStart"/>
      <w:r>
        <w:t>Batiz</w:t>
      </w:r>
      <w:proofErr w:type="spellEnd"/>
      <w:r>
        <w:t xml:space="preserve"> and Rivera-</w:t>
      </w:r>
      <w:proofErr w:type="spellStart"/>
      <w:r>
        <w:t>Batiz</w:t>
      </w:r>
      <w:proofErr w:type="spellEnd"/>
      <w:r>
        <w:t xml:space="preserve">, 2018). However, along with the benefits of workforce diversity, international enterprises also encounter potential stumbling blocks when it comes to international business communication and management issues. </w:t>
      </w:r>
    </w:p>
    <w:p w:rsidR="0041086D" w:rsidRDefault="0041086D" w:rsidP="0041086D"/>
    <w:p w:rsidR="0041086D" w:rsidRDefault="0041086D" w:rsidP="0041086D">
      <w:r>
        <w:t>This report discusses the challenges and sensitivities of the British enterprise conducting business in Cyprus through the classic model-Hofstede’s six cultural dimensions. The purpose of this report is to deliver some practical implications for the British enterprise operating in Cyprus or preparing to enter the Cypriot market.</w:t>
      </w:r>
    </w:p>
    <w:p w:rsidR="0041086D" w:rsidRDefault="0041086D" w:rsidP="0041086D"/>
    <w:p w:rsidR="0041086D" w:rsidRDefault="0041086D" w:rsidP="0041086D"/>
    <w:p w:rsidR="0041086D" w:rsidRDefault="0041086D" w:rsidP="0041086D"/>
    <w:p w:rsidR="0041086D" w:rsidRDefault="0041086D" w:rsidP="0041086D"/>
    <w:p w:rsidR="0041086D" w:rsidRDefault="0041086D" w:rsidP="0041086D"/>
    <w:p w:rsidR="0041086D" w:rsidRDefault="0041086D" w:rsidP="0041086D"/>
    <w:p w:rsidR="0041086D" w:rsidRDefault="0041086D" w:rsidP="0041086D"/>
    <w:p w:rsidR="0041086D" w:rsidRDefault="0041086D" w:rsidP="0041086D"/>
    <w:p w:rsidR="0041086D" w:rsidRDefault="0041086D" w:rsidP="0041086D"/>
    <w:p w:rsidR="0041086D" w:rsidRDefault="0041086D" w:rsidP="0041086D">
      <w:pPr>
        <w:pStyle w:val="1"/>
      </w:pPr>
      <w:bookmarkStart w:id="3" w:name="_Toc28934400"/>
      <w:r w:rsidRPr="0041086D">
        <w:lastRenderedPageBreak/>
        <w:t>INTERNATIONAL TRADE: THE BRITISH ENTERPRISES IN CYPRUS</w:t>
      </w:r>
      <w:bookmarkEnd w:id="3"/>
    </w:p>
    <w:p w:rsidR="0041086D" w:rsidRPr="00646DAF" w:rsidRDefault="0041086D" w:rsidP="0041086D">
      <w:pPr>
        <w:spacing w:beforeLines="50" w:before="156" w:afterLines="50" w:after="156"/>
      </w:pPr>
      <w:r w:rsidRPr="00646DAF">
        <w:t>Cyprus is the third largest island in the Mediterranean, adjacent to the three continents of Europe, Asia, and Africa. The geographical location of Cyprus indicates the importance of international trade</w:t>
      </w:r>
      <w:r>
        <w:t>,</w:t>
      </w:r>
      <w:r w:rsidRPr="00646DAF">
        <w:t xml:space="preserve"> and it is known as the “Golden Key of the Mediterranean.”</w:t>
      </w:r>
      <w:r>
        <w:t xml:space="preserve"> </w:t>
      </w:r>
      <w:r>
        <w:fldChar w:fldCharType="begin" w:fldLock="1"/>
      </w:r>
      <w:r>
        <w:instrText>ADDIN CSL_CITATION {"citationItems":[{"id":"ITEM-1","itemData":{"ISBN":"110802064X","author":[{"dropping-particle":"","family":"Hill","given":"George","non-dropping-particle":"","parse-names":false,"suffix":""}],"id":"ITEM-1","issued":{"date-parts":[["2010"]]},"publisher":"Cambridge University Press","title":"A history of Cyprus","type":"book","volume":"3"},"uris":["http://www.mendeley.com/documents/?uuid=9313731d-a78b-4fb0-a1fa-36c70fddc27e"]}],"mendeley":{"formattedCitation":"(Hill, 2010)","plainTextFormattedCitation":"(Hill, 2010)","previouslyFormattedCitation":"(Hill, 2010)"},"properties":{"noteIndex":0},"schema":"https://github.com/citation-style-language/schema/raw/master/csl-citation.json"}</w:instrText>
      </w:r>
      <w:r>
        <w:fldChar w:fldCharType="separate"/>
      </w:r>
      <w:r w:rsidRPr="00646DAF">
        <w:rPr>
          <w:noProof/>
        </w:rPr>
        <w:t>(Hill, 2010)</w:t>
      </w:r>
      <w:r>
        <w:fldChar w:fldCharType="end"/>
      </w:r>
      <w:r w:rsidRPr="00646DAF">
        <w:t xml:space="preserve"> The Greeks in Cyprus accounted for 72. 8%, Turks account for 9. 6%, foreigners accounted for 17. 6%</w:t>
      </w:r>
      <w:r>
        <w:t xml:space="preserve"> </w:t>
      </w:r>
      <w:r>
        <w:fldChar w:fldCharType="begin" w:fldLock="1"/>
      </w:r>
      <w:r>
        <w:instrText>ADDIN CSL_CITATION {"citationItems":[{"id":"ITEM-1","itemData":{"URL":"https://www.britannica.com/place/Cyprus","accessed":{"date-parts":[["2020","1","1"]]},"author":[{"dropping-particle":"","family":"Britannica","given":"","non-dropping-particle":"","parse-names":false,"suffix":""}],"id":"ITEM-1","issued":{"date-parts":[["2019"]]},"title":"Cyprus | History, Flag, Map, &amp; Facts ","type":"webpage"},"uris":["http://www.mendeley.com/documents/?uuid=56a16aed-0f80-345c-aed5-d7231fb908fc"]}],"mendeley":{"formattedCitation":"(Britannica, 2019)","plainTextFormattedCitation":"(Britannica, 2019)","previouslyFormattedCitation":"(Britannica, 2019)"},"properties":{"noteIndex":0},"schema":"https://github.com/citation-style-language/schema/raw/master/csl-citation.json"}</w:instrText>
      </w:r>
      <w:r>
        <w:fldChar w:fldCharType="separate"/>
      </w:r>
      <w:r w:rsidRPr="00646DAF">
        <w:rPr>
          <w:noProof/>
        </w:rPr>
        <w:t>(Britannica, 2019)</w:t>
      </w:r>
      <w:r>
        <w:fldChar w:fldCharType="end"/>
      </w:r>
      <w:r w:rsidRPr="00646DAF">
        <w:t>. During the Balkan crisis of 1878, Cyprus was occupied by the British. Following one of the resolutions in the Berlin conference, Britain took over the Cypriot government from the Ottoman Empire</w:t>
      </w:r>
      <w:r>
        <w:t xml:space="preserve"> </w:t>
      </w:r>
      <w:r>
        <w:fldChar w:fldCharType="begin" w:fldLock="1"/>
      </w:r>
      <w:r>
        <w:instrText>ADDIN CSL_CITATION {"citationItems":[{"id":"ITEM-1","itemData":{"ISBN":"110802064X","author":[{"dropping-particle":"","family":"Hill","given":"George","non-dropping-particle":"","parse-names":false,"suffix":""}],"id":"ITEM-1","issued":{"date-parts":[["2010"]]},"publisher":"Cambridge University Press","title":"A history of Cyprus","type":"book","volume":"3"},"uris":["http://www.mendeley.com/documents/?uuid=9313731d-a78b-4fb0-a1fa-36c70fddc27e"]}],"mendeley":{"formattedCitation":"(Hill, 2010)","plainTextFormattedCitation":"(Hill, 2010)","previouslyFormattedCitation":"(Hill, 2010)"},"properties":{"noteIndex":0},"schema":"https://github.com/citation-style-language/schema/raw/master/csl-citation.json"}</w:instrText>
      </w:r>
      <w:r>
        <w:fldChar w:fldCharType="separate"/>
      </w:r>
      <w:r w:rsidRPr="00646DAF">
        <w:rPr>
          <w:noProof/>
        </w:rPr>
        <w:t>(Hill, 2010)</w:t>
      </w:r>
      <w:r>
        <w:fldChar w:fldCharType="end"/>
      </w:r>
      <w:r w:rsidRPr="00646DAF">
        <w:t>. The British governance of Cyprus had lasted until 1960. After Cyprus gained independence from British colonial rule in 1960, it has been plagued by ethnic conflicts</w:t>
      </w:r>
      <w:r>
        <w:t xml:space="preserve"> </w:t>
      </w:r>
      <w:r>
        <w:fldChar w:fldCharType="begin" w:fldLock="1"/>
      </w:r>
      <w:r>
        <w:instrText>ADDIN CSL_CITATION {"citationItems":[{"id":"ITEM-1","itemData":{"ISBN":"0857717200","author":[{"dropping-particle":"","family":"Morgan","given":"Tabitha","non-dropping-particle":"","parse-names":false,"suffix":""}],"id":"ITEM-1","issued":{"date-parts":[["2010"]]},"publisher":"Bloomsbury Publishing","title":"Sweet and bitter island: A history of the British in Cyprus","type":"book"},"uris":["http://www.mendeley.com/documents/?uuid=a9a459fe-4932-4b89-9aa1-478eabe481bf"]}],"mendeley":{"formattedCitation":"(Morgan, 2010)","plainTextFormattedCitation":"(Morgan, 2010)","previouslyFormattedCitation":"(Morgan, 2010)"},"properties":{"noteIndex":0},"schema":"https://github.com/citation-style-language/schema/raw/master/csl-citation.json"}</w:instrText>
      </w:r>
      <w:r>
        <w:fldChar w:fldCharType="separate"/>
      </w:r>
      <w:r w:rsidRPr="00646DAF">
        <w:rPr>
          <w:noProof/>
        </w:rPr>
        <w:t>(Morgan, 2010)</w:t>
      </w:r>
      <w:r>
        <w:fldChar w:fldCharType="end"/>
      </w:r>
      <w:r w:rsidRPr="00646DAF">
        <w:t xml:space="preserve">. In the mid-to-late 1970s, the Cypriot government took measures to restore the economy. After more than a decade of hard work, its economic performance reached admirable levels. </w:t>
      </w:r>
      <w:r>
        <w:t>I</w:t>
      </w:r>
      <w:r w:rsidRPr="00646DAF">
        <w:t>n 1990, the Republic of Cyprus applied to join the European Community (the predecessor of the European Union (EU)) and became a member state of the European Union in 2004</w:t>
      </w:r>
      <w:r>
        <w:t xml:space="preserve"> </w:t>
      </w:r>
      <w:r>
        <w:fldChar w:fldCharType="begin" w:fldLock="1"/>
      </w:r>
      <w:r>
        <w:instrText>ADDIN CSL_CITATION {"citationItems":[{"id":"ITEM-1","itemData":{"ISBN":"110802064X","author":[{"dropping-particle":"","family":"Hill","given":"George","non-dropping-particle":"","parse-names":false,"suffix":""}],"id":"ITEM-1","issued":{"date-parts":[["2010"]]},"publisher":"Cambridge University Press","title":"A history of Cyprus","type":"book","volume":"3"},"uris":["http://www.mendeley.com/documents/?uuid=9313731d-a78b-4fb0-a1fa-36c70fddc27e"]}],"mendeley":{"formattedCitation":"(Hill, 2010)","plainTextFormattedCitation":"(Hill, 2010)","previouslyFormattedCitation":"(Hill, 2010)"},"properties":{"noteIndex":0},"schema":"https://github.com/citation-style-language/schema/raw/master/csl-citation.json"}</w:instrText>
      </w:r>
      <w:r>
        <w:fldChar w:fldCharType="separate"/>
      </w:r>
      <w:r w:rsidRPr="00646DAF">
        <w:rPr>
          <w:noProof/>
        </w:rPr>
        <w:t>(Hill, 2010)</w:t>
      </w:r>
      <w:r>
        <w:fldChar w:fldCharType="end"/>
      </w:r>
      <w:r w:rsidRPr="00646DAF">
        <w:t>. It is the only Middle Eastern country among the EU member states.</w:t>
      </w:r>
    </w:p>
    <w:p w:rsidR="0041086D" w:rsidRDefault="0041086D" w:rsidP="0041086D">
      <w:pPr>
        <w:spacing w:beforeLines="50" w:before="156" w:afterLines="50" w:after="156"/>
      </w:pPr>
      <w:r>
        <w:rPr>
          <w:noProof/>
        </w:rPr>
        <w:drawing>
          <wp:inline distT="0" distB="0" distL="0" distR="0" wp14:anchorId="3F92DDB7" wp14:editId="005083A3">
            <wp:extent cx="2625626" cy="2298700"/>
            <wp:effectExtent l="0" t="0" r="3810" b="6350"/>
            <wp:docPr id="2" name="图片 2" descr="图片包含 文字,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cation_Cyprus_EU_Europ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32701" cy="2304894"/>
                    </a:xfrm>
                    <a:prstGeom prst="rect">
                      <a:avLst/>
                    </a:prstGeom>
                  </pic:spPr>
                </pic:pic>
              </a:graphicData>
            </a:graphic>
          </wp:inline>
        </w:drawing>
      </w:r>
    </w:p>
    <w:p w:rsidR="0041086D" w:rsidRPr="00B60AF0" w:rsidRDefault="0041086D" w:rsidP="0041086D">
      <w:pPr>
        <w:spacing w:beforeLines="50" w:before="156" w:afterLines="50" w:after="156"/>
        <w:rPr>
          <w:b/>
          <w:bCs/>
          <w:i/>
          <w:iCs/>
        </w:rPr>
      </w:pPr>
      <w:r w:rsidRPr="00B60AF0">
        <w:rPr>
          <w:b/>
          <w:bCs/>
          <w:i/>
          <w:iCs/>
        </w:rPr>
        <w:t xml:space="preserve">Figure 1. </w:t>
      </w:r>
      <w:r>
        <w:rPr>
          <w:b/>
          <w:bCs/>
          <w:i/>
          <w:iCs/>
        </w:rPr>
        <w:t>The g</w:t>
      </w:r>
      <w:r w:rsidRPr="00B60AF0">
        <w:rPr>
          <w:b/>
          <w:bCs/>
          <w:i/>
          <w:iCs/>
        </w:rPr>
        <w:t>eographical location of Cyprus and the EU</w:t>
      </w:r>
    </w:p>
    <w:p w:rsidR="0041086D" w:rsidRPr="00646DAF" w:rsidRDefault="0041086D" w:rsidP="0041086D">
      <w:pPr>
        <w:spacing w:beforeLines="50" w:before="156" w:afterLines="50" w:after="156"/>
      </w:pPr>
      <w:r w:rsidRPr="00646DAF">
        <w:t xml:space="preserve">The Linkage Agreement and Customs Union Agreement signed between Cyprus and </w:t>
      </w:r>
      <w:r w:rsidRPr="00646DAF">
        <w:lastRenderedPageBreak/>
        <w:t xml:space="preserve">the </w:t>
      </w:r>
      <w:r>
        <w:t>EU</w:t>
      </w:r>
      <w:r w:rsidRPr="00646DAF">
        <w:t xml:space="preserve"> have played </w:t>
      </w:r>
      <w:r>
        <w:t>an essential rol</w:t>
      </w:r>
      <w:r w:rsidRPr="00646DAF">
        <w:t xml:space="preserve">e in the economic </w:t>
      </w:r>
      <w:r>
        <w:t>growth</w:t>
      </w:r>
      <w:r w:rsidRPr="00646DAF">
        <w:t xml:space="preserve"> of Cyprus</w:t>
      </w:r>
      <w:r>
        <w:t xml:space="preserve"> </w:t>
      </w:r>
      <w:r>
        <w:fldChar w:fldCharType="begin" w:fldLock="1"/>
      </w:r>
      <w:r>
        <w:instrText>ADDIN CSL_CITATION {"citationItems":[{"id":"ITEM-1","itemData":{"ISBN":"110802064X","author":[{"dropping-particle":"","family":"Hill","given":"George","non-dropping-particle":"","parse-names":false,"suffix":""}],"id":"ITEM-1","issued":{"date-parts":[["2010"]]},"publisher":"Cambridge University Press","title":"A history of Cyprus","type":"book","volume":"3"},"uris":["http://www.mendeley.com/documents/?uuid=9313731d-a78b-4fb0-a1fa-36c70fddc27e"]}],"mendeley":{"formattedCitation":"(Hill, 2010)","plainTextFormattedCitation":"(Hill, 2010)","previouslyFormattedCitation":"(Hill, 2010)"},"properties":{"noteIndex":0},"schema":"https://github.com/citation-style-language/schema/raw/master/csl-citation.json"}</w:instrText>
      </w:r>
      <w:r>
        <w:fldChar w:fldCharType="separate"/>
      </w:r>
      <w:r w:rsidRPr="00646DAF">
        <w:rPr>
          <w:noProof/>
        </w:rPr>
        <w:t>(Hill, 2010)</w:t>
      </w:r>
      <w:r>
        <w:fldChar w:fldCharType="end"/>
      </w:r>
      <w:r w:rsidRPr="00646DAF">
        <w:t xml:space="preserve">. In this case, it is of </w:t>
      </w:r>
      <w:r>
        <w:t>particular</w:t>
      </w:r>
      <w:r w:rsidRPr="00646DAF">
        <w:t xml:space="preserve"> significance for Cyprus to further strengthen its economic ties with the EU. More importantly, the EU can help Cyprus reorganize the traditional industrial sector, modernize the industry, increase productivity and competitiveness, and ensure that Cyprus enters the European market with high-quality products. On the agricultural front, Cyprus will benefit from a common agricultural policy</w:t>
      </w:r>
      <w:r>
        <w:t xml:space="preserve"> to</w:t>
      </w:r>
      <w:r w:rsidRPr="00646DAF">
        <w:t xml:space="preserve"> </w:t>
      </w:r>
      <w:r>
        <w:t>i</w:t>
      </w:r>
      <w:r w:rsidRPr="00646DAF">
        <w:t>ncrease productivity by promoting technological progress and using product factors and increase the personal income of citizens in the agricultural sector</w:t>
      </w:r>
      <w:r>
        <w:t xml:space="preserve"> </w:t>
      </w:r>
      <w:r>
        <w:fldChar w:fldCharType="begin" w:fldLock="1"/>
      </w:r>
      <w:r>
        <w:instrText>ADDIN CSL_CITATION {"citationItems":[{"id":"ITEM-1","itemData":{"ISBN":"110802064X","author":[{"dropping-particle":"","family":"Hill","given":"George","non-dropping-particle":"","parse-names":false,"suffix":""}],"id":"ITEM-1","issued":{"date-parts":[["2010"]]},"publisher":"Cambridge University Press","title":"A history of Cyprus","type":"book","volume":"3"},"uris":["http://www.mendeley.com/documents/?uuid=9313731d-a78b-4fb0-a1fa-36c70fddc27e"]}],"mendeley":{"formattedCitation":"(Hill, 2010)","plainTextFormattedCitation":"(Hill, 2010)","previouslyFormattedCitation":"(Hill, 2010)"},"properties":{"noteIndex":0},"schema":"https://github.com/citation-style-language/schema/raw/master/csl-citation.json"}</w:instrText>
      </w:r>
      <w:r>
        <w:fldChar w:fldCharType="separate"/>
      </w:r>
      <w:r w:rsidRPr="00646DAF">
        <w:rPr>
          <w:noProof/>
        </w:rPr>
        <w:t>(Hill, 2010)</w:t>
      </w:r>
      <w:r>
        <w:fldChar w:fldCharType="end"/>
      </w:r>
      <w:r w:rsidRPr="00646DAF">
        <w:t xml:space="preserve">. In addition, the membership of the EU, especially Britain, can also increase the direct investment in Cyprus. The relatively low-cost and high-quality labor force of the </w:t>
      </w:r>
      <w:r w:rsidRPr="00646DAF">
        <w:rPr>
          <w:rFonts w:hint="eastAsia"/>
        </w:rPr>
        <w:t>EU</w:t>
      </w:r>
      <w:r w:rsidRPr="00646DAF">
        <w:t xml:space="preserve"> can help Cyprus become a base for the production and export of goods in the eastern Mediterranean</w:t>
      </w:r>
      <w:r>
        <w:t xml:space="preserve"> </w:t>
      </w:r>
      <w:r>
        <w:fldChar w:fldCharType="begin" w:fldLock="1"/>
      </w:r>
      <w:r>
        <w:instrText>ADDIN CSL_CITATION {"citationItems":[{"id":"ITEM-1","itemData":{"ISBN":"0230275281","author":[{"dropping-particle":"","family":"Dodd","given":"Clement","non-dropping-particle":"","parse-names":false,"suffix":""}],"id":"ITEM-1","issued":{"date-parts":[["2010"]]},"publisher":"Springer","title":"The history and politics of the Cyprus conflict","type":"book"},"uris":["http://www.mendeley.com/documents/?uuid=93174119-eb7a-4b51-9a18-19d37021f7a7"]}],"mendeley":{"formattedCitation":"(Dodd, 2010)","plainTextFormattedCitation":"(Dodd, 2010)","previouslyFormattedCitation":"(Dodd, 2010)"},"properties":{"noteIndex":0},"schema":"https://github.com/citation-style-language/schema/raw/master/csl-citation.json"}</w:instrText>
      </w:r>
      <w:r>
        <w:fldChar w:fldCharType="separate"/>
      </w:r>
      <w:r w:rsidRPr="00646DAF">
        <w:rPr>
          <w:noProof/>
        </w:rPr>
        <w:t>(Dodd, 2010)</w:t>
      </w:r>
      <w:r>
        <w:fldChar w:fldCharType="end"/>
      </w:r>
      <w:r w:rsidRPr="00646DAF">
        <w:t>. Cyprus can use the EU's structure and agglomeration funds, as well as other forms of technical and financial assistance within the framework of its accession strategy. In the era of globalization, small countries are more vulnerable to competition pressure than large countries</w:t>
      </w:r>
      <w:r>
        <w:t xml:space="preserve"> </w:t>
      </w:r>
      <w:r>
        <w:fldChar w:fldCharType="begin" w:fldLock="1"/>
      </w:r>
      <w:r>
        <w:instrText>ADDIN CSL_CITATION {"citationItems":[{"id":"ITEM-1","itemData":{"author":[{"dropping-particle":"","family":"Markusen","given":"James R","non-dropping-particle":"","parse-names":false,"suffix":""},{"dropping-particle":"","family":"Melvin","given":"James R","non-dropping-particle":"","parse-names":false,"suffix":""},{"dropping-particle":"","family":"Maskus","given":"Keith E","non-dropping-particle":"","parse-names":false,"suffix":""},{"dropping-particle":"","family":"Kaempfer","given":"William","non-dropping-particle":"","parse-names":false,"suffix":""}],"id":"ITEM-1","issued":{"date-parts":[["1995"]]},"publisher":"University Library of Munich, Germany","title":"International trade: theory and evidence","type":"report"},"uris":["http://www.mendeley.com/documents/?uuid=2d91e4b4-034c-470f-add6-ff090c924399"]}],"mendeley":{"formattedCitation":"(Markusen &lt;i&gt;et al.&lt;/i&gt;, 1995)","plainTextFormattedCitation":"(Markusen et al., 1995)","previouslyFormattedCitation":"(Markusen &lt;i&gt;et al.&lt;/i&gt;, 1995)"},"properties":{"noteIndex":0},"schema":"https://github.com/citation-style-language/schema/raw/master/csl-citation.json"}</w:instrText>
      </w:r>
      <w:r>
        <w:fldChar w:fldCharType="separate"/>
      </w:r>
      <w:r w:rsidRPr="00646DAF">
        <w:rPr>
          <w:noProof/>
        </w:rPr>
        <w:t xml:space="preserve">(Markusen </w:t>
      </w:r>
      <w:r w:rsidRPr="00646DAF">
        <w:rPr>
          <w:i/>
          <w:noProof/>
        </w:rPr>
        <w:t>et al.</w:t>
      </w:r>
      <w:r w:rsidRPr="00646DAF">
        <w:rPr>
          <w:noProof/>
        </w:rPr>
        <w:t>, 1995)</w:t>
      </w:r>
      <w:r>
        <w:fldChar w:fldCharType="end"/>
      </w:r>
      <w:r w:rsidRPr="00646DAF">
        <w:t>. They can enjoy many trade protection policies within the EU, and at the same time, they can benefit from EU economic growth.</w:t>
      </w:r>
    </w:p>
    <w:p w:rsidR="0041086D" w:rsidRPr="00646DAF" w:rsidRDefault="0041086D" w:rsidP="0041086D">
      <w:pPr>
        <w:spacing w:beforeLines="50" w:before="156" w:afterLines="50" w:after="156"/>
      </w:pPr>
      <w:r w:rsidRPr="00646DAF">
        <w:t>At the same time, as an island country, Cyprus is relatively lacking in natural resources.</w:t>
      </w:r>
      <w:r>
        <w:t xml:space="preserve"> Hence, Cyprus is active in importing to get necessary resources such as heavy machines, raw materials, fuel, etc. </w:t>
      </w:r>
      <w:r w:rsidRPr="00646DAF">
        <w:t xml:space="preserve">The country introduced </w:t>
      </w:r>
      <w:r>
        <w:t xml:space="preserve">a </w:t>
      </w:r>
      <w:r w:rsidRPr="00646DAF">
        <w:t>value-added tax (VAT) in 1991, and the current 15% tax rate is the lowest in the EU</w:t>
      </w:r>
      <w:r>
        <w:t xml:space="preserve"> </w:t>
      </w:r>
      <w:r>
        <w:fldChar w:fldCharType="begin" w:fldLock="1"/>
      </w:r>
      <w:r>
        <w:instrText>ADDIN CSL_CITATION {"citationItems":[{"id":"ITEM-1","itemData":{"ISBN":"110802064X","author":[{"dropping-particle":"","family":"Hill","given":"George","non-dropping-particle":"","parse-names":false,"suffix":""}],"id":"ITEM-1","issued":{"date-parts":[["2010"]]},"publisher":"Cambridge University Press","title":"A history of Cyprus","type":"book","volume":"3"},"uris":["http://www.mendeley.com/documents/?uuid=9313731d-a78b-4fb0-a1fa-36c70fddc27e"]}],"mendeley":{"formattedCitation":"(Hill, 2010)","plainTextFormattedCitation":"(Hill, 2010)","previouslyFormattedCitation":"(Hill, 2010)"},"properties":{"noteIndex":0},"schema":"https://github.com/citation-style-language/schema/raw/master/csl-citation.json"}</w:instrText>
      </w:r>
      <w:r>
        <w:fldChar w:fldCharType="separate"/>
      </w:r>
      <w:r w:rsidRPr="00646DAF">
        <w:rPr>
          <w:noProof/>
        </w:rPr>
        <w:t>(Hill, 2010)</w:t>
      </w:r>
      <w:r>
        <w:fldChar w:fldCharType="end"/>
      </w:r>
      <w:r w:rsidRPr="00646DAF">
        <w:t>.</w:t>
      </w:r>
      <w:r w:rsidRPr="00646DAF">
        <w:rPr>
          <w:rFonts w:hint="eastAsia"/>
        </w:rPr>
        <w:t xml:space="preserve"> </w:t>
      </w:r>
      <w:r w:rsidRPr="00646DAF">
        <w:t>The other major trading partners of Cyprus in 2017 were Greece, Germany, Italy and Britain, with a bilateral trade volume of 1.76 billion, 690 million, 650 million and 580 million euros respectively</w:t>
      </w:r>
      <w:r>
        <w:t xml:space="preserve">; </w:t>
      </w:r>
      <w:r w:rsidRPr="00646DAF">
        <w:t>The primary import sources of Cyprus are Greece, Italy, China, Germany and Britain, and the main export destinations are Libya, Greece, Norway, Britain, and Germany</w:t>
      </w:r>
      <w:r>
        <w:t xml:space="preserve"> </w:t>
      </w:r>
      <w:r>
        <w:fldChar w:fldCharType="begin" w:fldLock="1"/>
      </w:r>
      <w:r>
        <w:instrText>ADDIN CSL_CITATION {"citationItems":[{"id":"ITEM-1","itemData":{"URL":"http://www.worldstopexports.com/cyprus-top-15-import-partners/","accessed":{"date-parts":[["2020","1","1"]]},"author":[{"dropping-particle":"","family":"World's Top Exports","given":"","non-dropping-particle":"","parse-names":false,"suffix":""}],"id":"ITEM-1","issued":{"date-parts":[["2019"]]},"title":"Cyprus Top Trading Partners","type":"webpage"},"uris":["http://www.mendeley.com/documents/?uuid=f7f3503a-27a0-3270-b38b-d6dcbeb6bac8"]}],"mendeley":{"formattedCitation":"(World’s Top Exports, 2019)","plainTextFormattedCitation":"(World’s Top Exports, 2019)","previouslyFormattedCitation":"(World’s Top Exports, 2019)"},"properties":{"noteIndex":0},"schema":"https://github.com/citation-style-language/schema/raw/master/csl-citation.json"}</w:instrText>
      </w:r>
      <w:r>
        <w:fldChar w:fldCharType="separate"/>
      </w:r>
      <w:r w:rsidRPr="00646DAF">
        <w:rPr>
          <w:noProof/>
        </w:rPr>
        <w:t>(World’s Top Exports, 2019)</w:t>
      </w:r>
      <w:r>
        <w:fldChar w:fldCharType="end"/>
      </w:r>
      <w:r w:rsidRPr="00646DAF">
        <w:t>.</w:t>
      </w:r>
    </w:p>
    <w:p w:rsidR="0041086D" w:rsidRPr="00646DAF" w:rsidRDefault="0041086D" w:rsidP="0041086D">
      <w:pPr>
        <w:spacing w:beforeLines="50" w:before="156" w:afterLines="50" w:after="156"/>
      </w:pPr>
      <w:r w:rsidRPr="00646DAF">
        <w:t xml:space="preserve">The geographical location and historical events of Cyprus indicate that the possible challenges and sensitivities for the British to do business in Cyprus must be well evaluated. The short history of British governance in Cyprus although it resulted in </w:t>
      </w:r>
      <w:r w:rsidRPr="00646DAF">
        <w:lastRenderedPageBreak/>
        <w:t xml:space="preserve">some extent of cultural assimilation, giant differences in a culture still remains due to the multiple considerations such as demographic features, geographical locations, religions, etc. A deep dive into the cultural differences between the two countries will help the British enterprises to consider and overcome possible issues in operating their business in Cyprus. </w:t>
      </w:r>
    </w:p>
    <w:p w:rsidR="0041086D" w:rsidRDefault="0041086D" w:rsidP="0041086D">
      <w:pPr>
        <w:pStyle w:val="1"/>
      </w:pPr>
      <w:r>
        <w:br w:type="page"/>
      </w:r>
      <w:bookmarkStart w:id="4" w:name="_Toc28815009"/>
      <w:bookmarkStart w:id="5" w:name="_Toc28934401"/>
      <w:r w:rsidRPr="004C2CD7">
        <w:rPr>
          <w:noProof/>
        </w:rPr>
        <w:lastRenderedPageBreak/>
        <w:t xml:space="preserve">THE </w:t>
      </w:r>
      <w:r>
        <w:rPr>
          <w:noProof/>
        </w:rPr>
        <w:t>E</w:t>
      </w:r>
      <w:r w:rsidRPr="004C2CD7">
        <w:rPr>
          <w:noProof/>
        </w:rPr>
        <w:t xml:space="preserve">VALUATION OF </w:t>
      </w:r>
      <w:r>
        <w:rPr>
          <w:noProof/>
        </w:rPr>
        <w:t>C</w:t>
      </w:r>
      <w:r w:rsidRPr="004C2CD7">
        <w:rPr>
          <w:noProof/>
        </w:rPr>
        <w:t xml:space="preserve">ULTURAL </w:t>
      </w:r>
      <w:r>
        <w:rPr>
          <w:noProof/>
        </w:rPr>
        <w:t>D</w:t>
      </w:r>
      <w:r w:rsidRPr="004C2CD7">
        <w:rPr>
          <w:noProof/>
        </w:rPr>
        <w:t>IFFERENCES</w:t>
      </w:r>
      <w:bookmarkEnd w:id="4"/>
      <w:bookmarkEnd w:id="5"/>
    </w:p>
    <w:p w:rsidR="0041086D" w:rsidRPr="00646DAF" w:rsidRDefault="0041086D" w:rsidP="0041086D">
      <w:pPr>
        <w:spacing w:beforeLines="50" w:before="156" w:afterLines="50" w:after="156"/>
      </w:pPr>
      <w:r w:rsidRPr="00646DAF">
        <w:t>Hofstede’s cultural dimension theory has been introduced in the report to assess the possible issues in international business communications. The underlying reason for choosing the model is its practicality and applicability in measuring the cultural differences from six general dimensions-power distance, individualism/collectivism, uncertainty avoidance, masculinity, long-term orientation, indulgence</w:t>
      </w:r>
      <w:r>
        <w:t xml:space="preserve"> </w:t>
      </w:r>
      <w:r>
        <w:fldChar w:fldCharType="begin" w:fldLock="1"/>
      </w:r>
      <w:r>
        <w:instrText>ADDIN CSL_CITATION {"citationItems":[{"id":"ITEM-1","itemData":{"ISSN":"0148-2963","author":[{"dropping-particle":"","family":"Soares","given":"Ana Maria","non-dropping-particle":"","parse-names":false,"suffix":""},{"dropping-particle":"","family":"Farhangmehr","given":"Minoo","non-dropping-particle":"","parse-names":false,"suffix":""},{"dropping-particle":"","family":"Shoham","given":"Aviv","non-dropping-particle":"","parse-names":false,"suffix":""}],"container-title":"Journal of business research","id":"ITEM-1","issue":"3","issued":{"date-parts":[["2007"]]},"page":"277-284","publisher":"Elsevier","title":"Hofstede's dimensions of culture in international marketing studies","type":"article-journal","volume":"60"},"uris":["http://www.mendeley.com/documents/?uuid=0bbab465-c361-4c02-86c8-024f7c8dc409"]}],"mendeley":{"formattedCitation":"(Soares, Farhangmehr and Shoham, 2007)","plainTextFormattedCitation":"(Soares, Farhangmehr and Shoham, 2007)","previouslyFormattedCitation":"(Soares, Farhangmehr and Shoham, 2007)"},"properties":{"noteIndex":0},"schema":"https://github.com/citation-style-language/schema/raw/master/csl-citation.json"}</w:instrText>
      </w:r>
      <w:r>
        <w:fldChar w:fldCharType="separate"/>
      </w:r>
      <w:r w:rsidRPr="00646DAF">
        <w:rPr>
          <w:noProof/>
        </w:rPr>
        <w:t>(Soares, Farhangmehr and Shoham, 2007)</w:t>
      </w:r>
      <w:r>
        <w:fldChar w:fldCharType="end"/>
      </w:r>
      <w:r w:rsidRPr="00646DAF">
        <w:t>. With Greece people make up the majority of the Cypriot population, the Cypriot culture shares some similarities within the Greece culture.</w:t>
      </w:r>
    </w:p>
    <w:p w:rsidR="0041086D" w:rsidRDefault="0041086D" w:rsidP="0041086D">
      <w:pPr>
        <w:spacing w:beforeLines="50" w:before="156" w:afterLines="50" w:after="156"/>
      </w:pPr>
      <w:r>
        <w:rPr>
          <w:noProof/>
        </w:rPr>
        <w:drawing>
          <wp:inline distT="0" distB="0" distL="0" distR="0" wp14:anchorId="2BD6A2A3" wp14:editId="642A1750">
            <wp:extent cx="4648200" cy="2387600"/>
            <wp:effectExtent l="0" t="0" r="0" b="0"/>
            <wp:docPr id="5" name="图表 5">
              <a:extLst xmlns:a="http://schemas.openxmlformats.org/drawingml/2006/main">
                <a:ext uri="{FF2B5EF4-FFF2-40B4-BE49-F238E27FC236}">
                  <a16:creationId xmlns:a16="http://schemas.microsoft.com/office/drawing/2014/main" id="{EBE6F0DD-E086-4806-AFFE-304707DD1B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1086D" w:rsidRPr="00BC3354" w:rsidRDefault="0041086D" w:rsidP="0041086D">
      <w:pPr>
        <w:spacing w:beforeLines="50" w:before="156" w:afterLines="50" w:after="156"/>
        <w:rPr>
          <w:b/>
          <w:bCs/>
          <w:i/>
          <w:iCs/>
        </w:rPr>
      </w:pPr>
      <w:r w:rsidRPr="00BC3354">
        <w:rPr>
          <w:rFonts w:hint="eastAsia"/>
          <w:b/>
          <w:bCs/>
          <w:i/>
          <w:iCs/>
        </w:rPr>
        <w:t>F</w:t>
      </w:r>
      <w:r w:rsidRPr="00BC3354">
        <w:rPr>
          <w:b/>
          <w:bCs/>
          <w:i/>
          <w:iCs/>
        </w:rPr>
        <w:t xml:space="preserve">igure 2. Summary of Hofstede’s six cultural dimensions </w:t>
      </w:r>
    </w:p>
    <w:p w:rsidR="0041086D" w:rsidRDefault="0041086D" w:rsidP="0041086D">
      <w:pPr>
        <w:pStyle w:val="2"/>
        <w:spacing w:beforeLines="50" w:before="156" w:afterLines="50" w:after="156" w:line="360" w:lineRule="auto"/>
      </w:pPr>
      <w:bookmarkStart w:id="6" w:name="_Toc28814898"/>
      <w:bookmarkStart w:id="7" w:name="_Toc28815010"/>
      <w:bookmarkStart w:id="8" w:name="_Toc28934402"/>
      <w:r>
        <w:rPr>
          <w:rFonts w:hint="eastAsia"/>
        </w:rPr>
        <w:t>P</w:t>
      </w:r>
      <w:r>
        <w:t>ower Distance</w:t>
      </w:r>
      <w:bookmarkEnd w:id="6"/>
      <w:bookmarkEnd w:id="7"/>
      <w:bookmarkEnd w:id="8"/>
      <w:r>
        <w:t xml:space="preserve"> </w:t>
      </w:r>
    </w:p>
    <w:p w:rsidR="0041086D" w:rsidRDefault="0041086D" w:rsidP="0041086D">
      <w:pPr>
        <w:spacing w:before="50" w:after="50"/>
      </w:pPr>
      <w:r w:rsidRPr="00646DAF">
        <w:t>The dimension denotes the acceptance of unequal power distribution. Cultures with large distances of power</w:t>
      </w:r>
      <w:r>
        <w:t xml:space="preserve"> endorse coercive and indicative power, while cultures with small power distance hold the views that the use of power should be legitimate </w:t>
      </w:r>
      <w:r>
        <w:fldChar w:fldCharType="begin" w:fldLock="1"/>
      </w:r>
      <w:r>
        <w:instrText>ADDIN CSL_CITATION {"citationItems":[{"id":"ITEM-1","itemData":{"ISSN":"2307-0919","author":[{"dropping-particle":"","family":"Hofstede","given":"Geert","non-dropping-particle":"","parse-names":false,"suffix":""}],"container-title":"Online readings in psychology and culture","id":"ITEM-1","issue":"1","issued":{"date-parts":[["2011"]]},"page":"8","publisher":"International Association for Cross-Cultural Psychology","title":"Dimensionalizing cultures: The Hofstede model in context","type":"article-journal","volume":"2"},"uris":["http://www.mendeley.com/documents/?uuid=e7d7a862-6680-43fe-90f5-cb72d9259e7a"]}],"mendeley":{"formattedCitation":"(Hofstede, 2011)","plainTextFormattedCitation":"(Hofstede, 2011)","previouslyFormattedCitation":"(Hofstede, 2011)"},"properties":{"noteIndex":0},"schema":"https://github.com/citation-style-language/schema/raw/master/csl-citation.json"}</w:instrText>
      </w:r>
      <w:r>
        <w:fldChar w:fldCharType="separate"/>
      </w:r>
      <w:r w:rsidRPr="00646DAF">
        <w:rPr>
          <w:noProof/>
        </w:rPr>
        <w:t>(Hofstede, 2011)</w:t>
      </w:r>
      <w:r>
        <w:fldChar w:fldCharType="end"/>
      </w:r>
      <w:r>
        <w:t>.</w:t>
      </w:r>
    </w:p>
    <w:p w:rsidR="0041086D" w:rsidRPr="00646DAF" w:rsidRDefault="0041086D" w:rsidP="0041086D">
      <w:pPr>
        <w:spacing w:beforeLines="50" w:before="156" w:afterLines="50" w:after="156"/>
      </w:pPr>
      <w:r w:rsidRPr="00646DAF">
        <w:t>Cyprus</w:t>
      </w:r>
      <w:r>
        <w:t xml:space="preserve"> has an</w:t>
      </w:r>
      <w:r w:rsidRPr="00646DAF">
        <w:t xml:space="preserve"> a</w:t>
      </w:r>
      <w:r>
        <w:t>bove-average level of power distance</w:t>
      </w:r>
      <w:r w:rsidRPr="00646DAF">
        <w:t xml:space="preserve"> with an index of 60 (high than the average level of 55), which generally indicate</w:t>
      </w:r>
      <w:r>
        <w:t>s</w:t>
      </w:r>
      <w:r w:rsidRPr="00646DAF">
        <w:t xml:space="preserve"> that hierarchy in the workplace should be respected by employees and inequalities in power distribution </w:t>
      </w:r>
      <w:r>
        <w:t>is</w:t>
      </w:r>
      <w:r w:rsidRPr="00646DAF">
        <w:t xml:space="preserve"> acceptable. </w:t>
      </w:r>
      <w:r w:rsidRPr="00646DAF">
        <w:lastRenderedPageBreak/>
        <w:t xml:space="preserve">In </w:t>
      </w:r>
      <w:r>
        <w:t xml:space="preserve">the </w:t>
      </w:r>
      <w:r w:rsidRPr="00646DAF">
        <w:t>Cypriot workplace, personal and informal relationship</w:t>
      </w:r>
      <w:r>
        <w:t>s</w:t>
      </w:r>
      <w:r w:rsidRPr="00646DAF">
        <w:t xml:space="preserve"> among the top managers and low-level employees are usually not advocated and emphasized</w:t>
      </w:r>
      <w:r>
        <w:t xml:space="preserve"> </w:t>
      </w:r>
      <w:r>
        <w:fldChar w:fldCharType="begin" w:fldLock="1"/>
      </w:r>
      <w:r>
        <w:instrText>ADDIN CSL_CITATION {"citationItems":[{"id":"ITEM-1","itemData":{"ISSN":"0003-6846","author":[{"dropping-particle":"","family":"Katircioglu","given":"Salih","non-dropping-particle":"","parse-names":false,"suffix":""}],"container-title":"Applied Economics","id":"ITEM-1","issue":"21","issued":{"date-parts":[["2009"]]},"page":"2741-2750","publisher":"Taylor &amp; Francis","title":"Tourism, trade and growth: the case of Cyprus","type":"article-journal","volume":"41"},"uris":["http://www.mendeley.com/documents/?uuid=f3253c20-a061-4308-84b7-af38c22ddb05"]}],"mendeley":{"formattedCitation":"(Katircioglu, 2009)","plainTextFormattedCitation":"(Katircioglu, 2009)","previouslyFormattedCitation":"(Katircioglu, 2009)"},"properties":{"noteIndex":0},"schema":"https://github.com/citation-style-language/schema/raw/master/csl-citation.json"}</w:instrText>
      </w:r>
      <w:r>
        <w:fldChar w:fldCharType="separate"/>
      </w:r>
      <w:r w:rsidRPr="00646DAF">
        <w:rPr>
          <w:noProof/>
        </w:rPr>
        <w:t>(Katircioglu, 2009)</w:t>
      </w:r>
      <w:r>
        <w:fldChar w:fldCharType="end"/>
      </w:r>
      <w:r w:rsidRPr="00646DAF">
        <w:t>. A more centralized pyramidal organizational structure with power being allocated to the top managers are common in Cypriot enterprises</w:t>
      </w:r>
      <w:r>
        <w:t xml:space="preserve"> </w:t>
      </w:r>
      <w:r>
        <w:fldChar w:fldCharType="begin" w:fldLock="1"/>
      </w:r>
      <w:r>
        <w:instrText>ADDIN CSL_CITATION {"citationItems":[{"id":"ITEM-1","itemData":{"ISSN":"1050-6519","author":[{"dropping-particle":"","family":"Goby","given":"Valerie Priscilla","non-dropping-particle":"","parse-names":false,"suffix":""}],"container-title":"Journal of Business and Technical Communication","id":"ITEM-1","issue":"4","issued":{"date-parts":[["2007"]]},"page":"425-437","publisher":"Sage Publications Sage CA: Los Angeles, CA","title":"Business communication needs: A multicultural perspective","type":"article-journal","volume":"21"},"uris":["http://www.mendeley.com/documents/?uuid=3e74980b-c383-40ef-a8ac-d1d3bbdf09d8"]}],"mendeley":{"formattedCitation":"(Goby, 2007)","plainTextFormattedCitation":"(Goby, 2007)","previouslyFormattedCitation":"(Goby, 2007)"},"properties":{"noteIndex":0},"schema":"https://github.com/citation-style-language/schema/raw/master/csl-citation.json"}</w:instrText>
      </w:r>
      <w:r>
        <w:fldChar w:fldCharType="separate"/>
      </w:r>
      <w:r w:rsidRPr="00646DAF">
        <w:rPr>
          <w:noProof/>
        </w:rPr>
        <w:t>(Goby, 2007)</w:t>
      </w:r>
      <w:r>
        <w:fldChar w:fldCharType="end"/>
      </w:r>
      <w:r w:rsidRPr="00646DAF">
        <w:t xml:space="preserve">. Due to the respect from the subordinates to the superiors, they typically rely on guidance and decision-making from the superiors to unfold their works. The reliance on the superiors also indicates that the Cypriot employees generally expect and accept that their leaders have qualified skills and competences. </w:t>
      </w:r>
    </w:p>
    <w:p w:rsidR="0041086D" w:rsidRPr="00646DAF" w:rsidRDefault="0041086D" w:rsidP="0041086D">
      <w:pPr>
        <w:spacing w:beforeLines="50" w:before="156" w:afterLines="50" w:after="156"/>
      </w:pPr>
      <w:r w:rsidRPr="00646DAF">
        <w:t>Compared to Cyprus, British culture has a relatively lower power distance with an index of 35. With less emphasis on hierarchies, British enterprises are commonly organized by projects featured by their matrix organizational structure</w:t>
      </w:r>
      <w:r>
        <w:t xml:space="preserve"> </w:t>
      </w:r>
      <w:r>
        <w:fldChar w:fldCharType="begin" w:fldLock="1"/>
      </w:r>
      <w:r>
        <w:instrText>ADDIN CSL_CITATION {"citationItems":[{"id":"ITEM-1","itemData":{"ISBN":"1349225576","author":[{"dropping-particle":"","family":"Young","given":"Courtney","non-dropping-particle":"","parse-names":false,"suffix":""},{"dropping-particle":"","family":"Ghoshal","given":"Sumantra","non-dropping-particle":"","parse-names":false,"suffix":""}],"id":"ITEM-1","issued":{"date-parts":[["2016"]]},"publisher":"Springer","title":"Organization theory and the multinational corporation","type":"book"},"uris":["http://www.mendeley.com/documents/?uuid=c7a92a98-8d3d-4827-86ba-16c8f1ac7978"]}],"mendeley":{"formattedCitation":"(Young and Ghoshal, 2016)","plainTextFormattedCitation":"(Young and Ghoshal, 2016)","previouslyFormattedCitation":"(Young and Ghoshal, 2016)"},"properties":{"noteIndex":0},"schema":"https://github.com/citation-style-language/schema/raw/master/csl-citation.json"}</w:instrText>
      </w:r>
      <w:r>
        <w:fldChar w:fldCharType="separate"/>
      </w:r>
      <w:r w:rsidRPr="00646DAF">
        <w:rPr>
          <w:noProof/>
        </w:rPr>
        <w:t>(Young and Ghoshal, 2016)</w:t>
      </w:r>
      <w:r>
        <w:fldChar w:fldCharType="end"/>
      </w:r>
      <w:r w:rsidRPr="00646DAF">
        <w:t xml:space="preserve">. Hence, the opinions of each member are listened </w:t>
      </w:r>
      <w:r>
        <w:t xml:space="preserve">to </w:t>
      </w:r>
      <w:r w:rsidRPr="00646DAF">
        <w:t>and respected regardless</w:t>
      </w:r>
      <w:r>
        <w:t xml:space="preserve"> of</w:t>
      </w:r>
      <w:r w:rsidRPr="00646DAF">
        <w:t xml:space="preserve"> their positions. Rather </w:t>
      </w:r>
      <w:r>
        <w:t xml:space="preserve">than </w:t>
      </w:r>
      <w:r w:rsidRPr="00646DAF">
        <w:t>following the instructions of the managers, employees in British enterprises will possibly reject their managers who they perceive as patronizing or incompetent</w:t>
      </w:r>
      <w:r>
        <w:t xml:space="preserve"> </w:t>
      </w:r>
      <w:r>
        <w:fldChar w:fldCharType="begin" w:fldLock="1"/>
      </w:r>
      <w:r>
        <w:instrText>ADDIN CSL_CITATION {"citationItems":[{"id":"ITEM-1","itemData":{"ISSN":"2475-0387","author":[{"dropping-particle":"","family":"Moon","given":"Chanki","non-dropping-particle":"","parse-names":false,"suffix":""},{"dropping-particle":"","family":"Uskul","given":"Ayse K","non-dropping-particle":"","parse-names":false,"suffix":""},{"dropping-particle":"","family":"Weick","given":"Mario","non-dropping-particle":"","parse-names":false,"suffix":""}],"container-title":"Journal of Theoretical Social Psychology","id":"ITEM-1","issued":{"date-parts":[["2018"]]},"publisher":"Wiley Online Library","title":"Cultural differences in politeness as a function of status relations: Comparing South Korean and British communicators","type":"article-journal"},"uris":["http://www.mendeley.com/documents/?uuid=6dfdaa17-981d-48da-a689-d91902b4e6a1"]}],"mendeley":{"formattedCitation":"(Moon, Uskul and Weick, 2018)","plainTextFormattedCitation":"(Moon, Uskul and Weick, 2018)","previouslyFormattedCitation":"(Moon, Uskul and Weick, 2018)"},"properties":{"noteIndex":0},"schema":"https://github.com/citation-style-language/schema/raw/master/csl-citation.json"}</w:instrText>
      </w:r>
      <w:r>
        <w:fldChar w:fldCharType="separate"/>
      </w:r>
      <w:r w:rsidRPr="00646DAF">
        <w:rPr>
          <w:noProof/>
        </w:rPr>
        <w:t>(Moon, Uskul and Weick, 2018)</w:t>
      </w:r>
      <w:r>
        <w:fldChar w:fldCharType="end"/>
      </w:r>
      <w:r w:rsidRPr="00646DAF">
        <w:t>. Thus, British employees may find it difficult to cooperate with Cypriot colleagues or leaders due to their different perception</w:t>
      </w:r>
      <w:r>
        <w:t>s</w:t>
      </w:r>
      <w:r w:rsidRPr="00646DAF">
        <w:t xml:space="preserve"> of power, which may possibly result in tensions and conflicts. </w:t>
      </w:r>
    </w:p>
    <w:p w:rsidR="0041086D" w:rsidRDefault="0041086D" w:rsidP="0041086D">
      <w:pPr>
        <w:spacing w:beforeLines="50" w:before="156" w:afterLines="50" w:after="156"/>
        <w:rPr>
          <w:rFonts w:asciiTheme="majorHAnsi" w:eastAsiaTheme="majorEastAsia" w:hAnsiTheme="majorHAnsi" w:cstheme="majorBidi"/>
          <w:color w:val="2F5496" w:themeColor="accent1" w:themeShade="BF"/>
          <w:sz w:val="28"/>
          <w:szCs w:val="28"/>
        </w:rPr>
      </w:pPr>
      <w:r w:rsidRPr="00BC3354">
        <w:rPr>
          <w:rFonts w:asciiTheme="majorHAnsi" w:eastAsiaTheme="majorEastAsia" w:hAnsiTheme="majorHAnsi" w:cstheme="majorBidi"/>
          <w:color w:val="2F5496" w:themeColor="accent1" w:themeShade="BF"/>
          <w:sz w:val="28"/>
          <w:szCs w:val="28"/>
        </w:rPr>
        <w:t>Individualism/ Collectivism</w:t>
      </w:r>
    </w:p>
    <w:p w:rsidR="0041086D" w:rsidRPr="00646DAF" w:rsidRDefault="0041086D" w:rsidP="0041086D">
      <w:pPr>
        <w:spacing w:beforeLines="50" w:before="156" w:afterLines="50" w:after="156"/>
      </w:pPr>
      <w:r w:rsidRPr="00646DAF">
        <w:t>The dimension measures the extent of attachment between the individual and groups</w:t>
      </w:r>
      <w:r>
        <w:t xml:space="preserve">. The individualism indicates a loosely organized structure where employees pay more attention to their individual benefits or achievements; Collectivism, to the opposite, denotes a tightly organized structure where employees are categorized into “insiders” and “outsiders” </w:t>
      </w:r>
      <w:r>
        <w:fldChar w:fldCharType="begin" w:fldLock="1"/>
      </w:r>
      <w:r>
        <w:instrText>ADDIN CSL_CITATION {"citationItems":[{"id":"ITEM-1","itemData":{"author":[{"dropping-particle":"","family":"Burgess","given":"Steve M","non-dropping-particle":"","parse-names":false,"suffix":""}],"container-title":"The 2018 Annual Conference of the Emerging Markets Conference Board","id":"ITEM-1","issued":{"date-parts":[["2018"]]},"page":"107","publisher":"Wits Business School","title":"Beyond Hofstede</w:instrText>
      </w:r>
      <w:r>
        <w:rPr>
          <w:rFonts w:ascii="Tahoma" w:hAnsi="Tahoma" w:cs="Tahoma"/>
        </w:rPr>
        <w:instrText>��</w:instrText>
      </w:r>
      <w:r>
        <w:instrText>s legacy: Some ways forward for marketing research.","type":"paper-conference"},"uris":["http://www.mendeley.com/documents/?uuid=5e2f39f1-ab97-4163-8f12-7d92c64df1f4"]}],"mendeley":{"formattedCitation":"(Burgess, 2018)","plainTextFormattedCitation":"(Burgess, 2018)","previouslyFormattedCitation":"(Burgess, 2018)"},"properties":{"noteIndex":0},"schema":"https://github.com/citation-style-language/schema/raw/master/csl-citation.json"}</w:instrText>
      </w:r>
      <w:r>
        <w:fldChar w:fldCharType="separate"/>
      </w:r>
      <w:r w:rsidRPr="00646DAF">
        <w:rPr>
          <w:noProof/>
        </w:rPr>
        <w:t>(Burgess, 2018)</w:t>
      </w:r>
      <w:r>
        <w:fldChar w:fldCharType="end"/>
      </w:r>
      <w:r>
        <w:t>.</w:t>
      </w:r>
    </w:p>
    <w:p w:rsidR="0041086D" w:rsidRPr="00646DAF" w:rsidRDefault="0041086D" w:rsidP="0041086D">
      <w:pPr>
        <w:spacing w:beforeLines="50" w:before="156" w:afterLines="50" w:after="156"/>
      </w:pPr>
      <w:r w:rsidRPr="00646DAF">
        <w:t xml:space="preserve">Scoring 35, Cyprus is a typical collectivist culture. In the workplace, Cypriot employees are loyal and protective to the organizations. At the same time, the Cypriot culture values group unity and harmony more than their personal achievements. Rather than binding the business relationships through formal contracts, Cypriot businesses also value the personal relationships, bonds, oral commitments, etc. oriented by the </w:t>
      </w:r>
      <w:r w:rsidRPr="00646DAF">
        <w:lastRenderedPageBreak/>
        <w:t xml:space="preserve">collective goal, Cypriot employees are generally highly collaborative rather than competitive. Exactly opposite to Cypriot culture, the British culture is a representative individualism culture. </w:t>
      </w:r>
      <w:r>
        <w:t xml:space="preserve">British culture endorses personal interests and achievements above the interests of the collective. British people are accustomed to regarding themselves as independent individuals who are capable to bear responsibility and make decisions </w:t>
      </w:r>
      <w:r>
        <w:fldChar w:fldCharType="begin" w:fldLock="1"/>
      </w:r>
      <w:r>
        <w:instrText>ADDIN CSL_CITATION {"citationItems":[{"id":"ITEM-1","itemData":{"ISBN":"0230510183","author":[{"dropping-particle":"","family":"Geppert","given":"Mike","non-dropping-particle":"","parse-names":false,"suffix":""},{"dropping-particle":"","family":"Matten","given":"Dirk","non-dropping-particle":"","parse-names":false,"suffix":""},{"dropping-particle":"","family":"Williams","given":"Karen","non-dropping-particle":"","parse-names":false,"suffix":""}],"id":"ITEM-1","issued":{"date-parts":[["2016"]]},"publisher":"Springer","title":"Challenges for European management in a global context: Experiences from Britain and Germany","type":"book"},"uris":["http://www.mendeley.com/documents/?uuid=f8cdeaea-b8bf-4370-bfc2-07ce70996734"]}],"mendeley":{"formattedCitation":"(Geppert, Matten and Williams, 2016)","plainTextFormattedCitation":"(Geppert, Matten and Williams, 2016)","previouslyFormattedCitation":"(Geppert, Matten and Williams, 2016)"},"properties":{"noteIndex":0},"schema":"https://github.com/citation-style-language/schema/raw/master/csl-citation.json"}</w:instrText>
      </w:r>
      <w:r>
        <w:fldChar w:fldCharType="separate"/>
      </w:r>
      <w:r w:rsidRPr="00646DAF">
        <w:rPr>
          <w:noProof/>
        </w:rPr>
        <w:t>(Geppert, Matten and Williams, 2016)</w:t>
      </w:r>
      <w:r>
        <w:fldChar w:fldCharType="end"/>
      </w:r>
      <w:r>
        <w:t xml:space="preserve">. </w:t>
      </w:r>
      <w:r w:rsidRPr="00646DAF">
        <w:t>The differences in individualism/collectivism dimensions indicate the challenges in the human resources management and organizational structures for the British enterprises operating in Cyprus.</w:t>
      </w:r>
    </w:p>
    <w:p w:rsidR="0041086D" w:rsidRDefault="0041086D" w:rsidP="0041086D">
      <w:pPr>
        <w:spacing w:beforeLines="50" w:before="156" w:afterLines="50" w:after="156"/>
        <w:rPr>
          <w:rFonts w:asciiTheme="majorHAnsi" w:eastAsiaTheme="majorEastAsia" w:hAnsiTheme="majorHAnsi" w:cstheme="majorBidi"/>
          <w:color w:val="2F5496" w:themeColor="accent1" w:themeShade="BF"/>
          <w:sz w:val="28"/>
          <w:szCs w:val="28"/>
        </w:rPr>
      </w:pPr>
      <w:r w:rsidRPr="00A3419E">
        <w:rPr>
          <w:rFonts w:asciiTheme="majorHAnsi" w:eastAsiaTheme="majorEastAsia" w:hAnsiTheme="majorHAnsi" w:cstheme="majorBidi" w:hint="eastAsia"/>
          <w:color w:val="2F5496" w:themeColor="accent1" w:themeShade="BF"/>
          <w:sz w:val="28"/>
          <w:szCs w:val="28"/>
        </w:rPr>
        <w:t>M</w:t>
      </w:r>
      <w:r w:rsidRPr="00A3419E">
        <w:rPr>
          <w:rFonts w:asciiTheme="majorHAnsi" w:eastAsiaTheme="majorEastAsia" w:hAnsiTheme="majorHAnsi" w:cstheme="majorBidi"/>
          <w:color w:val="2F5496" w:themeColor="accent1" w:themeShade="BF"/>
          <w:sz w:val="28"/>
          <w:szCs w:val="28"/>
        </w:rPr>
        <w:t xml:space="preserve">asculinity </w:t>
      </w:r>
    </w:p>
    <w:p w:rsidR="0041086D" w:rsidRDefault="0041086D" w:rsidP="0041086D">
      <w:pPr>
        <w:spacing w:beforeLines="50" w:before="156" w:afterLines="50" w:after="156"/>
      </w:pPr>
      <w:r>
        <w:t xml:space="preserve">The dimension measures how masculinity is endorsed within the specific culture. for the masculine culture, people generally worship self-confidence, aggressiveness, and perseverance for material demands; while for the less masculine culture, people emphasis taking care of the weak, parenting, females, the quality of life </w:t>
      </w:r>
      <w:r>
        <w:fldChar w:fldCharType="begin" w:fldLock="1"/>
      </w:r>
      <w:r>
        <w:instrText>ADDIN CSL_CITATION {"citationItems":[{"id":"ITEM-1","itemData":{"ISSN":"0148-2963","author":[{"dropping-particle":"","family":"Soares","given":"Ana Maria","non-dropping-particle":"","parse-names":false,"suffix":""},{"dropping-particle":"","family":"Farhangmehr","given":"Minoo","non-dropping-particle":"","parse-names":false,"suffix":""},{"dropping-particle":"","family":"Shoham","given":"Aviv","non-dropping-particle":"","parse-names":false,"suffix":""}],"container-title":"Journal of business research","id":"ITEM-1","issue":"3","issued":{"date-parts":[["2007"]]},"page":"277-284","publisher":"Elsevier","title":"Hofstede's dimensions of culture in international marketing studies","type":"article-journal","volume":"60"},"uris":["http://www.mendeley.com/documents/?uuid=0bbab465-c361-4c02-86c8-024f7c8dc409"]}],"mendeley":{"formattedCitation":"(Soares, Farhangmehr and Shoham, 2007)","plainTextFormattedCitation":"(Soares, Farhangmehr and Shoham, 2007)","previouslyFormattedCitation":"(Soares, Farhangmehr and Shoham, 2007)"},"properties":{"noteIndex":0},"schema":"https://github.com/citation-style-language/schema/raw/master/csl-citation.json"}</w:instrText>
      </w:r>
      <w:r>
        <w:fldChar w:fldCharType="separate"/>
      </w:r>
      <w:r w:rsidRPr="00646DAF">
        <w:rPr>
          <w:noProof/>
        </w:rPr>
        <w:t>(Soares, Farhangmehr and Shoham, 2007)</w:t>
      </w:r>
      <w:r>
        <w:fldChar w:fldCharType="end"/>
      </w:r>
      <w:r>
        <w:t xml:space="preserve">. </w:t>
      </w:r>
    </w:p>
    <w:p w:rsidR="0041086D" w:rsidRPr="00646DAF" w:rsidRDefault="0041086D" w:rsidP="0041086D">
      <w:pPr>
        <w:spacing w:beforeLines="50" w:before="156" w:afterLines="50" w:after="156"/>
      </w:pPr>
      <w:r w:rsidRPr="00646DAF">
        <w:t xml:space="preserve">The average level of masculinity index is 50, indicating the truth that both Britain and Cyprus are cultures </w:t>
      </w:r>
      <w:r>
        <w:t>t</w:t>
      </w:r>
      <w:r w:rsidRPr="00646DAF">
        <w:t>hat worship masculinity, especially British culture. in the British workplace, people generally have a preference towards assertiveness, self-centeredness, and material rewards (such as higher pay) for their achievements</w:t>
      </w:r>
      <w:r>
        <w:t xml:space="preserve"> </w:t>
      </w:r>
      <w:r>
        <w:fldChar w:fldCharType="begin" w:fldLock="1"/>
      </w:r>
      <w:r>
        <w:instrText>ADDIN CSL_CITATION {"citationItems":[{"id":"ITEM-1","itemData":{"ISBN":"0230510183","author":[{"dropping-particle":"","family":"Geppert","given":"Mike","non-dropping-particle":"","parse-names":false,"suffix":""},{"dropping-particle":"","family":"Matten","given":"Dirk","non-dropping-particle":"","parse-names":false,"suffix":""},{"dropping-particle":"","family":"Williams","given":"Karen","non-dropping-particle":"","parse-names":false,"suffix":""}],"id":"ITEM-1","issued":{"date-parts":[["2016"]]},"publisher":"Springer","title":"Challenges for European management in a global context: Experiences from Britain and Germany","type":"book"},"uris":["http://www.mendeley.com/documents/?uuid=f8cdeaea-b8bf-4370-bfc2-07ce70996734"]}],"mendeley":{"formattedCitation":"(Geppert, Matten and Williams, 2016)","plainTextFormattedCitation":"(Geppert, Matten and Williams, 2016)","previouslyFormattedCitation":"(Geppert, Matten and Williams, 2016)"},"properties":{"noteIndex":0},"schema":"https://github.com/citation-style-language/schema/raw/master/csl-citation.json"}</w:instrText>
      </w:r>
      <w:r>
        <w:fldChar w:fldCharType="separate"/>
      </w:r>
      <w:r w:rsidRPr="00646DAF">
        <w:rPr>
          <w:noProof/>
        </w:rPr>
        <w:t>(Geppert, Matten and Williams, 2016)</w:t>
      </w:r>
      <w:r>
        <w:fldChar w:fldCharType="end"/>
      </w:r>
      <w:r w:rsidRPr="00646DAF">
        <w:t xml:space="preserve">. In British enterprises, a large gender wage gap and </w:t>
      </w:r>
      <w:r>
        <w:t>fewer</w:t>
      </w:r>
      <w:r w:rsidRPr="00646DAF">
        <w:t xml:space="preserve"> females in the high positions are observed.</w:t>
      </w:r>
      <w:r>
        <w:t xml:space="preserve"> At the same time, British employees tend to be driven by competition.</w:t>
      </w:r>
      <w:r w:rsidRPr="00646DAF">
        <w:rPr>
          <w:rFonts w:hint="eastAsia"/>
        </w:rPr>
        <w:t xml:space="preserve"> </w:t>
      </w:r>
      <w:r w:rsidRPr="00646DAF">
        <w:t>While the Cypriot employees demonstrate a preference for taking car</w:t>
      </w:r>
      <w:r>
        <w:t>e of</w:t>
      </w:r>
      <w:r w:rsidRPr="00646DAF">
        <w:t xml:space="preserve"> the weak and emphasizing life quality. Rather than purs</w:t>
      </w:r>
      <w:r>
        <w:t>u</w:t>
      </w:r>
      <w:r w:rsidRPr="00646DAF">
        <w:t>ing higher compensating and rewards, the Cypriot employees may more likely to be satisfied with fewer working hours. How to align a compensation and reward system that can effectively engage and incentivize both British employees from the home country and Cypriot employees from the host countries is another challenge, as well as communication issues.</w:t>
      </w:r>
    </w:p>
    <w:p w:rsidR="0041086D" w:rsidRDefault="0041086D" w:rsidP="0041086D">
      <w:pPr>
        <w:spacing w:beforeLines="50" w:before="156" w:afterLines="50" w:after="156"/>
        <w:rPr>
          <w:rFonts w:asciiTheme="majorHAnsi" w:eastAsiaTheme="majorEastAsia" w:hAnsiTheme="majorHAnsi" w:cstheme="majorBidi"/>
          <w:color w:val="2F5496" w:themeColor="accent1" w:themeShade="BF"/>
          <w:sz w:val="28"/>
          <w:szCs w:val="28"/>
        </w:rPr>
      </w:pPr>
      <w:r w:rsidRPr="00761872">
        <w:rPr>
          <w:rFonts w:asciiTheme="majorHAnsi" w:eastAsiaTheme="majorEastAsia" w:hAnsiTheme="majorHAnsi" w:cstheme="majorBidi"/>
          <w:color w:val="2F5496" w:themeColor="accent1" w:themeShade="BF"/>
          <w:sz w:val="28"/>
          <w:szCs w:val="28"/>
        </w:rPr>
        <w:t xml:space="preserve">Uncertainty Avoidance </w:t>
      </w:r>
    </w:p>
    <w:p w:rsidR="0041086D" w:rsidRDefault="0041086D" w:rsidP="0041086D">
      <w:pPr>
        <w:spacing w:beforeLines="50" w:before="156" w:afterLines="50" w:after="156"/>
      </w:pPr>
      <w:r w:rsidRPr="00646DAF">
        <w:lastRenderedPageBreak/>
        <w:t>The dimension measures people’s attitudes towards risks, uncertainties</w:t>
      </w:r>
      <w:r>
        <w:t>, ambiguities</w:t>
      </w:r>
      <w:r w:rsidRPr="00646DAF">
        <w:t xml:space="preserve"> and challenges.</w:t>
      </w:r>
      <w:r>
        <w:t xml:space="preserve"> A society with a high uncertainty avoidance score generally has systematic norms and principles to minimize uncertainties </w:t>
      </w:r>
      <w:r>
        <w:fldChar w:fldCharType="begin" w:fldLock="1"/>
      </w:r>
      <w:r>
        <w:instrText>ADDIN CSL_CITATION {"citationItems":[{"id":"ITEM-1","itemData":{"ISSN":"2307-0919","author":[{"dropping-particle":"","family":"Hofstede","given":"Geert","non-dropping-particle":"","parse-names":false,"suffix":""}],"container-title":"Online readings in psychology and culture","id":"ITEM-1","issue":"1","issued":{"date-parts":[["2011"]]},"page":"8","publisher":"International Association for Cross-Cultural Psychology","title":"Dimensionalizing cultures: The Hofstede model in context","type":"article-journal","volume":"2"},"uris":["http://www.mendeley.com/documents/?uuid=e7d7a862-6680-43fe-90f5-cb72d9259e7a"]}],"mendeley":{"formattedCitation":"(Hofstede, 2011)","plainTextFormattedCitation":"(Hofstede, 2011)","previouslyFormattedCitation":"(Hofstede, 2011)"},"properties":{"noteIndex":0},"schema":"https://github.com/citation-style-language/schema/raw/master/csl-citation.json"}</w:instrText>
      </w:r>
      <w:r>
        <w:fldChar w:fldCharType="separate"/>
      </w:r>
      <w:r w:rsidRPr="00646DAF">
        <w:rPr>
          <w:noProof/>
        </w:rPr>
        <w:t>(Hofstede, 2011)</w:t>
      </w:r>
      <w:r>
        <w:fldChar w:fldCharType="end"/>
      </w:r>
      <w:r>
        <w:t xml:space="preserve">. That is to say, they rely on authority to avoid uncertainties.  In terms of societies with low uncertainty avoidance scores, the norms and principles are highly flexible and less specific. They are more willing to take risks and challenges. </w:t>
      </w:r>
    </w:p>
    <w:p w:rsidR="0041086D" w:rsidRPr="00646DAF" w:rsidRDefault="0041086D" w:rsidP="0041086D">
      <w:pPr>
        <w:spacing w:beforeLines="50" w:before="156" w:afterLines="50" w:after="156"/>
      </w:pPr>
      <w:r>
        <w:t xml:space="preserve">Cyprus gets an astonishing 100 in the uncertainty avoidance dimension. </w:t>
      </w:r>
      <w:r w:rsidRPr="00646DAF">
        <w:t xml:space="preserve">The </w:t>
      </w:r>
      <w:r>
        <w:t xml:space="preserve">necessity for the Cypriot people </w:t>
      </w:r>
      <w:r w:rsidRPr="00646DAF">
        <w:t>to avoid</w:t>
      </w:r>
      <w:r>
        <w:t xml:space="preserve"> any possible</w:t>
      </w:r>
      <w:r w:rsidRPr="00646DAF">
        <w:t xml:space="preserve"> risks and uncertainties is </w:t>
      </w:r>
      <w:r>
        <w:t xml:space="preserve">extremely </w:t>
      </w:r>
      <w:r w:rsidRPr="00646DAF">
        <w:t xml:space="preserve">strong in Cypriot culture. People are very susceptible to feeling nervous, and they want to minimize uncertainties in the future. Hence, they expect that there are </w:t>
      </w:r>
      <w:r>
        <w:t>implicit</w:t>
      </w:r>
      <w:r w:rsidRPr="00646DAF">
        <w:t xml:space="preserve"> instructions, regulations, rules, norms within the organizations. Overly complicated international business with high uncertainties will make the Cypriot</w:t>
      </w:r>
      <w:r>
        <w:t xml:space="preserve">s </w:t>
      </w:r>
      <w:r w:rsidRPr="00646DAF">
        <w:t xml:space="preserve">uncomfortable. </w:t>
      </w:r>
      <w:proofErr w:type="spellStart"/>
      <w:proofErr w:type="gramStart"/>
      <w:r w:rsidRPr="00646DAF">
        <w:t>While,</w:t>
      </w:r>
      <w:r>
        <w:t>the</w:t>
      </w:r>
      <w:proofErr w:type="spellEnd"/>
      <w:proofErr w:type="gramEnd"/>
      <w:r>
        <w:t xml:space="preserve"> British tradition of exploration made them relatively willingly and proactively in challenging the unknown, and they have fewer concerns over tensions and anxieties. </w:t>
      </w:r>
      <w:r w:rsidRPr="00646DAF">
        <w:t xml:space="preserve">The British are more adaptable to changing circumstances and less constrained by the status quo. </w:t>
      </w:r>
      <w:r>
        <w:t xml:space="preserve">Rather than being oriented by the implicit regulations of doing things, British people are more willing to be challenged. </w:t>
      </w:r>
      <w:r w:rsidRPr="00646DAF">
        <w:t xml:space="preserve">Possible challenges for the British enterprises might be that they have to develop clear and specific systems and orders so that their Cypriot employees are less concerned with future uncertainty. </w:t>
      </w:r>
    </w:p>
    <w:p w:rsidR="0041086D" w:rsidRDefault="0041086D" w:rsidP="0041086D">
      <w:pPr>
        <w:rPr>
          <w:rFonts w:eastAsiaTheme="majorEastAsia"/>
        </w:rPr>
      </w:pPr>
      <w:r w:rsidRPr="00B27A04">
        <w:rPr>
          <w:rFonts w:eastAsiaTheme="majorEastAsia" w:hint="eastAsia"/>
        </w:rPr>
        <w:t>L</w:t>
      </w:r>
      <w:r w:rsidRPr="00B27A04">
        <w:rPr>
          <w:rFonts w:eastAsiaTheme="majorEastAsia"/>
        </w:rPr>
        <w:t>ong-term Orientation</w:t>
      </w:r>
    </w:p>
    <w:p w:rsidR="0041086D" w:rsidRDefault="0041086D" w:rsidP="0041086D">
      <w:pPr>
        <w:spacing w:beforeLines="50" w:before="156" w:afterLines="50" w:after="156"/>
      </w:pPr>
      <w:r w:rsidRPr="00646DAF">
        <w:t xml:space="preserve">The dimensions measure whether people are oriented by the past, the present or the future. </w:t>
      </w:r>
      <w:r>
        <w:t xml:space="preserve">If a culture is oriented by long-term achievements, people will pay more attention to long-term benefits or potentialities </w:t>
      </w:r>
      <w:r>
        <w:fldChar w:fldCharType="begin" w:fldLock="1"/>
      </w:r>
      <w:r>
        <w:instrText>ADDIN CSL_CITATION {"citationItems":[{"id":"ITEM-1","itemData":{"ISSN":"1352-7606","author":[{"dropping-particle":"","family":"Minkov","given":"Michael","non-dropping-particle":"","parse-names":false,"suffix":""},{"dropping-particle":"","family":"Hofstede","given":"Geert","non-dropping-particle":"","parse-names":false,"suffix":""}],"container-title":"Cross cultural management: An international journal","id":"ITEM-1","issue":"1","issued":{"date-parts":[["2011"]]},"page":"10-20","publisher":"Emerald Group Publishing Limited","title":"The evolution of Hofstede's doctrine","type":"article-journal","volume":"18"},"uris":["http://www.mendeley.com/documents/?uuid=1dc599ed-4602-45cc-ac09-1c625b27f59f"]}],"mendeley":{"formattedCitation":"(Minkov and Hofstede, 2011)","plainTextFormattedCitation":"(Minkov and Hofstede, 2011)","previouslyFormattedCitation":"(Minkov and Hofstede, 2011)"},"properties":{"noteIndex":0},"schema":"https://github.com/citation-style-language/schema/raw/master/csl-citation.json"}</w:instrText>
      </w:r>
      <w:r>
        <w:fldChar w:fldCharType="separate"/>
      </w:r>
      <w:r w:rsidRPr="00646DAF">
        <w:rPr>
          <w:noProof/>
        </w:rPr>
        <w:t>(Minkov and Hofstede, 2011)</w:t>
      </w:r>
      <w:r>
        <w:fldChar w:fldCharType="end"/>
      </w:r>
      <w:r>
        <w:t xml:space="preserve">. </w:t>
      </w:r>
      <w:r w:rsidRPr="00646DAF">
        <w:t xml:space="preserve">They will also cultivate and encourage the pursuit of future return-oriented virtues. </w:t>
      </w:r>
      <w:r>
        <w:t xml:space="preserve">The short-term oriented culture pays more attention to the preservation of tradition. </w:t>
      </w:r>
    </w:p>
    <w:p w:rsidR="0041086D" w:rsidRPr="00646DAF" w:rsidRDefault="0041086D" w:rsidP="0041086D">
      <w:pPr>
        <w:spacing w:beforeLines="50" w:before="156" w:afterLines="50" w:after="156"/>
      </w:pPr>
      <w:r w:rsidRPr="00646DAF">
        <w:rPr>
          <w:rFonts w:hint="eastAsia"/>
        </w:rPr>
        <w:t>B</w:t>
      </w:r>
      <w:r w:rsidRPr="00646DAF">
        <w:t xml:space="preserve">ritain and Cyprus demonstrate an intermediate score regarding long-term/short-term orientation. Steadfastness and stability are more important than adaptability. Meanwhile, both societies respect their traditions, meaning that social etiquette such as </w:t>
      </w:r>
      <w:r w:rsidRPr="00646DAF">
        <w:lastRenderedPageBreak/>
        <w:t xml:space="preserve">reciprocate of gifts, festival traditions in the workplace </w:t>
      </w:r>
      <w:r>
        <w:t>is</w:t>
      </w:r>
      <w:r w:rsidRPr="00646DAF">
        <w:t xml:space="preserve"> highly essential  </w:t>
      </w:r>
    </w:p>
    <w:p w:rsidR="0041086D" w:rsidRDefault="0041086D" w:rsidP="0041086D">
      <w:pPr>
        <w:rPr>
          <w:rFonts w:eastAsiaTheme="majorEastAsia"/>
        </w:rPr>
      </w:pPr>
      <w:r>
        <w:rPr>
          <w:rFonts w:eastAsiaTheme="majorEastAsia" w:hint="eastAsia"/>
        </w:rPr>
        <w:t>I</w:t>
      </w:r>
      <w:r>
        <w:rPr>
          <w:rFonts w:eastAsiaTheme="majorEastAsia"/>
        </w:rPr>
        <w:t xml:space="preserve">ndulgence </w:t>
      </w:r>
    </w:p>
    <w:p w:rsidR="0041086D" w:rsidRPr="00646DAF" w:rsidRDefault="0041086D" w:rsidP="0041086D">
      <w:pPr>
        <w:spacing w:beforeLines="50" w:before="156" w:afterLines="50" w:after="156"/>
      </w:pPr>
      <w:r w:rsidRPr="00646DAF">
        <w:t>Indulgence mainly refers to people's basic desire for satisfaction and control over their enjoyment of life</w:t>
      </w:r>
      <w:r>
        <w:t xml:space="preserve"> </w:t>
      </w:r>
      <w:r>
        <w:fldChar w:fldCharType="begin" w:fldLock="1"/>
      </w:r>
      <w:r>
        <w:instrText>ADDIN CSL_CITATION {"citationItems":[{"id":"ITEM-1","itemData":{"ISSN":"1352-7606","author":[{"dropping-particle":"","family":"Minkov","given":"Michael","non-dropping-particle":"","parse-names":false,"suffix":""},{"dropping-particle":"","family":"Hofstede","given":"Geert","non-dropping-particle":"","parse-names":false,"suffix":""}],"container-title":"Cross cultural management: An international journal","id":"ITEM-1","issue":"1","issued":{"date-parts":[["2011"]]},"page":"10-20","publisher":"Emerald Group Publishing Limited","title":"The evolution of Hofstede's doctrine","type":"article-journal","volume":"18"},"uris":["http://www.mendeley.com/documents/?uuid=1dc599ed-4602-45cc-ac09-1c625b27f59f"]}],"mendeley":{"formattedCitation":"(Minkov and Hofstede, 2011)","plainTextFormattedCitation":"(Minkov and Hofstede, 2011)","previouslyFormattedCitation":"(Minkov and Hofstede, 2011)"},"properties":{"noteIndex":0},"schema":"https://github.com/citation-style-language/schema/raw/master/csl-citation.json"}</w:instrText>
      </w:r>
      <w:r>
        <w:fldChar w:fldCharType="separate"/>
      </w:r>
      <w:r w:rsidRPr="00646DAF">
        <w:rPr>
          <w:noProof/>
        </w:rPr>
        <w:t>(Minkov and Hofstede, 2011)</w:t>
      </w:r>
      <w:r>
        <w:fldChar w:fldCharType="end"/>
      </w:r>
      <w:r w:rsidRPr="00646DAF">
        <w:t xml:space="preserve">. In the culture with </w:t>
      </w:r>
      <w:r>
        <w:t xml:space="preserve">a </w:t>
      </w:r>
      <w:r w:rsidRPr="00646DAF">
        <w:t>high indulgence score, people's basic needs and natural desires are met in the process of relative freedom. At this time, people will emphasize freedom and enjoyment. In a society with lower indulgence scores, members will be regulated through control and strict norms</w:t>
      </w:r>
      <w:r>
        <w:t xml:space="preserve">, and </w:t>
      </w:r>
      <w:r w:rsidRPr="00646DAF">
        <w:t>people's satisfaction in pursuit of freedom will be lower</w:t>
      </w:r>
      <w:r>
        <w:t xml:space="preserve"> </w:t>
      </w:r>
      <w:r>
        <w:fldChar w:fldCharType="begin" w:fldLock="1"/>
      </w:r>
      <w:r>
        <w:instrText>ADDIN CSL_CITATION {"citationItems":[{"id":"ITEM-1","itemData":{"ISSN":"2307-0919","author":[{"dropping-particle":"","family":"Hofstede","given":"Geert","non-dropping-particle":"","parse-names":false,"suffix":""}],"container-title":"Online readings in psychology and culture","id":"ITEM-1","issue":"1","issued":{"date-parts":[["2011"]]},"page":"8","publisher":"International Association for Cross-Cultural Psychology","title":"Dimensionalizing cultures: The Hofstede model in context","type":"article-journal","volume":"2"},"uris":["http://www.mendeley.com/documents/?uuid=e7d7a862-6680-43fe-90f5-cb72d9259e7a"]}],"mendeley":{"formattedCitation":"(Hofstede, 2011)","plainTextFormattedCitation":"(Hofstede, 2011)","previouslyFormattedCitation":"(Hofstede, 2011)"},"properties":{"noteIndex":0},"schema":"https://github.com/citation-style-language/schema/raw/master/csl-citation.json"}</w:instrText>
      </w:r>
      <w:r>
        <w:fldChar w:fldCharType="separate"/>
      </w:r>
      <w:r w:rsidRPr="00646DAF">
        <w:rPr>
          <w:noProof/>
        </w:rPr>
        <w:t>(Hofstede, 2011)</w:t>
      </w:r>
      <w:r>
        <w:fldChar w:fldCharType="end"/>
      </w:r>
      <w:r w:rsidRPr="00646DAF">
        <w:t xml:space="preserve">. </w:t>
      </w:r>
    </w:p>
    <w:p w:rsidR="0041086D" w:rsidRPr="00646DAF" w:rsidRDefault="0041086D" w:rsidP="0041086D">
      <w:pPr>
        <w:spacing w:beforeLines="50" w:before="156" w:afterLines="50" w:after="156"/>
      </w:pPr>
      <w:r w:rsidRPr="00646DAF">
        <w:t xml:space="preserve">Compared to the 70 of the British cultural, Cyprus exhibits a moderate level of indulgence. British demonstrate a clear preference </w:t>
      </w:r>
      <w:r>
        <w:t>for</w:t>
      </w:r>
      <w:r w:rsidRPr="00646DAF">
        <w:t xml:space="preserve"> personal indulgence such as being optimistic and appreciate enjoyment.</w:t>
      </w:r>
      <w:r>
        <w:t xml:space="preserve"> The attention in fulfilling the individual desire and impulses indicates that t</w:t>
      </w:r>
      <w:r w:rsidRPr="00646DAF">
        <w:t xml:space="preserve">he simple compensation and reward packages that basically covers the salary or material rewards cannot easily motivate the British employees. compared to British culture, Cyprus has a moderate level of indulgence. That is to say, the Cypriot people put equal attention to the indulgence and responsibility. </w:t>
      </w:r>
      <w:r w:rsidRPr="00646DAF">
        <w:rPr>
          <w:rFonts w:hint="eastAsia"/>
        </w:rPr>
        <w:t>t</w:t>
      </w:r>
      <w:r w:rsidRPr="00646DAF">
        <w:t xml:space="preserve">he differences in the emphasis of personal indulgence might result in challenges for the British enterprises in Cyprus that the Cypriot people </w:t>
      </w:r>
      <w:r>
        <w:t xml:space="preserve">may not </w:t>
      </w:r>
      <w:r w:rsidRPr="00646DAF">
        <w:t>be comfortable with their worship of personal enjoyment.</w:t>
      </w:r>
      <w:r>
        <w:t xml:space="preserve"> Thus, challenges may arise for British enterprises in balance the demands of the Cypriot employees and British employees. When the British employees require and pursue personal enjoyment in the workplace, the Cypriot people may feel disrespected because they devote more time and effort to accomplish the tasks. </w:t>
      </w:r>
    </w:p>
    <w:p w:rsidR="0041086D" w:rsidRPr="00646DAF" w:rsidRDefault="0041086D" w:rsidP="0041086D">
      <w:pPr>
        <w:spacing w:beforeLines="50" w:before="156" w:afterLines="50" w:after="156"/>
        <w:rPr>
          <w:rFonts w:asciiTheme="majorHAnsi" w:eastAsiaTheme="majorEastAsia" w:hAnsiTheme="majorHAnsi" w:cstheme="majorBidi"/>
          <w:color w:val="2F5496" w:themeColor="accent1" w:themeShade="BF"/>
          <w:sz w:val="36"/>
          <w:szCs w:val="36"/>
        </w:rPr>
      </w:pPr>
      <w:r w:rsidRPr="00646DAF">
        <w:rPr>
          <w:rFonts w:asciiTheme="majorHAnsi" w:eastAsiaTheme="majorEastAsia" w:hAnsiTheme="majorHAnsi" w:cstheme="majorBidi"/>
          <w:color w:val="2F5496" w:themeColor="accent1" w:themeShade="BF"/>
          <w:sz w:val="36"/>
          <w:szCs w:val="36"/>
        </w:rPr>
        <w:br w:type="page"/>
      </w:r>
    </w:p>
    <w:p w:rsidR="0041086D" w:rsidRPr="0041086D" w:rsidRDefault="0041086D" w:rsidP="0041086D">
      <w:pPr>
        <w:pStyle w:val="1"/>
      </w:pPr>
      <w:bookmarkStart w:id="9" w:name="_Toc28934403"/>
      <w:r w:rsidRPr="0041086D">
        <w:lastRenderedPageBreak/>
        <w:t>CONCLUSIONS</w:t>
      </w:r>
      <w:bookmarkEnd w:id="9"/>
    </w:p>
    <w:p w:rsidR="0041086D" w:rsidRPr="00646DAF" w:rsidRDefault="0041086D" w:rsidP="0041086D">
      <w:pPr>
        <w:spacing w:beforeLines="50" w:before="156" w:afterLines="50" w:after="156"/>
      </w:pPr>
      <w:r w:rsidRPr="00646DAF">
        <w:t xml:space="preserve">The report evaluates the challenges and sensibilities for the British to operate businesses in Cyprus. The geographical location of Cyprus puts the island at the forefront of European civilization. Cyprus has been influenced by European culture for 2,000 years. Its cultural, political, economic and social life is affected by Europe. The decades of British governance in Cyrus also results in some similarities in cultures. However, British culture and the Cypriot culture still vary significantly due to the demographic features, locations, histories, etc. As one of the primary business partners in international trade, how to effectively conduct businesses in Cyprus has concerns the British enterprises. </w:t>
      </w:r>
    </w:p>
    <w:p w:rsidR="0041086D" w:rsidRPr="00646DAF" w:rsidRDefault="0041086D" w:rsidP="0041086D">
      <w:pPr>
        <w:spacing w:beforeLines="50" w:before="156" w:afterLines="50" w:after="156"/>
      </w:pPr>
      <w:r w:rsidRPr="00646DAF">
        <w:t>The report assesses the possible challenges by analyzing the cultural differences between Britain and Cyprus via Hofstede’s six cultural dimension model. It is evident that they share some similarities regarding masculinity dimension and long-term orientation dimension but vary in power distance, individualism, uncertainty avoidance and indulgence. The possible challenges discussed cover the difficulties in human resources management and business communications. In order to address these potential issues, it is suggested that the British enterprises conduct thorough research on the Cypriot market before entering it. Meanwhile, cultivating the cultural awareness and sensitivity of the individual employees through training or development will be helpful to address possible conflicts, tensions, and misunderstandings in the workplace.</w:t>
      </w:r>
    </w:p>
    <w:p w:rsidR="0041086D" w:rsidRPr="0041086D" w:rsidRDefault="0041086D" w:rsidP="0041086D"/>
    <w:p w:rsidR="0041086D" w:rsidRDefault="0041086D" w:rsidP="0041086D">
      <w:pPr>
        <w:rPr>
          <w:rFonts w:hint="eastAsia"/>
        </w:rPr>
      </w:pPr>
    </w:p>
    <w:p w:rsidR="0041086D" w:rsidRDefault="0041086D">
      <w:pPr>
        <w:widowControl/>
        <w:spacing w:line="240" w:lineRule="auto"/>
        <w:jc w:val="left"/>
      </w:pPr>
      <w:r>
        <w:br w:type="page"/>
      </w:r>
    </w:p>
    <w:p w:rsidR="0041086D" w:rsidRPr="0041086D" w:rsidRDefault="0041086D" w:rsidP="0041086D">
      <w:pPr>
        <w:pStyle w:val="1"/>
      </w:pPr>
      <w:bookmarkStart w:id="10" w:name="_Toc28815012"/>
      <w:bookmarkStart w:id="11" w:name="_Toc28934404"/>
      <w:r w:rsidRPr="0041086D">
        <w:rPr>
          <w:rFonts w:hint="eastAsia"/>
        </w:rPr>
        <w:lastRenderedPageBreak/>
        <w:t>Re</w:t>
      </w:r>
      <w:r w:rsidRPr="0041086D">
        <w:t>ference List</w:t>
      </w:r>
      <w:bookmarkEnd w:id="10"/>
      <w:bookmarkEnd w:id="11"/>
      <w:r w:rsidRPr="0041086D">
        <w:t xml:space="preserve"> </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hAnsi="Times New Roman" w:cs="Times New Roman"/>
          <w:sz w:val="24"/>
          <w:szCs w:val="24"/>
          <w:shd w:val="pct15" w:color="auto" w:fill="FFFFFF"/>
        </w:rPr>
        <w:fldChar w:fldCharType="begin" w:fldLock="1"/>
      </w:r>
      <w:r w:rsidRPr="00226CD6">
        <w:rPr>
          <w:rFonts w:ascii="Times New Roman" w:hAnsi="Times New Roman" w:cs="Times New Roman"/>
          <w:sz w:val="24"/>
          <w:szCs w:val="24"/>
          <w:shd w:val="pct15" w:color="auto" w:fill="FFFFFF"/>
        </w:rPr>
        <w:instrText xml:space="preserve">ADDIN Mendeley Bibliography CSL_BIBLIOGRAPHY </w:instrText>
      </w:r>
      <w:r w:rsidRPr="00226CD6">
        <w:rPr>
          <w:rFonts w:ascii="Times New Roman" w:hAnsi="Times New Roman" w:cs="Times New Roman"/>
          <w:sz w:val="24"/>
          <w:szCs w:val="24"/>
          <w:shd w:val="pct15" w:color="auto" w:fill="FFFFFF"/>
        </w:rPr>
        <w:fldChar w:fldCharType="separate"/>
      </w:r>
      <w:r w:rsidRPr="00226CD6">
        <w:rPr>
          <w:rFonts w:ascii="Times New Roman" w:eastAsia="DengXian" w:hAnsi="Times New Roman" w:cs="Times New Roman"/>
          <w:noProof/>
          <w:sz w:val="24"/>
          <w:szCs w:val="24"/>
          <w:shd w:val="pct15" w:color="auto" w:fill="FFFFFF"/>
        </w:rPr>
        <w:t xml:space="preserve">Britannica (2019) </w:t>
      </w:r>
      <w:r w:rsidRPr="00226CD6">
        <w:rPr>
          <w:rFonts w:ascii="Times New Roman" w:eastAsia="DengXian" w:hAnsi="Times New Roman" w:cs="Times New Roman"/>
          <w:i/>
          <w:iCs/>
          <w:noProof/>
          <w:sz w:val="24"/>
          <w:szCs w:val="24"/>
          <w:shd w:val="pct15" w:color="auto" w:fill="FFFFFF"/>
        </w:rPr>
        <w:t xml:space="preserve">Cyprus | History, Flag, Map, &amp; Facts </w:t>
      </w:r>
      <w:r w:rsidRPr="00226CD6">
        <w:rPr>
          <w:rFonts w:ascii="Times New Roman" w:eastAsia="DengXian" w:hAnsi="Times New Roman" w:cs="Times New Roman"/>
          <w:noProof/>
          <w:sz w:val="24"/>
          <w:szCs w:val="24"/>
          <w:shd w:val="pct15" w:color="auto" w:fill="FFFFFF"/>
        </w:rPr>
        <w:t>. Available at:</w:t>
      </w:r>
      <w:r>
        <w:rPr>
          <w:rFonts w:ascii="Times New Roman" w:eastAsia="DengXian" w:hAnsi="Times New Roman" w:cs="Times New Roman"/>
          <w:noProof/>
          <w:sz w:val="24"/>
          <w:szCs w:val="24"/>
          <w:shd w:val="pct15" w:color="auto" w:fill="FFFFFF"/>
        </w:rPr>
        <w:t xml:space="preserve"> </w:t>
      </w:r>
      <w:r w:rsidRPr="00226CD6">
        <w:rPr>
          <w:rFonts w:ascii="Times New Roman" w:eastAsia="DengXian" w:hAnsi="Times New Roman" w:cs="Times New Roman"/>
          <w:noProof/>
          <w:sz w:val="24"/>
          <w:szCs w:val="24"/>
          <w:shd w:val="pct15" w:color="auto" w:fill="FFFFFF"/>
        </w:rPr>
        <w:t>https://www.britannica.com/place/Cyprus (Accessed: 1 January 2020).</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Burgess, S. M. (2018) ‘Beyond Hofstede's legacy: Some ways forward for marketing research.’, in </w:t>
      </w:r>
      <w:r w:rsidRPr="00226CD6">
        <w:rPr>
          <w:rFonts w:ascii="Times New Roman" w:eastAsia="DengXian" w:hAnsi="Times New Roman" w:cs="Times New Roman"/>
          <w:i/>
          <w:iCs/>
          <w:noProof/>
          <w:sz w:val="24"/>
          <w:szCs w:val="24"/>
          <w:shd w:val="pct15" w:color="auto" w:fill="FFFFFF"/>
        </w:rPr>
        <w:t>The 2018 Annual Conference of the Emerging Markets Conference Board</w:t>
      </w:r>
      <w:r w:rsidRPr="00226CD6">
        <w:rPr>
          <w:rFonts w:ascii="Times New Roman" w:eastAsia="DengXian" w:hAnsi="Times New Roman" w:cs="Times New Roman"/>
          <w:noProof/>
          <w:sz w:val="24"/>
          <w:szCs w:val="24"/>
          <w:shd w:val="pct15" w:color="auto" w:fill="FFFFFF"/>
        </w:rPr>
        <w:t>. Wits Business School, p. 107.</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Dodd, C. (2010) </w:t>
      </w:r>
      <w:r w:rsidRPr="00226CD6">
        <w:rPr>
          <w:rFonts w:ascii="Times New Roman" w:eastAsia="DengXian" w:hAnsi="Times New Roman" w:cs="Times New Roman"/>
          <w:i/>
          <w:iCs/>
          <w:noProof/>
          <w:sz w:val="24"/>
          <w:szCs w:val="24"/>
          <w:shd w:val="pct15" w:color="auto" w:fill="FFFFFF"/>
        </w:rPr>
        <w:t>The history and politics of the Cyprus conflict</w:t>
      </w:r>
      <w:r w:rsidRPr="00226CD6">
        <w:rPr>
          <w:rFonts w:ascii="Times New Roman" w:eastAsia="DengXian" w:hAnsi="Times New Roman" w:cs="Times New Roman"/>
          <w:noProof/>
          <w:sz w:val="24"/>
          <w:szCs w:val="24"/>
          <w:shd w:val="pct15" w:color="auto" w:fill="FFFFFF"/>
        </w:rPr>
        <w:t>. Springer.</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Feenstra, R. C. (2015) </w:t>
      </w:r>
      <w:r w:rsidRPr="00226CD6">
        <w:rPr>
          <w:rFonts w:ascii="Times New Roman" w:eastAsia="DengXian" w:hAnsi="Times New Roman" w:cs="Times New Roman"/>
          <w:i/>
          <w:iCs/>
          <w:noProof/>
          <w:sz w:val="24"/>
          <w:szCs w:val="24"/>
          <w:shd w:val="pct15" w:color="auto" w:fill="FFFFFF"/>
        </w:rPr>
        <w:t>Advanced international trade: theory and evidence</w:t>
      </w:r>
      <w:r w:rsidRPr="00226CD6">
        <w:rPr>
          <w:rFonts w:ascii="Times New Roman" w:eastAsia="DengXian" w:hAnsi="Times New Roman" w:cs="Times New Roman"/>
          <w:noProof/>
          <w:sz w:val="24"/>
          <w:szCs w:val="24"/>
          <w:shd w:val="pct15" w:color="auto" w:fill="FFFFFF"/>
        </w:rPr>
        <w:t>. Princeton university press.</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Geppert, M., Matten, D. and Williams, K. (2016) </w:t>
      </w:r>
      <w:r w:rsidRPr="00226CD6">
        <w:rPr>
          <w:rFonts w:ascii="Times New Roman" w:eastAsia="DengXian" w:hAnsi="Times New Roman" w:cs="Times New Roman"/>
          <w:i/>
          <w:iCs/>
          <w:noProof/>
          <w:sz w:val="24"/>
          <w:szCs w:val="24"/>
          <w:shd w:val="pct15" w:color="auto" w:fill="FFFFFF"/>
        </w:rPr>
        <w:t>Challenges for European management in a global context: Experiences from Britain and Germany</w:t>
      </w:r>
      <w:r w:rsidRPr="00226CD6">
        <w:rPr>
          <w:rFonts w:ascii="Times New Roman" w:eastAsia="DengXian" w:hAnsi="Times New Roman" w:cs="Times New Roman"/>
          <w:noProof/>
          <w:sz w:val="24"/>
          <w:szCs w:val="24"/>
          <w:shd w:val="pct15" w:color="auto" w:fill="FFFFFF"/>
        </w:rPr>
        <w:t>. Springer.</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Goby, V. P. (2007) ‘Business communication needs: A multicultural perspective’, </w:t>
      </w:r>
      <w:r w:rsidRPr="00226CD6">
        <w:rPr>
          <w:rFonts w:ascii="Times New Roman" w:eastAsia="DengXian" w:hAnsi="Times New Roman" w:cs="Times New Roman"/>
          <w:i/>
          <w:iCs/>
          <w:noProof/>
          <w:sz w:val="24"/>
          <w:szCs w:val="24"/>
          <w:shd w:val="pct15" w:color="auto" w:fill="FFFFFF"/>
        </w:rPr>
        <w:t>Journal of Business and Technical Communication</w:t>
      </w:r>
      <w:r w:rsidRPr="00226CD6">
        <w:rPr>
          <w:rFonts w:ascii="Times New Roman" w:eastAsia="DengXian" w:hAnsi="Times New Roman" w:cs="Times New Roman"/>
          <w:noProof/>
          <w:sz w:val="24"/>
          <w:szCs w:val="24"/>
          <w:shd w:val="pct15" w:color="auto" w:fill="FFFFFF"/>
        </w:rPr>
        <w:t>. Sage Publications Sage CA: Los Angeles, CA, 21(4), pp. 425–437.</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Hill, G. (2010) </w:t>
      </w:r>
      <w:r w:rsidRPr="00226CD6">
        <w:rPr>
          <w:rFonts w:ascii="Times New Roman" w:eastAsia="DengXian" w:hAnsi="Times New Roman" w:cs="Times New Roman"/>
          <w:i/>
          <w:iCs/>
          <w:noProof/>
          <w:sz w:val="24"/>
          <w:szCs w:val="24"/>
          <w:shd w:val="pct15" w:color="auto" w:fill="FFFFFF"/>
        </w:rPr>
        <w:t>A history of Cyprus</w:t>
      </w:r>
      <w:r w:rsidRPr="00226CD6">
        <w:rPr>
          <w:rFonts w:ascii="Times New Roman" w:eastAsia="DengXian" w:hAnsi="Times New Roman" w:cs="Times New Roman"/>
          <w:noProof/>
          <w:sz w:val="24"/>
          <w:szCs w:val="24"/>
          <w:shd w:val="pct15" w:color="auto" w:fill="FFFFFF"/>
        </w:rPr>
        <w:t>. Cambridge University Press.</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Hofstede, G. (2011) ‘Dimensionalizing cultures: The Hofstede model in context’, </w:t>
      </w:r>
      <w:r w:rsidRPr="00226CD6">
        <w:rPr>
          <w:rFonts w:ascii="Times New Roman" w:eastAsia="DengXian" w:hAnsi="Times New Roman" w:cs="Times New Roman"/>
          <w:i/>
          <w:iCs/>
          <w:noProof/>
          <w:sz w:val="24"/>
          <w:szCs w:val="24"/>
          <w:shd w:val="pct15" w:color="auto" w:fill="FFFFFF"/>
        </w:rPr>
        <w:t>Online readings in psychology and culture</w:t>
      </w:r>
      <w:r w:rsidRPr="00226CD6">
        <w:rPr>
          <w:rFonts w:ascii="Times New Roman" w:eastAsia="DengXian" w:hAnsi="Times New Roman" w:cs="Times New Roman"/>
          <w:noProof/>
          <w:sz w:val="24"/>
          <w:szCs w:val="24"/>
          <w:shd w:val="pct15" w:color="auto" w:fill="FFFFFF"/>
        </w:rPr>
        <w:t>. International Association for Cross-Cultural Psychology, 2(1), p. 8.</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Katircioglu, S. (2009) ‘Tourism, trade and growth: the case of Cyprus’, </w:t>
      </w:r>
      <w:r w:rsidRPr="00226CD6">
        <w:rPr>
          <w:rFonts w:ascii="Times New Roman" w:eastAsia="DengXian" w:hAnsi="Times New Roman" w:cs="Times New Roman"/>
          <w:i/>
          <w:iCs/>
          <w:noProof/>
          <w:sz w:val="24"/>
          <w:szCs w:val="24"/>
          <w:shd w:val="pct15" w:color="auto" w:fill="FFFFFF"/>
        </w:rPr>
        <w:t>Applied Economics</w:t>
      </w:r>
      <w:r w:rsidRPr="00226CD6">
        <w:rPr>
          <w:rFonts w:ascii="Times New Roman" w:eastAsia="DengXian" w:hAnsi="Times New Roman" w:cs="Times New Roman"/>
          <w:noProof/>
          <w:sz w:val="24"/>
          <w:szCs w:val="24"/>
          <w:shd w:val="pct15" w:color="auto" w:fill="FFFFFF"/>
        </w:rPr>
        <w:t>. Taylor &amp; Francis, 41(21), pp. 2741–2750.</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Markusen, J. R. </w:t>
      </w:r>
      <w:r w:rsidRPr="00226CD6">
        <w:rPr>
          <w:rFonts w:ascii="Times New Roman" w:eastAsia="DengXian" w:hAnsi="Times New Roman" w:cs="Times New Roman"/>
          <w:i/>
          <w:iCs/>
          <w:noProof/>
          <w:sz w:val="24"/>
          <w:szCs w:val="24"/>
          <w:shd w:val="pct15" w:color="auto" w:fill="FFFFFF"/>
        </w:rPr>
        <w:t>et al.</w:t>
      </w:r>
      <w:r w:rsidRPr="00226CD6">
        <w:rPr>
          <w:rFonts w:ascii="Times New Roman" w:eastAsia="DengXian" w:hAnsi="Times New Roman" w:cs="Times New Roman"/>
          <w:noProof/>
          <w:sz w:val="24"/>
          <w:szCs w:val="24"/>
          <w:shd w:val="pct15" w:color="auto" w:fill="FFFFFF"/>
        </w:rPr>
        <w:t xml:space="preserve"> (1995) </w:t>
      </w:r>
      <w:r w:rsidRPr="00226CD6">
        <w:rPr>
          <w:rFonts w:ascii="Times New Roman" w:eastAsia="DengXian" w:hAnsi="Times New Roman" w:cs="Times New Roman"/>
          <w:i/>
          <w:iCs/>
          <w:noProof/>
          <w:sz w:val="24"/>
          <w:szCs w:val="24"/>
          <w:shd w:val="pct15" w:color="auto" w:fill="FFFFFF"/>
        </w:rPr>
        <w:t>International trade: theory and evidence</w:t>
      </w:r>
      <w:r w:rsidRPr="00226CD6">
        <w:rPr>
          <w:rFonts w:ascii="Times New Roman" w:eastAsia="DengXian" w:hAnsi="Times New Roman" w:cs="Times New Roman"/>
          <w:noProof/>
          <w:sz w:val="24"/>
          <w:szCs w:val="24"/>
          <w:shd w:val="pct15" w:color="auto" w:fill="FFFFFF"/>
        </w:rPr>
        <w:t>. University Library of Munich, Germany.</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Minkov, M. and Hofstede, G. (2011) ‘The evolution of Hofstede’s doctrine’, </w:t>
      </w:r>
      <w:r w:rsidRPr="00226CD6">
        <w:rPr>
          <w:rFonts w:ascii="Times New Roman" w:eastAsia="DengXian" w:hAnsi="Times New Roman" w:cs="Times New Roman"/>
          <w:i/>
          <w:iCs/>
          <w:noProof/>
          <w:sz w:val="24"/>
          <w:szCs w:val="24"/>
          <w:shd w:val="pct15" w:color="auto" w:fill="FFFFFF"/>
        </w:rPr>
        <w:t>Cross cultural management: An international journal</w:t>
      </w:r>
      <w:r w:rsidRPr="00226CD6">
        <w:rPr>
          <w:rFonts w:ascii="Times New Roman" w:eastAsia="DengXian" w:hAnsi="Times New Roman" w:cs="Times New Roman"/>
          <w:noProof/>
          <w:sz w:val="24"/>
          <w:szCs w:val="24"/>
          <w:shd w:val="pct15" w:color="auto" w:fill="FFFFFF"/>
        </w:rPr>
        <w:t>. Emerald Group Publishing Limited, 18(1), pp. 10–20.</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lastRenderedPageBreak/>
        <w:t xml:space="preserve">Moon, C., Uskul, A. K. and Weick, M. (2018) ‘Cultural differences in politeness as a function of status relations: Comparing South Korean and British communicators’, </w:t>
      </w:r>
      <w:r w:rsidRPr="00226CD6">
        <w:rPr>
          <w:rFonts w:ascii="Times New Roman" w:eastAsia="DengXian" w:hAnsi="Times New Roman" w:cs="Times New Roman"/>
          <w:i/>
          <w:iCs/>
          <w:noProof/>
          <w:sz w:val="24"/>
          <w:szCs w:val="24"/>
          <w:shd w:val="pct15" w:color="auto" w:fill="FFFFFF"/>
        </w:rPr>
        <w:t>Journal of Theoretical Social Psychology</w:t>
      </w:r>
      <w:r w:rsidRPr="00226CD6">
        <w:rPr>
          <w:rFonts w:ascii="Times New Roman" w:eastAsia="DengXian" w:hAnsi="Times New Roman" w:cs="Times New Roman"/>
          <w:noProof/>
          <w:sz w:val="24"/>
          <w:szCs w:val="24"/>
          <w:shd w:val="pct15" w:color="auto" w:fill="FFFFFF"/>
        </w:rPr>
        <w:t>. Wiley Online Library.</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Morgan, T. (2010) </w:t>
      </w:r>
      <w:r w:rsidRPr="00226CD6">
        <w:rPr>
          <w:rFonts w:ascii="Times New Roman" w:eastAsia="DengXian" w:hAnsi="Times New Roman" w:cs="Times New Roman"/>
          <w:i/>
          <w:iCs/>
          <w:noProof/>
          <w:sz w:val="24"/>
          <w:szCs w:val="24"/>
          <w:shd w:val="pct15" w:color="auto" w:fill="FFFFFF"/>
        </w:rPr>
        <w:t>Sweet and bitter island: A history of the British in Cyprus</w:t>
      </w:r>
      <w:r w:rsidRPr="00226CD6">
        <w:rPr>
          <w:rFonts w:ascii="Times New Roman" w:eastAsia="DengXian" w:hAnsi="Times New Roman" w:cs="Times New Roman"/>
          <w:noProof/>
          <w:sz w:val="24"/>
          <w:szCs w:val="24"/>
          <w:shd w:val="pct15" w:color="auto" w:fill="FFFFFF"/>
        </w:rPr>
        <w:t>. Bloomsbury Publishing.</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Rivera-Batiz, F. and Rivera-Batiz, L. (2018) </w:t>
      </w:r>
      <w:r w:rsidRPr="00226CD6">
        <w:rPr>
          <w:rFonts w:ascii="Times New Roman" w:eastAsia="DengXian" w:hAnsi="Times New Roman" w:cs="Times New Roman"/>
          <w:i/>
          <w:iCs/>
          <w:noProof/>
          <w:sz w:val="24"/>
          <w:szCs w:val="24"/>
          <w:shd w:val="pct15" w:color="auto" w:fill="FFFFFF"/>
        </w:rPr>
        <w:t>International trade, capital flows and economic development</w:t>
      </w:r>
      <w:r w:rsidRPr="00226CD6">
        <w:rPr>
          <w:rFonts w:ascii="Times New Roman" w:eastAsia="DengXian" w:hAnsi="Times New Roman" w:cs="Times New Roman"/>
          <w:noProof/>
          <w:sz w:val="24"/>
          <w:szCs w:val="24"/>
          <w:shd w:val="pct15" w:color="auto" w:fill="FFFFFF"/>
        </w:rPr>
        <w:t>. World Scientific Publishing Co. Pte. Ltd.</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Soares, A. M., Farhangmehr, M. and Shoham, A. (2007) ‘Hofstede’s dimensions of culture in international marketing studies’, </w:t>
      </w:r>
      <w:r w:rsidRPr="00226CD6">
        <w:rPr>
          <w:rFonts w:ascii="Times New Roman" w:eastAsia="DengXian" w:hAnsi="Times New Roman" w:cs="Times New Roman"/>
          <w:i/>
          <w:iCs/>
          <w:noProof/>
          <w:sz w:val="24"/>
          <w:szCs w:val="24"/>
          <w:shd w:val="pct15" w:color="auto" w:fill="FFFFFF"/>
        </w:rPr>
        <w:t>Journal of business research</w:t>
      </w:r>
      <w:r w:rsidRPr="00226CD6">
        <w:rPr>
          <w:rFonts w:ascii="Times New Roman" w:eastAsia="DengXian" w:hAnsi="Times New Roman" w:cs="Times New Roman"/>
          <w:noProof/>
          <w:sz w:val="24"/>
          <w:szCs w:val="24"/>
          <w:shd w:val="pct15" w:color="auto" w:fill="FFFFFF"/>
        </w:rPr>
        <w:t>. Elsevier, 60(3), pp. 277–284.</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World’s Top Exports (2019) </w:t>
      </w:r>
      <w:r w:rsidRPr="00226CD6">
        <w:rPr>
          <w:rFonts w:ascii="Times New Roman" w:eastAsia="DengXian" w:hAnsi="Times New Roman" w:cs="Times New Roman"/>
          <w:i/>
          <w:iCs/>
          <w:noProof/>
          <w:sz w:val="24"/>
          <w:szCs w:val="24"/>
          <w:shd w:val="pct15" w:color="auto" w:fill="FFFFFF"/>
        </w:rPr>
        <w:t>Cyprus Top Trading Partners</w:t>
      </w:r>
      <w:r w:rsidRPr="00226CD6">
        <w:rPr>
          <w:rFonts w:ascii="Times New Roman" w:eastAsia="DengXian" w:hAnsi="Times New Roman" w:cs="Times New Roman"/>
          <w:noProof/>
          <w:sz w:val="24"/>
          <w:szCs w:val="24"/>
          <w:shd w:val="pct15" w:color="auto" w:fill="FFFFFF"/>
        </w:rPr>
        <w:t>. Available at: http://www.worldstopexports.com/cyprus-top-15-import-partners/ (Accessed: 1 January 2020).</w:t>
      </w:r>
    </w:p>
    <w:p w:rsidR="0041086D" w:rsidRPr="00226CD6" w:rsidRDefault="0041086D" w:rsidP="0041086D">
      <w:pPr>
        <w:pStyle w:val="a3"/>
        <w:numPr>
          <w:ilvl w:val="0"/>
          <w:numId w:val="2"/>
        </w:numPr>
        <w:autoSpaceDE w:val="0"/>
        <w:autoSpaceDN w:val="0"/>
        <w:adjustRightInd w:val="0"/>
        <w:spacing w:before="50" w:after="50" w:line="360" w:lineRule="auto"/>
        <w:ind w:firstLineChars="0"/>
        <w:rPr>
          <w:rFonts w:ascii="Times New Roman" w:eastAsia="DengXian" w:hAnsi="Times New Roman" w:cs="Times New Roman"/>
          <w:noProof/>
          <w:sz w:val="24"/>
          <w:szCs w:val="24"/>
          <w:shd w:val="pct15" w:color="auto" w:fill="FFFFFF"/>
        </w:rPr>
      </w:pPr>
      <w:r w:rsidRPr="00226CD6">
        <w:rPr>
          <w:rFonts w:ascii="Times New Roman" w:eastAsia="DengXian" w:hAnsi="Times New Roman" w:cs="Times New Roman"/>
          <w:noProof/>
          <w:sz w:val="24"/>
          <w:szCs w:val="24"/>
          <w:shd w:val="pct15" w:color="auto" w:fill="FFFFFF"/>
        </w:rPr>
        <w:t xml:space="preserve">Young, C. and Ghoshal, S. (2016) </w:t>
      </w:r>
      <w:r w:rsidRPr="00226CD6">
        <w:rPr>
          <w:rFonts w:ascii="Times New Roman" w:eastAsia="DengXian" w:hAnsi="Times New Roman" w:cs="Times New Roman"/>
          <w:i/>
          <w:iCs/>
          <w:noProof/>
          <w:sz w:val="24"/>
          <w:szCs w:val="24"/>
          <w:shd w:val="pct15" w:color="auto" w:fill="FFFFFF"/>
        </w:rPr>
        <w:t>Organization theory and the multinational corporation</w:t>
      </w:r>
      <w:r w:rsidRPr="00226CD6">
        <w:rPr>
          <w:rFonts w:ascii="Times New Roman" w:eastAsia="DengXian" w:hAnsi="Times New Roman" w:cs="Times New Roman"/>
          <w:noProof/>
          <w:sz w:val="24"/>
          <w:szCs w:val="24"/>
          <w:shd w:val="pct15" w:color="auto" w:fill="FFFFFF"/>
        </w:rPr>
        <w:t>. Springer.</w:t>
      </w:r>
    </w:p>
    <w:p w:rsidR="0041086D" w:rsidRDefault="0041086D" w:rsidP="0041086D">
      <w:pPr>
        <w:spacing w:beforeLines="50" w:before="156" w:afterLines="50" w:after="156"/>
      </w:pPr>
      <w:r w:rsidRPr="00226CD6">
        <w:rPr>
          <w:shd w:val="pct15" w:color="auto" w:fill="FFFFFF"/>
        </w:rPr>
        <w:fldChar w:fldCharType="end"/>
      </w:r>
    </w:p>
    <w:p w:rsidR="0041086D" w:rsidRDefault="0041086D" w:rsidP="0041086D">
      <w:pPr>
        <w:spacing w:beforeLines="50" w:before="156" w:afterLines="50" w:after="156"/>
      </w:pPr>
    </w:p>
    <w:p w:rsidR="0041086D" w:rsidRPr="0041086D" w:rsidRDefault="0041086D" w:rsidP="0041086D">
      <w:pPr>
        <w:rPr>
          <w:rFonts w:hint="eastAsia"/>
        </w:rPr>
      </w:pPr>
    </w:p>
    <w:sectPr w:rsidR="0041086D" w:rsidRPr="0041086D" w:rsidSect="0046053C">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64339C"/>
    <w:multiLevelType w:val="hybridMultilevel"/>
    <w:tmpl w:val="1DFC9A92"/>
    <w:lvl w:ilvl="0" w:tplc="A0FC6F9C">
      <w:start w:val="1"/>
      <w:numFmt w:val="decimal"/>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E451B9A"/>
    <w:multiLevelType w:val="hybridMultilevel"/>
    <w:tmpl w:val="5192D09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AC4"/>
    <w:rsid w:val="00162B38"/>
    <w:rsid w:val="001B2AC4"/>
    <w:rsid w:val="0041086D"/>
    <w:rsid w:val="0046053C"/>
    <w:rsid w:val="005A7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C9312"/>
  <w15:chartTrackingRefBased/>
  <w15:docId w15:val="{A15CFED0-BAF1-2D49-AD1C-4B843B4B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2AC4"/>
    <w:pPr>
      <w:widowControl w:val="0"/>
      <w:spacing w:line="360" w:lineRule="auto"/>
      <w:jc w:val="both"/>
    </w:pPr>
    <w:rPr>
      <w:rFonts w:ascii="Times New Roman" w:eastAsia="Times New Roman" w:hAnsi="Times New Roman" w:cs="Times New Roman"/>
      <w:sz w:val="24"/>
    </w:rPr>
  </w:style>
  <w:style w:type="paragraph" w:styleId="1">
    <w:name w:val="heading 1"/>
    <w:basedOn w:val="a"/>
    <w:next w:val="a"/>
    <w:link w:val="10"/>
    <w:uiPriority w:val="9"/>
    <w:qFormat/>
    <w:rsid w:val="001B2AC4"/>
    <w:pPr>
      <w:keepNext/>
      <w:keepLines/>
      <w:spacing w:before="340" w:after="330" w:line="578" w:lineRule="auto"/>
      <w:outlineLvl w:val="0"/>
    </w:pPr>
    <w:rPr>
      <w:b/>
      <w:bCs/>
      <w:kern w:val="44"/>
      <w:sz w:val="28"/>
      <w:szCs w:val="28"/>
    </w:rPr>
  </w:style>
  <w:style w:type="paragraph" w:styleId="2">
    <w:name w:val="heading 2"/>
    <w:basedOn w:val="a"/>
    <w:next w:val="a"/>
    <w:link w:val="20"/>
    <w:uiPriority w:val="9"/>
    <w:semiHidden/>
    <w:unhideWhenUsed/>
    <w:qFormat/>
    <w:rsid w:val="001B2AC4"/>
    <w:pPr>
      <w:keepNext/>
      <w:keepLines/>
      <w:spacing w:before="260" w:after="260" w:line="416" w:lineRule="auto"/>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B2AC4"/>
    <w:rPr>
      <w:rFonts w:ascii="Times New Roman" w:eastAsia="Times New Roman" w:hAnsi="Times New Roman" w:cs="Times New Roman"/>
      <w:b/>
      <w:bCs/>
      <w:kern w:val="44"/>
      <w:sz w:val="28"/>
      <w:szCs w:val="28"/>
    </w:rPr>
  </w:style>
  <w:style w:type="character" w:customStyle="1" w:styleId="20">
    <w:name w:val="标题 2 字符"/>
    <w:basedOn w:val="a0"/>
    <w:link w:val="2"/>
    <w:uiPriority w:val="9"/>
    <w:semiHidden/>
    <w:rsid w:val="001B2AC4"/>
    <w:rPr>
      <w:rFonts w:ascii="Times New Roman" w:eastAsia="Times New Roman" w:hAnsi="Times New Roman" w:cs="Times New Roman"/>
      <w:b/>
      <w:bCs/>
      <w:sz w:val="24"/>
    </w:rPr>
  </w:style>
  <w:style w:type="paragraph" w:styleId="a3">
    <w:name w:val="List Paragraph"/>
    <w:basedOn w:val="a"/>
    <w:uiPriority w:val="34"/>
    <w:qFormat/>
    <w:rsid w:val="0041086D"/>
    <w:pPr>
      <w:widowControl/>
      <w:spacing w:after="120" w:line="264" w:lineRule="auto"/>
      <w:ind w:firstLineChars="200" w:firstLine="420"/>
      <w:jc w:val="left"/>
    </w:pPr>
    <w:rPr>
      <w:rFonts w:asciiTheme="minorHAnsi" w:eastAsiaTheme="minorEastAsia" w:hAnsiTheme="minorHAnsi" w:cstheme="minorBidi"/>
      <w:kern w:val="0"/>
      <w:sz w:val="21"/>
      <w:szCs w:val="21"/>
    </w:rPr>
  </w:style>
  <w:style w:type="paragraph" w:styleId="TOC1">
    <w:name w:val="toc 1"/>
    <w:basedOn w:val="a"/>
    <w:next w:val="a"/>
    <w:autoRedefine/>
    <w:uiPriority w:val="39"/>
    <w:unhideWhenUsed/>
    <w:rsid w:val="0041086D"/>
  </w:style>
  <w:style w:type="paragraph" w:styleId="TOC2">
    <w:name w:val="toc 2"/>
    <w:basedOn w:val="a"/>
    <w:next w:val="a"/>
    <w:autoRedefine/>
    <w:uiPriority w:val="39"/>
    <w:unhideWhenUsed/>
    <w:rsid w:val="0041086D"/>
    <w:pPr>
      <w:ind w:leftChars="200" w:left="420"/>
    </w:pPr>
  </w:style>
  <w:style w:type="character" w:styleId="a4">
    <w:name w:val="Hyperlink"/>
    <w:basedOn w:val="a0"/>
    <w:uiPriority w:val="99"/>
    <w:unhideWhenUsed/>
    <w:rsid w:val="004108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___.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Sheet1!$A$2</c:f>
              <c:strCache>
                <c:ptCount val="1"/>
                <c:pt idx="0">
                  <c:v>Britain </c:v>
                </c:pt>
              </c:strCache>
            </c:strRef>
          </c:tx>
          <c:spPr>
            <a:solidFill>
              <a:schemeClr val="accent6">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Power Distance</c:v>
                </c:pt>
                <c:pt idx="1">
                  <c:v>Individualism </c:v>
                </c:pt>
                <c:pt idx="2">
                  <c:v>Masculinity </c:v>
                </c:pt>
                <c:pt idx="3">
                  <c:v>Uncertainty Avoidance </c:v>
                </c:pt>
                <c:pt idx="4">
                  <c:v>Long-term Orientation </c:v>
                </c:pt>
                <c:pt idx="5">
                  <c:v>Indulgence</c:v>
                </c:pt>
              </c:strCache>
            </c:strRef>
          </c:cat>
          <c:val>
            <c:numRef>
              <c:f>Sheet1!$B$2:$G$2</c:f>
              <c:numCache>
                <c:formatCode>General</c:formatCode>
                <c:ptCount val="6"/>
                <c:pt idx="0">
                  <c:v>35</c:v>
                </c:pt>
                <c:pt idx="1">
                  <c:v>89</c:v>
                </c:pt>
                <c:pt idx="2">
                  <c:v>66</c:v>
                </c:pt>
                <c:pt idx="3">
                  <c:v>35</c:v>
                </c:pt>
                <c:pt idx="4">
                  <c:v>51</c:v>
                </c:pt>
                <c:pt idx="5">
                  <c:v>69</c:v>
                </c:pt>
              </c:numCache>
            </c:numRef>
          </c:val>
          <c:extLst>
            <c:ext xmlns:c16="http://schemas.microsoft.com/office/drawing/2014/chart" uri="{C3380CC4-5D6E-409C-BE32-E72D297353CC}">
              <c16:uniqueId val="{00000000-DE03-3A46-88FB-0ED39E7C2586}"/>
            </c:ext>
          </c:extLst>
        </c:ser>
        <c:ser>
          <c:idx val="1"/>
          <c:order val="1"/>
          <c:tx>
            <c:strRef>
              <c:f>Sheet1!$A$3</c:f>
              <c:strCache>
                <c:ptCount val="1"/>
                <c:pt idx="0">
                  <c:v>Cyprus</c:v>
                </c:pt>
              </c:strCache>
            </c:strRef>
          </c:tx>
          <c:spPr>
            <a:solidFill>
              <a:schemeClr val="accent6">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Power Distance</c:v>
                </c:pt>
                <c:pt idx="1">
                  <c:v>Individualism </c:v>
                </c:pt>
                <c:pt idx="2">
                  <c:v>Masculinity </c:v>
                </c:pt>
                <c:pt idx="3">
                  <c:v>Uncertainty Avoidance </c:v>
                </c:pt>
                <c:pt idx="4">
                  <c:v>Long-term Orientation </c:v>
                </c:pt>
                <c:pt idx="5">
                  <c:v>Indulgence</c:v>
                </c:pt>
              </c:strCache>
            </c:strRef>
          </c:cat>
          <c:val>
            <c:numRef>
              <c:f>Sheet1!$B$3:$G$3</c:f>
              <c:numCache>
                <c:formatCode>General</c:formatCode>
                <c:ptCount val="6"/>
                <c:pt idx="0">
                  <c:v>60</c:v>
                </c:pt>
                <c:pt idx="1">
                  <c:v>35</c:v>
                </c:pt>
                <c:pt idx="2">
                  <c:v>57</c:v>
                </c:pt>
                <c:pt idx="3">
                  <c:v>100</c:v>
                </c:pt>
                <c:pt idx="4">
                  <c:v>45</c:v>
                </c:pt>
                <c:pt idx="5">
                  <c:v>50</c:v>
                </c:pt>
              </c:numCache>
            </c:numRef>
          </c:val>
          <c:extLst>
            <c:ext xmlns:c16="http://schemas.microsoft.com/office/drawing/2014/chart" uri="{C3380CC4-5D6E-409C-BE32-E72D297353CC}">
              <c16:uniqueId val="{00000001-DE03-3A46-88FB-0ED39E7C2586}"/>
            </c:ext>
          </c:extLst>
        </c:ser>
        <c:dLbls>
          <c:showLegendKey val="0"/>
          <c:showVal val="0"/>
          <c:showCatName val="0"/>
          <c:showSerName val="0"/>
          <c:showPercent val="0"/>
          <c:showBubbleSize val="0"/>
        </c:dLbls>
        <c:gapWidth val="219"/>
        <c:overlap val="-27"/>
        <c:axId val="626466872"/>
        <c:axId val="626476712"/>
      </c:barChart>
      <c:catAx>
        <c:axId val="626466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zh-CN"/>
          </a:p>
        </c:txPr>
        <c:crossAx val="626476712"/>
        <c:crosses val="autoZero"/>
        <c:auto val="1"/>
        <c:lblAlgn val="ctr"/>
        <c:lblOffset val="100"/>
        <c:noMultiLvlLbl val="0"/>
      </c:catAx>
      <c:valAx>
        <c:axId val="626476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26466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a:pPr>
      <a:endParaRPr lang="zh-CN"/>
    </a:p>
  </c:txPr>
  <c:externalData r:id="rId4">
    <c:autoUpdate val="0"/>
  </c:externalData>
</c:chartSpace>
</file>

<file path=word/charts/colors1.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63E16-8CF0-1F48-B156-C9D389F2D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6378</Words>
  <Characters>36358</Characters>
  <Application>Microsoft Office Word</Application>
  <DocSecurity>0</DocSecurity>
  <Lines>302</Lines>
  <Paragraphs>85</Paragraphs>
  <ScaleCrop>false</ScaleCrop>
  <Company/>
  <LinksUpToDate>false</LinksUpToDate>
  <CharactersWithSpaces>42651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Shijie Yan (1900193)</dc:creator>
  <cp:keywords/>
  <dc:description/>
  <cp:lastModifiedBy>Shijie Yan (1900193)</cp:lastModifiedBy>
  <cp:revision>1</cp:revision>
  <dcterms:created xsi:type="dcterms:W3CDTF">2020-01-02T23:31:00Z</dcterms:created>
  <dcterms:modified xsi:type="dcterms:W3CDTF">2020-01-03T08:59:00Z</dcterms:modified>
</cp:coreProperties>
</file>