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EFD28" w14:textId="178D4C23" w:rsidR="008B35B6" w:rsidRPr="008B35B6" w:rsidRDefault="008B35B6" w:rsidP="008B35B6">
      <w:pPr>
        <w:jc w:val="center"/>
        <w:rPr>
          <w:rFonts w:ascii="Times New Roman" w:hAnsi="Times New Roman" w:cs="Times New Roman"/>
          <w:sz w:val="32"/>
          <w:szCs w:val="32"/>
        </w:rPr>
      </w:pPr>
      <w:r w:rsidRPr="008B35B6">
        <w:rPr>
          <w:rFonts w:ascii="Times New Roman" w:hAnsi="Times New Roman" w:cs="Times New Roman"/>
          <w:sz w:val="32"/>
          <w:szCs w:val="32"/>
        </w:rPr>
        <w:t>Infographic: Context Analysis</w:t>
      </w:r>
    </w:p>
    <w:p w14:paraId="3E69D733" w14:textId="5508E79C" w:rsidR="008B35B6" w:rsidRDefault="008B35B6" w:rsidP="00EA4BB6">
      <w:pPr>
        <w:jc w:val="both"/>
        <w:rPr>
          <w:rFonts w:ascii="Times New Roman" w:hAnsi="Times New Roman" w:cs="Times New Roman"/>
          <w:sz w:val="24"/>
          <w:szCs w:val="24"/>
        </w:rPr>
      </w:pPr>
    </w:p>
    <w:p w14:paraId="5A316ACE" w14:textId="4E776795" w:rsidR="006A0D75" w:rsidRPr="006A0D75" w:rsidRDefault="006A0D75" w:rsidP="00324793">
      <w:pPr>
        <w:spacing w:line="480" w:lineRule="auto"/>
        <w:jc w:val="both"/>
        <w:rPr>
          <w:rFonts w:ascii="Times New Roman" w:hAnsi="Times New Roman" w:cs="Times New Roman"/>
          <w:sz w:val="28"/>
          <w:szCs w:val="28"/>
        </w:rPr>
      </w:pPr>
      <w:r w:rsidRPr="006A0D75">
        <w:rPr>
          <w:rFonts w:ascii="Times New Roman" w:hAnsi="Times New Roman" w:cs="Times New Roman"/>
          <w:sz w:val="28"/>
          <w:szCs w:val="28"/>
        </w:rPr>
        <w:t>Introduction</w:t>
      </w:r>
    </w:p>
    <w:p w14:paraId="7C875008" w14:textId="6A6C5CCF" w:rsidR="008F7265" w:rsidRPr="006A0D75" w:rsidRDefault="007B52C4" w:rsidP="00324793">
      <w:pPr>
        <w:spacing w:line="480" w:lineRule="auto"/>
        <w:jc w:val="both"/>
        <w:rPr>
          <w:rFonts w:ascii="Times New Roman" w:hAnsi="Times New Roman" w:cs="Times New Roman"/>
          <w:sz w:val="24"/>
          <w:szCs w:val="24"/>
        </w:rPr>
      </w:pPr>
      <w:r w:rsidRPr="006A0D75">
        <w:rPr>
          <w:rFonts w:ascii="Times New Roman" w:hAnsi="Times New Roman" w:cs="Times New Roman"/>
          <w:sz w:val="24"/>
          <w:szCs w:val="24"/>
        </w:rPr>
        <w:t>The direction and, hence the essential structure, is design</w:t>
      </w:r>
      <w:r w:rsidR="008F7265" w:rsidRPr="006A0D75">
        <w:rPr>
          <w:rFonts w:ascii="Times New Roman" w:hAnsi="Times New Roman" w:cs="Times New Roman"/>
          <w:sz w:val="24"/>
          <w:szCs w:val="24"/>
        </w:rPr>
        <w:t>ed</w:t>
      </w:r>
      <w:r w:rsidRPr="006A0D75">
        <w:rPr>
          <w:rFonts w:ascii="Times New Roman" w:hAnsi="Times New Roman" w:cs="Times New Roman"/>
          <w:sz w:val="24"/>
          <w:szCs w:val="24"/>
        </w:rPr>
        <w:t xml:space="preserve"> to present, in a functional manner, the process by which subliminal </w:t>
      </w:r>
      <w:r w:rsidR="006A0D75" w:rsidRPr="006A0D75">
        <w:rPr>
          <w:rFonts w:ascii="Times New Roman" w:hAnsi="Times New Roman" w:cs="Times New Roman"/>
          <w:sz w:val="24"/>
          <w:szCs w:val="24"/>
        </w:rPr>
        <w:t>mere-</w:t>
      </w:r>
      <w:r w:rsidRPr="006A0D75">
        <w:rPr>
          <w:rFonts w:ascii="Times New Roman" w:hAnsi="Times New Roman" w:cs="Times New Roman"/>
          <w:sz w:val="24"/>
          <w:szCs w:val="24"/>
        </w:rPr>
        <w:t>exposure effect can occur. To achieve this, first subliminal stimuli and messages were presented; secondarily, mere-exposure effect was present</w:t>
      </w:r>
      <w:r w:rsidR="008F7265" w:rsidRPr="006A0D75">
        <w:rPr>
          <w:rFonts w:ascii="Times New Roman" w:hAnsi="Times New Roman" w:cs="Times New Roman"/>
          <w:sz w:val="24"/>
          <w:szCs w:val="24"/>
        </w:rPr>
        <w:t>ed</w:t>
      </w:r>
      <w:r w:rsidRPr="006A0D75">
        <w:rPr>
          <w:rFonts w:ascii="Times New Roman" w:hAnsi="Times New Roman" w:cs="Times New Roman"/>
          <w:sz w:val="24"/>
          <w:szCs w:val="24"/>
        </w:rPr>
        <w:t xml:space="preserve"> following such. </w:t>
      </w:r>
      <w:r w:rsidR="008F7265" w:rsidRPr="006A0D75">
        <w:rPr>
          <w:rFonts w:ascii="Times New Roman" w:hAnsi="Times New Roman" w:cs="Times New Roman"/>
          <w:sz w:val="24"/>
          <w:szCs w:val="24"/>
        </w:rPr>
        <w:t xml:space="preserve">The two </w:t>
      </w:r>
      <w:r w:rsidR="006A0D75" w:rsidRPr="006A0D75">
        <w:rPr>
          <w:rFonts w:ascii="Times New Roman" w:hAnsi="Times New Roman" w:cs="Times New Roman"/>
          <w:sz w:val="24"/>
          <w:szCs w:val="24"/>
        </w:rPr>
        <w:t>being combined in presentation to found discussion on subliminal mere-exposure effect.</w:t>
      </w:r>
      <w:r w:rsidR="008F7265" w:rsidRPr="006A0D75">
        <w:rPr>
          <w:rFonts w:ascii="Times New Roman" w:hAnsi="Times New Roman" w:cs="Times New Roman"/>
          <w:sz w:val="24"/>
          <w:szCs w:val="24"/>
        </w:rPr>
        <w:t xml:space="preserve"> In analysing the context of the Infographic, the following piece will be structured into four sections: Subliminal Stimulus and Messaging, Mere-Exposure Effect, Subliminal Mere-Exposure Effect, and the ethical concerns of the prior listed. Firstly, however, it is important to note that the combination of subliminal stimulus and messages and its sub-field were important. Fundamentally, mere-exposure effect is a subset of subliminal research; however, research - as to be discussed – has indicated that subliminal exposure</w:t>
      </w:r>
      <w:r w:rsidR="006A0D75" w:rsidRPr="006A0D75">
        <w:rPr>
          <w:rFonts w:ascii="Times New Roman" w:hAnsi="Times New Roman" w:cs="Times New Roman"/>
          <w:sz w:val="24"/>
          <w:szCs w:val="24"/>
        </w:rPr>
        <w:t xml:space="preserve"> of a subject</w:t>
      </w:r>
      <w:r w:rsidR="008F7265" w:rsidRPr="006A0D75">
        <w:rPr>
          <w:rFonts w:ascii="Times New Roman" w:hAnsi="Times New Roman" w:cs="Times New Roman"/>
          <w:sz w:val="24"/>
          <w:szCs w:val="24"/>
        </w:rPr>
        <w:t xml:space="preserve"> can be further enhancing to desirability preference, compared to an equally </w:t>
      </w:r>
      <w:r w:rsidR="006A0D75" w:rsidRPr="006A0D75">
        <w:rPr>
          <w:rFonts w:ascii="Times New Roman" w:hAnsi="Times New Roman" w:cs="Times New Roman"/>
          <w:sz w:val="24"/>
          <w:szCs w:val="24"/>
        </w:rPr>
        <w:t xml:space="preserve">though overtly exposed subject. </w:t>
      </w:r>
    </w:p>
    <w:p w14:paraId="7F0871C7" w14:textId="77777777" w:rsidR="006A0D75" w:rsidRPr="006A0D75" w:rsidRDefault="006A0D75" w:rsidP="00324793">
      <w:pPr>
        <w:spacing w:line="480" w:lineRule="auto"/>
        <w:jc w:val="both"/>
        <w:rPr>
          <w:rFonts w:ascii="Times New Roman" w:hAnsi="Times New Roman" w:cs="Times New Roman"/>
          <w:sz w:val="24"/>
          <w:szCs w:val="24"/>
        </w:rPr>
      </w:pPr>
    </w:p>
    <w:p w14:paraId="12CD648E" w14:textId="7AF3AA9A" w:rsidR="00324793" w:rsidRDefault="00324793" w:rsidP="00324793">
      <w:pPr>
        <w:spacing w:line="480" w:lineRule="auto"/>
        <w:jc w:val="both"/>
        <w:rPr>
          <w:rFonts w:ascii="Times New Roman" w:hAnsi="Times New Roman" w:cs="Times New Roman"/>
          <w:sz w:val="28"/>
          <w:szCs w:val="28"/>
        </w:rPr>
      </w:pPr>
    </w:p>
    <w:p w14:paraId="70E4CA75" w14:textId="1437D5BB" w:rsidR="00D53187" w:rsidRDefault="00D53187" w:rsidP="00324793">
      <w:pPr>
        <w:spacing w:line="480" w:lineRule="auto"/>
        <w:jc w:val="both"/>
        <w:rPr>
          <w:rFonts w:ascii="Times New Roman" w:hAnsi="Times New Roman" w:cs="Times New Roman"/>
          <w:sz w:val="28"/>
          <w:szCs w:val="28"/>
        </w:rPr>
      </w:pPr>
    </w:p>
    <w:p w14:paraId="3D0F17B6" w14:textId="070D847A" w:rsidR="00D53187" w:rsidRDefault="00D53187" w:rsidP="00324793">
      <w:pPr>
        <w:spacing w:line="480" w:lineRule="auto"/>
        <w:jc w:val="both"/>
        <w:rPr>
          <w:rFonts w:ascii="Times New Roman" w:hAnsi="Times New Roman" w:cs="Times New Roman"/>
          <w:sz w:val="28"/>
          <w:szCs w:val="28"/>
        </w:rPr>
      </w:pPr>
    </w:p>
    <w:p w14:paraId="2C9FEA41" w14:textId="0DEA805B" w:rsidR="00D53187" w:rsidRDefault="00D53187" w:rsidP="00324793">
      <w:pPr>
        <w:spacing w:line="480" w:lineRule="auto"/>
        <w:jc w:val="both"/>
        <w:rPr>
          <w:rFonts w:ascii="Times New Roman" w:hAnsi="Times New Roman" w:cs="Times New Roman"/>
          <w:sz w:val="28"/>
          <w:szCs w:val="28"/>
        </w:rPr>
      </w:pPr>
    </w:p>
    <w:p w14:paraId="784AD422" w14:textId="69B91B94" w:rsidR="00D53187" w:rsidRDefault="00D53187" w:rsidP="00324793">
      <w:pPr>
        <w:spacing w:line="480" w:lineRule="auto"/>
        <w:jc w:val="both"/>
        <w:rPr>
          <w:rFonts w:ascii="Times New Roman" w:hAnsi="Times New Roman" w:cs="Times New Roman"/>
          <w:sz w:val="28"/>
          <w:szCs w:val="28"/>
        </w:rPr>
      </w:pPr>
    </w:p>
    <w:p w14:paraId="7D63E716" w14:textId="77777777" w:rsidR="00D53187" w:rsidRDefault="00D53187" w:rsidP="00324793">
      <w:pPr>
        <w:spacing w:line="480" w:lineRule="auto"/>
        <w:jc w:val="both"/>
        <w:rPr>
          <w:rFonts w:ascii="Times New Roman" w:hAnsi="Times New Roman" w:cs="Times New Roman"/>
          <w:sz w:val="28"/>
          <w:szCs w:val="28"/>
        </w:rPr>
      </w:pPr>
    </w:p>
    <w:p w14:paraId="19785000" w14:textId="4F9B45B1" w:rsidR="006A0D75" w:rsidRDefault="006A0D75" w:rsidP="00324793">
      <w:pPr>
        <w:spacing w:line="480" w:lineRule="auto"/>
        <w:jc w:val="both"/>
        <w:rPr>
          <w:rFonts w:ascii="Times New Roman" w:hAnsi="Times New Roman" w:cs="Times New Roman"/>
          <w:sz w:val="28"/>
          <w:szCs w:val="28"/>
        </w:rPr>
      </w:pPr>
      <w:r w:rsidRPr="006A0D75">
        <w:rPr>
          <w:rFonts w:ascii="Times New Roman" w:hAnsi="Times New Roman" w:cs="Times New Roman"/>
          <w:sz w:val="28"/>
          <w:szCs w:val="28"/>
        </w:rPr>
        <w:lastRenderedPageBreak/>
        <w:t>Subliminal Stimulus</w:t>
      </w:r>
      <w:r>
        <w:rPr>
          <w:rFonts w:ascii="Times New Roman" w:hAnsi="Times New Roman" w:cs="Times New Roman"/>
          <w:sz w:val="28"/>
          <w:szCs w:val="28"/>
        </w:rPr>
        <w:t xml:space="preserve">: </w:t>
      </w:r>
    </w:p>
    <w:p w14:paraId="5B46A4D5" w14:textId="1CED2B0E" w:rsidR="006A0D75" w:rsidRDefault="00F85235" w:rsidP="00324793">
      <w:pPr>
        <w:spacing w:line="480" w:lineRule="auto"/>
        <w:jc w:val="both"/>
        <w:rPr>
          <w:rFonts w:ascii="Times New Roman" w:hAnsi="Times New Roman" w:cs="Times New Roman"/>
          <w:sz w:val="24"/>
          <w:szCs w:val="24"/>
        </w:rPr>
      </w:pPr>
      <w:r w:rsidRPr="00581649">
        <w:rPr>
          <w:rFonts w:ascii="Times New Roman" w:hAnsi="Times New Roman" w:cs="Times New Roman"/>
          <w:sz w:val="24"/>
          <w:szCs w:val="24"/>
        </w:rPr>
        <w:t>The field of research into subliminal stimulus’, and its derivative studies: messages, perception, persuasion, and so on, has accumulated over hundreds, upon thousands by citating, of articles on the topic. ‘Subliminal messages’ themselves as topic of conversation which entered into the mainstream some years ago and, as such, may have become diluted in understanding (beyond academia) over the years. Within academia however, the prospect of what subliminal is, its functions, and application has over the year amounted to a collection of disputes over the topic (</w:t>
      </w:r>
      <w:proofErr w:type="spellStart"/>
      <w:r w:rsidRPr="00581649">
        <w:rPr>
          <w:rFonts w:ascii="Times New Roman" w:hAnsi="Times New Roman" w:cs="Times New Roman"/>
          <w:sz w:val="24"/>
          <w:szCs w:val="24"/>
        </w:rPr>
        <w:t>Dijksterhuis</w:t>
      </w:r>
      <w:proofErr w:type="spellEnd"/>
      <w:r w:rsidRPr="00581649">
        <w:rPr>
          <w:rFonts w:ascii="Times New Roman" w:hAnsi="Times New Roman" w:cs="Times New Roman"/>
          <w:sz w:val="24"/>
          <w:szCs w:val="24"/>
        </w:rPr>
        <w:t xml:space="preserve"> et al. 2006</w:t>
      </w:r>
      <w:r w:rsidR="00EB7801">
        <w:rPr>
          <w:rFonts w:ascii="Times New Roman" w:hAnsi="Times New Roman" w:cs="Times New Roman"/>
          <w:sz w:val="24"/>
          <w:szCs w:val="24"/>
        </w:rPr>
        <w:t>, p. 2.</w:t>
      </w:r>
      <w:r w:rsidRPr="00581649">
        <w:rPr>
          <w:rFonts w:ascii="Times New Roman" w:hAnsi="Times New Roman" w:cs="Times New Roman"/>
          <w:sz w:val="24"/>
          <w:szCs w:val="24"/>
        </w:rPr>
        <w:t xml:space="preserve">). The infographic offers a simplified process of the topic through the inclusion </w:t>
      </w:r>
      <w:r w:rsidR="00081FF6">
        <w:rPr>
          <w:rFonts w:ascii="Times New Roman" w:hAnsi="Times New Roman" w:cs="Times New Roman"/>
          <w:sz w:val="24"/>
          <w:szCs w:val="24"/>
        </w:rPr>
        <w:t xml:space="preserve">of </w:t>
      </w:r>
      <w:r w:rsidR="00581649">
        <w:rPr>
          <w:rFonts w:ascii="Times New Roman" w:hAnsi="Times New Roman" w:cs="Times New Roman"/>
          <w:sz w:val="24"/>
          <w:szCs w:val="24"/>
        </w:rPr>
        <w:t xml:space="preserve">two graphical pieces supported by multiple sources: </w:t>
      </w:r>
    </w:p>
    <w:p w14:paraId="7B146C4D" w14:textId="75EEA64C" w:rsidR="00581649" w:rsidRPr="00581649" w:rsidRDefault="00581649" w:rsidP="00E271FC">
      <w:pPr>
        <w:pStyle w:val="ListParagraph"/>
        <w:numPr>
          <w:ilvl w:val="0"/>
          <w:numId w:val="1"/>
        </w:numPr>
        <w:spacing w:line="480" w:lineRule="auto"/>
        <w:rPr>
          <w:rFonts w:ascii="Times New Roman" w:hAnsi="Times New Roman" w:cs="Times New Roman"/>
          <w:sz w:val="24"/>
          <w:szCs w:val="24"/>
        </w:rPr>
      </w:pPr>
      <w:r w:rsidRPr="00581649">
        <w:rPr>
          <w:rFonts w:ascii="Times New Roman" w:hAnsi="Times New Roman" w:cs="Times New Roman"/>
          <w:sz w:val="24"/>
          <w:szCs w:val="24"/>
        </w:rPr>
        <w:t xml:space="preserve">Greenwald, </w:t>
      </w:r>
      <w:proofErr w:type="spellStart"/>
      <w:r w:rsidRPr="00581649">
        <w:rPr>
          <w:rFonts w:ascii="Times New Roman" w:hAnsi="Times New Roman" w:cs="Times New Roman"/>
          <w:sz w:val="24"/>
          <w:szCs w:val="24"/>
        </w:rPr>
        <w:t>Draine</w:t>
      </w:r>
      <w:proofErr w:type="spellEnd"/>
      <w:r>
        <w:rPr>
          <w:rFonts w:ascii="Times New Roman" w:hAnsi="Times New Roman" w:cs="Times New Roman"/>
          <w:sz w:val="24"/>
          <w:szCs w:val="24"/>
        </w:rPr>
        <w:t xml:space="preserve"> and</w:t>
      </w:r>
      <w:r w:rsidRPr="00581649">
        <w:rPr>
          <w:rFonts w:ascii="Times New Roman" w:hAnsi="Times New Roman" w:cs="Times New Roman"/>
          <w:sz w:val="24"/>
          <w:szCs w:val="24"/>
        </w:rPr>
        <w:t xml:space="preserve"> Abrams</w:t>
      </w:r>
      <w:r w:rsidR="00940D01">
        <w:rPr>
          <w:rFonts w:ascii="Times New Roman" w:hAnsi="Times New Roman" w:cs="Times New Roman"/>
          <w:sz w:val="24"/>
          <w:szCs w:val="24"/>
        </w:rPr>
        <w:t xml:space="preserve"> used a combined technique of a ‘response window’ procedure with visual masking procedures</w:t>
      </w:r>
      <w:r w:rsidR="00081FF6">
        <w:rPr>
          <w:rFonts w:ascii="Times New Roman" w:hAnsi="Times New Roman" w:cs="Times New Roman"/>
          <w:sz w:val="24"/>
          <w:szCs w:val="24"/>
        </w:rPr>
        <w:t xml:space="preserve">. Participants (n=10) categorised polarised words, as either pleasant or unpleasant, </w:t>
      </w:r>
      <w:r>
        <w:rPr>
          <w:rFonts w:ascii="Times New Roman" w:hAnsi="Times New Roman" w:cs="Times New Roman"/>
          <w:sz w:val="24"/>
          <w:szCs w:val="24"/>
        </w:rPr>
        <w:t>(</w:t>
      </w:r>
      <w:r w:rsidRPr="00581649">
        <w:rPr>
          <w:rFonts w:ascii="Times New Roman" w:hAnsi="Times New Roman" w:cs="Times New Roman"/>
          <w:sz w:val="24"/>
          <w:szCs w:val="24"/>
        </w:rPr>
        <w:t xml:space="preserve">Greenwald, </w:t>
      </w:r>
      <w:proofErr w:type="spellStart"/>
      <w:r w:rsidRPr="00581649">
        <w:rPr>
          <w:rFonts w:ascii="Times New Roman" w:hAnsi="Times New Roman" w:cs="Times New Roman"/>
          <w:sz w:val="24"/>
          <w:szCs w:val="24"/>
        </w:rPr>
        <w:t>Draine</w:t>
      </w:r>
      <w:proofErr w:type="spellEnd"/>
      <w:r w:rsidRPr="00581649">
        <w:rPr>
          <w:rFonts w:ascii="Times New Roman" w:hAnsi="Times New Roman" w:cs="Times New Roman"/>
          <w:sz w:val="24"/>
          <w:szCs w:val="24"/>
        </w:rPr>
        <w:t>, Abrams 1996</w:t>
      </w:r>
      <w:r w:rsidRPr="00581649">
        <w:rPr>
          <w:rFonts w:ascii="Times New Roman" w:hAnsi="Times New Roman" w:cs="Times New Roman"/>
          <w:sz w:val="24"/>
          <w:szCs w:val="24"/>
        </w:rPr>
        <w:t>, p. 1699-1701.</w:t>
      </w:r>
      <w:r>
        <w:rPr>
          <w:rFonts w:ascii="Times New Roman" w:hAnsi="Times New Roman" w:cs="Times New Roman"/>
          <w:sz w:val="24"/>
          <w:szCs w:val="24"/>
        </w:rPr>
        <w:t>)</w:t>
      </w:r>
      <w:r w:rsidR="00081FF6">
        <w:rPr>
          <w:rFonts w:ascii="Times New Roman" w:hAnsi="Times New Roman" w:cs="Times New Roman"/>
          <w:sz w:val="24"/>
          <w:szCs w:val="24"/>
        </w:rPr>
        <w:t xml:space="preserve"> </w:t>
      </w:r>
    </w:p>
    <w:p w14:paraId="136C401C" w14:textId="7F2B9485" w:rsidR="00581649" w:rsidRPr="00D53187" w:rsidRDefault="0052107D" w:rsidP="00D53187">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Mental representations are recognised as crucial when reviewing subliminal research</w:t>
      </w:r>
      <w:r w:rsidR="002F6DD0">
        <w:rPr>
          <w:rFonts w:ascii="Times New Roman" w:hAnsi="Times New Roman" w:cs="Times New Roman"/>
          <w:sz w:val="24"/>
          <w:szCs w:val="24"/>
        </w:rPr>
        <w:t xml:space="preserve"> in the section Mental Representations are Crucial. As noted, despite conscious or non-conscious awareness of such, if certain words are perceived by the person, then – more importantly - activating a mental representation, such a mental phenomenon will lead</w:t>
      </w:r>
      <w:r w:rsidR="00BD58F4">
        <w:rPr>
          <w:rFonts w:ascii="Times New Roman" w:hAnsi="Times New Roman" w:cs="Times New Roman"/>
          <w:sz w:val="24"/>
          <w:szCs w:val="24"/>
        </w:rPr>
        <w:t xml:space="preserve"> psychological, behavioural occurrences</w:t>
      </w:r>
      <w:r w:rsidR="008217A0">
        <w:rPr>
          <w:rFonts w:ascii="Times New Roman" w:hAnsi="Times New Roman" w:cs="Times New Roman"/>
          <w:sz w:val="24"/>
          <w:szCs w:val="24"/>
        </w:rPr>
        <w:t xml:space="preserve"> (</w:t>
      </w:r>
      <w:proofErr w:type="spellStart"/>
      <w:r w:rsidR="008217A0" w:rsidRPr="0052107D">
        <w:rPr>
          <w:rFonts w:ascii="Times New Roman" w:hAnsi="Times New Roman" w:cs="Times New Roman"/>
          <w:sz w:val="24"/>
          <w:szCs w:val="24"/>
        </w:rPr>
        <w:t>Aarts</w:t>
      </w:r>
      <w:proofErr w:type="spellEnd"/>
      <w:r w:rsidR="008217A0" w:rsidRPr="0052107D">
        <w:rPr>
          <w:rFonts w:ascii="Times New Roman" w:hAnsi="Times New Roman" w:cs="Times New Roman"/>
          <w:sz w:val="24"/>
          <w:szCs w:val="24"/>
        </w:rPr>
        <w:t xml:space="preserve">, </w:t>
      </w:r>
      <w:proofErr w:type="spellStart"/>
      <w:r w:rsidR="008217A0" w:rsidRPr="0052107D">
        <w:rPr>
          <w:rFonts w:ascii="Times New Roman" w:hAnsi="Times New Roman" w:cs="Times New Roman"/>
          <w:sz w:val="24"/>
          <w:szCs w:val="24"/>
        </w:rPr>
        <w:t>Dijksterhuis</w:t>
      </w:r>
      <w:proofErr w:type="spellEnd"/>
      <w:r w:rsidR="008217A0" w:rsidRPr="0052107D">
        <w:rPr>
          <w:rFonts w:ascii="Times New Roman" w:hAnsi="Times New Roman" w:cs="Times New Roman"/>
          <w:sz w:val="24"/>
          <w:szCs w:val="24"/>
        </w:rPr>
        <w:t>, Smith 2006</w:t>
      </w:r>
      <w:proofErr w:type="gramStart"/>
      <w:r w:rsidR="008217A0">
        <w:rPr>
          <w:rFonts w:ascii="Times New Roman" w:hAnsi="Times New Roman" w:cs="Times New Roman"/>
          <w:sz w:val="24"/>
          <w:szCs w:val="24"/>
        </w:rPr>
        <w:t xml:space="preserve">) </w:t>
      </w:r>
      <w:r w:rsidR="00BD58F4">
        <w:rPr>
          <w:rFonts w:ascii="Times New Roman" w:hAnsi="Times New Roman" w:cs="Times New Roman"/>
          <w:sz w:val="24"/>
          <w:szCs w:val="24"/>
        </w:rPr>
        <w:t>.</w:t>
      </w:r>
      <w:proofErr w:type="gramEnd"/>
      <w:r w:rsidR="00BD58F4">
        <w:rPr>
          <w:rFonts w:ascii="Times New Roman" w:hAnsi="Times New Roman" w:cs="Times New Roman"/>
          <w:sz w:val="24"/>
          <w:szCs w:val="24"/>
        </w:rPr>
        <w:t xml:space="preserve"> </w:t>
      </w:r>
      <w:r w:rsidR="008217A0">
        <w:rPr>
          <w:rFonts w:ascii="Times New Roman" w:hAnsi="Times New Roman" w:cs="Times New Roman"/>
          <w:sz w:val="24"/>
          <w:szCs w:val="24"/>
        </w:rPr>
        <w:t>t</w:t>
      </w:r>
      <w:r w:rsidR="00BD58F4">
        <w:rPr>
          <w:rFonts w:ascii="Times New Roman" w:hAnsi="Times New Roman" w:cs="Times New Roman"/>
          <w:sz w:val="24"/>
          <w:szCs w:val="24"/>
        </w:rPr>
        <w:t>his as an evolutionary mechanism, rationally, makes sense. Conscious processes are heavily reflective, being supra-aware of one’s awareness and / or emergent sub-/unconscious processes: a word being said in your mind, let’s randomly (sub / unconscious), of which you become aware of saying, and then supra-aware of why the word was said or even thought. This level of introspection, while con</w:t>
      </w:r>
      <w:r w:rsidR="0031254F">
        <w:rPr>
          <w:rFonts w:ascii="Times New Roman" w:hAnsi="Times New Roman" w:cs="Times New Roman"/>
          <w:sz w:val="24"/>
          <w:szCs w:val="24"/>
        </w:rPr>
        <w:t xml:space="preserve">ducive to complex and elaborate constructs, but not so useful if a danger is near approaching. Indeed, </w:t>
      </w:r>
      <w:r w:rsidR="005E10A8">
        <w:rPr>
          <w:rFonts w:ascii="Times New Roman" w:hAnsi="Times New Roman" w:cs="Times New Roman"/>
          <w:sz w:val="24"/>
          <w:szCs w:val="24"/>
        </w:rPr>
        <w:t xml:space="preserve">extended thought </w:t>
      </w:r>
      <w:r w:rsidR="005E10A8">
        <w:rPr>
          <w:rFonts w:ascii="Times New Roman" w:hAnsi="Times New Roman" w:cs="Times New Roman"/>
          <w:sz w:val="24"/>
          <w:szCs w:val="24"/>
        </w:rPr>
        <w:lastRenderedPageBreak/>
        <w:t xml:space="preserve">process can be dangerous to </w:t>
      </w:r>
      <w:r w:rsidR="003233B6">
        <w:rPr>
          <w:rFonts w:ascii="Times New Roman" w:hAnsi="Times New Roman" w:cs="Times New Roman"/>
          <w:sz w:val="24"/>
          <w:szCs w:val="24"/>
        </w:rPr>
        <w:t>an</w:t>
      </w:r>
      <w:r w:rsidR="005E10A8">
        <w:rPr>
          <w:rFonts w:ascii="Times New Roman" w:hAnsi="Times New Roman" w:cs="Times New Roman"/>
          <w:sz w:val="24"/>
          <w:szCs w:val="24"/>
        </w:rPr>
        <w:t xml:space="preserve"> individual. Hence, small packages of information having to capacity to processed as</w:t>
      </w:r>
      <w:r w:rsidR="003233B6">
        <w:rPr>
          <w:rFonts w:ascii="Times New Roman" w:hAnsi="Times New Roman" w:cs="Times New Roman"/>
          <w:sz w:val="24"/>
          <w:szCs w:val="24"/>
        </w:rPr>
        <w:t xml:space="preserve"> to</w:t>
      </w:r>
      <w:r w:rsidR="005E10A8">
        <w:rPr>
          <w:rFonts w:ascii="Times New Roman" w:hAnsi="Times New Roman" w:cs="Times New Roman"/>
          <w:sz w:val="24"/>
          <w:szCs w:val="24"/>
        </w:rPr>
        <w:t xml:space="preserve"> quickly activate quasi-schemas, concepts, super-relation-sets, or ‘mental representations’ is extremely </w:t>
      </w:r>
      <w:r w:rsidR="003233B6">
        <w:rPr>
          <w:rFonts w:ascii="Times New Roman" w:hAnsi="Times New Roman" w:cs="Times New Roman"/>
          <w:sz w:val="24"/>
          <w:szCs w:val="24"/>
        </w:rPr>
        <w:t>advantages. An interesting area of research from this would be application of research into the field of autism. This process maybe explains why some autistic, or stimuli reclused, individuals tend to avoid high-stimulating-</w:t>
      </w:r>
      <w:r w:rsidR="00D53187">
        <w:rPr>
          <w:rFonts w:ascii="Times New Roman" w:hAnsi="Times New Roman" w:cs="Times New Roman"/>
          <w:sz w:val="24"/>
          <w:szCs w:val="24"/>
        </w:rPr>
        <w:t>environments</w:t>
      </w:r>
      <w:r w:rsidR="003233B6">
        <w:rPr>
          <w:rFonts w:ascii="Times New Roman" w:hAnsi="Times New Roman" w:cs="Times New Roman"/>
          <w:sz w:val="24"/>
          <w:szCs w:val="24"/>
        </w:rPr>
        <w:t xml:space="preserve"> – maybe, they cannot process small portions of information easily, and as such </w:t>
      </w:r>
      <w:r w:rsidR="00D53187">
        <w:rPr>
          <w:rFonts w:ascii="Times New Roman" w:hAnsi="Times New Roman" w:cs="Times New Roman"/>
          <w:sz w:val="24"/>
          <w:szCs w:val="24"/>
        </w:rPr>
        <w:t xml:space="preserve">may produce different results when studied, in regards to the subliminal. </w:t>
      </w:r>
    </w:p>
    <w:p w14:paraId="7444A5F4" w14:textId="1C35BF0F" w:rsidR="00EB417E" w:rsidRDefault="001647F4" w:rsidP="00324793">
      <w:pPr>
        <w:pStyle w:val="ListParagraph"/>
        <w:numPr>
          <w:ilvl w:val="0"/>
          <w:numId w:val="1"/>
        </w:numPr>
        <w:spacing w:line="480" w:lineRule="auto"/>
        <w:jc w:val="both"/>
        <w:rPr>
          <w:rFonts w:ascii="Times New Roman" w:hAnsi="Times New Roman" w:cs="Times New Roman"/>
          <w:sz w:val="24"/>
          <w:szCs w:val="24"/>
        </w:rPr>
      </w:pPr>
      <w:r w:rsidRPr="001647F4">
        <w:rPr>
          <w:rFonts w:ascii="Times New Roman" w:hAnsi="Times New Roman" w:cs="Times New Roman"/>
          <w:sz w:val="24"/>
          <w:szCs w:val="24"/>
        </w:rPr>
        <w:t>Strahan, Spencer and Zanna (2</w:t>
      </w:r>
      <w:r w:rsidR="008217A0">
        <w:rPr>
          <w:rFonts w:ascii="Times New Roman" w:hAnsi="Times New Roman" w:cs="Times New Roman"/>
          <w:sz w:val="24"/>
          <w:szCs w:val="24"/>
        </w:rPr>
        <w:t>002)</w:t>
      </w:r>
      <w:r w:rsidR="00EB417E">
        <w:rPr>
          <w:rFonts w:ascii="Times New Roman" w:hAnsi="Times New Roman" w:cs="Times New Roman"/>
          <w:sz w:val="24"/>
          <w:szCs w:val="24"/>
        </w:rPr>
        <w:t xml:space="preserve">: </w:t>
      </w:r>
    </w:p>
    <w:p w14:paraId="04C5CC8D" w14:textId="22A1CF80" w:rsidR="008F7265" w:rsidRDefault="00EB417E" w:rsidP="00324793">
      <w:pPr>
        <w:pStyle w:val="ListParagraph"/>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C</w:t>
      </w:r>
      <w:r w:rsidR="001647F4" w:rsidRPr="00EB417E">
        <w:rPr>
          <w:rFonts w:ascii="Times New Roman" w:hAnsi="Times New Roman" w:cs="Times New Roman"/>
          <w:sz w:val="24"/>
          <w:szCs w:val="24"/>
        </w:rPr>
        <w:t xml:space="preserve">onducted three studies, </w:t>
      </w:r>
      <w:r w:rsidR="00E07DFC" w:rsidRPr="00EB417E">
        <w:rPr>
          <w:rFonts w:ascii="Times New Roman" w:hAnsi="Times New Roman" w:cs="Times New Roman"/>
          <w:sz w:val="24"/>
          <w:szCs w:val="24"/>
        </w:rPr>
        <w:t>one</w:t>
      </w:r>
      <w:r w:rsidR="001647F4" w:rsidRPr="00EB417E">
        <w:rPr>
          <w:rFonts w:ascii="Times New Roman" w:hAnsi="Times New Roman" w:cs="Times New Roman"/>
          <w:sz w:val="24"/>
          <w:szCs w:val="24"/>
        </w:rPr>
        <w:t xml:space="preserve"> to mention here: firstly, 81 students were split into</w:t>
      </w:r>
      <w:r w:rsidR="00E07DFC" w:rsidRPr="00EB417E">
        <w:rPr>
          <w:rFonts w:ascii="Times New Roman" w:hAnsi="Times New Roman" w:cs="Times New Roman"/>
          <w:sz w:val="24"/>
          <w:szCs w:val="24"/>
        </w:rPr>
        <w:t xml:space="preserve"> two</w:t>
      </w:r>
      <w:r w:rsidR="001647F4" w:rsidRPr="00EB417E">
        <w:rPr>
          <w:rFonts w:ascii="Times New Roman" w:hAnsi="Times New Roman" w:cs="Times New Roman"/>
          <w:sz w:val="24"/>
          <w:szCs w:val="24"/>
        </w:rPr>
        <w:t xml:space="preserve"> groups, one </w:t>
      </w:r>
      <w:r w:rsidR="00E07DFC" w:rsidRPr="00EB417E">
        <w:rPr>
          <w:rFonts w:ascii="Times New Roman" w:hAnsi="Times New Roman" w:cs="Times New Roman"/>
          <w:sz w:val="24"/>
          <w:szCs w:val="24"/>
        </w:rPr>
        <w:t>group (A) consumed water after a 3-hour period of fast, while the other group (B) did not break fast by hydrating. Each were then split into two separate groups again (A1-A</w:t>
      </w:r>
      <w:proofErr w:type="gramStart"/>
      <w:r w:rsidR="00E07DFC" w:rsidRPr="00EB417E">
        <w:rPr>
          <w:rFonts w:ascii="Times New Roman" w:hAnsi="Times New Roman" w:cs="Times New Roman"/>
          <w:sz w:val="24"/>
          <w:szCs w:val="24"/>
        </w:rPr>
        <w:t>2)(</w:t>
      </w:r>
      <w:proofErr w:type="gramEnd"/>
      <w:r w:rsidR="00E07DFC" w:rsidRPr="00EB417E">
        <w:rPr>
          <w:rFonts w:ascii="Times New Roman" w:hAnsi="Times New Roman" w:cs="Times New Roman"/>
          <w:sz w:val="24"/>
          <w:szCs w:val="24"/>
        </w:rPr>
        <w:t xml:space="preserve">B1-B2), whereby subset groups 1. were shown subliminal word primes, which were ‘thirst-related’, while sub-set groups 2. were shown neutral word primes (pirate, </w:t>
      </w:r>
      <w:proofErr w:type="gramStart"/>
      <w:r w:rsidR="00E07DFC" w:rsidRPr="00EB417E">
        <w:rPr>
          <w:rFonts w:ascii="Times New Roman" w:hAnsi="Times New Roman" w:cs="Times New Roman"/>
          <w:sz w:val="24"/>
          <w:szCs w:val="24"/>
        </w:rPr>
        <w:t>etc,.</w:t>
      </w:r>
      <w:proofErr w:type="gramEnd"/>
      <w:r w:rsidR="00E07DFC" w:rsidRPr="00EB417E">
        <w:rPr>
          <w:rFonts w:ascii="Times New Roman" w:hAnsi="Times New Roman" w:cs="Times New Roman"/>
          <w:sz w:val="24"/>
          <w:szCs w:val="24"/>
        </w:rPr>
        <w:t xml:space="preserve">). Results showed an increased consumption (ml) in </w:t>
      </w:r>
      <w:r w:rsidRPr="00EB417E">
        <w:rPr>
          <w:rFonts w:ascii="Times New Roman" w:hAnsi="Times New Roman" w:cs="Times New Roman"/>
          <w:sz w:val="24"/>
          <w:szCs w:val="24"/>
        </w:rPr>
        <w:t xml:space="preserve">both of subset groups 1., which indicates that subliminal stimulus can affect behaviour. Further studies in the article support these conclusions as well. </w:t>
      </w:r>
      <w:r w:rsidR="00E271FC" w:rsidRPr="00E271FC">
        <w:rPr>
          <w:rFonts w:ascii="Times New Roman" w:hAnsi="Times New Roman" w:cs="Times New Roman"/>
          <w:sz w:val="24"/>
          <w:szCs w:val="24"/>
        </w:rPr>
        <w:t>(</w:t>
      </w:r>
      <w:r w:rsidR="008217A0" w:rsidRPr="008217A0">
        <w:rPr>
          <w:rFonts w:ascii="Times New Roman" w:hAnsi="Times New Roman" w:cs="Times New Roman"/>
          <w:sz w:val="24"/>
          <w:szCs w:val="24"/>
        </w:rPr>
        <w:t xml:space="preserve">Strahan, Spencer and Zanna </w:t>
      </w:r>
      <w:r w:rsidR="008217A0">
        <w:rPr>
          <w:rFonts w:ascii="Times New Roman" w:hAnsi="Times New Roman" w:cs="Times New Roman"/>
          <w:sz w:val="24"/>
          <w:szCs w:val="24"/>
        </w:rPr>
        <w:t xml:space="preserve">2002, p. </w:t>
      </w:r>
      <w:r w:rsidR="008217A0" w:rsidRPr="008217A0">
        <w:rPr>
          <w:rFonts w:ascii="Times New Roman" w:hAnsi="Times New Roman" w:cs="Times New Roman"/>
          <w:sz w:val="24"/>
          <w:szCs w:val="24"/>
        </w:rPr>
        <w:t>556-568</w:t>
      </w:r>
      <w:r w:rsidR="008217A0">
        <w:rPr>
          <w:rFonts w:ascii="Times New Roman" w:hAnsi="Times New Roman" w:cs="Times New Roman"/>
          <w:sz w:val="24"/>
          <w:szCs w:val="24"/>
        </w:rPr>
        <w:t>.</w:t>
      </w:r>
      <w:r w:rsidR="00E271FC">
        <w:rPr>
          <w:rFonts w:ascii="Times New Roman" w:hAnsi="Times New Roman" w:cs="Times New Roman"/>
          <w:sz w:val="24"/>
          <w:szCs w:val="24"/>
        </w:rPr>
        <w:t>)</w:t>
      </w:r>
      <w:r w:rsidR="008217A0">
        <w:rPr>
          <w:rFonts w:ascii="Times New Roman" w:hAnsi="Times New Roman" w:cs="Times New Roman"/>
          <w:sz w:val="24"/>
          <w:szCs w:val="24"/>
        </w:rPr>
        <w:t>.</w:t>
      </w:r>
      <w:r w:rsidR="00E271FC">
        <w:rPr>
          <w:rFonts w:ascii="Times New Roman" w:hAnsi="Times New Roman" w:cs="Times New Roman"/>
          <w:sz w:val="24"/>
          <w:szCs w:val="24"/>
        </w:rPr>
        <w:t xml:space="preserve"> </w:t>
      </w:r>
    </w:p>
    <w:p w14:paraId="67D07BAB" w14:textId="77777777" w:rsidR="00D53187" w:rsidRPr="00D53187" w:rsidRDefault="00D53187" w:rsidP="00D53187">
      <w:pPr>
        <w:spacing w:line="480" w:lineRule="auto"/>
        <w:jc w:val="both"/>
        <w:rPr>
          <w:rFonts w:ascii="Times New Roman" w:hAnsi="Times New Roman" w:cs="Times New Roman"/>
          <w:sz w:val="24"/>
          <w:szCs w:val="24"/>
        </w:rPr>
      </w:pPr>
    </w:p>
    <w:p w14:paraId="7456A417" w14:textId="6DDD306E" w:rsidR="00EB417E" w:rsidRDefault="00324793" w:rsidP="0032479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Ethical Implications: </w:t>
      </w:r>
    </w:p>
    <w:p w14:paraId="32C91B61" w14:textId="09512231" w:rsidR="00755B78" w:rsidRDefault="00755B78" w:rsidP="00324793">
      <w:pPr>
        <w:spacing w:line="480" w:lineRule="auto"/>
        <w:jc w:val="both"/>
        <w:rPr>
          <w:rFonts w:ascii="Times New Roman" w:hAnsi="Times New Roman" w:cs="Times New Roman"/>
          <w:sz w:val="24"/>
          <w:szCs w:val="24"/>
        </w:rPr>
      </w:pPr>
      <w:r>
        <w:rPr>
          <w:rFonts w:ascii="Times New Roman" w:hAnsi="Times New Roman" w:cs="Times New Roman"/>
          <w:sz w:val="24"/>
          <w:szCs w:val="24"/>
        </w:rPr>
        <w:t>The emergence of subliminal research was almost a prescient calling card for the ethical concerns of which would follow. The emergence of the theory, and the following evidence of such, unveiled the degree to which people could be manipulated. Subliminal communication has already been philosophised for its ethical parameters. Here</w:t>
      </w:r>
      <w:r w:rsidR="00EB7801">
        <w:rPr>
          <w:rFonts w:ascii="Times New Roman" w:hAnsi="Times New Roman" w:cs="Times New Roman"/>
          <w:sz w:val="24"/>
          <w:szCs w:val="24"/>
        </w:rPr>
        <w:t xml:space="preserve"> </w:t>
      </w:r>
      <w:r>
        <w:rPr>
          <w:rFonts w:ascii="Times New Roman" w:hAnsi="Times New Roman" w:cs="Times New Roman"/>
          <w:sz w:val="24"/>
          <w:szCs w:val="24"/>
        </w:rPr>
        <w:t>concerns</w:t>
      </w:r>
      <w:r w:rsidR="00EB7801">
        <w:rPr>
          <w:rFonts w:ascii="Times New Roman" w:hAnsi="Times New Roman" w:cs="Times New Roman"/>
          <w:sz w:val="24"/>
          <w:szCs w:val="24"/>
        </w:rPr>
        <w:t xml:space="preserve"> have been raised</w:t>
      </w:r>
      <w:r>
        <w:rPr>
          <w:rFonts w:ascii="Times New Roman" w:hAnsi="Times New Roman" w:cs="Times New Roman"/>
          <w:sz w:val="24"/>
          <w:szCs w:val="24"/>
        </w:rPr>
        <w:t xml:space="preserve"> </w:t>
      </w:r>
      <w:r w:rsidR="001515FE">
        <w:rPr>
          <w:rFonts w:ascii="Times New Roman" w:hAnsi="Times New Roman" w:cs="Times New Roman"/>
          <w:sz w:val="24"/>
          <w:szCs w:val="24"/>
        </w:rPr>
        <w:t xml:space="preserve">of </w:t>
      </w:r>
      <w:r w:rsidR="001515FE">
        <w:rPr>
          <w:rFonts w:ascii="Times New Roman" w:hAnsi="Times New Roman" w:cs="Times New Roman"/>
          <w:sz w:val="24"/>
          <w:szCs w:val="24"/>
        </w:rPr>
        <w:lastRenderedPageBreak/>
        <w:t>the invasive nature of the phenomenon into a person’s mind, both in knowledge of the process and, through such, application</w:t>
      </w:r>
      <w:r w:rsidR="00EB7801">
        <w:rPr>
          <w:rFonts w:ascii="Times New Roman" w:hAnsi="Times New Roman" w:cs="Times New Roman"/>
          <w:sz w:val="24"/>
          <w:szCs w:val="24"/>
        </w:rPr>
        <w:t xml:space="preserve"> (Gratz 1984, p. 181-184)</w:t>
      </w:r>
      <w:r w:rsidR="001515FE">
        <w:rPr>
          <w:rFonts w:ascii="Times New Roman" w:hAnsi="Times New Roman" w:cs="Times New Roman"/>
          <w:sz w:val="24"/>
          <w:szCs w:val="24"/>
        </w:rPr>
        <w:t xml:space="preserve">. Subliminal mere-exposure effect has a deeper level of unethical nature attached to it. Imagine seeking to invite yourself into someone’s life, it is not as plausible as suggested, given the person likely would object. However, if someone, over the cause of </w:t>
      </w:r>
      <w:r w:rsidR="00324793">
        <w:rPr>
          <w:rFonts w:ascii="Times New Roman" w:hAnsi="Times New Roman" w:cs="Times New Roman"/>
          <w:sz w:val="24"/>
          <w:szCs w:val="24"/>
        </w:rPr>
        <w:t>separated</w:t>
      </w:r>
      <w:r w:rsidR="001515FE">
        <w:rPr>
          <w:rFonts w:ascii="Times New Roman" w:hAnsi="Times New Roman" w:cs="Times New Roman"/>
          <w:sz w:val="24"/>
          <w:szCs w:val="24"/>
        </w:rPr>
        <w:t xml:space="preserve"> period</w:t>
      </w:r>
      <w:r w:rsidR="00324793">
        <w:rPr>
          <w:rFonts w:ascii="Times New Roman" w:hAnsi="Times New Roman" w:cs="Times New Roman"/>
          <w:sz w:val="24"/>
          <w:szCs w:val="24"/>
        </w:rPr>
        <w:t>s</w:t>
      </w:r>
      <w:r w:rsidR="001515FE">
        <w:rPr>
          <w:rFonts w:ascii="Times New Roman" w:hAnsi="Times New Roman" w:cs="Times New Roman"/>
          <w:sz w:val="24"/>
          <w:szCs w:val="24"/>
        </w:rPr>
        <w:t xml:space="preserve"> of time – optimally let-us say daily – hung around similar spots as the target individual visits, not as a stalker (in the obvious sense) but by relocating activities to such areas; then, it is plausible, after exposing themselves minutely enough, </w:t>
      </w:r>
      <w:r w:rsidR="00324793">
        <w:rPr>
          <w:rFonts w:ascii="Times New Roman" w:hAnsi="Times New Roman" w:cs="Times New Roman"/>
          <w:sz w:val="24"/>
          <w:szCs w:val="24"/>
        </w:rPr>
        <w:t xml:space="preserve">an individual could </w:t>
      </w:r>
      <w:r w:rsidR="001515FE">
        <w:rPr>
          <w:rFonts w:ascii="Times New Roman" w:hAnsi="Times New Roman" w:cs="Times New Roman"/>
          <w:sz w:val="24"/>
          <w:szCs w:val="24"/>
        </w:rPr>
        <w:t>give themselves a greater chance of gaining</w:t>
      </w:r>
      <w:r w:rsidR="00324793">
        <w:rPr>
          <w:rFonts w:ascii="Times New Roman" w:hAnsi="Times New Roman" w:cs="Times New Roman"/>
          <w:sz w:val="24"/>
          <w:szCs w:val="24"/>
        </w:rPr>
        <w:t xml:space="preserve"> the target individual</w:t>
      </w:r>
      <w:r w:rsidR="001515FE">
        <w:rPr>
          <w:rFonts w:ascii="Times New Roman" w:hAnsi="Times New Roman" w:cs="Times New Roman"/>
          <w:sz w:val="24"/>
          <w:szCs w:val="24"/>
        </w:rPr>
        <w:t xml:space="preserve"> as friends and business, sexual, or so-such partners</w:t>
      </w:r>
      <w:r w:rsidR="00324793">
        <w:rPr>
          <w:rFonts w:ascii="Times New Roman" w:hAnsi="Times New Roman" w:cs="Times New Roman"/>
          <w:sz w:val="24"/>
          <w:szCs w:val="24"/>
        </w:rPr>
        <w:t>, once they communicate</w:t>
      </w:r>
      <w:r w:rsidR="001515FE">
        <w:rPr>
          <w:rFonts w:ascii="Times New Roman" w:hAnsi="Times New Roman" w:cs="Times New Roman"/>
          <w:sz w:val="24"/>
          <w:szCs w:val="24"/>
        </w:rPr>
        <w:t>. This circumstance</w:t>
      </w:r>
      <w:r w:rsidR="00324793">
        <w:rPr>
          <w:rFonts w:ascii="Times New Roman" w:hAnsi="Times New Roman" w:cs="Times New Roman"/>
          <w:sz w:val="24"/>
          <w:szCs w:val="24"/>
        </w:rPr>
        <w:t xml:space="preserve"> and subliminal exposure effect</w:t>
      </w:r>
      <w:r w:rsidR="001515FE">
        <w:rPr>
          <w:rFonts w:ascii="Times New Roman" w:hAnsi="Times New Roman" w:cs="Times New Roman"/>
          <w:sz w:val="24"/>
          <w:szCs w:val="24"/>
        </w:rPr>
        <w:t xml:space="preserve"> </w:t>
      </w:r>
      <w:proofErr w:type="gramStart"/>
      <w:r w:rsidR="00D53187">
        <w:rPr>
          <w:rFonts w:ascii="Times New Roman" w:hAnsi="Times New Roman" w:cs="Times New Roman"/>
          <w:sz w:val="24"/>
          <w:szCs w:val="24"/>
        </w:rPr>
        <w:t>has</w:t>
      </w:r>
      <w:proofErr w:type="gramEnd"/>
      <w:r w:rsidR="001515FE">
        <w:rPr>
          <w:rFonts w:ascii="Times New Roman" w:hAnsi="Times New Roman" w:cs="Times New Roman"/>
          <w:sz w:val="24"/>
          <w:szCs w:val="24"/>
        </w:rPr>
        <w:t xml:space="preserve"> some interesting experimental fecundity: mere-exposure effect</w:t>
      </w:r>
      <w:r w:rsidR="00324793">
        <w:rPr>
          <w:rFonts w:ascii="Times New Roman" w:hAnsi="Times New Roman" w:cs="Times New Roman"/>
          <w:sz w:val="24"/>
          <w:szCs w:val="24"/>
        </w:rPr>
        <w:t xml:space="preserve"> as researched on Facebook – take from prior situation ‘spots’ to be multi-located. In regards to both a ‘real’ or Facebook use of mere-exposure, concern is nevertheless raised. </w:t>
      </w:r>
    </w:p>
    <w:p w14:paraId="414AF8F3" w14:textId="1EF32CBB" w:rsidR="00D53187" w:rsidRDefault="00D53187" w:rsidP="00324793">
      <w:pPr>
        <w:spacing w:line="480" w:lineRule="auto"/>
        <w:jc w:val="both"/>
        <w:rPr>
          <w:rFonts w:ascii="Times New Roman" w:hAnsi="Times New Roman" w:cs="Times New Roman"/>
          <w:sz w:val="24"/>
          <w:szCs w:val="24"/>
        </w:rPr>
      </w:pPr>
    </w:p>
    <w:p w14:paraId="7207BE66" w14:textId="77777777" w:rsidR="00EB7801" w:rsidRDefault="00EB7801" w:rsidP="00324793">
      <w:pPr>
        <w:spacing w:line="480" w:lineRule="auto"/>
        <w:jc w:val="both"/>
        <w:rPr>
          <w:rFonts w:ascii="Times New Roman" w:hAnsi="Times New Roman" w:cs="Times New Roman"/>
          <w:sz w:val="24"/>
          <w:szCs w:val="24"/>
        </w:rPr>
      </w:pPr>
    </w:p>
    <w:p w14:paraId="72B0094C" w14:textId="6661A836" w:rsidR="00D53187" w:rsidRDefault="00D53187" w:rsidP="00324793">
      <w:pPr>
        <w:spacing w:line="480" w:lineRule="auto"/>
        <w:jc w:val="both"/>
        <w:rPr>
          <w:rFonts w:ascii="Times New Roman" w:hAnsi="Times New Roman" w:cs="Times New Roman"/>
          <w:sz w:val="24"/>
          <w:szCs w:val="24"/>
        </w:rPr>
      </w:pPr>
    </w:p>
    <w:p w14:paraId="4B7F0658" w14:textId="632338EE" w:rsidR="00D53187" w:rsidRDefault="00D53187" w:rsidP="00324793">
      <w:pPr>
        <w:spacing w:line="480" w:lineRule="auto"/>
        <w:jc w:val="both"/>
        <w:rPr>
          <w:rFonts w:ascii="Times New Roman" w:hAnsi="Times New Roman" w:cs="Times New Roman"/>
          <w:sz w:val="24"/>
          <w:szCs w:val="24"/>
        </w:rPr>
      </w:pPr>
    </w:p>
    <w:p w14:paraId="594BEFEE" w14:textId="514065C3" w:rsidR="00D53187" w:rsidRDefault="00D53187" w:rsidP="00324793">
      <w:pPr>
        <w:spacing w:line="480" w:lineRule="auto"/>
        <w:jc w:val="both"/>
        <w:rPr>
          <w:rFonts w:ascii="Times New Roman" w:hAnsi="Times New Roman" w:cs="Times New Roman"/>
          <w:sz w:val="24"/>
          <w:szCs w:val="24"/>
        </w:rPr>
      </w:pPr>
    </w:p>
    <w:p w14:paraId="2E8CBDB0" w14:textId="6855C63A" w:rsidR="00D53187" w:rsidRDefault="00D53187" w:rsidP="00324793">
      <w:pPr>
        <w:spacing w:line="480" w:lineRule="auto"/>
        <w:jc w:val="both"/>
        <w:rPr>
          <w:rFonts w:ascii="Times New Roman" w:hAnsi="Times New Roman" w:cs="Times New Roman"/>
          <w:sz w:val="24"/>
          <w:szCs w:val="24"/>
        </w:rPr>
      </w:pPr>
    </w:p>
    <w:p w14:paraId="3DA28F3D" w14:textId="205DEDC8" w:rsidR="00D53187" w:rsidRDefault="00D53187" w:rsidP="00324793">
      <w:pPr>
        <w:spacing w:line="480" w:lineRule="auto"/>
        <w:jc w:val="both"/>
        <w:rPr>
          <w:rFonts w:ascii="Times New Roman" w:hAnsi="Times New Roman" w:cs="Times New Roman"/>
          <w:sz w:val="24"/>
          <w:szCs w:val="24"/>
        </w:rPr>
      </w:pPr>
    </w:p>
    <w:p w14:paraId="4E77C43B" w14:textId="63AFFC93" w:rsidR="00D53187" w:rsidRDefault="00D53187" w:rsidP="00324793">
      <w:pPr>
        <w:spacing w:line="480" w:lineRule="auto"/>
        <w:jc w:val="both"/>
        <w:rPr>
          <w:rFonts w:ascii="Times New Roman" w:hAnsi="Times New Roman" w:cs="Times New Roman"/>
          <w:sz w:val="24"/>
          <w:szCs w:val="24"/>
        </w:rPr>
      </w:pPr>
    </w:p>
    <w:p w14:paraId="717977E1" w14:textId="5BF8E2D4" w:rsidR="00D53187" w:rsidRDefault="00D53187" w:rsidP="00324793">
      <w:pPr>
        <w:spacing w:line="480" w:lineRule="auto"/>
        <w:jc w:val="both"/>
        <w:rPr>
          <w:rFonts w:ascii="Times New Roman" w:hAnsi="Times New Roman" w:cs="Times New Roman"/>
          <w:sz w:val="24"/>
          <w:szCs w:val="24"/>
        </w:rPr>
      </w:pPr>
    </w:p>
    <w:p w14:paraId="7622D506" w14:textId="31534A9B" w:rsidR="00D53187" w:rsidRDefault="00D53187" w:rsidP="00324793">
      <w:pPr>
        <w:spacing w:line="480" w:lineRule="auto"/>
        <w:jc w:val="both"/>
        <w:rPr>
          <w:rFonts w:ascii="Times New Roman" w:hAnsi="Times New Roman" w:cs="Times New Roman"/>
          <w:sz w:val="24"/>
          <w:szCs w:val="24"/>
        </w:rPr>
      </w:pPr>
    </w:p>
    <w:p w14:paraId="59858390" w14:textId="4490C81A" w:rsidR="00D53187" w:rsidRPr="00EB7801" w:rsidRDefault="00EB7801" w:rsidP="00EB7801">
      <w:pPr>
        <w:spacing w:line="480" w:lineRule="auto"/>
        <w:ind w:left="360"/>
        <w:jc w:val="center"/>
        <w:rPr>
          <w:rFonts w:ascii="Times New Roman" w:hAnsi="Times New Roman" w:cs="Times New Roman"/>
          <w:sz w:val="24"/>
          <w:szCs w:val="24"/>
        </w:rPr>
      </w:pPr>
      <w:r w:rsidRPr="00EB7801">
        <w:rPr>
          <w:rFonts w:ascii="Times New Roman" w:hAnsi="Times New Roman" w:cs="Times New Roman"/>
          <w:sz w:val="24"/>
          <w:szCs w:val="24"/>
        </w:rPr>
        <w:t>Bibliography:</w:t>
      </w:r>
    </w:p>
    <w:p w14:paraId="41989365" w14:textId="77777777" w:rsidR="00760776" w:rsidRPr="00EB7801" w:rsidRDefault="00760776" w:rsidP="00EB7801">
      <w:pPr>
        <w:spacing w:line="480" w:lineRule="auto"/>
        <w:ind w:left="360"/>
        <w:rPr>
          <w:rFonts w:ascii="Times New Roman" w:hAnsi="Times New Roman" w:cs="Times New Roman"/>
          <w:sz w:val="24"/>
          <w:szCs w:val="24"/>
        </w:rPr>
      </w:pPr>
      <w:proofErr w:type="spellStart"/>
      <w:r w:rsidRPr="00EB7801">
        <w:rPr>
          <w:rFonts w:ascii="Times New Roman" w:hAnsi="Times New Roman" w:cs="Times New Roman"/>
          <w:sz w:val="24"/>
          <w:szCs w:val="24"/>
        </w:rPr>
        <w:t>Aarts</w:t>
      </w:r>
      <w:proofErr w:type="spellEnd"/>
      <w:r w:rsidRPr="00EB7801">
        <w:rPr>
          <w:rFonts w:ascii="Times New Roman" w:hAnsi="Times New Roman" w:cs="Times New Roman"/>
          <w:sz w:val="24"/>
          <w:szCs w:val="24"/>
        </w:rPr>
        <w:t xml:space="preserve">, H., </w:t>
      </w:r>
      <w:proofErr w:type="spellStart"/>
      <w:r w:rsidRPr="00EB7801">
        <w:rPr>
          <w:rFonts w:ascii="Times New Roman" w:hAnsi="Times New Roman" w:cs="Times New Roman"/>
          <w:sz w:val="24"/>
          <w:szCs w:val="24"/>
        </w:rPr>
        <w:t>Dijksterhuis</w:t>
      </w:r>
      <w:proofErr w:type="spellEnd"/>
      <w:r w:rsidRPr="00EB7801">
        <w:rPr>
          <w:rFonts w:ascii="Times New Roman" w:hAnsi="Times New Roman" w:cs="Times New Roman"/>
          <w:sz w:val="24"/>
          <w:szCs w:val="24"/>
        </w:rPr>
        <w:t xml:space="preserve">, A. and Smith, P. K. (2005) ‘The Power of the Subliminal: on Subliminal Persuasion and Other Potential Applications’, in </w:t>
      </w:r>
      <w:proofErr w:type="spellStart"/>
      <w:r w:rsidRPr="00EB7801">
        <w:rPr>
          <w:rFonts w:ascii="Times New Roman" w:hAnsi="Times New Roman" w:cs="Times New Roman"/>
          <w:sz w:val="24"/>
          <w:szCs w:val="24"/>
        </w:rPr>
        <w:t>Bargh</w:t>
      </w:r>
      <w:proofErr w:type="spellEnd"/>
      <w:r w:rsidRPr="00EB7801">
        <w:rPr>
          <w:rFonts w:ascii="Times New Roman" w:hAnsi="Times New Roman" w:cs="Times New Roman"/>
          <w:sz w:val="24"/>
          <w:szCs w:val="24"/>
        </w:rPr>
        <w:t xml:space="preserve">, J. A., </w:t>
      </w:r>
      <w:proofErr w:type="spellStart"/>
      <w:r w:rsidRPr="00EB7801">
        <w:rPr>
          <w:rFonts w:ascii="Times New Roman" w:hAnsi="Times New Roman" w:cs="Times New Roman"/>
          <w:sz w:val="24"/>
          <w:szCs w:val="24"/>
        </w:rPr>
        <w:t>Hassin</w:t>
      </w:r>
      <w:proofErr w:type="spellEnd"/>
      <w:r w:rsidRPr="00EB7801">
        <w:rPr>
          <w:rFonts w:ascii="Times New Roman" w:hAnsi="Times New Roman" w:cs="Times New Roman"/>
          <w:sz w:val="24"/>
          <w:szCs w:val="24"/>
        </w:rPr>
        <w:t xml:space="preserve">, R. R. and </w:t>
      </w:r>
      <w:proofErr w:type="spellStart"/>
      <w:r w:rsidRPr="00EB7801">
        <w:rPr>
          <w:rFonts w:ascii="Times New Roman" w:hAnsi="Times New Roman" w:cs="Times New Roman"/>
          <w:sz w:val="24"/>
          <w:szCs w:val="24"/>
        </w:rPr>
        <w:t>Uleman</w:t>
      </w:r>
      <w:proofErr w:type="spellEnd"/>
      <w:r w:rsidRPr="00EB7801">
        <w:rPr>
          <w:rFonts w:ascii="Times New Roman" w:hAnsi="Times New Roman" w:cs="Times New Roman"/>
          <w:sz w:val="24"/>
          <w:szCs w:val="24"/>
        </w:rPr>
        <w:t xml:space="preserve">, J. S. (ed.) </w:t>
      </w:r>
      <w:r w:rsidRPr="00EB7801">
        <w:rPr>
          <w:rFonts w:ascii="Times New Roman" w:hAnsi="Times New Roman" w:cs="Times New Roman"/>
          <w:i/>
          <w:iCs/>
          <w:sz w:val="24"/>
          <w:szCs w:val="24"/>
        </w:rPr>
        <w:t xml:space="preserve">The New </w:t>
      </w:r>
      <w:proofErr w:type="spellStart"/>
      <w:r w:rsidRPr="00EB7801">
        <w:rPr>
          <w:rFonts w:ascii="Times New Roman" w:hAnsi="Times New Roman" w:cs="Times New Roman"/>
          <w:i/>
          <w:iCs/>
          <w:sz w:val="24"/>
          <w:szCs w:val="24"/>
        </w:rPr>
        <w:t>Unconcious</w:t>
      </w:r>
      <w:proofErr w:type="spellEnd"/>
      <w:r w:rsidRPr="00EB7801">
        <w:rPr>
          <w:rFonts w:ascii="Times New Roman" w:hAnsi="Times New Roman" w:cs="Times New Roman"/>
          <w:sz w:val="24"/>
          <w:szCs w:val="24"/>
        </w:rPr>
        <w:t>. New York: Oxford University Press.</w:t>
      </w:r>
    </w:p>
    <w:p w14:paraId="155B66C1" w14:textId="77777777" w:rsidR="00760776" w:rsidRPr="00EB7801" w:rsidRDefault="00760776" w:rsidP="00EB7801">
      <w:pPr>
        <w:spacing w:line="480" w:lineRule="auto"/>
        <w:ind w:left="360"/>
        <w:rPr>
          <w:rFonts w:ascii="Times New Roman" w:hAnsi="Times New Roman" w:cs="Times New Roman"/>
          <w:sz w:val="24"/>
          <w:szCs w:val="24"/>
        </w:rPr>
      </w:pPr>
      <w:r w:rsidRPr="00760776">
        <w:rPr>
          <w:rFonts w:ascii="Times New Roman" w:hAnsi="Times New Roman" w:cs="Times New Roman"/>
          <w:sz w:val="24"/>
          <w:szCs w:val="24"/>
        </w:rPr>
        <w:t xml:space="preserve">Abrams, R. L., </w:t>
      </w:r>
      <w:proofErr w:type="spellStart"/>
      <w:r w:rsidRPr="00760776">
        <w:rPr>
          <w:rFonts w:ascii="Times New Roman" w:hAnsi="Times New Roman" w:cs="Times New Roman"/>
          <w:sz w:val="24"/>
          <w:szCs w:val="24"/>
        </w:rPr>
        <w:t>Draine</w:t>
      </w:r>
      <w:proofErr w:type="spellEnd"/>
      <w:r w:rsidRPr="00760776">
        <w:rPr>
          <w:rFonts w:ascii="Times New Roman" w:hAnsi="Times New Roman" w:cs="Times New Roman"/>
          <w:sz w:val="24"/>
          <w:szCs w:val="24"/>
        </w:rPr>
        <w:t xml:space="preserve">, S. C. and Greenwald, A. G. (1996) ‘Three </w:t>
      </w:r>
      <w:proofErr w:type="spellStart"/>
      <w:r w:rsidRPr="00760776">
        <w:rPr>
          <w:rFonts w:ascii="Times New Roman" w:hAnsi="Times New Roman" w:cs="Times New Roman"/>
          <w:sz w:val="24"/>
          <w:szCs w:val="24"/>
        </w:rPr>
        <w:t>Congitive</w:t>
      </w:r>
      <w:proofErr w:type="spellEnd"/>
      <w:r w:rsidRPr="00760776">
        <w:rPr>
          <w:rFonts w:ascii="Times New Roman" w:hAnsi="Times New Roman" w:cs="Times New Roman"/>
          <w:sz w:val="24"/>
          <w:szCs w:val="24"/>
        </w:rPr>
        <w:t xml:space="preserve"> Markers of </w:t>
      </w:r>
      <w:proofErr w:type="spellStart"/>
      <w:r w:rsidRPr="00760776">
        <w:rPr>
          <w:rFonts w:ascii="Times New Roman" w:hAnsi="Times New Roman" w:cs="Times New Roman"/>
          <w:sz w:val="24"/>
          <w:szCs w:val="24"/>
        </w:rPr>
        <w:t>Unconcious</w:t>
      </w:r>
      <w:proofErr w:type="spellEnd"/>
      <w:r w:rsidRPr="00760776">
        <w:rPr>
          <w:rFonts w:ascii="Times New Roman" w:hAnsi="Times New Roman" w:cs="Times New Roman"/>
          <w:sz w:val="24"/>
          <w:szCs w:val="24"/>
        </w:rPr>
        <w:t xml:space="preserve"> Semantic Activation’, Science, 273(5282), pp. 1699-1702.</w:t>
      </w:r>
    </w:p>
    <w:p w14:paraId="6E81C484" w14:textId="77777777" w:rsidR="00760776" w:rsidRPr="00EB7801" w:rsidRDefault="00760776" w:rsidP="00EB7801">
      <w:pPr>
        <w:spacing w:line="480" w:lineRule="auto"/>
        <w:ind w:left="360"/>
        <w:rPr>
          <w:rFonts w:ascii="Times New Roman" w:hAnsi="Times New Roman" w:cs="Times New Roman"/>
          <w:sz w:val="24"/>
          <w:szCs w:val="24"/>
        </w:rPr>
      </w:pPr>
      <w:r w:rsidRPr="00EB7801">
        <w:rPr>
          <w:rFonts w:ascii="Times New Roman" w:hAnsi="Times New Roman" w:cs="Times New Roman"/>
          <w:sz w:val="24"/>
          <w:szCs w:val="24"/>
        </w:rPr>
        <w:t xml:space="preserve">Gratz, J. E. (1984) ‘The Ethics of Subliminal Communication’, </w:t>
      </w:r>
      <w:r w:rsidRPr="00EB7801">
        <w:rPr>
          <w:rFonts w:ascii="Times New Roman" w:hAnsi="Times New Roman" w:cs="Times New Roman"/>
          <w:i/>
          <w:iCs/>
          <w:sz w:val="24"/>
          <w:szCs w:val="24"/>
        </w:rPr>
        <w:t>Journal of Business Ethics</w:t>
      </w:r>
      <w:r w:rsidRPr="00EB7801">
        <w:rPr>
          <w:rFonts w:ascii="Times New Roman" w:hAnsi="Times New Roman" w:cs="Times New Roman"/>
          <w:sz w:val="24"/>
          <w:szCs w:val="24"/>
        </w:rPr>
        <w:t>, 3(3)., pp.181-184.</w:t>
      </w:r>
    </w:p>
    <w:p w14:paraId="035CE3F5" w14:textId="77777777" w:rsidR="00760776" w:rsidRDefault="00760776" w:rsidP="00EB7801">
      <w:pPr>
        <w:spacing w:line="480" w:lineRule="auto"/>
        <w:ind w:left="360"/>
        <w:rPr>
          <w:rFonts w:ascii="Times New Roman" w:hAnsi="Times New Roman" w:cs="Times New Roman"/>
          <w:sz w:val="24"/>
          <w:szCs w:val="24"/>
        </w:rPr>
      </w:pPr>
      <w:r w:rsidRPr="00EB7801">
        <w:rPr>
          <w:rFonts w:ascii="Times New Roman" w:hAnsi="Times New Roman" w:cs="Times New Roman"/>
          <w:sz w:val="24"/>
          <w:szCs w:val="24"/>
        </w:rPr>
        <w:t>S</w:t>
      </w:r>
      <w:r w:rsidRPr="00EB7801">
        <w:rPr>
          <w:rFonts w:ascii="Times New Roman" w:hAnsi="Times New Roman" w:cs="Times New Roman"/>
          <w:sz w:val="24"/>
          <w:szCs w:val="24"/>
        </w:rPr>
        <w:t>pencer, S. J., Strahan, R. J. and Zanna, M. P. (2002) ‘Subliminal priming and persuasion: Striking while the iron is hot’, </w:t>
      </w:r>
      <w:r w:rsidRPr="00EB7801">
        <w:rPr>
          <w:rFonts w:ascii="Times New Roman" w:hAnsi="Times New Roman" w:cs="Times New Roman"/>
          <w:i/>
          <w:iCs/>
          <w:sz w:val="24"/>
          <w:szCs w:val="24"/>
        </w:rPr>
        <w:t>Journal of Experimental Social Psychology</w:t>
      </w:r>
      <w:r w:rsidRPr="00EB7801">
        <w:rPr>
          <w:rFonts w:ascii="Times New Roman" w:hAnsi="Times New Roman" w:cs="Times New Roman"/>
          <w:sz w:val="24"/>
          <w:szCs w:val="24"/>
        </w:rPr>
        <w:t>, 38(6), pp. 556-568.</w:t>
      </w:r>
    </w:p>
    <w:p w14:paraId="301C652C" w14:textId="77777777" w:rsidR="00D53187" w:rsidRPr="00755B78" w:rsidRDefault="00D53187" w:rsidP="00324793">
      <w:pPr>
        <w:spacing w:line="480" w:lineRule="auto"/>
        <w:jc w:val="both"/>
        <w:rPr>
          <w:rFonts w:ascii="Times New Roman" w:hAnsi="Times New Roman" w:cs="Times New Roman"/>
          <w:sz w:val="24"/>
          <w:szCs w:val="24"/>
        </w:rPr>
      </w:pPr>
    </w:p>
    <w:sectPr w:rsidR="00D53187" w:rsidRPr="00755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D6FE4"/>
    <w:multiLevelType w:val="hybridMultilevel"/>
    <w:tmpl w:val="A1641B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42A266A"/>
    <w:multiLevelType w:val="hybridMultilevel"/>
    <w:tmpl w:val="C046DB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DAA1011"/>
    <w:multiLevelType w:val="hybridMultilevel"/>
    <w:tmpl w:val="156C531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5F6912E0"/>
    <w:multiLevelType w:val="hybridMultilevel"/>
    <w:tmpl w:val="B73E7A5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5B6"/>
    <w:rsid w:val="00081FF6"/>
    <w:rsid w:val="001515FE"/>
    <w:rsid w:val="001647F4"/>
    <w:rsid w:val="002F6DD0"/>
    <w:rsid w:val="0031254F"/>
    <w:rsid w:val="003233B6"/>
    <w:rsid w:val="00324793"/>
    <w:rsid w:val="0052107D"/>
    <w:rsid w:val="00581649"/>
    <w:rsid w:val="005E10A8"/>
    <w:rsid w:val="006A0D75"/>
    <w:rsid w:val="00755B78"/>
    <w:rsid w:val="00760776"/>
    <w:rsid w:val="007B52C4"/>
    <w:rsid w:val="008217A0"/>
    <w:rsid w:val="008B35B6"/>
    <w:rsid w:val="008F7265"/>
    <w:rsid w:val="00940D01"/>
    <w:rsid w:val="00BD58F4"/>
    <w:rsid w:val="00D53187"/>
    <w:rsid w:val="00E07DFC"/>
    <w:rsid w:val="00E271FC"/>
    <w:rsid w:val="00EA4BB6"/>
    <w:rsid w:val="00EB417E"/>
    <w:rsid w:val="00EB7801"/>
    <w:rsid w:val="00F85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4A64"/>
  <w15:chartTrackingRefBased/>
  <w15:docId w15:val="{C11A229B-4635-4FCE-AC95-B380D25A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5</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Milnes</dc:creator>
  <cp:keywords/>
  <dc:description/>
  <cp:lastModifiedBy>Darryl Milnes</cp:lastModifiedBy>
  <cp:revision>5</cp:revision>
  <dcterms:created xsi:type="dcterms:W3CDTF">2020-04-28T15:19:00Z</dcterms:created>
  <dcterms:modified xsi:type="dcterms:W3CDTF">2020-04-28T22:54:00Z</dcterms:modified>
</cp:coreProperties>
</file>