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85AFE5">
      <w:pPr>
        <w:spacing w:line="360" w:lineRule="auto"/>
        <w:jc w:val="center"/>
        <w:rPr>
          <w:rFonts w:hint="default" w:ascii="Times New Roman" w:hAnsi="Times New Roman" w:cs="Times New Roman"/>
          <w:b/>
          <w:bCs/>
          <w:sz w:val="46"/>
          <w:lang w:val="en-US"/>
        </w:rPr>
      </w:pPr>
      <w:r>
        <w:rPr>
          <w:rFonts w:ascii="Times New Roman" w:hAnsi="Times New Roman" w:cs="Times New Roman"/>
          <w:b/>
          <w:bCs/>
          <w:sz w:val="46"/>
        </w:rPr>
        <w:t xml:space="preserve"> Academic Skills</w:t>
      </w:r>
      <w:r>
        <w:rPr>
          <w:rFonts w:hint="default" w:ascii="Times New Roman" w:hAnsi="Times New Roman" w:cs="Times New Roman"/>
          <w:b/>
          <w:bCs/>
          <w:sz w:val="46"/>
          <w:lang w:val="en-US"/>
        </w:rPr>
        <w:t xml:space="preserve"> Reflective Report</w:t>
      </w:r>
      <w:bookmarkStart w:id="5" w:name="_GoBack"/>
      <w:bookmarkEnd w:id="5"/>
    </w:p>
    <w:p w14:paraId="4D79CBE4">
      <w:pPr>
        <w:spacing w:line="360" w:lineRule="auto"/>
        <w:jc w:val="center"/>
        <w:rPr>
          <w:rFonts w:hint="default" w:ascii="Times New Roman" w:hAnsi="Times New Roman" w:cs="Times New Roman"/>
          <w:b/>
          <w:bCs/>
          <w:sz w:val="28"/>
          <w:lang w:val="en-US"/>
        </w:rPr>
      </w:pPr>
      <w:r>
        <w:rPr>
          <w:rFonts w:ascii="Times New Roman" w:hAnsi="Times New Roman" w:cs="Times New Roman"/>
          <w:b/>
          <w:bCs/>
          <w:sz w:val="28"/>
        </w:rPr>
        <w:t>Student Name: Bianca</w:t>
      </w:r>
      <w:r>
        <w:rPr>
          <w:rFonts w:hint="default" w:ascii="Times New Roman" w:hAnsi="Times New Roman" w:cs="Times New Roman"/>
          <w:b/>
          <w:bCs/>
          <w:sz w:val="28"/>
          <w:lang w:val="en-US"/>
        </w:rPr>
        <w:t xml:space="preserve"> Bandalac</w:t>
      </w:r>
    </w:p>
    <w:p w14:paraId="248A2F77">
      <w:pPr>
        <w:spacing w:line="360" w:lineRule="auto"/>
        <w:jc w:val="center"/>
        <w:rPr>
          <w:rFonts w:hint="default" w:ascii="Times New Roman" w:hAnsi="Times New Roman" w:cs="Times New Roman"/>
          <w:b/>
          <w:bCs/>
          <w:sz w:val="28"/>
          <w:lang w:val="en-US"/>
        </w:rPr>
      </w:pPr>
      <w:r>
        <w:rPr>
          <w:rFonts w:hint="default" w:ascii="Times New Roman" w:hAnsi="Times New Roman" w:cs="Times New Roman"/>
          <w:b/>
          <w:bCs/>
          <w:sz w:val="28"/>
          <w:lang w:val="en-US"/>
        </w:rPr>
        <w:t>Student ID: 2325444</w:t>
      </w:r>
    </w:p>
    <w:p w14:paraId="49E366EE">
      <w:pPr>
        <w:spacing w:line="360" w:lineRule="auto"/>
        <w:jc w:val="center"/>
        <w:rPr>
          <w:rFonts w:hint="default" w:ascii="Times New Roman" w:hAnsi="Times New Roman" w:cs="Times New Roman"/>
          <w:b/>
          <w:bCs/>
          <w:sz w:val="28"/>
          <w:lang w:val="en-US"/>
        </w:rPr>
      </w:pPr>
      <w:r>
        <w:rPr>
          <w:rFonts w:hint="default" w:ascii="Times New Roman" w:hAnsi="Times New Roman" w:cs="Times New Roman"/>
          <w:b/>
          <w:bCs/>
          <w:sz w:val="28"/>
          <w:lang w:val="en-US"/>
        </w:rPr>
        <w:t>Module Code: LCLM 4001</w:t>
      </w:r>
    </w:p>
    <w:p w14:paraId="504AEDC2">
      <w:pPr>
        <w:spacing w:line="360" w:lineRule="auto"/>
        <w:jc w:val="center"/>
        <w:rPr>
          <w:rFonts w:hint="default" w:ascii="Times New Roman" w:hAnsi="Times New Roman" w:cs="Times New Roman"/>
          <w:b/>
          <w:bCs/>
          <w:sz w:val="28"/>
          <w:lang w:val="en-US"/>
        </w:rPr>
      </w:pPr>
      <w:r>
        <w:rPr>
          <w:rFonts w:hint="default" w:ascii="Times New Roman" w:hAnsi="Times New Roman" w:cs="Times New Roman"/>
          <w:b/>
          <w:bCs/>
          <w:sz w:val="28"/>
          <w:lang w:val="en-US"/>
        </w:rPr>
        <w:t xml:space="preserve">Module: Academic Skills </w:t>
      </w:r>
    </w:p>
    <w:p w14:paraId="380B458A">
      <w:pPr>
        <w:spacing w:line="360" w:lineRule="auto"/>
        <w:jc w:val="center"/>
        <w:rPr>
          <w:rFonts w:hint="default" w:ascii="Times New Roman" w:hAnsi="Times New Roman" w:cs="Times New Roman"/>
          <w:b/>
          <w:bCs/>
          <w:sz w:val="28"/>
          <w:lang w:val="en-US"/>
        </w:rPr>
      </w:pPr>
      <w:r>
        <w:rPr>
          <w:rFonts w:hint="default" w:ascii="Times New Roman" w:hAnsi="Times New Roman" w:cs="Times New Roman"/>
          <w:b/>
          <w:bCs/>
          <w:sz w:val="28"/>
          <w:lang w:val="en-US"/>
        </w:rPr>
        <w:t>Lecturer: Naomi Doerge</w:t>
      </w:r>
    </w:p>
    <w:p w14:paraId="0F18ED85">
      <w:pPr>
        <w:spacing w:line="360" w:lineRule="auto"/>
        <w:jc w:val="center"/>
        <w:rPr>
          <w:rFonts w:hint="default" w:ascii="Times New Roman" w:hAnsi="Times New Roman" w:cs="Times New Roman"/>
          <w:b/>
          <w:bCs/>
          <w:sz w:val="28"/>
          <w:lang w:val="en-US"/>
        </w:rPr>
      </w:pPr>
    </w:p>
    <w:p w14:paraId="0F0417FA">
      <w:pPr>
        <w:spacing w:line="360" w:lineRule="auto"/>
        <w:jc w:val="center"/>
        <w:rPr>
          <w:rFonts w:ascii="Times New Roman" w:hAnsi="Times New Roman" w:cs="Times New Roman"/>
          <w:b/>
          <w:bCs/>
          <w:sz w:val="28"/>
        </w:rPr>
      </w:pPr>
    </w:p>
    <w:p w14:paraId="6D4718BC">
      <w:pPr>
        <w:spacing w:line="360" w:lineRule="auto"/>
        <w:jc w:val="both"/>
        <w:rPr>
          <w:rFonts w:ascii="Times New Roman" w:hAnsi="Times New Roman" w:cs="Times New Roman"/>
          <w:b/>
          <w:bCs/>
        </w:rPr>
      </w:pPr>
      <w:r>
        <w:rPr>
          <w:rFonts w:ascii="Times New Roman" w:hAnsi="Times New Roman" w:cs="Times New Roman"/>
          <w:b/>
          <w:bCs/>
        </w:rPr>
        <w:br w:type="page"/>
      </w:r>
    </w:p>
    <w:sdt>
      <w:sdtPr>
        <w:rPr>
          <w:rFonts w:ascii="Times New Roman" w:hAnsi="Times New Roman" w:cs="Times New Roman" w:eastAsiaTheme="minorHAnsi"/>
          <w:color w:val="auto"/>
          <w:kern w:val="2"/>
          <w:sz w:val="24"/>
          <w:szCs w:val="24"/>
          <w:lang w:val="en-SG"/>
        </w:rPr>
        <w:id w:val="-270479756"/>
        <w:docPartObj>
          <w:docPartGallery w:val="Table of Contents"/>
          <w:docPartUnique/>
        </w:docPartObj>
      </w:sdtPr>
      <w:sdtEndPr>
        <w:rPr>
          <w:rFonts w:ascii="Times New Roman" w:hAnsi="Times New Roman" w:cs="Times New Roman" w:eastAsiaTheme="minorHAnsi"/>
          <w:b/>
          <w:bCs/>
          <w:color w:val="auto"/>
          <w:kern w:val="2"/>
          <w:sz w:val="24"/>
          <w:szCs w:val="24"/>
          <w:lang w:val="en-SG"/>
        </w:rPr>
      </w:sdtEndPr>
      <w:sdtContent>
        <w:p w14:paraId="23FE1B11">
          <w:pPr>
            <w:pStyle w:val="37"/>
            <w:spacing w:line="360" w:lineRule="auto"/>
            <w:jc w:val="both"/>
            <w:rPr>
              <w:rFonts w:ascii="Times New Roman" w:hAnsi="Times New Roman" w:cs="Times New Roman"/>
              <w:sz w:val="24"/>
              <w:szCs w:val="24"/>
            </w:rPr>
          </w:pPr>
          <w:r>
            <w:rPr>
              <w:rFonts w:ascii="Times New Roman" w:hAnsi="Times New Roman" w:cs="Times New Roman"/>
              <w:sz w:val="24"/>
              <w:szCs w:val="24"/>
            </w:rPr>
            <w:t>Contents</w:t>
          </w:r>
        </w:p>
        <w:p w14:paraId="1495D2AF">
          <w:pPr>
            <w:pStyle w:val="17"/>
            <w:tabs>
              <w:tab w:val="right" w:leader="dot" w:pos="9016"/>
            </w:tabs>
            <w:spacing w:line="360" w:lineRule="auto"/>
            <w:jc w:val="both"/>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r>
            <w:fldChar w:fldCharType="begin"/>
          </w:r>
          <w:r>
            <w:instrText xml:space="preserve"> HYPERLINK \l "_Toc195465108" </w:instrText>
          </w:r>
          <w:r>
            <w:fldChar w:fldCharType="separate"/>
          </w:r>
          <w:r>
            <w:rPr>
              <w:rStyle w:val="14"/>
              <w:rFonts w:ascii="Times New Roman" w:hAnsi="Times New Roman" w:cs="Times New Roman"/>
            </w:rPr>
            <w:t>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_Toc195465108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14:paraId="2A1FE9E6">
          <w:pPr>
            <w:pStyle w:val="18"/>
            <w:tabs>
              <w:tab w:val="right" w:leader="dot" w:pos="9016"/>
            </w:tabs>
            <w:spacing w:line="360" w:lineRule="auto"/>
            <w:jc w:val="both"/>
            <w:rPr>
              <w:rFonts w:ascii="Times New Roman" w:hAnsi="Times New Roman" w:cs="Times New Roman"/>
            </w:rPr>
          </w:pPr>
          <w:r>
            <w:fldChar w:fldCharType="begin"/>
          </w:r>
          <w:r>
            <w:instrText xml:space="preserve"> HYPERLINK \l "_Toc195465109" </w:instrText>
          </w:r>
          <w:r>
            <w:fldChar w:fldCharType="separate"/>
          </w:r>
          <w:r>
            <w:rPr>
              <w:rStyle w:val="14"/>
              <w:rFonts w:ascii="Times New Roman" w:hAnsi="Times New Roman" w:cs="Times New Roman"/>
            </w:rPr>
            <w:t>Description of Experiences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_Toc195465109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5B2EF39C">
          <w:pPr>
            <w:pStyle w:val="18"/>
            <w:tabs>
              <w:tab w:val="right" w:leader="dot" w:pos="9016"/>
            </w:tabs>
            <w:spacing w:line="360" w:lineRule="auto"/>
            <w:jc w:val="both"/>
            <w:rPr>
              <w:rFonts w:ascii="Times New Roman" w:hAnsi="Times New Roman" w:cs="Times New Roman"/>
            </w:rPr>
          </w:pPr>
          <w:r>
            <w:fldChar w:fldCharType="begin"/>
          </w:r>
          <w:r>
            <w:instrText xml:space="preserve"> HYPERLINK \l "_Toc195465110" </w:instrText>
          </w:r>
          <w:r>
            <w:fldChar w:fldCharType="separate"/>
          </w:r>
          <w:r>
            <w:rPr>
              <w:rStyle w:val="14"/>
              <w:rFonts w:ascii="Times New Roman" w:hAnsi="Times New Roman" w:cs="Times New Roman"/>
            </w:rPr>
            <w:t>Analysis and Personal Reflection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_Toc195465110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4C0E6AD2">
          <w:pPr>
            <w:pStyle w:val="17"/>
            <w:tabs>
              <w:tab w:val="right" w:leader="dot" w:pos="9016"/>
            </w:tabs>
            <w:spacing w:line="360" w:lineRule="auto"/>
            <w:jc w:val="both"/>
            <w:rPr>
              <w:rFonts w:ascii="Times New Roman" w:hAnsi="Times New Roman" w:cs="Times New Roman"/>
            </w:rPr>
          </w:pPr>
          <w:r>
            <w:fldChar w:fldCharType="begin"/>
          </w:r>
          <w:r>
            <w:instrText xml:space="preserve"> HYPERLINK \l "_Toc195465111" </w:instrText>
          </w:r>
          <w:r>
            <w:fldChar w:fldCharType="separate"/>
          </w:r>
          <w:r>
            <w:rPr>
              <w:rStyle w:val="14"/>
              <w:rFonts w:ascii="Times New Roman" w:hAnsi="Times New Roman" w:cs="Times New Roman"/>
            </w:rPr>
            <w:t>Conclusion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_Toc195465111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fldChar w:fldCharType="end"/>
          </w:r>
        </w:p>
        <w:p w14:paraId="6C695C40">
          <w:pPr>
            <w:pStyle w:val="17"/>
            <w:tabs>
              <w:tab w:val="right" w:leader="dot" w:pos="9016"/>
            </w:tabs>
            <w:spacing w:line="360" w:lineRule="auto"/>
            <w:jc w:val="both"/>
            <w:rPr>
              <w:rFonts w:ascii="Times New Roman" w:hAnsi="Times New Roman" w:cs="Times New Roman"/>
            </w:rPr>
          </w:pPr>
          <w:r>
            <w:fldChar w:fldCharType="begin"/>
          </w:r>
          <w:r>
            <w:instrText xml:space="preserve"> HYPERLINK \l "_Toc195465112" </w:instrText>
          </w:r>
          <w:r>
            <w:fldChar w:fldCharType="separate"/>
          </w:r>
          <w:r>
            <w:rPr>
              <w:rStyle w:val="14"/>
              <w:rFonts w:ascii="Times New Roman" w:hAnsi="Times New Roman" w:cs="Times New Roman"/>
            </w:rPr>
            <w:t>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_Toc195465112 \h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fldChar w:fldCharType="end"/>
          </w:r>
        </w:p>
        <w:p w14:paraId="5F208380">
          <w:pPr>
            <w:spacing w:line="360" w:lineRule="auto"/>
            <w:jc w:val="both"/>
            <w:rPr>
              <w:rFonts w:ascii="Times New Roman" w:hAnsi="Times New Roman" w:cs="Times New Roman"/>
            </w:rPr>
          </w:pPr>
          <w:r>
            <w:rPr>
              <w:rFonts w:ascii="Times New Roman" w:hAnsi="Times New Roman" w:cs="Times New Roman"/>
              <w:b/>
              <w:bCs/>
            </w:rPr>
            <w:fldChar w:fldCharType="end"/>
          </w:r>
        </w:p>
      </w:sdtContent>
    </w:sdt>
    <w:p w14:paraId="7BDC3306">
      <w:pPr>
        <w:spacing w:line="360" w:lineRule="auto"/>
        <w:jc w:val="both"/>
        <w:rPr>
          <w:rFonts w:ascii="Times New Roman" w:hAnsi="Times New Roman" w:cs="Times New Roman"/>
          <w:b/>
          <w:bCs/>
        </w:rPr>
      </w:pPr>
      <w:r>
        <w:rPr>
          <w:rFonts w:ascii="Times New Roman" w:hAnsi="Times New Roman" w:cs="Times New Roman"/>
          <w:b/>
          <w:bCs/>
        </w:rPr>
        <w:br w:type="page"/>
      </w:r>
    </w:p>
    <w:p w14:paraId="760E187F">
      <w:pPr>
        <w:pStyle w:val="2"/>
        <w:spacing w:line="360" w:lineRule="auto"/>
        <w:jc w:val="both"/>
        <w:rPr>
          <w:rFonts w:ascii="Times New Roman" w:hAnsi="Times New Roman" w:cs="Times New Roman"/>
          <w:sz w:val="24"/>
          <w:szCs w:val="24"/>
        </w:rPr>
      </w:pPr>
      <w:bookmarkStart w:id="0" w:name="_Toc195465108"/>
      <w:r>
        <w:rPr>
          <w:rFonts w:ascii="Times New Roman" w:hAnsi="Times New Roman" w:cs="Times New Roman"/>
          <w:sz w:val="24"/>
          <w:szCs w:val="24"/>
        </w:rPr>
        <w:t>Introduction</w:t>
      </w:r>
      <w:bookmarkEnd w:id="0"/>
    </w:p>
    <w:p w14:paraId="7207C880">
      <w:pPr>
        <w:spacing w:line="360" w:lineRule="auto"/>
        <w:jc w:val="both"/>
        <w:rPr>
          <w:rFonts w:ascii="Times New Roman" w:hAnsi="Times New Roman" w:cs="Times New Roman"/>
        </w:rPr>
      </w:pPr>
      <w:r>
        <w:rPr>
          <w:rFonts w:ascii="Times New Roman" w:hAnsi="Times New Roman" w:cs="Times New Roman"/>
        </w:rPr>
        <w:t>The purpose of this reflective report is to analyse my personal learning journey throughout the Academic Skills module. This module played a crucial role in helping me develop essential academic competencies such as time management, note-taking, paraphrasing, referencing, and academic writing. Through class activities, assessments, and group discussions, I became more aware of my strengths and the areas I need to improve. In particular, Task 1, the academic skills quiz, and Task 2, the application of academic skills exercise, provided hands-on learning experiences that deepened my understanding of how to engage with academic content effectively. This report reflects on those experiences and their significance to my growth as a student.</w:t>
      </w:r>
    </w:p>
    <w:p w14:paraId="05164F6B">
      <w:pPr>
        <w:spacing w:line="360" w:lineRule="auto"/>
        <w:jc w:val="both"/>
        <w:rPr>
          <w:rFonts w:ascii="Times New Roman" w:hAnsi="Times New Roman" w:cs="Times New Roman"/>
          <w:b/>
          <w:bCs/>
        </w:rPr>
      </w:pPr>
      <w:r>
        <w:rPr>
          <w:rFonts w:ascii="Times New Roman" w:hAnsi="Times New Roman" w:cs="Times New Roman"/>
          <w:b/>
          <w:bCs/>
        </w:rPr>
        <w:br w:type="page"/>
      </w:r>
    </w:p>
    <w:p w14:paraId="13908F93">
      <w:pPr>
        <w:pStyle w:val="3"/>
        <w:spacing w:line="360" w:lineRule="auto"/>
        <w:jc w:val="both"/>
        <w:rPr>
          <w:rFonts w:ascii="Times New Roman" w:hAnsi="Times New Roman" w:cs="Times New Roman"/>
          <w:sz w:val="24"/>
          <w:szCs w:val="24"/>
        </w:rPr>
      </w:pPr>
      <w:bookmarkStart w:id="1" w:name="_Toc195465109"/>
      <w:r>
        <w:rPr>
          <w:rFonts w:ascii="Times New Roman" w:hAnsi="Times New Roman" w:cs="Times New Roman"/>
          <w:sz w:val="24"/>
          <w:szCs w:val="24"/>
        </w:rPr>
        <w:t>Description of Experiences</w:t>
      </w:r>
      <w:bookmarkEnd w:id="1"/>
    </w:p>
    <w:p w14:paraId="5094CADB">
      <w:pPr>
        <w:spacing w:line="360" w:lineRule="auto"/>
        <w:jc w:val="both"/>
        <w:rPr>
          <w:rFonts w:ascii="Times New Roman" w:hAnsi="Times New Roman" w:cs="Times New Roman"/>
        </w:rPr>
      </w:pPr>
      <w:r>
        <w:rPr>
          <w:rFonts w:ascii="Times New Roman" w:hAnsi="Times New Roman" w:cs="Times New Roman"/>
        </w:rPr>
        <w:t>In this module, one of the main key experiences was with Task 1 being the academic skills quiz completed in Week 5. The quiz required me to showcase my basic knowledge in academic practices including time management, referencing and academic writing conventions. The question types included multiple choice and short answers, as well as referring tasks(Ghanizadeh, 2017). This exercise was very helpful to me because it helps me understand that the mastery of academic standards is our way out not to face defects such as plagiarism and bad referencing.</w:t>
      </w:r>
    </w:p>
    <w:p w14:paraId="06AC4CAA">
      <w:pPr>
        <w:spacing w:line="360" w:lineRule="auto"/>
        <w:jc w:val="both"/>
        <w:rPr>
          <w:rFonts w:ascii="Times New Roman" w:hAnsi="Times New Roman" w:cs="Times New Roman"/>
          <w:b/>
          <w:bCs/>
        </w:rPr>
      </w:pPr>
      <w:r>
        <w:rPr>
          <w:rFonts w:ascii="Times New Roman" w:hAnsi="Times New Roman" w:cs="Times New Roman"/>
        </w:rPr>
        <w:t>Even more practical was Task 2 which took place in Week 7. I had to record it from a short academic text, paraphrase some sentences, and then constructing an academic paragraph based on the paraphrased content(Yan, 2020). This was a difficult yet rewarding activity as it made me do the work of applying, rather than learning about, academic conventions. Besides, classroom discussions and group activities were also helpful. Aiding my learning was that we often talked about effective ways of achieving deadlines, good note taking strategies and how referencing tools such as Harvard referencing format, could be used to add more depth to our learning.</w:t>
      </w:r>
    </w:p>
    <w:p w14:paraId="3B0EAC15">
      <w:pPr>
        <w:pStyle w:val="3"/>
        <w:spacing w:line="360" w:lineRule="auto"/>
        <w:jc w:val="both"/>
        <w:rPr>
          <w:rFonts w:ascii="Times New Roman" w:hAnsi="Times New Roman" w:cs="Times New Roman"/>
          <w:sz w:val="24"/>
          <w:szCs w:val="24"/>
        </w:rPr>
      </w:pPr>
      <w:bookmarkStart w:id="2" w:name="_Toc195465110"/>
      <w:r>
        <w:rPr>
          <w:rFonts w:ascii="Times New Roman" w:hAnsi="Times New Roman" w:cs="Times New Roman"/>
          <w:sz w:val="24"/>
          <w:szCs w:val="24"/>
        </w:rPr>
        <w:t>Analysis and Personal Reflection</w:t>
      </w:r>
      <w:bookmarkEnd w:id="2"/>
    </w:p>
    <w:p w14:paraId="2F4562A3">
      <w:pPr>
        <w:spacing w:line="360" w:lineRule="auto"/>
        <w:jc w:val="both"/>
        <w:rPr>
          <w:rFonts w:ascii="Times New Roman" w:hAnsi="Times New Roman" w:cs="Times New Roman"/>
          <w:b/>
          <w:bCs/>
        </w:rPr>
      </w:pPr>
      <w:r>
        <w:rPr>
          <w:rFonts w:ascii="Times New Roman" w:hAnsi="Times New Roman" w:cs="Times New Roman"/>
        </w:rPr>
        <w:t>Both the quiz and the application task gave me an opportunity to look back and assess the challenges and opportunities that the academic side of the house presented. Task 1 went fairly well. I found that I had answered most of the multiple choice and short answer questions correctly so I was aware that I was capable of answering these types of questions relating to academic integrity, time management and a beginner’s understanding of referencing(Akpur, 2020). But I didn't think I´d have the tough time with the referencing task as I expected to. The attempt makes me struggle to put all the correct elements together in the correct format. This made me realise that I understood what referencing is but I wasn’t doing it adequately. In Task 2, it was a more hands-on experience and I was asked to use my skills in a timed environment. I enjoyed the note-taking part and felt confident in identifying the main ideas of the passage(Cottrell, 2024). I had my notes well organised and helped me during the time of paraphrasing. However, paraphrasing was difficult without copying the original structure(Nilson and Zimmerman, 2023). Writing the academic paragraph was as well a learning experience. In order to use my paraphrased content without having to use sources and still maintain an academic tone, I was able to make this work. It made me realize how important it was to be practising academic writing so that I became very fluent and clear.</w:t>
      </w:r>
    </w:p>
    <w:p w14:paraId="1F822C0F">
      <w:pPr>
        <w:spacing w:line="360" w:lineRule="auto"/>
        <w:jc w:val="both"/>
        <w:rPr>
          <w:rFonts w:ascii="Times New Roman" w:hAnsi="Times New Roman" w:cs="Times New Roman"/>
        </w:rPr>
      </w:pPr>
      <w:r>
        <w:rPr>
          <w:rFonts w:ascii="Times New Roman" w:hAnsi="Times New Roman" w:cs="Times New Roman"/>
        </w:rPr>
        <w:t>I believe that one of the key strengths I have discovered during this module is the ability to manage time during class based assessments. Even under the pressure I manage to complete both task in the specified time(Craig et al., 2020). Another strength was that I was very active in class discussions and it is about learning from different perspectives and understanding what my peers experienced. I was also stuck to the sessions and to the module content. For example, referring is also an area that I need to work on. It's something I realised that I often get the order of Emléments wrong, when specifically referring to the books and not the sources that are online(Cottrell, 2023). The second weakness that I identified is that I really need to improve my skills of paraphrasing. Sometimes, I’m trying to change words more than I’m truly understanding and rewriting the idea in my own words. In order to overcome this I am going to practise paraphrasing different kinds of texts and get feedback from my tutors.</w:t>
      </w:r>
    </w:p>
    <w:p w14:paraId="58266710">
      <w:pPr>
        <w:spacing w:line="360" w:lineRule="auto"/>
        <w:jc w:val="both"/>
        <w:rPr>
          <w:rFonts w:ascii="Times New Roman" w:hAnsi="Times New Roman" w:cs="Times New Roman"/>
        </w:rPr>
      </w:pPr>
      <w:r>
        <w:rPr>
          <w:rFonts w:ascii="Times New Roman" w:hAnsi="Times New Roman" w:cs="Times New Roman"/>
        </w:rPr>
        <w:t>Effectively, this module played a huge role in my personal and academic development. I often struggled to stay organised or have any idea of what to do in terms of assignments before the course. Nowadays, I have adopted techniques like making weekly planners and putting my tasks into smaller steps to have been able to utilize my time effectively(Guo et al., 2020). I have also become more confident in being able to identify the credible academic source and the importance of academic integrity(Gurbuz, 2019).I used to think of referencing as an obligatory evil to save myself from plagiarism, but now I consider it a matter of levelling up my academic arguments by giving credit. Secondly, I have been growing my critical thinking. I also learned to note take anything and to paraphrase exercise through these exercises to identify the points,question the content and finally form my own understanding before writing about it (Zimmerman, 2017). Therefore these skills are going to be very useful in future modules and assignments throughout my programme. Overall, the module laid a strong foundation for academic literacy dealing with more complex academictasks with more confidence.</w:t>
      </w:r>
    </w:p>
    <w:p w14:paraId="5A2D4B70">
      <w:pPr>
        <w:spacing w:line="360" w:lineRule="auto"/>
        <w:jc w:val="both"/>
        <w:rPr>
          <w:rFonts w:ascii="Times New Roman" w:hAnsi="Times New Roman" w:cs="Times New Roman"/>
          <w:b/>
          <w:bCs/>
        </w:rPr>
      </w:pPr>
      <w:r>
        <w:rPr>
          <w:rFonts w:ascii="Times New Roman" w:hAnsi="Times New Roman" w:cs="Times New Roman"/>
          <w:b/>
          <w:bCs/>
        </w:rPr>
        <w:br w:type="page"/>
      </w:r>
    </w:p>
    <w:p w14:paraId="0CFB4B8D">
      <w:pPr>
        <w:pStyle w:val="2"/>
        <w:spacing w:line="360" w:lineRule="auto"/>
        <w:jc w:val="both"/>
        <w:rPr>
          <w:rFonts w:ascii="Times New Roman" w:hAnsi="Times New Roman" w:cs="Times New Roman"/>
          <w:sz w:val="24"/>
          <w:szCs w:val="24"/>
        </w:rPr>
      </w:pPr>
      <w:bookmarkStart w:id="3" w:name="_Toc195465111"/>
      <w:r>
        <w:rPr>
          <w:rFonts w:ascii="Times New Roman" w:hAnsi="Times New Roman" w:cs="Times New Roman"/>
          <w:sz w:val="24"/>
          <w:szCs w:val="24"/>
        </w:rPr>
        <w:t>Conclusion</w:t>
      </w:r>
      <w:bookmarkEnd w:id="3"/>
    </w:p>
    <w:p w14:paraId="0E8E8C3A">
      <w:pPr>
        <w:spacing w:line="360" w:lineRule="auto"/>
        <w:jc w:val="both"/>
        <w:rPr>
          <w:rFonts w:ascii="Times New Roman" w:hAnsi="Times New Roman" w:cs="Times New Roman"/>
        </w:rPr>
      </w:pPr>
      <w:r>
        <w:rPr>
          <w:rFonts w:ascii="Times New Roman" w:hAnsi="Times New Roman" w:cs="Times New Roman"/>
        </w:rPr>
        <w:t>Overall, the Academic Skills module has proved to be an integral part of my early exciting academic journey. As I completed the tasks 1 and 2 and continued viewing classroom discussions and activities, I assessed the information about my academic skills, their strengths and weaknesses. I have learned how to better manage my time to take better, more effective notes, paraphrase content meaningfully, and use academic referring correctly. Above all, I have become more confident and organised when it comes to my studies. This module has set my foot in the right direction and pushed me to strive to become better with this by continuous practice and thoughts reflection.</w:t>
      </w:r>
      <w:r>
        <w:rPr>
          <w:rFonts w:ascii="Times New Roman" w:hAnsi="Times New Roman" w:cs="Times New Roman"/>
        </w:rPr>
        <w:br w:type="page"/>
      </w:r>
    </w:p>
    <w:p w14:paraId="73C6081E">
      <w:pPr>
        <w:pStyle w:val="2"/>
        <w:spacing w:line="360" w:lineRule="auto"/>
        <w:jc w:val="both"/>
        <w:rPr>
          <w:rFonts w:ascii="Times New Roman" w:hAnsi="Times New Roman" w:cs="Times New Roman"/>
          <w:sz w:val="24"/>
          <w:szCs w:val="24"/>
        </w:rPr>
      </w:pPr>
      <w:bookmarkStart w:id="4" w:name="_Toc195465112"/>
      <w:r>
        <w:rPr>
          <w:rFonts w:ascii="Times New Roman" w:hAnsi="Times New Roman" w:cs="Times New Roman"/>
          <w:sz w:val="24"/>
          <w:szCs w:val="24"/>
        </w:rPr>
        <w:t>References</w:t>
      </w:r>
      <w:bookmarkEnd w:id="4"/>
    </w:p>
    <w:p w14:paraId="70FB008F">
      <w:pPr>
        <w:spacing w:line="360" w:lineRule="auto"/>
        <w:jc w:val="both"/>
        <w:rPr>
          <w:rFonts w:ascii="Times New Roman" w:hAnsi="Times New Roman" w:cs="Times New Roman"/>
        </w:rPr>
      </w:pPr>
      <w:r>
        <w:rPr>
          <w:rFonts w:ascii="Times New Roman" w:hAnsi="Times New Roman" w:cs="Times New Roman"/>
        </w:rPr>
        <w:t>Akpur, U., 2020. Critical, reflective, creative thinking and their reflections on academic achievement. </w:t>
      </w:r>
      <w:r>
        <w:rPr>
          <w:rFonts w:ascii="Times New Roman" w:hAnsi="Times New Roman" w:cs="Times New Roman"/>
          <w:i/>
          <w:iCs/>
        </w:rPr>
        <w:t>Thinking Skills and Creativity</w:t>
      </w:r>
      <w:r>
        <w:rPr>
          <w:rFonts w:ascii="Times New Roman" w:hAnsi="Times New Roman" w:cs="Times New Roman"/>
        </w:rPr>
        <w:t>, </w:t>
      </w:r>
      <w:r>
        <w:rPr>
          <w:rFonts w:ascii="Times New Roman" w:hAnsi="Times New Roman" w:cs="Times New Roman"/>
          <w:i/>
          <w:iCs/>
        </w:rPr>
        <w:t>37</w:t>
      </w:r>
      <w:r>
        <w:rPr>
          <w:rFonts w:ascii="Times New Roman" w:hAnsi="Times New Roman" w:cs="Times New Roman"/>
        </w:rPr>
        <w:t>, p.100683.</w:t>
      </w:r>
    </w:p>
    <w:p w14:paraId="46B067CA">
      <w:pPr>
        <w:spacing w:line="360" w:lineRule="auto"/>
        <w:jc w:val="both"/>
        <w:rPr>
          <w:rFonts w:ascii="Times New Roman" w:hAnsi="Times New Roman" w:cs="Times New Roman"/>
        </w:rPr>
      </w:pPr>
      <w:r>
        <w:rPr>
          <w:rFonts w:ascii="Times New Roman" w:hAnsi="Times New Roman" w:cs="Times New Roman"/>
        </w:rPr>
        <w:t>Cottrell, S., 2023. </w:t>
      </w:r>
      <w:r>
        <w:rPr>
          <w:rFonts w:ascii="Times New Roman" w:hAnsi="Times New Roman" w:cs="Times New Roman"/>
          <w:i/>
          <w:iCs/>
        </w:rPr>
        <w:t>Critical thinking skills: Effective analysis, argument and reflection</w:t>
      </w:r>
      <w:r>
        <w:rPr>
          <w:rFonts w:ascii="Times New Roman" w:hAnsi="Times New Roman" w:cs="Times New Roman"/>
        </w:rPr>
        <w:t>. Bloomsbury Publishing.</w:t>
      </w:r>
    </w:p>
    <w:p w14:paraId="62A84E05">
      <w:pPr>
        <w:spacing w:line="360" w:lineRule="auto"/>
        <w:jc w:val="both"/>
        <w:rPr>
          <w:rFonts w:ascii="Times New Roman" w:hAnsi="Times New Roman" w:cs="Times New Roman"/>
        </w:rPr>
      </w:pPr>
      <w:r>
        <w:rPr>
          <w:rFonts w:ascii="Times New Roman" w:hAnsi="Times New Roman" w:cs="Times New Roman"/>
        </w:rPr>
        <w:t>Cottrell, S., 2024. </w:t>
      </w:r>
      <w:r>
        <w:rPr>
          <w:rFonts w:ascii="Times New Roman" w:hAnsi="Times New Roman" w:cs="Times New Roman"/>
          <w:i/>
          <w:iCs/>
        </w:rPr>
        <w:t>The study skills handbook</w:t>
      </w:r>
      <w:r>
        <w:rPr>
          <w:rFonts w:ascii="Times New Roman" w:hAnsi="Times New Roman" w:cs="Times New Roman"/>
        </w:rPr>
        <w:t>. Bloomsbury Publishing.</w:t>
      </w:r>
    </w:p>
    <w:p w14:paraId="2A3A557A">
      <w:pPr>
        <w:spacing w:line="360" w:lineRule="auto"/>
        <w:jc w:val="both"/>
        <w:rPr>
          <w:rFonts w:ascii="Times New Roman" w:hAnsi="Times New Roman" w:cs="Times New Roman"/>
        </w:rPr>
      </w:pPr>
      <w:r>
        <w:rPr>
          <w:rFonts w:ascii="Times New Roman" w:hAnsi="Times New Roman" w:cs="Times New Roman"/>
        </w:rPr>
        <w:t>Craig, K., Hale, D., Grainger, C. and Stewart, M.E., 2020. Evaluating metacognitive self-reports: systematic reviews of the value of self-report in metacognitive research. </w:t>
      </w:r>
      <w:r>
        <w:rPr>
          <w:rFonts w:ascii="Times New Roman" w:hAnsi="Times New Roman" w:cs="Times New Roman"/>
          <w:i/>
          <w:iCs/>
        </w:rPr>
        <w:t>Metacognition and Learning</w:t>
      </w:r>
      <w:r>
        <w:rPr>
          <w:rFonts w:ascii="Times New Roman" w:hAnsi="Times New Roman" w:cs="Times New Roman"/>
        </w:rPr>
        <w:t>, </w:t>
      </w:r>
      <w:r>
        <w:rPr>
          <w:rFonts w:ascii="Times New Roman" w:hAnsi="Times New Roman" w:cs="Times New Roman"/>
          <w:i/>
          <w:iCs/>
        </w:rPr>
        <w:t>15</w:t>
      </w:r>
      <w:r>
        <w:rPr>
          <w:rFonts w:ascii="Times New Roman" w:hAnsi="Times New Roman" w:cs="Times New Roman"/>
        </w:rPr>
        <w:t>, pp.155-213.</w:t>
      </w:r>
    </w:p>
    <w:p w14:paraId="3B12B1EE">
      <w:pPr>
        <w:spacing w:line="360" w:lineRule="auto"/>
        <w:jc w:val="both"/>
        <w:rPr>
          <w:rFonts w:ascii="Times New Roman" w:hAnsi="Times New Roman" w:cs="Times New Roman"/>
        </w:rPr>
      </w:pPr>
      <w:r>
        <w:rPr>
          <w:rFonts w:ascii="Times New Roman" w:hAnsi="Times New Roman" w:cs="Times New Roman"/>
        </w:rPr>
        <w:t>Ghanizadeh, A., 2017. The interplay between reflective thinking, critical thinking, self-monitoring, and academic achievement in higher education. </w:t>
      </w:r>
      <w:r>
        <w:rPr>
          <w:rFonts w:ascii="Times New Roman" w:hAnsi="Times New Roman" w:cs="Times New Roman"/>
          <w:i/>
          <w:iCs/>
        </w:rPr>
        <w:t>Higher Education</w:t>
      </w:r>
      <w:r>
        <w:rPr>
          <w:rFonts w:ascii="Times New Roman" w:hAnsi="Times New Roman" w:cs="Times New Roman"/>
        </w:rPr>
        <w:t>, </w:t>
      </w:r>
      <w:r>
        <w:rPr>
          <w:rFonts w:ascii="Times New Roman" w:hAnsi="Times New Roman" w:cs="Times New Roman"/>
          <w:i/>
          <w:iCs/>
        </w:rPr>
        <w:t>74</w:t>
      </w:r>
      <w:r>
        <w:rPr>
          <w:rFonts w:ascii="Times New Roman" w:hAnsi="Times New Roman" w:cs="Times New Roman"/>
        </w:rPr>
        <w:t>, pp.101-114.</w:t>
      </w:r>
    </w:p>
    <w:p w14:paraId="0DAD500F">
      <w:pPr>
        <w:spacing w:line="360" w:lineRule="auto"/>
        <w:jc w:val="both"/>
        <w:rPr>
          <w:rFonts w:ascii="Times New Roman" w:hAnsi="Times New Roman" w:cs="Times New Roman"/>
          <w:i/>
          <w:iCs/>
        </w:rPr>
      </w:pPr>
      <w:r>
        <w:rPr>
          <w:rFonts w:ascii="Times New Roman" w:hAnsi="Times New Roman" w:cs="Times New Roman"/>
        </w:rPr>
        <w:t>Guo, P., Saab, N., Post, L.S. and Admiraal, W., 2020. A review of project-based learning in higher education: Student outcomes and measures. </w:t>
      </w:r>
      <w:r>
        <w:rPr>
          <w:rFonts w:ascii="Times New Roman" w:hAnsi="Times New Roman" w:cs="Times New Roman"/>
          <w:i/>
          <w:iCs/>
        </w:rPr>
        <w:t>International journal of educational research</w:t>
      </w:r>
      <w:r>
        <w:rPr>
          <w:rFonts w:ascii="Times New Roman" w:hAnsi="Times New Roman" w:cs="Times New Roman"/>
        </w:rPr>
        <w:t>, </w:t>
      </w:r>
      <w:r>
        <w:rPr>
          <w:rFonts w:ascii="Times New Roman" w:hAnsi="Times New Roman" w:cs="Times New Roman"/>
          <w:i/>
          <w:iCs/>
        </w:rPr>
        <w:t>102</w:t>
      </w:r>
      <w:r>
        <w:rPr>
          <w:rFonts w:ascii="Times New Roman" w:hAnsi="Times New Roman" w:cs="Times New Roman"/>
        </w:rPr>
        <w:t>, p.101586.</w:t>
      </w:r>
    </w:p>
    <w:p w14:paraId="66CE6AD6">
      <w:pPr>
        <w:spacing w:line="360" w:lineRule="auto"/>
        <w:jc w:val="both"/>
        <w:rPr>
          <w:rFonts w:ascii="Times New Roman" w:hAnsi="Times New Roman" w:cs="Times New Roman"/>
          <w:lang w:val="en-US"/>
        </w:rPr>
      </w:pPr>
      <w:r>
        <w:rPr>
          <w:rFonts w:ascii="Times New Roman" w:hAnsi="Times New Roman" w:cs="Times New Roman"/>
        </w:rPr>
        <w:t>Gurbuz, E., Hanley, M. and Riby, D.M., 2019. University students with autism: The social and academic experiences of university in the UK. </w:t>
      </w:r>
      <w:r>
        <w:rPr>
          <w:rFonts w:ascii="Times New Roman" w:hAnsi="Times New Roman" w:cs="Times New Roman"/>
          <w:i/>
          <w:iCs/>
        </w:rPr>
        <w:t>Journal of autism and developmental disorders</w:t>
      </w:r>
      <w:r>
        <w:rPr>
          <w:rFonts w:ascii="Times New Roman" w:hAnsi="Times New Roman" w:cs="Times New Roman"/>
        </w:rPr>
        <w:t>, </w:t>
      </w:r>
      <w:r>
        <w:rPr>
          <w:rFonts w:ascii="Times New Roman" w:hAnsi="Times New Roman" w:cs="Times New Roman"/>
          <w:i/>
          <w:iCs/>
        </w:rPr>
        <w:t>49</w:t>
      </w:r>
      <w:r>
        <w:rPr>
          <w:rFonts w:ascii="Times New Roman" w:hAnsi="Times New Roman" w:cs="Times New Roman"/>
        </w:rPr>
        <w:t>, pp.617-631.</w:t>
      </w:r>
    </w:p>
    <w:p w14:paraId="4D32A534">
      <w:pPr>
        <w:spacing w:line="360" w:lineRule="auto"/>
        <w:jc w:val="both"/>
        <w:rPr>
          <w:rFonts w:ascii="Times New Roman" w:hAnsi="Times New Roman" w:cs="Times New Roman"/>
          <w:i/>
          <w:iCs/>
        </w:rPr>
      </w:pPr>
      <w:r>
        <w:rPr>
          <w:rFonts w:ascii="Times New Roman" w:hAnsi="Times New Roman" w:cs="Times New Roman"/>
        </w:rPr>
        <w:t>Nilson, L.B. and Zimmerman, B.J., 2023. </w:t>
      </w:r>
      <w:r>
        <w:rPr>
          <w:rFonts w:ascii="Times New Roman" w:hAnsi="Times New Roman" w:cs="Times New Roman"/>
          <w:i/>
          <w:iCs/>
        </w:rPr>
        <w:t>Creating self-regulated learners: Strategies to strengthen students’ self-awareness and learning skills</w:t>
      </w:r>
      <w:r>
        <w:rPr>
          <w:rFonts w:ascii="Times New Roman" w:hAnsi="Times New Roman" w:cs="Times New Roman"/>
        </w:rPr>
        <w:t>. Routledge.</w:t>
      </w:r>
    </w:p>
    <w:p w14:paraId="3561F925">
      <w:pPr>
        <w:spacing w:line="360" w:lineRule="auto"/>
        <w:jc w:val="both"/>
        <w:rPr>
          <w:rFonts w:ascii="Times New Roman" w:hAnsi="Times New Roman" w:cs="Times New Roman"/>
        </w:rPr>
      </w:pPr>
      <w:r>
        <w:rPr>
          <w:rFonts w:ascii="Times New Roman" w:hAnsi="Times New Roman" w:cs="Times New Roman"/>
        </w:rPr>
        <w:t>Yan, Z., 2020. Self-assessment in the process of self-regulated learning and its relationship with academic achievement. </w:t>
      </w:r>
      <w:r>
        <w:rPr>
          <w:rFonts w:ascii="Times New Roman" w:hAnsi="Times New Roman" w:cs="Times New Roman"/>
          <w:i/>
          <w:iCs/>
        </w:rPr>
        <w:t>Assessment &amp; Evaluation in Higher Education</w:t>
      </w:r>
      <w:r>
        <w:rPr>
          <w:rFonts w:ascii="Times New Roman" w:hAnsi="Times New Roman" w:cs="Times New Roman"/>
        </w:rPr>
        <w:t>, </w:t>
      </w:r>
      <w:r>
        <w:rPr>
          <w:rFonts w:ascii="Times New Roman" w:hAnsi="Times New Roman" w:cs="Times New Roman"/>
          <w:i/>
          <w:iCs/>
        </w:rPr>
        <w:t>45</w:t>
      </w:r>
      <w:r>
        <w:rPr>
          <w:rFonts w:ascii="Times New Roman" w:hAnsi="Times New Roman" w:cs="Times New Roman"/>
        </w:rPr>
        <w:t>(2), pp.224-238.</w:t>
      </w:r>
    </w:p>
    <w:p w14:paraId="0D69A1B9">
      <w:pPr>
        <w:spacing w:line="360" w:lineRule="auto"/>
        <w:jc w:val="both"/>
        <w:rPr>
          <w:rFonts w:ascii="Times New Roman" w:hAnsi="Times New Roman" w:cs="Times New Roman"/>
          <w:i/>
          <w:iCs/>
        </w:rPr>
      </w:pPr>
      <w:r>
        <w:rPr>
          <w:rFonts w:ascii="Times New Roman" w:hAnsi="Times New Roman" w:cs="Times New Roman"/>
        </w:rPr>
        <w:t>Zimmerman, B.J., Schunk, D.H. and DiBenedetto, M.K., 2017. The role of self-efficacy and related beliefs in self-regulation of learning and performance. </w:t>
      </w:r>
      <w:r>
        <w:rPr>
          <w:rFonts w:ascii="Times New Roman" w:hAnsi="Times New Roman" w:cs="Times New Roman"/>
          <w:i/>
          <w:iCs/>
        </w:rPr>
        <w:t>Handbook of competence and motivation: Theory and application</w:t>
      </w:r>
      <w:r>
        <w:rPr>
          <w:rFonts w:ascii="Times New Roman" w:hAnsi="Times New Roman" w:cs="Times New Roman"/>
        </w:rPr>
        <w:t>, </w:t>
      </w:r>
      <w:r>
        <w:rPr>
          <w:rFonts w:ascii="Times New Roman" w:hAnsi="Times New Roman" w:cs="Times New Roman"/>
          <w:i/>
          <w:iCs/>
        </w:rPr>
        <w:t>313</w:t>
      </w:r>
      <w:r>
        <w:rPr>
          <w:rFonts w:ascii="Times New Roman" w:hAnsi="Times New Roman" w:cs="Times New Roman"/>
        </w:rPr>
        <w:t>, pp.41-50.</w:t>
      </w:r>
    </w:p>
    <w:p w14:paraId="53AF18B0">
      <w:pPr>
        <w:spacing w:line="360" w:lineRule="auto"/>
        <w:jc w:val="both"/>
        <w:rPr>
          <w:rFonts w:ascii="Times New Roman" w:hAnsi="Times New Roman" w:cs="Times New Roman"/>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E179A0"/>
    <w:rsid w:val="0010218A"/>
    <w:rsid w:val="003A4138"/>
    <w:rsid w:val="00432329"/>
    <w:rsid w:val="004B65BA"/>
    <w:rsid w:val="005C29D6"/>
    <w:rsid w:val="006B2A9F"/>
    <w:rsid w:val="007944FE"/>
    <w:rsid w:val="007D1245"/>
    <w:rsid w:val="009661F9"/>
    <w:rsid w:val="009F6C4A"/>
    <w:rsid w:val="00A020F3"/>
    <w:rsid w:val="00D0527A"/>
    <w:rsid w:val="00DA1568"/>
    <w:rsid w:val="00E179A0"/>
    <w:rsid w:val="292460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SG" w:eastAsia="en-US" w:bidi="ar-SA"/>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3">
    <w:name w:val="heading 2"/>
    <w:basedOn w:val="1"/>
    <w:next w:val="1"/>
    <w:link w:val="20"/>
    <w:unhideWhenUsed/>
    <w:qFormat/>
    <w:uiPriority w:val="9"/>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2F5496" w:themeColor="accent1" w:themeShade="BF"/>
      <w:sz w:val="28"/>
      <w:szCs w:val="28"/>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2F5496"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2F5496"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85858" w:themeColor="text1" w:themeTint="A6"/>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85858" w:themeColor="text1" w:themeTint="A6"/>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8"/>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8"/>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38"/>
    <w:semiHidden/>
    <w:unhideWhenUsed/>
    <w:qFormat/>
    <w:uiPriority w:val="99"/>
    <w:pPr>
      <w:spacing w:after="0" w:line="240" w:lineRule="auto"/>
    </w:pPr>
    <w:rPr>
      <w:rFonts w:ascii="Tahoma" w:hAnsi="Tahoma" w:cs="Tahoma"/>
      <w:sz w:val="16"/>
      <w:szCs w:val="16"/>
    </w:rPr>
  </w:style>
  <w:style w:type="character" w:styleId="14">
    <w:name w:val="Hyperlink"/>
    <w:basedOn w:val="11"/>
    <w:unhideWhenUsed/>
    <w:qFormat/>
    <w:uiPriority w:val="99"/>
    <w:rPr>
      <w:color w:val="0563C1" w:themeColor="hyperlink"/>
      <w:u w:val="single"/>
    </w:rPr>
  </w:style>
  <w:style w:type="paragraph" w:styleId="15">
    <w:name w:val="Subtitle"/>
    <w:basedOn w:val="1"/>
    <w:next w:val="1"/>
    <w:link w:val="29"/>
    <w:qFormat/>
    <w:uiPriority w:val="11"/>
    <w:rPr>
      <w:rFonts w:eastAsiaTheme="majorEastAsia" w:cstheme="majorBidi"/>
      <w:color w:val="585858" w:themeColor="text1" w:themeTint="A6"/>
      <w:spacing w:val="15"/>
      <w:sz w:val="28"/>
      <w:szCs w:val="28"/>
    </w:rPr>
  </w:style>
  <w:style w:type="paragraph" w:styleId="16">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40"/>
    </w:pPr>
  </w:style>
  <w:style w:type="character" w:customStyle="1" w:styleId="19">
    <w:name w:val="Heading 1 Char"/>
    <w:basedOn w:val="11"/>
    <w:link w:val="2"/>
    <w:qFormat/>
    <w:uiPriority w:val="9"/>
    <w:rPr>
      <w:rFonts w:asciiTheme="majorHAnsi" w:hAnsiTheme="majorHAnsi" w:eastAsiaTheme="majorEastAsia" w:cstheme="majorBidi"/>
      <w:color w:val="2F5496" w:themeColor="accent1" w:themeShade="BF"/>
      <w:sz w:val="40"/>
      <w:szCs w:val="40"/>
    </w:rPr>
  </w:style>
  <w:style w:type="character" w:customStyle="1" w:styleId="20">
    <w:name w:val="Heading 2 Char"/>
    <w:basedOn w:val="11"/>
    <w:link w:val="3"/>
    <w:uiPriority w:val="9"/>
    <w:rPr>
      <w:rFonts w:asciiTheme="majorHAnsi" w:hAnsiTheme="majorHAnsi" w:eastAsiaTheme="majorEastAsia" w:cstheme="majorBidi"/>
      <w:color w:val="2F5496" w:themeColor="accent1" w:themeShade="BF"/>
      <w:sz w:val="32"/>
      <w:szCs w:val="32"/>
    </w:rPr>
  </w:style>
  <w:style w:type="character" w:customStyle="1" w:styleId="21">
    <w:name w:val="Heading 3 Char"/>
    <w:basedOn w:val="11"/>
    <w:link w:val="4"/>
    <w:semiHidden/>
    <w:qFormat/>
    <w:uiPriority w:val="9"/>
    <w:rPr>
      <w:rFonts w:eastAsiaTheme="majorEastAsia" w:cstheme="majorBidi"/>
      <w:color w:val="2F5496" w:themeColor="accent1" w:themeShade="BF"/>
      <w:sz w:val="28"/>
      <w:szCs w:val="28"/>
    </w:rPr>
  </w:style>
  <w:style w:type="character" w:customStyle="1" w:styleId="22">
    <w:name w:val="Heading 4 Char"/>
    <w:basedOn w:val="11"/>
    <w:link w:val="5"/>
    <w:semiHidden/>
    <w:qFormat/>
    <w:uiPriority w:val="9"/>
    <w:rPr>
      <w:rFonts w:eastAsiaTheme="majorEastAsia" w:cstheme="majorBidi"/>
      <w:i/>
      <w:iCs/>
      <w:color w:val="2F5496" w:themeColor="accent1" w:themeShade="BF"/>
    </w:rPr>
  </w:style>
  <w:style w:type="character" w:customStyle="1" w:styleId="23">
    <w:name w:val="Heading 5 Char"/>
    <w:basedOn w:val="11"/>
    <w:link w:val="6"/>
    <w:semiHidden/>
    <w:qFormat/>
    <w:uiPriority w:val="9"/>
    <w:rPr>
      <w:rFonts w:eastAsiaTheme="majorEastAsia" w:cstheme="majorBidi"/>
      <w:color w:val="2F5496" w:themeColor="accent1" w:themeShade="BF"/>
    </w:rPr>
  </w:style>
  <w:style w:type="character" w:customStyle="1" w:styleId="24">
    <w:name w:val="Heading 6 Char"/>
    <w:basedOn w:val="11"/>
    <w:link w:val="7"/>
    <w:semiHidden/>
    <w:qFormat/>
    <w:uiPriority w:val="9"/>
    <w:rPr>
      <w:rFonts w:eastAsiaTheme="majorEastAsia" w:cstheme="majorBidi"/>
      <w:i/>
      <w:iCs/>
      <w:color w:val="585858" w:themeColor="text1" w:themeTint="A6"/>
    </w:rPr>
  </w:style>
  <w:style w:type="character" w:customStyle="1" w:styleId="25">
    <w:name w:val="Heading 7 Char"/>
    <w:basedOn w:val="11"/>
    <w:link w:val="8"/>
    <w:semiHidden/>
    <w:qFormat/>
    <w:uiPriority w:val="9"/>
    <w:rPr>
      <w:rFonts w:eastAsiaTheme="majorEastAsia" w:cstheme="majorBidi"/>
      <w:color w:val="585858" w:themeColor="text1" w:themeTint="A6"/>
    </w:rPr>
  </w:style>
  <w:style w:type="character" w:customStyle="1" w:styleId="26">
    <w:name w:val="Heading 8 Char"/>
    <w:basedOn w:val="11"/>
    <w:link w:val="9"/>
    <w:semiHidden/>
    <w:uiPriority w:val="9"/>
    <w:rPr>
      <w:rFonts w:eastAsiaTheme="majorEastAsia" w:cstheme="majorBidi"/>
      <w:i/>
      <w:iCs/>
      <w:color w:val="262626" w:themeColor="text1" w:themeTint="D8"/>
    </w:rPr>
  </w:style>
  <w:style w:type="character" w:customStyle="1" w:styleId="27">
    <w:name w:val="Heading 9 Char"/>
    <w:basedOn w:val="11"/>
    <w:link w:val="10"/>
    <w:semiHidden/>
    <w:qFormat/>
    <w:uiPriority w:val="9"/>
    <w:rPr>
      <w:rFonts w:eastAsiaTheme="majorEastAsia" w:cstheme="majorBidi"/>
      <w:color w:val="262626" w:themeColor="text1" w:themeTint="D8"/>
    </w:rPr>
  </w:style>
  <w:style w:type="character" w:customStyle="1" w:styleId="28">
    <w:name w:val="Title Char"/>
    <w:basedOn w:val="11"/>
    <w:link w:val="16"/>
    <w:qFormat/>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5"/>
    <w:qFormat/>
    <w:uiPriority w:val="11"/>
    <w:rPr>
      <w:rFonts w:eastAsiaTheme="majorEastAsia" w:cstheme="majorBidi"/>
      <w:color w:val="585858" w:themeColor="text1" w:themeTint="A6"/>
      <w:spacing w:val="15"/>
      <w:sz w:val="28"/>
      <w:szCs w:val="28"/>
    </w:rPr>
  </w:style>
  <w:style w:type="paragraph" w:styleId="30">
    <w:name w:val="Quote"/>
    <w:basedOn w:val="1"/>
    <w:next w:val="1"/>
    <w:link w:val="31"/>
    <w:qFormat/>
    <w:uiPriority w:val="29"/>
    <w:pPr>
      <w:spacing w:before="160"/>
      <w:jc w:val="center"/>
    </w:pPr>
    <w:rPr>
      <w:i/>
      <w:iCs/>
      <w:color w:val="3F3F3F" w:themeColor="text1" w:themeTint="BF"/>
    </w:rPr>
  </w:style>
  <w:style w:type="character" w:customStyle="1" w:styleId="31">
    <w:name w:val="Quote Char"/>
    <w:basedOn w:val="11"/>
    <w:link w:val="30"/>
    <w:uiPriority w:val="29"/>
    <w:rPr>
      <w:i/>
      <w:iCs/>
      <w:color w:val="3F3F3F" w:themeColor="text1" w:themeTint="BF"/>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2F5496" w:themeColor="accent1" w:themeShade="BF"/>
    </w:rPr>
  </w:style>
  <w:style w:type="paragraph" w:styleId="34">
    <w:name w:val="Intense Quote"/>
    <w:basedOn w:val="1"/>
    <w:next w:val="1"/>
    <w:link w:val="35"/>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customStyle="1" w:styleId="35">
    <w:name w:val="Intense Quote Char"/>
    <w:basedOn w:val="11"/>
    <w:link w:val="34"/>
    <w:uiPriority w:val="30"/>
    <w:rPr>
      <w:i/>
      <w:iCs/>
      <w:color w:val="2F5496" w:themeColor="accent1" w:themeShade="BF"/>
    </w:rPr>
  </w:style>
  <w:style w:type="character" w:customStyle="1" w:styleId="36">
    <w:name w:val="Intense Reference"/>
    <w:basedOn w:val="11"/>
    <w:qFormat/>
    <w:uiPriority w:val="32"/>
    <w:rPr>
      <w:b/>
      <w:bCs/>
      <w:smallCaps/>
      <w:color w:val="2F5496" w:themeColor="accent1" w:themeShade="BF"/>
      <w:spacing w:val="5"/>
    </w:rPr>
  </w:style>
  <w:style w:type="paragraph" w:customStyle="1" w:styleId="37">
    <w:name w:val="TOC Heading"/>
    <w:basedOn w:val="2"/>
    <w:next w:val="1"/>
    <w:unhideWhenUsed/>
    <w:qFormat/>
    <w:uiPriority w:val="39"/>
    <w:pPr>
      <w:spacing w:before="240" w:after="0" w:line="259" w:lineRule="auto"/>
      <w:outlineLvl w:val="9"/>
    </w:pPr>
    <w:rPr>
      <w:kern w:val="0"/>
      <w:sz w:val="32"/>
      <w:szCs w:val="32"/>
      <w:lang w:val="en-US"/>
    </w:rPr>
  </w:style>
  <w:style w:type="character" w:customStyle="1" w:styleId="38">
    <w:name w:val="Balloon Text Char"/>
    <w:basedOn w:val="11"/>
    <w:link w:val="13"/>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977B0-ED14-42BC-9757-5315DF3729FD}">
  <ds:schemaRefs/>
</ds:datastoreItem>
</file>

<file path=docProps/app.xml><?xml version="1.0" encoding="utf-8"?>
<Properties xmlns="http://schemas.openxmlformats.org/officeDocument/2006/extended-properties" xmlns:vt="http://schemas.openxmlformats.org/officeDocument/2006/docPropsVTypes">
  <Template>Normal</Template>
  <Company>HP</Company>
  <Pages>7</Pages>
  <Words>1282</Words>
  <Characters>7309</Characters>
  <Lines>60</Lines>
  <Paragraphs>17</Paragraphs>
  <TotalTime>29</TotalTime>
  <ScaleCrop>false</ScaleCrop>
  <LinksUpToDate>false</LinksUpToDate>
  <CharactersWithSpaces>8574</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2025-04-12T16:53:00Z</dcterms:created>
  <dc:creator>Bianca</dc:creator>
  <cp:lastModifiedBy>Josanu Iurie</cp:lastModifiedBy>
  <dcterms:modified xsi:type="dcterms:W3CDTF">2025-04-23T16:32:45Z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5EE647F8C33346CAB39421F440FDE294_12</vt:lpwstr>
  </property>
</Properties>
</file>