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C971B" w14:textId="77777777" w:rsidR="0069622E" w:rsidRPr="0005381A" w:rsidRDefault="0069622E" w:rsidP="0005381A">
      <w:pPr>
        <w:spacing w:before="120" w:after="120" w:line="360" w:lineRule="auto"/>
        <w:contextualSpacing/>
        <w:rPr>
          <w:rFonts w:ascii="Arial" w:hAnsi="Arial" w:cs="Arial"/>
          <w:lang w:val="en-US"/>
        </w:rPr>
      </w:pPr>
    </w:p>
    <w:p w14:paraId="74FD8F7E" w14:textId="77777777" w:rsidR="0069622E" w:rsidRPr="0005381A" w:rsidRDefault="0069622E" w:rsidP="0005381A">
      <w:pPr>
        <w:spacing w:before="120" w:after="120" w:line="360" w:lineRule="auto"/>
        <w:contextualSpacing/>
        <w:jc w:val="center"/>
        <w:rPr>
          <w:rFonts w:ascii="Arial" w:hAnsi="Arial" w:cs="Arial"/>
          <w:b/>
          <w:bCs/>
          <w:lang w:val="en-US"/>
        </w:rPr>
      </w:pPr>
    </w:p>
    <w:p w14:paraId="3E76C6D1" w14:textId="77777777" w:rsidR="0069622E" w:rsidRPr="0005381A" w:rsidRDefault="0069622E" w:rsidP="0005381A">
      <w:pPr>
        <w:spacing w:before="120" w:after="120" w:line="360" w:lineRule="auto"/>
        <w:contextualSpacing/>
        <w:jc w:val="center"/>
        <w:rPr>
          <w:rFonts w:ascii="Arial" w:hAnsi="Arial" w:cs="Arial"/>
          <w:b/>
          <w:bCs/>
          <w:lang w:val="en-US"/>
        </w:rPr>
      </w:pPr>
    </w:p>
    <w:p w14:paraId="6DB60515" w14:textId="77777777" w:rsidR="0069622E" w:rsidRPr="0005381A" w:rsidRDefault="0069622E" w:rsidP="0005381A">
      <w:pPr>
        <w:spacing w:before="120" w:after="120" w:line="360" w:lineRule="auto"/>
        <w:contextualSpacing/>
        <w:jc w:val="center"/>
        <w:rPr>
          <w:rFonts w:ascii="Arial" w:hAnsi="Arial" w:cs="Arial"/>
          <w:b/>
          <w:bCs/>
          <w:lang w:val="en-US"/>
        </w:rPr>
      </w:pPr>
    </w:p>
    <w:p w14:paraId="7AEDE991" w14:textId="77777777" w:rsidR="0069622E" w:rsidRPr="0005381A" w:rsidRDefault="0069622E" w:rsidP="0005381A">
      <w:pPr>
        <w:spacing w:before="120" w:after="120" w:line="360" w:lineRule="auto"/>
        <w:contextualSpacing/>
        <w:jc w:val="center"/>
        <w:rPr>
          <w:rFonts w:ascii="Arial" w:hAnsi="Arial" w:cs="Arial"/>
          <w:b/>
          <w:bCs/>
          <w:lang w:val="en-US"/>
        </w:rPr>
      </w:pPr>
    </w:p>
    <w:p w14:paraId="14265218" w14:textId="77777777" w:rsidR="0069622E" w:rsidRPr="0005381A" w:rsidRDefault="0069622E" w:rsidP="0005381A">
      <w:pPr>
        <w:spacing w:before="120" w:after="120" w:line="360" w:lineRule="auto"/>
        <w:contextualSpacing/>
        <w:jc w:val="center"/>
        <w:rPr>
          <w:rFonts w:ascii="Arial" w:hAnsi="Arial" w:cs="Arial"/>
          <w:b/>
          <w:bCs/>
          <w:lang w:val="en-US"/>
        </w:rPr>
      </w:pPr>
    </w:p>
    <w:p w14:paraId="1D282449" w14:textId="77777777" w:rsidR="0069622E" w:rsidRPr="0005381A" w:rsidRDefault="0069622E" w:rsidP="0005381A">
      <w:pPr>
        <w:spacing w:before="120" w:after="120" w:line="360" w:lineRule="auto"/>
        <w:contextualSpacing/>
        <w:jc w:val="center"/>
        <w:rPr>
          <w:rFonts w:ascii="Arial" w:hAnsi="Arial" w:cs="Arial"/>
          <w:b/>
          <w:bCs/>
          <w:lang w:val="en-US"/>
        </w:rPr>
      </w:pPr>
    </w:p>
    <w:p w14:paraId="2804B586" w14:textId="77777777"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ASSIGNMENT TITLE: ASSESSMENT COMPONENT: FINANCIAL PERFORMANCE AND MANAGEMENT</w:t>
      </w:r>
    </w:p>
    <w:p w14:paraId="57B4A793" w14:textId="77777777" w:rsidR="0069622E" w:rsidRPr="0005381A" w:rsidRDefault="0069622E" w:rsidP="0005381A">
      <w:pPr>
        <w:spacing w:before="120" w:after="120" w:line="360" w:lineRule="auto"/>
        <w:contextualSpacing/>
        <w:jc w:val="center"/>
        <w:rPr>
          <w:rFonts w:ascii="Arial" w:hAnsi="Arial" w:cs="Arial"/>
          <w:b/>
          <w:bCs/>
          <w:lang w:val="en-US"/>
        </w:rPr>
      </w:pPr>
    </w:p>
    <w:p w14:paraId="488DA0B2" w14:textId="77777777" w:rsidR="0069622E" w:rsidRPr="0005381A" w:rsidRDefault="0069622E" w:rsidP="0005381A">
      <w:pPr>
        <w:spacing w:before="120" w:after="120" w:line="360" w:lineRule="auto"/>
        <w:contextualSpacing/>
        <w:jc w:val="center"/>
        <w:rPr>
          <w:rFonts w:ascii="Arial" w:hAnsi="Arial" w:cs="Arial"/>
          <w:b/>
          <w:bCs/>
          <w:lang w:val="en-US"/>
        </w:rPr>
      </w:pPr>
    </w:p>
    <w:p w14:paraId="7C5AB4E3" w14:textId="77777777" w:rsidR="0069622E" w:rsidRPr="0005381A" w:rsidRDefault="0069622E" w:rsidP="0005381A">
      <w:pPr>
        <w:spacing w:before="120" w:after="120" w:line="360" w:lineRule="auto"/>
        <w:contextualSpacing/>
        <w:jc w:val="center"/>
        <w:rPr>
          <w:rFonts w:ascii="Arial" w:hAnsi="Arial" w:cs="Arial"/>
          <w:b/>
          <w:bCs/>
          <w:lang w:val="en-US"/>
        </w:rPr>
      </w:pPr>
    </w:p>
    <w:p w14:paraId="3EDA5BB4" w14:textId="77777777" w:rsidR="0069622E" w:rsidRPr="0005381A" w:rsidRDefault="0069622E" w:rsidP="0005381A">
      <w:pPr>
        <w:spacing w:before="120" w:after="120" w:line="360" w:lineRule="auto"/>
        <w:contextualSpacing/>
        <w:jc w:val="center"/>
        <w:rPr>
          <w:rFonts w:ascii="Arial" w:hAnsi="Arial" w:cs="Arial"/>
          <w:b/>
          <w:bCs/>
          <w:lang w:val="en-US"/>
        </w:rPr>
      </w:pPr>
    </w:p>
    <w:p w14:paraId="59FCF051" w14:textId="77777777" w:rsidR="0069622E" w:rsidRPr="0005381A" w:rsidRDefault="0069622E" w:rsidP="0005381A">
      <w:pPr>
        <w:spacing w:before="120" w:after="120" w:line="360" w:lineRule="auto"/>
        <w:contextualSpacing/>
        <w:jc w:val="center"/>
        <w:rPr>
          <w:rFonts w:ascii="Arial" w:hAnsi="Arial" w:cs="Arial"/>
          <w:b/>
          <w:bCs/>
          <w:lang w:val="en-US"/>
        </w:rPr>
      </w:pPr>
    </w:p>
    <w:p w14:paraId="579C2ACB" w14:textId="77777777" w:rsidR="0069622E" w:rsidRPr="0005381A" w:rsidRDefault="0069622E" w:rsidP="0005381A">
      <w:pPr>
        <w:spacing w:before="120" w:after="120" w:line="360" w:lineRule="auto"/>
        <w:contextualSpacing/>
        <w:jc w:val="center"/>
        <w:rPr>
          <w:rFonts w:ascii="Arial" w:hAnsi="Arial" w:cs="Arial"/>
          <w:b/>
          <w:bCs/>
          <w:lang w:val="en-US"/>
        </w:rPr>
      </w:pPr>
    </w:p>
    <w:p w14:paraId="1D227FA5" w14:textId="77777777"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PROGRAMME: MASTER OF BUSINESS ADMINISTRATION</w:t>
      </w:r>
    </w:p>
    <w:p w14:paraId="4F87A4DF" w14:textId="77777777"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MODULE: FINANCIAL MANAGEMENT</w:t>
      </w:r>
    </w:p>
    <w:p w14:paraId="21CCE73D" w14:textId="77777777"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MODULE CODE: LCMB7002</w:t>
      </w:r>
    </w:p>
    <w:p w14:paraId="4CCFDC09" w14:textId="77777777"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LECTURER: SHENGFENG MEI</w:t>
      </w:r>
    </w:p>
    <w:p w14:paraId="5D392D0B" w14:textId="77777777"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 xml:space="preserve">                       PATRICK YEBOAH</w:t>
      </w:r>
    </w:p>
    <w:p w14:paraId="7581EEC9" w14:textId="11229FB0" w:rsidR="0069622E" w:rsidRPr="0005381A" w:rsidRDefault="0069622E" w:rsidP="0005381A">
      <w:pPr>
        <w:spacing w:before="120" w:after="120" w:line="360" w:lineRule="auto"/>
        <w:contextualSpacing/>
        <w:jc w:val="center"/>
        <w:rPr>
          <w:rFonts w:ascii="Arial" w:hAnsi="Arial" w:cs="Arial"/>
          <w:b/>
          <w:bCs/>
          <w:lang w:val="en-US"/>
        </w:rPr>
      </w:pPr>
      <w:r w:rsidRPr="0005381A">
        <w:rPr>
          <w:rFonts w:ascii="Arial" w:hAnsi="Arial" w:cs="Arial"/>
          <w:b/>
          <w:bCs/>
          <w:lang w:val="en-US"/>
        </w:rPr>
        <w:t>Word Count: 5</w:t>
      </w:r>
      <w:r w:rsidR="0005381A" w:rsidRPr="0005381A">
        <w:rPr>
          <w:rFonts w:ascii="Arial" w:hAnsi="Arial" w:cs="Arial"/>
          <w:b/>
          <w:bCs/>
          <w:lang w:val="en-US"/>
        </w:rPr>
        <w:t>154</w:t>
      </w:r>
    </w:p>
    <w:p w14:paraId="14B29586" w14:textId="77777777" w:rsidR="0069622E" w:rsidRPr="0005381A" w:rsidRDefault="0069622E" w:rsidP="0005381A">
      <w:pPr>
        <w:spacing w:before="120" w:after="120" w:line="360" w:lineRule="auto"/>
        <w:contextualSpacing/>
        <w:rPr>
          <w:rFonts w:ascii="Arial" w:hAnsi="Arial" w:cs="Arial"/>
          <w:lang w:val="en-US"/>
        </w:rPr>
      </w:pPr>
    </w:p>
    <w:p w14:paraId="221EFCF0" w14:textId="77777777" w:rsidR="0069622E" w:rsidRPr="0005381A" w:rsidRDefault="0069622E" w:rsidP="0005381A">
      <w:pPr>
        <w:spacing w:before="120" w:after="120" w:line="360" w:lineRule="auto"/>
        <w:contextualSpacing/>
        <w:rPr>
          <w:rFonts w:ascii="Arial" w:hAnsi="Arial" w:cs="Arial"/>
        </w:rPr>
      </w:pPr>
    </w:p>
    <w:p w14:paraId="19DA5310" w14:textId="77777777" w:rsidR="0069622E" w:rsidRPr="0005381A" w:rsidRDefault="0069622E" w:rsidP="0005381A">
      <w:pPr>
        <w:spacing w:before="120" w:after="120" w:line="360" w:lineRule="auto"/>
        <w:contextualSpacing/>
        <w:rPr>
          <w:rFonts w:ascii="Arial" w:hAnsi="Arial" w:cs="Arial"/>
        </w:rPr>
      </w:pPr>
      <w:r w:rsidRPr="0005381A">
        <w:rPr>
          <w:rFonts w:ascii="Arial" w:hAnsi="Arial" w:cs="Arial"/>
        </w:rPr>
        <w:br w:type="page"/>
      </w:r>
    </w:p>
    <w:sdt>
      <w:sdtPr>
        <w:rPr>
          <w:rFonts w:ascii="Arial" w:eastAsiaTheme="minorEastAsia" w:hAnsi="Arial" w:cstheme="minorBidi"/>
          <w:color w:val="auto"/>
          <w:kern w:val="2"/>
          <w:sz w:val="24"/>
          <w:szCs w:val="24"/>
          <w:lang w:val="en-IN"/>
          <w14:ligatures w14:val="standardContextual"/>
        </w:rPr>
        <w:id w:val="-325514949"/>
        <w:docPartObj>
          <w:docPartGallery w:val="Table of Contents"/>
          <w:docPartUnique/>
        </w:docPartObj>
      </w:sdtPr>
      <w:sdtEndPr>
        <w:rPr>
          <w:b/>
          <w:bCs/>
          <w:noProof/>
        </w:rPr>
      </w:sdtEndPr>
      <w:sdtContent>
        <w:p w14:paraId="67B1586A" w14:textId="77777777" w:rsidR="0069622E" w:rsidRPr="0005381A" w:rsidRDefault="0069622E" w:rsidP="0005381A">
          <w:pPr>
            <w:pStyle w:val="TOCHeading"/>
            <w:spacing w:before="120" w:after="120" w:line="360" w:lineRule="auto"/>
            <w:rPr>
              <w:rFonts w:ascii="Arial" w:hAnsi="Arial"/>
              <w:b/>
              <w:bCs/>
              <w:color w:val="auto"/>
              <w:sz w:val="24"/>
              <w:szCs w:val="24"/>
            </w:rPr>
          </w:pPr>
          <w:r w:rsidRPr="0005381A">
            <w:rPr>
              <w:rFonts w:ascii="Arial" w:hAnsi="Arial"/>
              <w:b/>
              <w:bCs/>
              <w:color w:val="auto"/>
              <w:sz w:val="24"/>
              <w:szCs w:val="24"/>
            </w:rPr>
            <w:t>TABLE OF CONTENTS</w:t>
          </w:r>
        </w:p>
        <w:p w14:paraId="1999BEEA" w14:textId="77777777" w:rsidR="0069622E" w:rsidRPr="0005381A" w:rsidRDefault="0069622E" w:rsidP="0005381A">
          <w:pPr>
            <w:pStyle w:val="TOC1"/>
            <w:tabs>
              <w:tab w:val="right" w:leader="dot" w:pos="9016"/>
            </w:tabs>
            <w:spacing w:before="120" w:after="120" w:line="360" w:lineRule="auto"/>
            <w:contextualSpacing/>
            <w:rPr>
              <w:rFonts w:ascii="Arial" w:hAnsi="Arial" w:cs="Arial"/>
              <w:noProof/>
              <w:lang w:val="en-US"/>
            </w:rPr>
          </w:pPr>
          <w:r w:rsidRPr="0005381A">
            <w:rPr>
              <w:rFonts w:ascii="Arial" w:hAnsi="Arial" w:cs="Arial"/>
            </w:rPr>
            <w:fldChar w:fldCharType="begin"/>
          </w:r>
          <w:r w:rsidRPr="0005381A">
            <w:rPr>
              <w:rFonts w:ascii="Arial" w:hAnsi="Arial" w:cs="Arial"/>
            </w:rPr>
            <w:instrText xml:space="preserve"> TOC \o "1-3" \h \z \u </w:instrText>
          </w:r>
          <w:r w:rsidRPr="0005381A">
            <w:rPr>
              <w:rFonts w:ascii="Arial" w:hAnsi="Arial" w:cs="Arial"/>
            </w:rPr>
            <w:fldChar w:fldCharType="separate"/>
          </w:r>
          <w:hyperlink w:anchor="_Toc222499700" w:history="1">
            <w:r w:rsidRPr="0005381A">
              <w:rPr>
                <w:rStyle w:val="Hyperlink"/>
                <w:rFonts w:ascii="Arial" w:hAnsi="Arial" w:cs="Arial"/>
                <w:noProof/>
                <w:color w:val="auto"/>
              </w:rPr>
              <w:t>1. INTRODUCTION</w:t>
            </w:r>
            <w:r w:rsidRPr="0005381A">
              <w:rPr>
                <w:rFonts w:ascii="Arial" w:hAnsi="Arial" w:cs="Arial"/>
                <w:noProof/>
                <w:webHidden/>
              </w:rPr>
              <w:tab/>
            </w:r>
            <w:r w:rsidRPr="0005381A">
              <w:rPr>
                <w:rFonts w:ascii="Arial" w:hAnsi="Arial" w:cs="Arial"/>
                <w:noProof/>
                <w:webHidden/>
              </w:rPr>
              <w:fldChar w:fldCharType="begin"/>
            </w:r>
            <w:r w:rsidRPr="0005381A">
              <w:rPr>
                <w:rFonts w:ascii="Arial" w:hAnsi="Arial" w:cs="Arial"/>
                <w:noProof/>
                <w:webHidden/>
              </w:rPr>
              <w:instrText xml:space="preserve"> PAGEREF _Toc222499700 \h </w:instrText>
            </w:r>
            <w:r w:rsidRPr="0005381A">
              <w:rPr>
                <w:rFonts w:ascii="Arial" w:hAnsi="Arial" w:cs="Arial"/>
                <w:noProof/>
                <w:webHidden/>
              </w:rPr>
            </w:r>
            <w:r w:rsidRPr="0005381A">
              <w:rPr>
                <w:rFonts w:ascii="Arial" w:hAnsi="Arial" w:cs="Arial"/>
                <w:noProof/>
                <w:webHidden/>
              </w:rPr>
              <w:fldChar w:fldCharType="separate"/>
            </w:r>
            <w:r w:rsidRPr="0005381A">
              <w:rPr>
                <w:rFonts w:ascii="Arial" w:hAnsi="Arial" w:cs="Arial"/>
                <w:noProof/>
                <w:webHidden/>
              </w:rPr>
              <w:t>3</w:t>
            </w:r>
            <w:r w:rsidRPr="0005381A">
              <w:rPr>
                <w:rFonts w:ascii="Arial" w:hAnsi="Arial" w:cs="Arial"/>
                <w:noProof/>
                <w:webHidden/>
              </w:rPr>
              <w:fldChar w:fldCharType="end"/>
            </w:r>
          </w:hyperlink>
        </w:p>
        <w:p w14:paraId="3A3DD9C5" w14:textId="77777777" w:rsidR="0069622E" w:rsidRPr="0005381A" w:rsidRDefault="000F3A9F" w:rsidP="0005381A">
          <w:pPr>
            <w:pStyle w:val="TOC1"/>
            <w:tabs>
              <w:tab w:val="right" w:leader="dot" w:pos="9016"/>
            </w:tabs>
            <w:spacing w:before="120" w:after="120" w:line="360" w:lineRule="auto"/>
            <w:contextualSpacing/>
            <w:rPr>
              <w:rFonts w:ascii="Arial" w:hAnsi="Arial" w:cs="Arial"/>
              <w:noProof/>
              <w:lang w:val="en-US"/>
            </w:rPr>
          </w:pPr>
          <w:hyperlink w:anchor="_Toc222499701" w:history="1">
            <w:r w:rsidR="0069622E" w:rsidRPr="0005381A">
              <w:rPr>
                <w:rStyle w:val="Hyperlink"/>
                <w:rFonts w:ascii="Arial" w:hAnsi="Arial" w:cs="Arial"/>
                <w:noProof/>
                <w:color w:val="auto"/>
                <w:lang w:val="en-US"/>
              </w:rPr>
              <w:t>2. FINANCIAL HEALTH CHECK</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_Toc222499701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4</w:t>
            </w:r>
            <w:r w:rsidR="0069622E" w:rsidRPr="0005381A">
              <w:rPr>
                <w:rFonts w:ascii="Arial" w:hAnsi="Arial" w:cs="Arial"/>
                <w:noProof/>
                <w:webHidden/>
              </w:rPr>
              <w:fldChar w:fldCharType="end"/>
            </w:r>
          </w:hyperlink>
        </w:p>
        <w:p w14:paraId="71D82E55" w14:textId="77777777" w:rsidR="0069622E" w:rsidRPr="0005381A" w:rsidRDefault="000F3A9F" w:rsidP="0005381A">
          <w:pPr>
            <w:pStyle w:val="TOC1"/>
            <w:tabs>
              <w:tab w:val="right" w:leader="dot" w:pos="9016"/>
            </w:tabs>
            <w:spacing w:before="120" w:after="120" w:line="360" w:lineRule="auto"/>
            <w:contextualSpacing/>
            <w:rPr>
              <w:rFonts w:ascii="Arial" w:hAnsi="Arial" w:cs="Arial"/>
              <w:noProof/>
              <w:lang w:val="en-US"/>
            </w:rPr>
          </w:pPr>
          <w:hyperlink w:anchor="_Toc222499702" w:history="1">
            <w:r w:rsidR="0069622E" w:rsidRPr="0005381A">
              <w:rPr>
                <w:rStyle w:val="Hyperlink"/>
                <w:rFonts w:ascii="Arial" w:hAnsi="Arial" w:cs="Arial"/>
                <w:noProof/>
                <w:color w:val="auto"/>
                <w:lang w:val="en-US"/>
              </w:rPr>
              <w:t xml:space="preserve">3. </w:t>
            </w:r>
            <w:r w:rsidR="0069622E" w:rsidRPr="0005381A">
              <w:rPr>
                <w:rStyle w:val="Hyperlink"/>
                <w:rFonts w:ascii="Arial" w:hAnsi="Arial" w:cs="Arial"/>
                <w:noProof/>
                <w:color w:val="auto"/>
              </w:rPr>
              <w:t>WORKING CAPITAL MANAGEMENT ANALYSIS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_Toc222499702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10</w:t>
            </w:r>
            <w:r w:rsidR="0069622E" w:rsidRPr="0005381A">
              <w:rPr>
                <w:rFonts w:ascii="Arial" w:hAnsi="Arial" w:cs="Arial"/>
                <w:noProof/>
                <w:webHidden/>
              </w:rPr>
              <w:fldChar w:fldCharType="end"/>
            </w:r>
          </w:hyperlink>
        </w:p>
        <w:p w14:paraId="0D7675EF" w14:textId="77777777" w:rsidR="0069622E" w:rsidRPr="0005381A" w:rsidRDefault="000F3A9F" w:rsidP="0005381A">
          <w:pPr>
            <w:pStyle w:val="TOC1"/>
            <w:tabs>
              <w:tab w:val="right" w:leader="dot" w:pos="9016"/>
            </w:tabs>
            <w:spacing w:before="120" w:after="120" w:line="360" w:lineRule="auto"/>
            <w:contextualSpacing/>
            <w:rPr>
              <w:rFonts w:ascii="Arial" w:hAnsi="Arial" w:cs="Arial"/>
              <w:noProof/>
              <w:lang w:val="en-US"/>
            </w:rPr>
          </w:pPr>
          <w:hyperlink w:anchor="_Toc222499703" w:history="1">
            <w:r w:rsidR="0069622E" w:rsidRPr="0005381A">
              <w:rPr>
                <w:rStyle w:val="Hyperlink"/>
                <w:rFonts w:ascii="Arial" w:hAnsi="Arial" w:cs="Arial"/>
                <w:noProof/>
                <w:color w:val="auto"/>
                <w:lang w:val="en-US"/>
              </w:rPr>
              <w:t>4. STRATEGIC FINANCIAL RESTRUCTURING PLAN</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_Toc222499703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13</w:t>
            </w:r>
            <w:r w:rsidR="0069622E" w:rsidRPr="0005381A">
              <w:rPr>
                <w:rFonts w:ascii="Arial" w:hAnsi="Arial" w:cs="Arial"/>
                <w:noProof/>
                <w:webHidden/>
              </w:rPr>
              <w:fldChar w:fldCharType="end"/>
            </w:r>
          </w:hyperlink>
        </w:p>
        <w:p w14:paraId="1496F977"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04" w:history="1">
            <w:r w:rsidR="0069622E" w:rsidRPr="0005381A">
              <w:rPr>
                <w:rStyle w:val="Hyperlink"/>
                <w:rFonts w:ascii="Arial" w:hAnsi="Arial" w:cs="Arial"/>
                <w:noProof/>
                <w:color w:val="auto"/>
                <w:lang w:val="en-US"/>
              </w:rPr>
              <w:t>4.1 Recommended Restructuring Options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_Toc222499704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14</w:t>
            </w:r>
            <w:r w:rsidR="0069622E" w:rsidRPr="0005381A">
              <w:rPr>
                <w:rFonts w:ascii="Arial" w:hAnsi="Arial" w:cs="Arial"/>
                <w:noProof/>
                <w:webHidden/>
              </w:rPr>
              <w:fldChar w:fldCharType="end"/>
            </w:r>
          </w:hyperlink>
        </w:p>
        <w:p w14:paraId="7EED0113"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05" w:history="1">
            <w:r w:rsidR="0069622E" w:rsidRPr="0005381A">
              <w:rPr>
                <w:rStyle w:val="Hyperlink"/>
                <w:rFonts w:ascii="Arial" w:hAnsi="Arial" w:cs="Arial"/>
                <w:noProof/>
                <w:color w:val="auto"/>
                <w:lang w:val="en-US"/>
              </w:rPr>
              <w:t>4.2 Evaluation of Impacts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_Toc222499705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15</w:t>
            </w:r>
            <w:r w:rsidR="0069622E" w:rsidRPr="0005381A">
              <w:rPr>
                <w:rFonts w:ascii="Arial" w:hAnsi="Arial" w:cs="Arial"/>
                <w:noProof/>
                <w:webHidden/>
              </w:rPr>
              <w:fldChar w:fldCharType="end"/>
            </w:r>
          </w:hyperlink>
        </w:p>
        <w:p w14:paraId="654F349B"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06" w:history="1">
            <w:r w:rsidR="0069622E" w:rsidRPr="0005381A">
              <w:rPr>
                <w:rStyle w:val="Hyperlink"/>
                <w:rFonts w:ascii="Arial" w:hAnsi="Arial" w:cs="Arial"/>
                <w:noProof/>
                <w:color w:val="auto"/>
                <w:lang w:val="en-US"/>
              </w:rPr>
              <w:t>4.3 International and Ethical Considerations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_Toc222499706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15</w:t>
            </w:r>
            <w:r w:rsidR="0069622E" w:rsidRPr="0005381A">
              <w:rPr>
                <w:rFonts w:ascii="Arial" w:hAnsi="Arial" w:cs="Arial"/>
                <w:noProof/>
                <w:webHidden/>
              </w:rPr>
              <w:fldChar w:fldCharType="end"/>
            </w:r>
          </w:hyperlink>
        </w:p>
        <w:p w14:paraId="2AA1FE25" w14:textId="77777777" w:rsidR="0069622E" w:rsidRPr="0005381A" w:rsidRDefault="000F3A9F" w:rsidP="0005381A">
          <w:pPr>
            <w:pStyle w:val="TOC1"/>
            <w:tabs>
              <w:tab w:val="right" w:leader="dot" w:pos="9016"/>
            </w:tabs>
            <w:spacing w:before="120" w:after="120" w:line="360" w:lineRule="auto"/>
            <w:contextualSpacing/>
            <w:rPr>
              <w:rFonts w:ascii="Arial" w:hAnsi="Arial" w:cs="Arial"/>
              <w:noProof/>
              <w:lang w:val="en-US"/>
            </w:rPr>
          </w:pPr>
          <w:hyperlink w:anchor="_Toc222499707" w:history="1">
            <w:r w:rsidR="0069622E" w:rsidRPr="0005381A">
              <w:rPr>
                <w:rStyle w:val="Hyperlink"/>
                <w:rFonts w:ascii="Arial" w:hAnsi="Arial" w:cs="Arial"/>
                <w:noProof/>
                <w:color w:val="auto"/>
                <w:lang w:val="en-US"/>
              </w:rPr>
              <w:t xml:space="preserve">5. </w:t>
            </w:r>
            <w:r w:rsidR="0069622E" w:rsidRPr="0005381A">
              <w:rPr>
                <w:rStyle w:val="Hyperlink"/>
                <w:rFonts w:ascii="Arial" w:hAnsi="Arial" w:cs="Arial"/>
                <w:noProof/>
                <w:color w:val="auto"/>
              </w:rPr>
              <w:t>INVESTMENT APPRAISAL AND CAPITAL BUDGETING</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_Toc222499707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16</w:t>
            </w:r>
            <w:r w:rsidR="0069622E" w:rsidRPr="0005381A">
              <w:rPr>
                <w:rFonts w:ascii="Arial" w:hAnsi="Arial" w:cs="Arial"/>
                <w:noProof/>
                <w:webHidden/>
              </w:rPr>
              <w:fldChar w:fldCharType="end"/>
            </w:r>
          </w:hyperlink>
        </w:p>
        <w:p w14:paraId="239F9122"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08" w:history="1">
            <w:r w:rsidR="0069622E" w:rsidRPr="0005381A">
              <w:rPr>
                <w:rStyle w:val="Hyperlink"/>
                <w:rFonts w:ascii="Arial" w:hAnsi="Arial" w:cs="Arial"/>
                <w:noProof/>
                <w:color w:val="auto"/>
                <w:lang w:val="en-US"/>
              </w:rPr>
              <w:t>5.1. Detailed Project Appraisal Calculations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_Toc222499708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17</w:t>
            </w:r>
            <w:r w:rsidR="0069622E" w:rsidRPr="0005381A">
              <w:rPr>
                <w:rFonts w:ascii="Arial" w:hAnsi="Arial" w:cs="Arial"/>
                <w:noProof/>
                <w:webHidden/>
              </w:rPr>
              <w:fldChar w:fldCharType="end"/>
            </w:r>
          </w:hyperlink>
        </w:p>
        <w:p w14:paraId="3B8F87F7"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09" w:history="1">
            <w:r w:rsidR="0069622E" w:rsidRPr="0005381A">
              <w:rPr>
                <w:rStyle w:val="Hyperlink"/>
                <w:rFonts w:ascii="Arial" w:hAnsi="Arial" w:cs="Arial"/>
                <w:noProof/>
                <w:color w:val="auto"/>
                <w:lang w:val="en-US"/>
              </w:rPr>
              <w:t>5.2. Interpretation of Results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_Toc222499709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18</w:t>
            </w:r>
            <w:r w:rsidR="0069622E" w:rsidRPr="0005381A">
              <w:rPr>
                <w:rFonts w:ascii="Arial" w:hAnsi="Arial" w:cs="Arial"/>
                <w:noProof/>
                <w:webHidden/>
              </w:rPr>
              <w:fldChar w:fldCharType="end"/>
            </w:r>
          </w:hyperlink>
        </w:p>
        <w:p w14:paraId="0C5FD491"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10" w:history="1">
            <w:r w:rsidR="0069622E" w:rsidRPr="0005381A">
              <w:rPr>
                <w:rStyle w:val="Hyperlink"/>
                <w:rFonts w:ascii="Arial" w:hAnsi="Arial" w:cs="Arial"/>
                <w:noProof/>
                <w:color w:val="auto"/>
                <w:lang w:val="en-US"/>
              </w:rPr>
              <w:t>5.3. Single Project Recommendation</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_Toc222499710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18</w:t>
            </w:r>
            <w:r w:rsidR="0069622E" w:rsidRPr="0005381A">
              <w:rPr>
                <w:rFonts w:ascii="Arial" w:hAnsi="Arial" w:cs="Arial"/>
                <w:noProof/>
                <w:webHidden/>
              </w:rPr>
              <w:fldChar w:fldCharType="end"/>
            </w:r>
          </w:hyperlink>
        </w:p>
        <w:p w14:paraId="536A7D3D"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11" w:history="1">
            <w:r w:rsidR="0069622E" w:rsidRPr="0005381A">
              <w:rPr>
                <w:rStyle w:val="Hyperlink"/>
                <w:rFonts w:ascii="Arial" w:hAnsi="Arial" w:cs="Arial"/>
                <w:noProof/>
                <w:color w:val="auto"/>
                <w:lang w:val="en-US"/>
              </w:rPr>
              <w:t>5.4. Capital Rationing Decision (£100 million limit)</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_Toc222499711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19</w:t>
            </w:r>
            <w:r w:rsidR="0069622E" w:rsidRPr="0005381A">
              <w:rPr>
                <w:rFonts w:ascii="Arial" w:hAnsi="Arial" w:cs="Arial"/>
                <w:noProof/>
                <w:webHidden/>
              </w:rPr>
              <w:fldChar w:fldCharType="end"/>
            </w:r>
          </w:hyperlink>
        </w:p>
        <w:p w14:paraId="375380B3"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12" w:history="1">
            <w:r w:rsidR="0069622E" w:rsidRPr="0005381A">
              <w:rPr>
                <w:rStyle w:val="Hyperlink"/>
                <w:rFonts w:ascii="Arial" w:hAnsi="Arial" w:cs="Arial"/>
                <w:noProof/>
                <w:color w:val="auto"/>
                <w:lang w:val="en-US"/>
              </w:rPr>
              <w:t>5.5. Conclusion</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_Toc222499712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20</w:t>
            </w:r>
            <w:r w:rsidR="0069622E" w:rsidRPr="0005381A">
              <w:rPr>
                <w:rFonts w:ascii="Arial" w:hAnsi="Arial" w:cs="Arial"/>
                <w:noProof/>
                <w:webHidden/>
              </w:rPr>
              <w:fldChar w:fldCharType="end"/>
            </w:r>
          </w:hyperlink>
        </w:p>
        <w:p w14:paraId="197D3051" w14:textId="77777777" w:rsidR="0069622E" w:rsidRPr="0005381A" w:rsidRDefault="000F3A9F" w:rsidP="0005381A">
          <w:pPr>
            <w:pStyle w:val="TOC1"/>
            <w:tabs>
              <w:tab w:val="right" w:leader="dot" w:pos="9016"/>
            </w:tabs>
            <w:spacing w:before="120" w:after="120" w:line="360" w:lineRule="auto"/>
            <w:contextualSpacing/>
            <w:rPr>
              <w:rFonts w:ascii="Arial" w:hAnsi="Arial" w:cs="Arial"/>
              <w:noProof/>
              <w:lang w:val="en-US"/>
            </w:rPr>
          </w:pPr>
          <w:hyperlink w:anchor="_Toc222499713" w:history="1">
            <w:r w:rsidR="0069622E" w:rsidRPr="0005381A">
              <w:rPr>
                <w:rStyle w:val="Hyperlink"/>
                <w:rFonts w:ascii="Arial" w:hAnsi="Arial" w:cs="Arial"/>
                <w:noProof/>
                <w:color w:val="auto"/>
                <w:lang w:val="en-US"/>
              </w:rPr>
              <w:t>6. LIST OF REFERENCES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_Toc222499713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21</w:t>
            </w:r>
            <w:r w:rsidR="0069622E" w:rsidRPr="0005381A">
              <w:rPr>
                <w:rFonts w:ascii="Arial" w:hAnsi="Arial" w:cs="Arial"/>
                <w:noProof/>
                <w:webHidden/>
              </w:rPr>
              <w:fldChar w:fldCharType="end"/>
            </w:r>
          </w:hyperlink>
        </w:p>
        <w:p w14:paraId="72B34C5E" w14:textId="77777777" w:rsidR="0069622E" w:rsidRPr="0005381A" w:rsidRDefault="000F3A9F" w:rsidP="0005381A">
          <w:pPr>
            <w:pStyle w:val="TOC1"/>
            <w:tabs>
              <w:tab w:val="right" w:leader="dot" w:pos="9016"/>
            </w:tabs>
            <w:spacing w:before="120" w:after="120" w:line="360" w:lineRule="auto"/>
            <w:contextualSpacing/>
            <w:rPr>
              <w:rFonts w:ascii="Arial" w:hAnsi="Arial" w:cs="Arial"/>
              <w:noProof/>
              <w:lang w:val="en-US"/>
            </w:rPr>
          </w:pPr>
          <w:hyperlink w:anchor="_Toc222499714" w:history="1">
            <w:r w:rsidR="0069622E" w:rsidRPr="0005381A">
              <w:rPr>
                <w:rStyle w:val="Hyperlink"/>
                <w:rFonts w:ascii="Arial" w:hAnsi="Arial" w:cs="Arial"/>
                <w:noProof/>
                <w:color w:val="auto"/>
                <w:lang w:val="en-US"/>
              </w:rPr>
              <w:t>7. APPENDICES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_Toc222499714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21</w:t>
            </w:r>
            <w:r w:rsidR="0069622E" w:rsidRPr="0005381A">
              <w:rPr>
                <w:rFonts w:ascii="Arial" w:hAnsi="Arial" w:cs="Arial"/>
                <w:noProof/>
                <w:webHidden/>
              </w:rPr>
              <w:fldChar w:fldCharType="end"/>
            </w:r>
          </w:hyperlink>
        </w:p>
        <w:p w14:paraId="6385B426"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15" w:history="1">
            <w:r w:rsidR="0069622E" w:rsidRPr="0005381A">
              <w:rPr>
                <w:rStyle w:val="Hyperlink"/>
                <w:rFonts w:ascii="Arial" w:hAnsi="Arial" w:cs="Arial"/>
                <w:noProof/>
                <w:color w:val="auto"/>
                <w:lang w:val="en-US"/>
              </w:rPr>
              <w:t>7.1. Ratio Tables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_Toc222499715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21</w:t>
            </w:r>
            <w:r w:rsidR="0069622E" w:rsidRPr="0005381A">
              <w:rPr>
                <w:rFonts w:ascii="Arial" w:hAnsi="Arial" w:cs="Arial"/>
                <w:noProof/>
                <w:webHidden/>
              </w:rPr>
              <w:fldChar w:fldCharType="end"/>
            </w:r>
          </w:hyperlink>
        </w:p>
        <w:p w14:paraId="1B5CF557" w14:textId="77777777" w:rsidR="0069622E" w:rsidRPr="0005381A" w:rsidRDefault="000F3A9F" w:rsidP="0005381A">
          <w:pPr>
            <w:pStyle w:val="TOC2"/>
            <w:tabs>
              <w:tab w:val="right" w:leader="dot" w:pos="9016"/>
            </w:tabs>
            <w:spacing w:before="120" w:after="120" w:line="360" w:lineRule="auto"/>
            <w:contextualSpacing/>
            <w:rPr>
              <w:rFonts w:ascii="Arial" w:hAnsi="Arial" w:cs="Arial"/>
              <w:noProof/>
              <w:lang w:val="en-US"/>
            </w:rPr>
          </w:pPr>
          <w:hyperlink w:anchor="_Toc222499716" w:history="1">
            <w:r w:rsidR="0069622E" w:rsidRPr="0005381A">
              <w:rPr>
                <w:rStyle w:val="Hyperlink"/>
                <w:rFonts w:ascii="Arial" w:hAnsi="Arial" w:cs="Arial"/>
                <w:noProof/>
                <w:color w:val="auto"/>
                <w:lang w:val="en-US"/>
              </w:rPr>
              <w:t>7.2. Investment Appraisal Calculations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_Toc222499716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21</w:t>
            </w:r>
            <w:r w:rsidR="0069622E" w:rsidRPr="0005381A">
              <w:rPr>
                <w:rFonts w:ascii="Arial" w:hAnsi="Arial" w:cs="Arial"/>
                <w:noProof/>
                <w:webHidden/>
              </w:rPr>
              <w:fldChar w:fldCharType="end"/>
            </w:r>
          </w:hyperlink>
        </w:p>
        <w:p w14:paraId="583CD4C9" w14:textId="77777777" w:rsidR="0069622E" w:rsidRPr="0005381A" w:rsidRDefault="0069622E" w:rsidP="0005381A">
          <w:pPr>
            <w:spacing w:before="120" w:after="120" w:line="360" w:lineRule="auto"/>
            <w:contextualSpacing/>
            <w:rPr>
              <w:rFonts w:ascii="Arial" w:hAnsi="Arial" w:cs="Arial"/>
            </w:rPr>
          </w:pPr>
          <w:r w:rsidRPr="0005381A">
            <w:rPr>
              <w:rFonts w:ascii="Arial" w:hAnsi="Arial" w:cs="Arial"/>
              <w:b/>
              <w:bCs/>
              <w:noProof/>
            </w:rPr>
            <w:fldChar w:fldCharType="end"/>
          </w:r>
        </w:p>
      </w:sdtContent>
    </w:sdt>
    <w:p w14:paraId="30BBF61E" w14:textId="77777777" w:rsidR="0069622E" w:rsidRPr="0005381A" w:rsidRDefault="0069622E" w:rsidP="0005381A">
      <w:pPr>
        <w:spacing w:before="120" w:after="120" w:line="360" w:lineRule="auto"/>
        <w:contextualSpacing/>
        <w:rPr>
          <w:rFonts w:ascii="Arial" w:hAnsi="Arial" w:cs="Arial"/>
          <w:b/>
          <w:bCs/>
        </w:rPr>
      </w:pPr>
      <w:r w:rsidRPr="0005381A">
        <w:rPr>
          <w:rFonts w:ascii="Arial" w:hAnsi="Arial" w:cs="Arial"/>
          <w:b/>
          <w:bCs/>
        </w:rPr>
        <w:t>Table of Figures</w:t>
      </w:r>
    </w:p>
    <w:p w14:paraId="35DDA13C" w14:textId="77777777" w:rsidR="0069622E" w:rsidRPr="0005381A" w:rsidRDefault="0069622E" w:rsidP="0005381A">
      <w:pPr>
        <w:pStyle w:val="TableofFigures"/>
        <w:tabs>
          <w:tab w:val="right" w:leader="dot" w:pos="9016"/>
        </w:tabs>
        <w:spacing w:before="120" w:after="120" w:line="360" w:lineRule="auto"/>
        <w:contextualSpacing/>
        <w:rPr>
          <w:rFonts w:ascii="Arial" w:hAnsi="Arial" w:cs="Arial"/>
          <w:noProof/>
        </w:rPr>
      </w:pPr>
      <w:r w:rsidRPr="0005381A">
        <w:rPr>
          <w:rFonts w:ascii="Arial" w:hAnsi="Arial" w:cs="Arial"/>
          <w:b/>
          <w:bCs/>
        </w:rPr>
        <w:fldChar w:fldCharType="begin"/>
      </w:r>
      <w:r w:rsidRPr="0005381A">
        <w:rPr>
          <w:rFonts w:ascii="Arial" w:hAnsi="Arial" w:cs="Arial"/>
          <w:b/>
          <w:bCs/>
        </w:rPr>
        <w:instrText xml:space="preserve"> TOC \h \z \c "Figure" </w:instrText>
      </w:r>
      <w:r w:rsidRPr="0005381A">
        <w:rPr>
          <w:rFonts w:ascii="Arial" w:hAnsi="Arial" w:cs="Arial"/>
          <w:b/>
          <w:bCs/>
        </w:rPr>
        <w:fldChar w:fldCharType="separate"/>
      </w:r>
      <w:hyperlink w:anchor="_Toc222527567" w:history="1">
        <w:r w:rsidRPr="0005381A">
          <w:rPr>
            <w:rStyle w:val="Hyperlink"/>
            <w:rFonts w:ascii="Arial" w:hAnsi="Arial" w:cs="Arial"/>
            <w:noProof/>
            <w:color w:val="auto"/>
          </w:rPr>
          <w:t xml:space="preserve">Figure 1: </w:t>
        </w:r>
        <w:r w:rsidRPr="0005381A">
          <w:rPr>
            <w:rStyle w:val="Hyperlink"/>
            <w:rFonts w:ascii="Arial" w:hAnsi="Arial" w:cs="Arial"/>
            <w:noProof/>
            <w:color w:val="auto"/>
            <w:lang w:val="en-US"/>
          </w:rPr>
          <w:t>Operating Return on Sales (%)</w:t>
        </w:r>
        <w:r w:rsidRPr="0005381A">
          <w:rPr>
            <w:rFonts w:ascii="Arial" w:hAnsi="Arial" w:cs="Arial"/>
            <w:noProof/>
            <w:webHidden/>
          </w:rPr>
          <w:tab/>
        </w:r>
        <w:r w:rsidRPr="0005381A">
          <w:rPr>
            <w:rFonts w:ascii="Arial" w:hAnsi="Arial" w:cs="Arial"/>
            <w:noProof/>
            <w:webHidden/>
          </w:rPr>
          <w:fldChar w:fldCharType="begin"/>
        </w:r>
        <w:r w:rsidRPr="0005381A">
          <w:rPr>
            <w:rFonts w:ascii="Arial" w:hAnsi="Arial" w:cs="Arial"/>
            <w:noProof/>
            <w:webHidden/>
          </w:rPr>
          <w:instrText xml:space="preserve"> PAGEREF _Toc222527567 \h </w:instrText>
        </w:r>
        <w:r w:rsidRPr="0005381A">
          <w:rPr>
            <w:rFonts w:ascii="Arial" w:hAnsi="Arial" w:cs="Arial"/>
            <w:noProof/>
            <w:webHidden/>
          </w:rPr>
        </w:r>
        <w:r w:rsidRPr="0005381A">
          <w:rPr>
            <w:rFonts w:ascii="Arial" w:hAnsi="Arial" w:cs="Arial"/>
            <w:noProof/>
            <w:webHidden/>
          </w:rPr>
          <w:fldChar w:fldCharType="separate"/>
        </w:r>
        <w:r w:rsidRPr="0005381A">
          <w:rPr>
            <w:rFonts w:ascii="Arial" w:hAnsi="Arial" w:cs="Arial"/>
            <w:noProof/>
            <w:webHidden/>
          </w:rPr>
          <w:t>5</w:t>
        </w:r>
        <w:r w:rsidRPr="0005381A">
          <w:rPr>
            <w:rFonts w:ascii="Arial" w:hAnsi="Arial" w:cs="Arial"/>
            <w:noProof/>
            <w:webHidden/>
          </w:rPr>
          <w:fldChar w:fldCharType="end"/>
        </w:r>
      </w:hyperlink>
    </w:p>
    <w:p w14:paraId="127F4774"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rPr>
      </w:pPr>
      <w:hyperlink w:anchor="_Toc222527568" w:history="1">
        <w:r w:rsidR="0069622E" w:rsidRPr="0005381A">
          <w:rPr>
            <w:rStyle w:val="Hyperlink"/>
            <w:rFonts w:ascii="Arial" w:hAnsi="Arial" w:cs="Arial"/>
            <w:noProof/>
            <w:color w:val="auto"/>
          </w:rPr>
          <w:t xml:space="preserve">Figure 2: </w:t>
        </w:r>
        <w:r w:rsidR="0069622E" w:rsidRPr="0005381A">
          <w:rPr>
            <w:rStyle w:val="Hyperlink"/>
            <w:rFonts w:ascii="Arial" w:hAnsi="Arial" w:cs="Arial"/>
            <w:noProof/>
            <w:color w:val="auto"/>
            <w:lang w:val="en-US"/>
          </w:rPr>
          <w:t>Current Ratio</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_Toc222527568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6</w:t>
        </w:r>
        <w:r w:rsidR="0069622E" w:rsidRPr="0005381A">
          <w:rPr>
            <w:rFonts w:ascii="Arial" w:hAnsi="Arial" w:cs="Arial"/>
            <w:noProof/>
            <w:webHidden/>
          </w:rPr>
          <w:fldChar w:fldCharType="end"/>
        </w:r>
      </w:hyperlink>
    </w:p>
    <w:p w14:paraId="37E4D9A6"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rPr>
      </w:pPr>
      <w:hyperlink w:anchor="_Toc222527569" w:history="1">
        <w:r w:rsidR="0069622E" w:rsidRPr="0005381A">
          <w:rPr>
            <w:rStyle w:val="Hyperlink"/>
            <w:rFonts w:ascii="Arial" w:hAnsi="Arial" w:cs="Arial"/>
            <w:noProof/>
            <w:color w:val="auto"/>
          </w:rPr>
          <w:t xml:space="preserve">Figure 3: </w:t>
        </w:r>
        <w:r w:rsidR="0069622E" w:rsidRPr="0005381A">
          <w:rPr>
            <w:rStyle w:val="Hyperlink"/>
            <w:rFonts w:ascii="Arial" w:hAnsi="Arial" w:cs="Arial"/>
            <w:noProof/>
            <w:color w:val="auto"/>
            <w:lang w:val="en-US"/>
          </w:rPr>
          <w:t>Total Asset Turnover (times)</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_Toc222527569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7</w:t>
        </w:r>
        <w:r w:rsidR="0069622E" w:rsidRPr="0005381A">
          <w:rPr>
            <w:rFonts w:ascii="Arial" w:hAnsi="Arial" w:cs="Arial"/>
            <w:noProof/>
            <w:webHidden/>
          </w:rPr>
          <w:fldChar w:fldCharType="end"/>
        </w:r>
      </w:hyperlink>
    </w:p>
    <w:p w14:paraId="617E8B19"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rPr>
      </w:pPr>
      <w:hyperlink w:anchor="_Toc222527570" w:history="1">
        <w:r w:rsidR="0069622E" w:rsidRPr="0005381A">
          <w:rPr>
            <w:rStyle w:val="Hyperlink"/>
            <w:rFonts w:ascii="Arial" w:hAnsi="Arial" w:cs="Arial"/>
            <w:noProof/>
            <w:color w:val="auto"/>
          </w:rPr>
          <w:t xml:space="preserve">Figure 4: </w:t>
        </w:r>
        <w:r w:rsidR="0069622E" w:rsidRPr="0005381A">
          <w:rPr>
            <w:rStyle w:val="Hyperlink"/>
            <w:rFonts w:ascii="Arial" w:hAnsi="Arial" w:cs="Arial"/>
            <w:noProof/>
            <w:color w:val="auto"/>
            <w:lang w:val="en-US"/>
          </w:rPr>
          <w:t>Equity Ratio (%)</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_Toc222527570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8</w:t>
        </w:r>
        <w:r w:rsidR="0069622E" w:rsidRPr="0005381A">
          <w:rPr>
            <w:rFonts w:ascii="Arial" w:hAnsi="Arial" w:cs="Arial"/>
            <w:noProof/>
            <w:webHidden/>
          </w:rPr>
          <w:fldChar w:fldCharType="end"/>
        </w:r>
      </w:hyperlink>
    </w:p>
    <w:p w14:paraId="4EAB1719"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rPr>
      </w:pPr>
      <w:hyperlink w:anchor="_Toc222527571" w:history="1">
        <w:r w:rsidR="0069622E" w:rsidRPr="0005381A">
          <w:rPr>
            <w:rStyle w:val="Hyperlink"/>
            <w:rFonts w:ascii="Arial" w:hAnsi="Arial" w:cs="Arial"/>
            <w:noProof/>
            <w:color w:val="auto"/>
          </w:rPr>
          <w:t xml:space="preserve">Figure 5: </w:t>
        </w:r>
        <w:r w:rsidR="0069622E" w:rsidRPr="0005381A">
          <w:rPr>
            <w:rStyle w:val="Hyperlink"/>
            <w:rFonts w:ascii="Arial" w:hAnsi="Arial" w:cs="Arial"/>
            <w:noProof/>
            <w:color w:val="auto"/>
            <w:lang w:val="en-US"/>
          </w:rPr>
          <w:t>Automotive Division Return on Investment (ROI %)</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_Toc222527571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9</w:t>
        </w:r>
        <w:r w:rsidR="0069622E" w:rsidRPr="0005381A">
          <w:rPr>
            <w:rFonts w:ascii="Arial" w:hAnsi="Arial" w:cs="Arial"/>
            <w:noProof/>
            <w:webHidden/>
          </w:rPr>
          <w:fldChar w:fldCharType="end"/>
        </w:r>
      </w:hyperlink>
    </w:p>
    <w:p w14:paraId="14A1EBD5"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rPr>
      </w:pPr>
      <w:hyperlink w:anchor="_Toc222527572" w:history="1">
        <w:r w:rsidR="0069622E" w:rsidRPr="0005381A">
          <w:rPr>
            <w:rStyle w:val="Hyperlink"/>
            <w:rFonts w:ascii="Arial" w:hAnsi="Arial" w:cs="Arial"/>
            <w:noProof/>
            <w:color w:val="auto"/>
          </w:rPr>
          <w:t>Figure 6: Automotive Division Net Cash Flow (€ million)</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_Toc222527572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10</w:t>
        </w:r>
        <w:r w:rsidR="0069622E" w:rsidRPr="0005381A">
          <w:rPr>
            <w:rFonts w:ascii="Arial" w:hAnsi="Arial" w:cs="Arial"/>
            <w:noProof/>
            <w:webHidden/>
          </w:rPr>
          <w:fldChar w:fldCharType="end"/>
        </w:r>
      </w:hyperlink>
    </w:p>
    <w:p w14:paraId="22E10460"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rPr>
      </w:pPr>
      <w:hyperlink w:anchor="_Toc222527573" w:history="1">
        <w:r w:rsidR="0069622E" w:rsidRPr="0005381A">
          <w:rPr>
            <w:rStyle w:val="Hyperlink"/>
            <w:rFonts w:ascii="Arial" w:hAnsi="Arial" w:cs="Arial"/>
            <w:noProof/>
            <w:color w:val="auto"/>
          </w:rPr>
          <w:t>Figure 7: The Most Important Markets for Volkswagen</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_Toc222527573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19</w:t>
        </w:r>
        <w:r w:rsidR="0069622E" w:rsidRPr="0005381A">
          <w:rPr>
            <w:rFonts w:ascii="Arial" w:hAnsi="Arial" w:cs="Arial"/>
            <w:noProof/>
            <w:webHidden/>
          </w:rPr>
          <w:fldChar w:fldCharType="end"/>
        </w:r>
      </w:hyperlink>
    </w:p>
    <w:p w14:paraId="2D71A0FB" w14:textId="77777777" w:rsidR="0069622E" w:rsidRPr="0005381A" w:rsidRDefault="0069622E" w:rsidP="0005381A">
      <w:pPr>
        <w:spacing w:before="120" w:after="120" w:line="360" w:lineRule="auto"/>
        <w:contextualSpacing/>
        <w:rPr>
          <w:rFonts w:ascii="Arial" w:hAnsi="Arial" w:cs="Arial"/>
          <w:b/>
          <w:bCs/>
        </w:rPr>
      </w:pPr>
      <w:r w:rsidRPr="0005381A">
        <w:rPr>
          <w:rFonts w:ascii="Arial" w:hAnsi="Arial" w:cs="Arial"/>
          <w:b/>
          <w:bCs/>
        </w:rPr>
        <w:fldChar w:fldCharType="end"/>
      </w:r>
      <w:r w:rsidRPr="0005381A">
        <w:rPr>
          <w:rFonts w:ascii="Arial" w:hAnsi="Arial" w:cs="Arial"/>
          <w:b/>
          <w:bCs/>
        </w:rPr>
        <w:t>Table of Tables</w:t>
      </w:r>
    </w:p>
    <w:p w14:paraId="7B39894F" w14:textId="77777777" w:rsidR="0069622E" w:rsidRPr="0005381A" w:rsidRDefault="0069622E" w:rsidP="0005381A">
      <w:pPr>
        <w:pStyle w:val="TableofFigures"/>
        <w:tabs>
          <w:tab w:val="right" w:leader="dot" w:pos="9016"/>
        </w:tabs>
        <w:spacing w:before="120" w:after="120" w:line="360" w:lineRule="auto"/>
        <w:contextualSpacing/>
        <w:rPr>
          <w:rFonts w:ascii="Arial" w:hAnsi="Arial" w:cs="Arial"/>
          <w:noProof/>
          <w:lang w:val="en-US"/>
        </w:rPr>
      </w:pPr>
      <w:r w:rsidRPr="0005381A">
        <w:rPr>
          <w:rFonts w:ascii="Arial" w:hAnsi="Arial" w:cs="Arial"/>
          <w:b/>
          <w:bCs/>
        </w:rPr>
        <w:fldChar w:fldCharType="begin"/>
      </w:r>
      <w:r w:rsidRPr="0005381A">
        <w:rPr>
          <w:rFonts w:ascii="Arial" w:hAnsi="Arial" w:cs="Arial"/>
          <w:b/>
          <w:bCs/>
        </w:rPr>
        <w:instrText xml:space="preserve"> TOC \h \z \c "Table" </w:instrText>
      </w:r>
      <w:r w:rsidRPr="0005381A">
        <w:rPr>
          <w:rFonts w:ascii="Arial" w:hAnsi="Arial" w:cs="Arial"/>
          <w:b/>
          <w:bCs/>
        </w:rPr>
        <w:fldChar w:fldCharType="separate"/>
      </w:r>
      <w:hyperlink w:anchor="_Toc222527587" w:history="1">
        <w:r w:rsidRPr="0005381A">
          <w:rPr>
            <w:rStyle w:val="Hyperlink"/>
            <w:rFonts w:ascii="Arial" w:hAnsi="Arial" w:cs="Arial"/>
            <w:noProof/>
            <w:color w:val="auto"/>
          </w:rPr>
          <w:t>Table 1: Comparison of Short-Term versus Long-Term Financing Options</w:t>
        </w:r>
        <w:r w:rsidRPr="0005381A">
          <w:rPr>
            <w:rFonts w:ascii="Arial" w:hAnsi="Arial" w:cs="Arial"/>
            <w:noProof/>
            <w:webHidden/>
          </w:rPr>
          <w:tab/>
        </w:r>
        <w:r w:rsidRPr="0005381A">
          <w:rPr>
            <w:rFonts w:ascii="Arial" w:hAnsi="Arial" w:cs="Arial"/>
            <w:noProof/>
            <w:webHidden/>
          </w:rPr>
          <w:fldChar w:fldCharType="begin"/>
        </w:r>
        <w:r w:rsidRPr="0005381A">
          <w:rPr>
            <w:rFonts w:ascii="Arial" w:hAnsi="Arial" w:cs="Arial"/>
            <w:noProof/>
            <w:webHidden/>
          </w:rPr>
          <w:instrText xml:space="preserve"> PAGEREF _Toc222527587 \h </w:instrText>
        </w:r>
        <w:r w:rsidRPr="0005381A">
          <w:rPr>
            <w:rFonts w:ascii="Arial" w:hAnsi="Arial" w:cs="Arial"/>
            <w:noProof/>
            <w:webHidden/>
          </w:rPr>
        </w:r>
        <w:r w:rsidRPr="0005381A">
          <w:rPr>
            <w:rFonts w:ascii="Arial" w:hAnsi="Arial" w:cs="Arial"/>
            <w:noProof/>
            <w:webHidden/>
          </w:rPr>
          <w:fldChar w:fldCharType="separate"/>
        </w:r>
        <w:r w:rsidRPr="0005381A">
          <w:rPr>
            <w:rFonts w:ascii="Arial" w:hAnsi="Arial" w:cs="Arial"/>
            <w:noProof/>
            <w:webHidden/>
          </w:rPr>
          <w:t>13</w:t>
        </w:r>
        <w:r w:rsidRPr="0005381A">
          <w:rPr>
            <w:rFonts w:ascii="Arial" w:hAnsi="Arial" w:cs="Arial"/>
            <w:noProof/>
            <w:webHidden/>
          </w:rPr>
          <w:fldChar w:fldCharType="end"/>
        </w:r>
      </w:hyperlink>
    </w:p>
    <w:p w14:paraId="69558A84" w14:textId="77777777" w:rsidR="0069622E" w:rsidRPr="0005381A" w:rsidRDefault="000F3A9F" w:rsidP="0005381A">
      <w:pPr>
        <w:pStyle w:val="TableofFigures"/>
        <w:tabs>
          <w:tab w:val="right" w:leader="dot" w:pos="9016"/>
        </w:tabs>
        <w:spacing w:before="120" w:after="120" w:line="360" w:lineRule="auto"/>
        <w:contextualSpacing/>
        <w:rPr>
          <w:rFonts w:ascii="Arial" w:hAnsi="Arial" w:cs="Arial"/>
          <w:noProof/>
          <w:lang w:val="en-US"/>
        </w:rPr>
      </w:pPr>
      <w:hyperlink w:anchor="_Toc222527588" w:history="1">
        <w:r w:rsidR="0069622E" w:rsidRPr="0005381A">
          <w:rPr>
            <w:rStyle w:val="Hyperlink"/>
            <w:rFonts w:ascii="Arial" w:hAnsi="Arial" w:cs="Arial"/>
            <w:noProof/>
            <w:color w:val="auto"/>
          </w:rPr>
          <w:t>Table 2: Full Investment Appraisal Calculations (£ million)</w:t>
        </w:r>
        <w:r w:rsidR="0069622E" w:rsidRPr="0005381A">
          <w:rPr>
            <w:rFonts w:ascii="Arial" w:hAnsi="Arial" w:cs="Arial"/>
            <w:noProof/>
            <w:webHidden/>
          </w:rPr>
          <w:tab/>
        </w:r>
        <w:r w:rsidR="0069622E" w:rsidRPr="0005381A">
          <w:rPr>
            <w:rFonts w:ascii="Arial" w:hAnsi="Arial" w:cs="Arial"/>
            <w:noProof/>
            <w:webHidden/>
          </w:rPr>
          <w:fldChar w:fldCharType="begin"/>
        </w:r>
        <w:r w:rsidR="0069622E" w:rsidRPr="0005381A">
          <w:rPr>
            <w:rFonts w:ascii="Arial" w:hAnsi="Arial" w:cs="Arial"/>
            <w:noProof/>
            <w:webHidden/>
          </w:rPr>
          <w:instrText xml:space="preserve"> PAGEREF _Toc222527588 \h </w:instrText>
        </w:r>
        <w:r w:rsidR="0069622E" w:rsidRPr="0005381A">
          <w:rPr>
            <w:rFonts w:ascii="Arial" w:hAnsi="Arial" w:cs="Arial"/>
            <w:noProof/>
            <w:webHidden/>
          </w:rPr>
        </w:r>
        <w:r w:rsidR="0069622E" w:rsidRPr="0005381A">
          <w:rPr>
            <w:rFonts w:ascii="Arial" w:hAnsi="Arial" w:cs="Arial"/>
            <w:noProof/>
            <w:webHidden/>
          </w:rPr>
          <w:fldChar w:fldCharType="separate"/>
        </w:r>
        <w:r w:rsidR="0069622E" w:rsidRPr="0005381A">
          <w:rPr>
            <w:rFonts w:ascii="Arial" w:hAnsi="Arial" w:cs="Arial"/>
            <w:noProof/>
            <w:webHidden/>
          </w:rPr>
          <w:t>17</w:t>
        </w:r>
        <w:r w:rsidR="0069622E" w:rsidRPr="0005381A">
          <w:rPr>
            <w:rFonts w:ascii="Arial" w:hAnsi="Arial" w:cs="Arial"/>
            <w:noProof/>
            <w:webHidden/>
          </w:rPr>
          <w:fldChar w:fldCharType="end"/>
        </w:r>
      </w:hyperlink>
    </w:p>
    <w:p w14:paraId="0B2879F7" w14:textId="15904FB6" w:rsidR="0069622E" w:rsidRPr="0005381A" w:rsidRDefault="0069622E" w:rsidP="0005381A">
      <w:pPr>
        <w:spacing w:before="120" w:after="120" w:line="360" w:lineRule="auto"/>
        <w:contextualSpacing/>
        <w:rPr>
          <w:rFonts w:ascii="Arial" w:hAnsi="Arial" w:cs="Arial"/>
          <w:b/>
          <w:bCs/>
        </w:rPr>
        <w:sectPr w:rsidR="0069622E" w:rsidRPr="0005381A" w:rsidSect="007F187B">
          <w:headerReference w:type="default" r:id="rId8"/>
          <w:footerReference w:type="default" r:id="rId9"/>
          <w:type w:val="continuous"/>
          <w:pgSz w:w="11906" w:h="16838"/>
          <w:pgMar w:top="1440" w:right="1440" w:bottom="1440" w:left="1440" w:header="708" w:footer="708" w:gutter="0"/>
          <w:cols w:space="708"/>
          <w:titlePg/>
          <w:docGrid w:linePitch="360"/>
        </w:sectPr>
      </w:pPr>
      <w:r w:rsidRPr="0005381A">
        <w:rPr>
          <w:rFonts w:ascii="Arial" w:hAnsi="Arial" w:cs="Arial"/>
          <w:b/>
          <w:bCs/>
        </w:rPr>
        <w:fldChar w:fldCharType="end"/>
      </w:r>
    </w:p>
    <w:p w14:paraId="2ADBA9E3" w14:textId="77777777" w:rsidR="0069622E" w:rsidRPr="0005381A" w:rsidRDefault="0069622E" w:rsidP="0005381A">
      <w:pPr>
        <w:pStyle w:val="Heading1"/>
        <w:spacing w:before="120" w:after="120"/>
      </w:pPr>
      <w:bookmarkStart w:id="0" w:name="_Toc222499700"/>
      <w:r w:rsidRPr="0005381A">
        <w:lastRenderedPageBreak/>
        <w:t>1. INTRODUCTION</w:t>
      </w:r>
      <w:bookmarkEnd w:id="0"/>
    </w:p>
    <w:p w14:paraId="481122EF" w14:textId="3594B8DA"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Over the past few years, the electric vehicle sector has experienced a monumental transformation, with countries adopting ever more ambitious decarbonisation targets and consumers opting for low-carbon mobility. As a result of stringent emission standards, accelerated development of battery chemistry and charging infrastructure, and enhanced corporate commitment to net-zero pathways, the demand for electric cars is increasing (International Energy Agency, 2024). The Volkswagen Group (VAG) remained the world’s largest vehicle manufacturer by volume even as it ramped up its transition to electrification (Statista Research Department, 2025). Established in Germany in 1937 as a state-owned company to manufacture a “people’s car”, the Group has since evolved into a multi-brand organisation in the passenger vehicle (Volkswagen, Audi, Škoda, SEAT, Porsche), commercial vehicles, financial and battery technologies (Volkswagen Group, 2025). In 2024, 9,027,424 vehicles were delivered by the Group around the globe while sales revenue amounted to €324.7 billion (up from prior year’s 322.3 billion) and operating result was €19.1 billion with a margin of 5.9 percent, in addition to 744,794 battery-electric vehicle deliveries (Volkswagen Group, 2025). These outcomes signal a lasting evolution amid a heightened global competitive environment and regulatory scrutiny.</w:t>
      </w:r>
    </w:p>
    <w:p w14:paraId="547610E0" w14:textId="1B0F20FD"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Due to the capital-intensive nature and fast-changing circumstances in the automotive sector, especially in its shift to electric vehicles, stringent financial analyses need to be carried out to identify its strengths, assess its weaknesses, and influence its future strategies. This report will respond to the instruction by the Board of the Volkswagen Group as the newly appointed Chief Financial Officer of the entity concerning the consolidated financial statements for the last five years (2021–2025). The assessment shows strong strength of revenue resilience and operational cash generation with emerging pressures like margin compression in key markets restructuring costs as well as geopolitical exposure and supply chain risks (IEA, 2024; Volkswagen Group, 2025). An assessment of the aforementioned is necessary to safeguard liquidity and optimise capital structure for ethical, global-scalable growth in the industry which is technology disrupting and policy-agnostic. </w:t>
      </w:r>
      <w:r w:rsidR="00F84CC2" w:rsidRPr="0005381A">
        <w:rPr>
          <w:rFonts w:ascii="Arial" w:hAnsi="Arial" w:cs="Arial"/>
          <w:lang w:val="en-US"/>
        </w:rPr>
        <w:t>T</w:t>
      </w:r>
      <w:r w:rsidRPr="0005381A">
        <w:rPr>
          <w:rFonts w:ascii="Arial" w:hAnsi="Arial" w:cs="Arial"/>
          <w:lang w:val="en-US"/>
        </w:rPr>
        <w:t>his exercise will support decisions which bolster long-term shareholder value and further strengthen the Volkswagen Group’s position as a leader in the mobility transition.</w:t>
      </w:r>
    </w:p>
    <w:p w14:paraId="50724A59" w14:textId="19F0FB6B"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lastRenderedPageBreak/>
        <w:t xml:space="preserve">The report will be structured and evidence based in accordance with the </w:t>
      </w:r>
      <w:r w:rsidR="00F84CC2" w:rsidRPr="0005381A">
        <w:rPr>
          <w:rFonts w:ascii="Arial" w:hAnsi="Arial" w:cs="Arial"/>
          <w:lang w:val="en-US"/>
        </w:rPr>
        <w:t>guidelines provided</w:t>
      </w:r>
      <w:r w:rsidRPr="0005381A">
        <w:rPr>
          <w:rFonts w:ascii="Arial" w:hAnsi="Arial" w:cs="Arial"/>
          <w:lang w:val="en-US"/>
        </w:rPr>
        <w:t>. The Financial Health Check area provides an in-depth analysis of ratios covering profit, liquidity, efficiency, gearing, investment and cashflow trends with identification and graphs from annual report analysis. The Working Capital Management Analysis assesses the cash operating cycle and suggests specific reforms to strengthen liquidity. The Strategic Financial Restructuring Plan analyses restructuring options, their impacts on stakeholder value, debt profiles as well as international issues such as tax, currency exposure and corporate social responsibility. The final section of the report deals with Investment Appraisal and Capital Budgeting. In this section, various techniques such as Payback Period, Accounting Rate of Return, Net Present Value, Profitability Index and Internal Rate of Return are applied for the three proposed projects. The section then makes capital rationing recommendations which w</w:t>
      </w:r>
      <w:r w:rsidR="00224322" w:rsidRPr="0005381A">
        <w:rPr>
          <w:rFonts w:ascii="Arial" w:hAnsi="Arial" w:cs="Arial"/>
          <w:lang w:val="en-US"/>
        </w:rPr>
        <w:t>ill be</w:t>
      </w:r>
      <w:r w:rsidRPr="0005381A">
        <w:rPr>
          <w:rFonts w:ascii="Arial" w:hAnsi="Arial" w:cs="Arial"/>
          <w:lang w:val="en-US"/>
        </w:rPr>
        <w:t xml:space="preserve"> justified by the Group’s financial position and non-financial risks. By following this elaborate </w:t>
      </w:r>
      <w:r w:rsidR="00224322" w:rsidRPr="0005381A">
        <w:rPr>
          <w:rFonts w:ascii="Arial" w:hAnsi="Arial" w:cs="Arial"/>
          <w:lang w:val="en-US"/>
        </w:rPr>
        <w:t>structure</w:t>
      </w:r>
      <w:r w:rsidRPr="0005381A">
        <w:rPr>
          <w:rFonts w:ascii="Arial" w:hAnsi="Arial" w:cs="Arial"/>
          <w:lang w:val="en-US"/>
        </w:rPr>
        <w:t>, the report provides the Volkswagen Group with a financially feasible, scalable and ethically correct plan for its success in the global transition of electric vehicles.</w:t>
      </w:r>
    </w:p>
    <w:p w14:paraId="4B9B2487" w14:textId="77777777" w:rsidR="0069622E" w:rsidRPr="0005381A" w:rsidRDefault="0069622E" w:rsidP="0005381A">
      <w:pPr>
        <w:pStyle w:val="Heading1"/>
        <w:spacing w:before="120" w:after="120"/>
        <w:rPr>
          <w:lang w:val="en-US"/>
        </w:rPr>
      </w:pPr>
      <w:bookmarkStart w:id="1" w:name="_Toc222499701"/>
      <w:r w:rsidRPr="0005381A">
        <w:rPr>
          <w:lang w:val="en-US"/>
        </w:rPr>
        <w:t>2. FINANCIAL HEALTH CHECK</w:t>
      </w:r>
      <w:bookmarkEnd w:id="1"/>
    </w:p>
    <w:p w14:paraId="19D533F9" w14:textId="6B26BD0C"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The financial health check assesses the Volkswagen Group’s performance 2021–2025 in a systematic manner based on the consolidated data extracted from the Group’s official annual reports (2021, 2022, 2023, 2024, 2025) and the January–September 2025 Interim Report</w:t>
      </w:r>
      <w:r w:rsidR="00EA22BA" w:rsidRPr="0005381A">
        <w:rPr>
          <w:rFonts w:ascii="Arial" w:hAnsi="Arial" w:cs="Arial"/>
          <w:lang w:val="en-US"/>
        </w:rPr>
        <w:t xml:space="preserve"> (Volkswagen Group, 2022; Volkswagen Group, 2023; Volkswagen Group, 2024; Volkswagen Group, 2025a; Volkswagen Group, 2025b)</w:t>
      </w:r>
      <w:r w:rsidRPr="0005381A">
        <w:rPr>
          <w:rFonts w:ascii="Arial" w:hAnsi="Arial" w:cs="Arial"/>
          <w:lang w:val="en-US"/>
        </w:rPr>
        <w:t>. This analysis uses one representative ratio from each category (profitability, liquidity, efficiency, gearing, investment and cash flow) to assess whether the dominant provider relies on the ability to generate returns, pay debts, use assets, manage debts, produce investment returns and cash from the company and use all these factors in the ongoing electrification of the organisation. The key figures tables and consolidated financial statements in the reports served as the basis.</w:t>
      </w:r>
    </w:p>
    <w:p w14:paraId="2337A4A3"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The Group’s ability to convert revenue into sustainable operating profit is evident from the profitability ratios despite spending heavily on EV platforms and software. The chosen ratio is operating return on sales, calculated as (operating result/sales revenue) ×100 (Das,2018). These calculations reveal a peak margin in 2022 with strong volume recovery and premium brands performance, followed by a gradual fall </w:t>
      </w:r>
      <w:r w:rsidRPr="0005381A">
        <w:rPr>
          <w:rFonts w:ascii="Arial" w:hAnsi="Arial" w:cs="Arial"/>
          <w:lang w:val="en-US"/>
        </w:rPr>
        <w:lastRenderedPageBreak/>
        <w:t>in 2023–2024 and steep decline in the first nine months of 2025 as illustrated in Figure 1. The steep decline is mainly, due to the surge in research and development spending on battery and software platforms, substantial non-cash impairment charges for goodwill and capitalised project costs (especially at the Porsche brand group), negative impact of an increase in US import tariffs, and additional provisions from European CO</w:t>
      </w:r>
      <w:r w:rsidRPr="0005381A">
        <w:rPr>
          <w:rFonts w:ascii="Cambria Math" w:hAnsi="Cambria Math" w:cs="Cambria Math"/>
          <w:lang w:val="en-US"/>
        </w:rPr>
        <w:t>₂</w:t>
      </w:r>
      <w:r w:rsidRPr="0005381A">
        <w:rPr>
          <w:rFonts w:ascii="Arial" w:hAnsi="Arial" w:cs="Arial"/>
          <w:lang w:val="en-US"/>
        </w:rPr>
        <w:t xml:space="preserve"> fleet compliance (Volkswagen Group, 2025). These calculations show that the firm achieved solid operational resilience and effective pricing power in the early post-pandemic recovery as margins rose sharply from 4.3 per cent in 2020 to 7.9 per cent in 2022 (Volkswagen Group, 2023). Group must maintain cost discipline, portfolio optimisation and greater operational efficiency if long term profitability is to be protected in future years as sustained downward pressure on profitability since 2023 highlights the need for such measures to sustain competitiveness in the global market.</w:t>
      </w:r>
    </w:p>
    <w:p w14:paraId="28B3B824"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drawing>
          <wp:inline distT="0" distB="0" distL="0" distR="0" wp14:anchorId="238B3F70" wp14:editId="300D7E43">
            <wp:extent cx="4534533" cy="2686425"/>
            <wp:effectExtent l="0" t="0" r="0" b="0"/>
            <wp:docPr id="483896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96627" name="Picture 483896627"/>
                    <pic:cNvPicPr/>
                  </pic:nvPicPr>
                  <pic:blipFill>
                    <a:blip r:embed="rId10">
                      <a:extLst>
                        <a:ext uri="{28A0092B-C50C-407E-A947-70E740481C1C}">
                          <a14:useLocalDpi xmlns:a14="http://schemas.microsoft.com/office/drawing/2010/main" val="0"/>
                        </a:ext>
                      </a:extLst>
                    </a:blip>
                    <a:stretch>
                      <a:fillRect/>
                    </a:stretch>
                  </pic:blipFill>
                  <pic:spPr>
                    <a:xfrm>
                      <a:off x="0" y="0"/>
                      <a:ext cx="4534533" cy="2686425"/>
                    </a:xfrm>
                    <a:prstGeom prst="rect">
                      <a:avLst/>
                    </a:prstGeom>
                  </pic:spPr>
                </pic:pic>
              </a:graphicData>
            </a:graphic>
          </wp:inline>
        </w:drawing>
      </w:r>
    </w:p>
    <w:p w14:paraId="11ABF607" w14:textId="77777777" w:rsidR="0069622E" w:rsidRPr="0005381A" w:rsidRDefault="0069622E" w:rsidP="0005381A">
      <w:pPr>
        <w:pStyle w:val="Caption"/>
        <w:spacing w:before="120" w:after="120" w:line="360" w:lineRule="auto"/>
        <w:contextualSpacing/>
        <w:jc w:val="center"/>
        <w:rPr>
          <w:rFonts w:ascii="Arial" w:hAnsi="Arial" w:cs="Arial"/>
          <w:color w:val="auto"/>
          <w:sz w:val="24"/>
          <w:szCs w:val="24"/>
          <w:lang w:val="en-US"/>
        </w:rPr>
      </w:pPr>
      <w:bookmarkStart w:id="2" w:name="_Toc222527567"/>
      <w:r w:rsidRPr="0005381A">
        <w:rPr>
          <w:rFonts w:ascii="Arial" w:hAnsi="Arial" w:cs="Arial"/>
          <w:color w:val="auto"/>
          <w:sz w:val="24"/>
          <w:szCs w:val="24"/>
        </w:rPr>
        <w:t xml:space="preserve">Figure </w:t>
      </w:r>
      <w:r w:rsidRPr="0005381A">
        <w:rPr>
          <w:rFonts w:ascii="Arial" w:hAnsi="Arial" w:cs="Arial"/>
          <w:color w:val="auto"/>
          <w:sz w:val="24"/>
          <w:szCs w:val="24"/>
        </w:rPr>
        <w:fldChar w:fldCharType="begin"/>
      </w:r>
      <w:r w:rsidRPr="0005381A">
        <w:rPr>
          <w:rFonts w:ascii="Arial" w:hAnsi="Arial" w:cs="Arial"/>
          <w:color w:val="auto"/>
          <w:sz w:val="24"/>
          <w:szCs w:val="24"/>
        </w:rPr>
        <w:instrText xml:space="preserve"> SEQ Figure \* ARABIC </w:instrText>
      </w:r>
      <w:r w:rsidRPr="0005381A">
        <w:rPr>
          <w:rFonts w:ascii="Arial" w:hAnsi="Arial" w:cs="Arial"/>
          <w:color w:val="auto"/>
          <w:sz w:val="24"/>
          <w:szCs w:val="24"/>
        </w:rPr>
        <w:fldChar w:fldCharType="separate"/>
      </w:r>
      <w:r w:rsidRPr="0005381A">
        <w:rPr>
          <w:rFonts w:ascii="Arial" w:hAnsi="Arial" w:cs="Arial"/>
          <w:noProof/>
          <w:color w:val="auto"/>
          <w:sz w:val="24"/>
          <w:szCs w:val="24"/>
        </w:rPr>
        <w:t>1</w:t>
      </w:r>
      <w:r w:rsidRPr="0005381A">
        <w:rPr>
          <w:rFonts w:ascii="Arial" w:hAnsi="Arial" w:cs="Arial"/>
          <w:noProof/>
          <w:color w:val="auto"/>
          <w:sz w:val="24"/>
          <w:szCs w:val="24"/>
        </w:rPr>
        <w:fldChar w:fldCharType="end"/>
      </w:r>
      <w:r w:rsidRPr="0005381A">
        <w:rPr>
          <w:rFonts w:ascii="Arial" w:hAnsi="Arial" w:cs="Arial"/>
          <w:color w:val="auto"/>
          <w:sz w:val="24"/>
          <w:szCs w:val="24"/>
        </w:rPr>
        <w:t xml:space="preserve">: </w:t>
      </w:r>
      <w:r w:rsidRPr="0005381A">
        <w:rPr>
          <w:rFonts w:ascii="Arial" w:hAnsi="Arial" w:cs="Arial"/>
          <w:color w:val="auto"/>
          <w:sz w:val="24"/>
          <w:szCs w:val="24"/>
          <w:lang w:val="en-US"/>
        </w:rPr>
        <w:t>Operating Return on Sales (%)</w:t>
      </w:r>
      <w:bookmarkEnd w:id="2"/>
      <w:r w:rsidRPr="0005381A">
        <w:rPr>
          <w:rFonts w:ascii="Arial" w:hAnsi="Arial" w:cs="Arial"/>
          <w:color w:val="auto"/>
          <w:sz w:val="24"/>
          <w:szCs w:val="24"/>
          <w:lang w:val="en-US"/>
        </w:rPr>
        <w:t xml:space="preserve"> </w:t>
      </w:r>
    </w:p>
    <w:p w14:paraId="0D0A1FD2" w14:textId="2565809C" w:rsidR="0069622E" w:rsidRPr="0005381A" w:rsidRDefault="0069622E" w:rsidP="0005381A">
      <w:pPr>
        <w:pStyle w:val="Caption"/>
        <w:spacing w:before="120" w:after="120" w:line="360" w:lineRule="auto"/>
        <w:contextualSpacing/>
        <w:jc w:val="center"/>
        <w:rPr>
          <w:rFonts w:ascii="Arial" w:hAnsi="Arial" w:cs="Arial"/>
          <w:color w:val="auto"/>
          <w:sz w:val="24"/>
          <w:szCs w:val="24"/>
          <w:lang w:val="en-US"/>
        </w:rPr>
      </w:pPr>
      <w:bookmarkStart w:id="3" w:name="_Hlk222468926"/>
      <w:r w:rsidRPr="0005381A">
        <w:rPr>
          <w:rFonts w:ascii="Arial" w:hAnsi="Arial" w:cs="Arial"/>
          <w:color w:val="auto"/>
          <w:sz w:val="24"/>
          <w:szCs w:val="24"/>
          <w:lang w:val="en-US"/>
        </w:rPr>
        <w:t>Source: (Volkswagen Group, 2022; Volkswagen Group, 2023; Volkswagen Group, 2024; Volkswagen Group, 2025</w:t>
      </w:r>
      <w:r w:rsidR="00122A1C" w:rsidRPr="0005381A">
        <w:rPr>
          <w:rFonts w:ascii="Arial" w:hAnsi="Arial" w:cs="Arial"/>
          <w:color w:val="auto"/>
          <w:sz w:val="24"/>
          <w:szCs w:val="24"/>
          <w:lang w:val="en-US"/>
        </w:rPr>
        <w:t>a; Volkswagen Group, 2025b</w:t>
      </w:r>
      <w:r w:rsidRPr="0005381A">
        <w:rPr>
          <w:rFonts w:ascii="Arial" w:hAnsi="Arial" w:cs="Arial"/>
          <w:color w:val="auto"/>
          <w:sz w:val="24"/>
          <w:szCs w:val="24"/>
          <w:lang w:val="en-US"/>
        </w:rPr>
        <w:t>)</w:t>
      </w:r>
    </w:p>
    <w:bookmarkEnd w:id="3"/>
    <w:p w14:paraId="58737462" w14:textId="3E4756F1"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Liquidity ratios assess the Group's short-term capability to meet obligations and fund capital assets. The main indicator is current assets ÷ current liabilities which gives us the current ratio (Lubis, 2023). The ratio hit its peak at 1.23 in 2022 before contracting modestly. </w:t>
      </w:r>
      <w:r w:rsidR="00687E50" w:rsidRPr="0005381A">
        <w:rPr>
          <w:rFonts w:ascii="Arial" w:hAnsi="Arial" w:cs="Arial"/>
          <w:lang w:val="en-US"/>
        </w:rPr>
        <w:t xml:space="preserve">As per the Volkswagen Group (2023), the significant rise in trade payables linked to supply-chain and EV components on the one hand and solid growth in current assets (receivables as well as cash) on the other hand account for </w:t>
      </w:r>
      <w:r w:rsidR="00687E50" w:rsidRPr="0005381A">
        <w:rPr>
          <w:rFonts w:ascii="Arial" w:hAnsi="Arial" w:cs="Arial"/>
          <w:lang w:val="en-US"/>
        </w:rPr>
        <w:lastRenderedPageBreak/>
        <w:t>the development seen in Figure 2. The figures indicate that there are comfortable cushions above that established benchmark of 1.0 throughout, and therefore sufficient short-term protection despite cash bites from the EV transition. According to the statement of the Automotive Division, the strong positioning of the group has net liquidity of €36.1 billion as at 31 December 2025 and €31.0 billion as at 30 September 2026 (Volkswagen Group, 2026)</w:t>
      </w:r>
      <w:r w:rsidRPr="0005381A">
        <w:rPr>
          <w:rFonts w:ascii="Arial" w:hAnsi="Arial" w:cs="Arial"/>
          <w:lang w:val="en-US"/>
        </w:rPr>
        <w:t>. The slight reduction suggests working-capital management will be cardinal going forward.</w:t>
      </w:r>
    </w:p>
    <w:p w14:paraId="6044BD2D"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drawing>
          <wp:inline distT="0" distB="0" distL="0" distR="0" wp14:anchorId="10B18A43" wp14:editId="0611EF7B">
            <wp:extent cx="4553585" cy="2724530"/>
            <wp:effectExtent l="0" t="0" r="0" b="0"/>
            <wp:docPr id="1739522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22101" name="Picture 1739522101"/>
                    <pic:cNvPicPr/>
                  </pic:nvPicPr>
                  <pic:blipFill>
                    <a:blip r:embed="rId11">
                      <a:extLst>
                        <a:ext uri="{28A0092B-C50C-407E-A947-70E740481C1C}">
                          <a14:useLocalDpi xmlns:a14="http://schemas.microsoft.com/office/drawing/2010/main" val="0"/>
                        </a:ext>
                      </a:extLst>
                    </a:blip>
                    <a:stretch>
                      <a:fillRect/>
                    </a:stretch>
                  </pic:blipFill>
                  <pic:spPr>
                    <a:xfrm>
                      <a:off x="0" y="0"/>
                      <a:ext cx="4553585" cy="2724530"/>
                    </a:xfrm>
                    <a:prstGeom prst="rect">
                      <a:avLst/>
                    </a:prstGeom>
                  </pic:spPr>
                </pic:pic>
              </a:graphicData>
            </a:graphic>
          </wp:inline>
        </w:drawing>
      </w:r>
    </w:p>
    <w:p w14:paraId="481A3E90" w14:textId="77777777" w:rsidR="0069622E" w:rsidRPr="0005381A" w:rsidRDefault="0069622E" w:rsidP="0005381A">
      <w:pPr>
        <w:pStyle w:val="Caption"/>
        <w:spacing w:before="120" w:after="120" w:line="360" w:lineRule="auto"/>
        <w:contextualSpacing/>
        <w:jc w:val="center"/>
        <w:rPr>
          <w:rFonts w:ascii="Arial" w:hAnsi="Arial" w:cs="Arial"/>
          <w:color w:val="auto"/>
          <w:sz w:val="24"/>
          <w:szCs w:val="24"/>
          <w:lang w:val="en-US"/>
        </w:rPr>
      </w:pPr>
      <w:bookmarkStart w:id="4" w:name="_Toc222527568"/>
      <w:r w:rsidRPr="0005381A">
        <w:rPr>
          <w:rFonts w:ascii="Arial" w:hAnsi="Arial" w:cs="Arial"/>
          <w:color w:val="auto"/>
          <w:sz w:val="24"/>
          <w:szCs w:val="24"/>
        </w:rPr>
        <w:t xml:space="preserve">Figure </w:t>
      </w:r>
      <w:r w:rsidRPr="0005381A">
        <w:rPr>
          <w:rFonts w:ascii="Arial" w:hAnsi="Arial" w:cs="Arial"/>
          <w:color w:val="auto"/>
          <w:sz w:val="24"/>
          <w:szCs w:val="24"/>
        </w:rPr>
        <w:fldChar w:fldCharType="begin"/>
      </w:r>
      <w:r w:rsidRPr="0005381A">
        <w:rPr>
          <w:rFonts w:ascii="Arial" w:hAnsi="Arial" w:cs="Arial"/>
          <w:color w:val="auto"/>
          <w:sz w:val="24"/>
          <w:szCs w:val="24"/>
        </w:rPr>
        <w:instrText xml:space="preserve"> SEQ Figure \* ARABIC </w:instrText>
      </w:r>
      <w:r w:rsidRPr="0005381A">
        <w:rPr>
          <w:rFonts w:ascii="Arial" w:hAnsi="Arial" w:cs="Arial"/>
          <w:color w:val="auto"/>
          <w:sz w:val="24"/>
          <w:szCs w:val="24"/>
        </w:rPr>
        <w:fldChar w:fldCharType="separate"/>
      </w:r>
      <w:r w:rsidRPr="0005381A">
        <w:rPr>
          <w:rFonts w:ascii="Arial" w:hAnsi="Arial" w:cs="Arial"/>
          <w:noProof/>
          <w:color w:val="auto"/>
          <w:sz w:val="24"/>
          <w:szCs w:val="24"/>
        </w:rPr>
        <w:t>2</w:t>
      </w:r>
      <w:r w:rsidRPr="0005381A">
        <w:rPr>
          <w:rFonts w:ascii="Arial" w:hAnsi="Arial" w:cs="Arial"/>
          <w:noProof/>
          <w:color w:val="auto"/>
          <w:sz w:val="24"/>
          <w:szCs w:val="24"/>
        </w:rPr>
        <w:fldChar w:fldCharType="end"/>
      </w:r>
      <w:r w:rsidRPr="0005381A">
        <w:rPr>
          <w:rFonts w:ascii="Arial" w:hAnsi="Arial" w:cs="Arial"/>
          <w:color w:val="auto"/>
          <w:sz w:val="24"/>
          <w:szCs w:val="24"/>
        </w:rPr>
        <w:t xml:space="preserve">: </w:t>
      </w:r>
      <w:r w:rsidRPr="0005381A">
        <w:rPr>
          <w:rFonts w:ascii="Arial" w:hAnsi="Arial" w:cs="Arial"/>
          <w:color w:val="auto"/>
          <w:sz w:val="24"/>
          <w:szCs w:val="24"/>
          <w:lang w:val="en-US"/>
        </w:rPr>
        <w:t>Current Ratio</w:t>
      </w:r>
      <w:bookmarkEnd w:id="4"/>
      <w:r w:rsidRPr="0005381A">
        <w:rPr>
          <w:rFonts w:ascii="Arial" w:hAnsi="Arial" w:cs="Arial"/>
          <w:color w:val="auto"/>
          <w:sz w:val="24"/>
          <w:szCs w:val="24"/>
          <w:lang w:val="en-US"/>
        </w:rPr>
        <w:t xml:space="preserve"> </w:t>
      </w:r>
    </w:p>
    <w:p w14:paraId="31DF04A3" w14:textId="59549AA7" w:rsidR="0069622E" w:rsidRPr="0005381A" w:rsidRDefault="0069622E" w:rsidP="0005381A">
      <w:pPr>
        <w:pStyle w:val="Caption"/>
        <w:spacing w:before="120" w:after="120" w:line="360" w:lineRule="auto"/>
        <w:contextualSpacing/>
        <w:jc w:val="center"/>
        <w:rPr>
          <w:rFonts w:ascii="Arial" w:hAnsi="Arial" w:cs="Arial"/>
          <w:color w:val="auto"/>
          <w:sz w:val="24"/>
          <w:szCs w:val="24"/>
          <w:lang w:val="en-US"/>
        </w:rPr>
      </w:pPr>
      <w:r w:rsidRPr="0005381A">
        <w:rPr>
          <w:rFonts w:ascii="Arial" w:hAnsi="Arial" w:cs="Arial"/>
          <w:color w:val="auto"/>
          <w:sz w:val="24"/>
          <w:szCs w:val="24"/>
          <w:lang w:val="en-US"/>
        </w:rPr>
        <w:t xml:space="preserve">Source: </w:t>
      </w:r>
      <w:r w:rsidR="00122A1C" w:rsidRPr="0005381A">
        <w:rPr>
          <w:rFonts w:ascii="Arial" w:hAnsi="Arial" w:cs="Arial"/>
          <w:color w:val="auto"/>
          <w:sz w:val="24"/>
          <w:szCs w:val="24"/>
          <w:lang w:val="en-US"/>
        </w:rPr>
        <w:t>(Volkswagen Group, 2022; Volkswagen Group, 2023; Volkswagen Group, 2024; Volkswagen Group, 2025a; Volkswagen Group, 2025b)</w:t>
      </w:r>
    </w:p>
    <w:p w14:paraId="53C1B163" w14:textId="6A658EE3"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Efficiency ratios measure how well the Group uses its assets to generate revenue. Didar (2019) uses sales revenue ÷ total assets as the total asset turnover metric. The improvement trend until 2023, followed by slight stabilisation, demonstrates progressively better asset utilisation due to higher sales volumes, and better capacity utilisation across production sites, as well as discipline in capital spending (see Figure 3). The outcome shows that the Group has managed to achieve revenue growth more efficiently each year with the benefit of the enlarged asset base that came from investment in battery and software infrastructure.</w:t>
      </w:r>
    </w:p>
    <w:p w14:paraId="48BF0A71"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lastRenderedPageBreak/>
        <w:drawing>
          <wp:inline distT="0" distB="0" distL="0" distR="0" wp14:anchorId="791CEB91" wp14:editId="6586081E">
            <wp:extent cx="4515480" cy="2676899"/>
            <wp:effectExtent l="0" t="0" r="0" b="0"/>
            <wp:docPr id="2554827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482714" name="Picture 255482714"/>
                    <pic:cNvPicPr/>
                  </pic:nvPicPr>
                  <pic:blipFill>
                    <a:blip r:embed="rId12">
                      <a:extLst>
                        <a:ext uri="{28A0092B-C50C-407E-A947-70E740481C1C}">
                          <a14:useLocalDpi xmlns:a14="http://schemas.microsoft.com/office/drawing/2010/main" val="0"/>
                        </a:ext>
                      </a:extLst>
                    </a:blip>
                    <a:stretch>
                      <a:fillRect/>
                    </a:stretch>
                  </pic:blipFill>
                  <pic:spPr>
                    <a:xfrm>
                      <a:off x="0" y="0"/>
                      <a:ext cx="4515480" cy="2676899"/>
                    </a:xfrm>
                    <a:prstGeom prst="rect">
                      <a:avLst/>
                    </a:prstGeom>
                  </pic:spPr>
                </pic:pic>
              </a:graphicData>
            </a:graphic>
          </wp:inline>
        </w:drawing>
      </w:r>
    </w:p>
    <w:p w14:paraId="640064F8" w14:textId="77777777" w:rsidR="0069622E" w:rsidRPr="0005381A" w:rsidRDefault="0069622E" w:rsidP="0005381A">
      <w:pPr>
        <w:spacing w:before="120" w:after="120" w:line="360" w:lineRule="auto"/>
        <w:contextualSpacing/>
        <w:jc w:val="center"/>
        <w:rPr>
          <w:rFonts w:ascii="Arial" w:hAnsi="Arial" w:cs="Arial"/>
        </w:rPr>
      </w:pPr>
      <w:bookmarkStart w:id="5" w:name="_Toc222527569"/>
      <w:r w:rsidRPr="0005381A">
        <w:rPr>
          <w:rFonts w:ascii="Arial" w:hAnsi="Arial" w:cs="Arial"/>
        </w:rPr>
        <w:t xml:space="preserve">Figure </w:t>
      </w:r>
      <w:r w:rsidRPr="0005381A">
        <w:rPr>
          <w:rFonts w:ascii="Arial" w:hAnsi="Arial" w:cs="Arial"/>
        </w:rPr>
        <w:fldChar w:fldCharType="begin"/>
      </w:r>
      <w:r w:rsidRPr="0005381A">
        <w:rPr>
          <w:rFonts w:ascii="Arial" w:hAnsi="Arial" w:cs="Arial"/>
        </w:rPr>
        <w:instrText xml:space="preserve"> SEQ Figure \* ARABIC </w:instrText>
      </w:r>
      <w:r w:rsidRPr="0005381A">
        <w:rPr>
          <w:rFonts w:ascii="Arial" w:hAnsi="Arial" w:cs="Arial"/>
        </w:rPr>
        <w:fldChar w:fldCharType="separate"/>
      </w:r>
      <w:r w:rsidRPr="0005381A">
        <w:rPr>
          <w:rFonts w:ascii="Arial" w:hAnsi="Arial" w:cs="Arial"/>
          <w:noProof/>
        </w:rPr>
        <w:t>3</w:t>
      </w:r>
      <w:r w:rsidRPr="0005381A">
        <w:rPr>
          <w:rFonts w:ascii="Arial" w:hAnsi="Arial" w:cs="Arial"/>
          <w:noProof/>
        </w:rPr>
        <w:fldChar w:fldCharType="end"/>
      </w:r>
      <w:r w:rsidRPr="0005381A">
        <w:rPr>
          <w:rFonts w:ascii="Arial" w:hAnsi="Arial" w:cs="Arial"/>
        </w:rPr>
        <w:t xml:space="preserve">: </w:t>
      </w:r>
      <w:r w:rsidRPr="0005381A">
        <w:rPr>
          <w:rFonts w:ascii="Arial" w:hAnsi="Arial" w:cs="Arial"/>
          <w:lang w:val="en-US"/>
        </w:rPr>
        <w:t>Total Asset Turnover (times)</w:t>
      </w:r>
      <w:bookmarkEnd w:id="5"/>
      <w:r w:rsidRPr="0005381A">
        <w:rPr>
          <w:rFonts w:ascii="Arial" w:hAnsi="Arial" w:cs="Arial"/>
        </w:rPr>
        <w:t xml:space="preserve"> </w:t>
      </w:r>
    </w:p>
    <w:p w14:paraId="7E2E68B7" w14:textId="50926A53" w:rsidR="0069622E" w:rsidRPr="0005381A" w:rsidRDefault="0069622E" w:rsidP="0005381A">
      <w:pPr>
        <w:spacing w:before="120" w:after="120" w:line="360" w:lineRule="auto"/>
        <w:contextualSpacing/>
        <w:jc w:val="center"/>
        <w:rPr>
          <w:rFonts w:ascii="Arial" w:hAnsi="Arial" w:cs="Arial"/>
          <w:lang w:val="en-US"/>
        </w:rPr>
      </w:pPr>
      <w:r w:rsidRPr="0005381A">
        <w:rPr>
          <w:rFonts w:ascii="Arial" w:hAnsi="Arial" w:cs="Arial"/>
          <w:lang w:val="en-US"/>
        </w:rPr>
        <w:t xml:space="preserve">Source: </w:t>
      </w:r>
      <w:r w:rsidR="00122A1C" w:rsidRPr="0005381A">
        <w:rPr>
          <w:rFonts w:ascii="Arial" w:hAnsi="Arial" w:cs="Arial"/>
          <w:lang w:val="en-US"/>
        </w:rPr>
        <w:t>(Volkswagen Group, 2022; Volkswagen Group, 2023; Volkswagen Group, 2024; Volkswagen Group, 2025a; Volkswagen Group, 2025b)</w:t>
      </w:r>
    </w:p>
    <w:p w14:paraId="55742087" w14:textId="66C51913"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The gearing ratios demonstrate the relationship between equity and debt financing together with the financial risk involved. The equity ratio is found by using the formula equity ÷ total assets × 100 (Didar, 2019). The material strengthening from 27.6 per cent in 2021 to 31.9 per cent in 2025 mainly through retained earnings indicates an enhancing but still conservative capital structure (Figure 4). The strong equity ratio of the Group places it in an excellent position given the capital requirements of a global scale.</w:t>
      </w:r>
    </w:p>
    <w:p w14:paraId="783593EA" w14:textId="77777777" w:rsidR="00224322" w:rsidRPr="0005381A" w:rsidRDefault="00224322" w:rsidP="0005381A">
      <w:pPr>
        <w:spacing w:before="120" w:after="120" w:line="360" w:lineRule="auto"/>
        <w:contextualSpacing/>
        <w:rPr>
          <w:rFonts w:ascii="Arial" w:hAnsi="Arial" w:cs="Arial"/>
          <w:lang w:val="en-US"/>
        </w:rPr>
      </w:pPr>
      <w:r w:rsidRPr="0005381A">
        <w:rPr>
          <w:rFonts w:ascii="Arial" w:hAnsi="Arial" w:cs="Arial"/>
          <w:lang w:val="en-US"/>
        </w:rPr>
        <w:t>Gearing ratios give an idea of the proportion of equity and debt; moreover, they also reveal general financial risks connected with the Volkswagen Group. The representative measure selected for the Group was the equity ratio (total equity divided by total assets times 100), which indicates the extent to which the Group’s assets are financed from shareholders’ funds, this measure reflects the Group’s long-term financial stability and ability to provide support in respect of further borrowing to finance electrification (Purwanto, Sanjaya and Kawisana, 2021; Volkswagen Group, 2024). The equity ratio increased from 27.6 per cent 2021 to 31.6 per cent in 2022 as shown in figure 4 and has remained sturdy since then as it recorded 31.6 per cent in 2023, 31.8 per cent at the end of 2024 and 31.9 per cent as at 30 September 2025, (Volkswagen Group, 2022; Volkswagen Group, 2023; Volkswagen Group, 2024; Volkswagen Group, 2025). The Group’s growing financial strength and ability to fund electrification projects are evident from the trend.</w:t>
      </w:r>
    </w:p>
    <w:p w14:paraId="09BB79A0" w14:textId="37B31368" w:rsidR="00224322" w:rsidRPr="0005381A" w:rsidRDefault="00224322" w:rsidP="0005381A">
      <w:pPr>
        <w:spacing w:before="120" w:after="120" w:line="360" w:lineRule="auto"/>
        <w:contextualSpacing/>
        <w:rPr>
          <w:rFonts w:ascii="Arial" w:hAnsi="Arial" w:cs="Arial"/>
          <w:lang w:val="en-US"/>
        </w:rPr>
      </w:pPr>
      <w:r w:rsidRPr="0005381A">
        <w:rPr>
          <w:rFonts w:ascii="Arial" w:hAnsi="Arial" w:cs="Arial"/>
          <w:lang w:val="en-US"/>
        </w:rPr>
        <w:lastRenderedPageBreak/>
        <w:t>The continued improvement and subsequent stabilisation show the Group’s ability to retain earnings and strengthen its equity base, despite incurring significant capital expenditure on electric vehicle platforms and battery technologies (Volkswagen Group, 2025). They point to a more conservative and resilient capital structure whereby shareholders now finance close to a third of total assets. The Volkswagen Group has a stronger equity position, which reduces the risk of financial leverage, lowers its sensitivity to interest rate movements, and provides the Group with more operational flexibility and capacity to raise debt at the right moment to finance its multi-year electrification programme without jeopardising its financial soundness. The Company’s upward movement in equity ratio reflects a prudent capital management (Volkswagen Group, 2022; Volkswagen Group, 2023; Volkswagen Group, 2024; Volkswagen Group, 2025). As a result, it lays the groundwork for the Group to enlarge its footprint in the global EV market.</w:t>
      </w:r>
    </w:p>
    <w:p w14:paraId="6310B22F"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drawing>
          <wp:inline distT="0" distB="0" distL="0" distR="0" wp14:anchorId="61F25D35" wp14:editId="29EEB331">
            <wp:extent cx="4544059" cy="2734057"/>
            <wp:effectExtent l="0" t="0" r="0" b="0"/>
            <wp:docPr id="14930737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73703" name="Picture 1493073703"/>
                    <pic:cNvPicPr/>
                  </pic:nvPicPr>
                  <pic:blipFill>
                    <a:blip r:embed="rId13">
                      <a:extLst>
                        <a:ext uri="{28A0092B-C50C-407E-A947-70E740481C1C}">
                          <a14:useLocalDpi xmlns:a14="http://schemas.microsoft.com/office/drawing/2010/main" val="0"/>
                        </a:ext>
                      </a:extLst>
                    </a:blip>
                    <a:stretch>
                      <a:fillRect/>
                    </a:stretch>
                  </pic:blipFill>
                  <pic:spPr>
                    <a:xfrm>
                      <a:off x="0" y="0"/>
                      <a:ext cx="4544059" cy="2734057"/>
                    </a:xfrm>
                    <a:prstGeom prst="rect">
                      <a:avLst/>
                    </a:prstGeom>
                  </pic:spPr>
                </pic:pic>
              </a:graphicData>
            </a:graphic>
          </wp:inline>
        </w:drawing>
      </w:r>
    </w:p>
    <w:p w14:paraId="1290986F" w14:textId="77777777" w:rsidR="0069622E" w:rsidRPr="0005381A" w:rsidRDefault="0069622E" w:rsidP="0005381A">
      <w:pPr>
        <w:spacing w:before="120" w:after="120" w:line="360" w:lineRule="auto"/>
        <w:contextualSpacing/>
        <w:jc w:val="center"/>
        <w:rPr>
          <w:rFonts w:ascii="Arial" w:hAnsi="Arial" w:cs="Arial"/>
          <w:lang w:val="en-US"/>
        </w:rPr>
      </w:pPr>
      <w:bookmarkStart w:id="6" w:name="_Toc222527570"/>
      <w:r w:rsidRPr="0005381A">
        <w:rPr>
          <w:rFonts w:ascii="Arial" w:hAnsi="Arial" w:cs="Arial"/>
        </w:rPr>
        <w:t xml:space="preserve">Figure </w:t>
      </w:r>
      <w:r w:rsidRPr="0005381A">
        <w:rPr>
          <w:rFonts w:ascii="Arial" w:hAnsi="Arial" w:cs="Arial"/>
        </w:rPr>
        <w:fldChar w:fldCharType="begin"/>
      </w:r>
      <w:r w:rsidRPr="0005381A">
        <w:rPr>
          <w:rFonts w:ascii="Arial" w:hAnsi="Arial" w:cs="Arial"/>
        </w:rPr>
        <w:instrText xml:space="preserve"> SEQ Figure \* ARABIC </w:instrText>
      </w:r>
      <w:r w:rsidRPr="0005381A">
        <w:rPr>
          <w:rFonts w:ascii="Arial" w:hAnsi="Arial" w:cs="Arial"/>
        </w:rPr>
        <w:fldChar w:fldCharType="separate"/>
      </w:r>
      <w:r w:rsidRPr="0005381A">
        <w:rPr>
          <w:rFonts w:ascii="Arial" w:hAnsi="Arial" w:cs="Arial"/>
          <w:noProof/>
        </w:rPr>
        <w:t>4</w:t>
      </w:r>
      <w:r w:rsidRPr="0005381A">
        <w:rPr>
          <w:rFonts w:ascii="Arial" w:hAnsi="Arial" w:cs="Arial"/>
          <w:noProof/>
        </w:rPr>
        <w:fldChar w:fldCharType="end"/>
      </w:r>
      <w:r w:rsidRPr="0005381A">
        <w:rPr>
          <w:rFonts w:ascii="Arial" w:hAnsi="Arial" w:cs="Arial"/>
        </w:rPr>
        <w:t xml:space="preserve">: </w:t>
      </w:r>
      <w:r w:rsidRPr="0005381A">
        <w:rPr>
          <w:rFonts w:ascii="Arial" w:hAnsi="Arial" w:cs="Arial"/>
          <w:lang w:val="en-US"/>
        </w:rPr>
        <w:t>Equity Ratio (%)</w:t>
      </w:r>
      <w:bookmarkEnd w:id="6"/>
    </w:p>
    <w:p w14:paraId="50348841" w14:textId="25CD64A6" w:rsidR="0069622E" w:rsidRPr="0005381A" w:rsidRDefault="0069622E" w:rsidP="0005381A">
      <w:pPr>
        <w:spacing w:before="120" w:after="120" w:line="360" w:lineRule="auto"/>
        <w:contextualSpacing/>
        <w:jc w:val="center"/>
        <w:rPr>
          <w:rFonts w:ascii="Arial" w:hAnsi="Arial" w:cs="Arial"/>
          <w:lang w:val="en-US"/>
        </w:rPr>
      </w:pPr>
      <w:r w:rsidRPr="0005381A">
        <w:rPr>
          <w:rFonts w:ascii="Arial" w:hAnsi="Arial" w:cs="Arial"/>
          <w:lang w:val="en-US"/>
        </w:rPr>
        <w:t xml:space="preserve">Source: </w:t>
      </w:r>
      <w:r w:rsidR="00122A1C" w:rsidRPr="0005381A">
        <w:rPr>
          <w:rFonts w:ascii="Arial" w:hAnsi="Arial" w:cs="Arial"/>
          <w:lang w:val="en-US"/>
        </w:rPr>
        <w:t>(Volkswagen Group, 2022; Volkswagen Group, 2023; Volkswagen Group, 2024; Volkswagen Group, 2025a; Volkswagen Group, 2025b)</w:t>
      </w:r>
    </w:p>
    <w:p w14:paraId="2C9BCDB9" w14:textId="272485F7" w:rsidR="00882308" w:rsidRPr="00882308" w:rsidRDefault="00882308" w:rsidP="0005381A">
      <w:pPr>
        <w:spacing w:before="120" w:after="120" w:line="360" w:lineRule="auto"/>
        <w:contextualSpacing/>
        <w:rPr>
          <w:rFonts w:ascii="Arial" w:hAnsi="Arial" w:cs="Arial"/>
          <w:lang w:val="en-US"/>
        </w:rPr>
      </w:pPr>
      <w:r w:rsidRPr="0005381A">
        <w:rPr>
          <w:rFonts w:ascii="Arial" w:hAnsi="Arial" w:cs="Arial"/>
          <w:lang w:val="en-US"/>
        </w:rPr>
        <w:t xml:space="preserve">Volkswagen Group’s Investment ratios measure how successfully the group generates returns on capital through its core operations.  The measure of Return on Investment (ROI) for Automotive Division i.e.; operating profit after tax and adjustments as a percentage of average invested capital was selected as a key measure as it evaluates the efficacy of capital allocation in light of the Group’s major investments in electrification (Brealey, Myers and Allen, 2020). According to Figure 5, ROI surged from 10.4% in 2021 to peak at 12.3% in FY2023, as the market </w:t>
      </w:r>
      <w:r w:rsidRPr="0005381A">
        <w:rPr>
          <w:rFonts w:ascii="Arial" w:hAnsi="Arial" w:cs="Arial"/>
          <w:lang w:val="en-US"/>
        </w:rPr>
        <w:lastRenderedPageBreak/>
        <w:t>recovered strongly. Subsequently, it moderated to 11.8% in FY2024 and fell further to an annualised 9.5% in the first nine months of FY2025, denoting management’s highly effective deployment of capital into modular electric platforms and premium segments in the early phase of recovery. The recent moderation nevertheless illustrates the front-loaded nature of the costs of EV transformation and external pressures arising from impairments and tariffs (Volkswagen Group, 2025). The strong performance of Return on Investment over a very long period confirms that the ability of the Volkswagen AG to provide a good return on investment does not jeopardize the Group’s capacity to finance its global electrification ambitions despite rising costs</w:t>
      </w:r>
      <w:r w:rsidRPr="00882308">
        <w:rPr>
          <w:rFonts w:ascii="Arial" w:hAnsi="Arial" w:cs="Arial"/>
          <w:lang w:val="en-US"/>
        </w:rPr>
        <w:t>.</w:t>
      </w:r>
    </w:p>
    <w:p w14:paraId="08609FED" w14:textId="06DA5258" w:rsidR="0069622E" w:rsidRPr="0005381A" w:rsidRDefault="0069622E" w:rsidP="0005381A">
      <w:pPr>
        <w:spacing w:before="120" w:after="120" w:line="360" w:lineRule="auto"/>
        <w:contextualSpacing/>
        <w:rPr>
          <w:rFonts w:ascii="Arial" w:hAnsi="Arial" w:cs="Arial"/>
          <w:lang w:val="en-US"/>
        </w:rPr>
      </w:pPr>
    </w:p>
    <w:p w14:paraId="7DE3F999"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drawing>
          <wp:inline distT="0" distB="0" distL="0" distR="0" wp14:anchorId="455D18B8" wp14:editId="1F8A3458">
            <wp:extent cx="4544059" cy="2715004"/>
            <wp:effectExtent l="0" t="0" r="0" b="0"/>
            <wp:docPr id="19217675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67569" name="Picture 1921767569"/>
                    <pic:cNvPicPr/>
                  </pic:nvPicPr>
                  <pic:blipFill>
                    <a:blip r:embed="rId14">
                      <a:extLst>
                        <a:ext uri="{28A0092B-C50C-407E-A947-70E740481C1C}">
                          <a14:useLocalDpi xmlns:a14="http://schemas.microsoft.com/office/drawing/2010/main" val="0"/>
                        </a:ext>
                      </a:extLst>
                    </a:blip>
                    <a:stretch>
                      <a:fillRect/>
                    </a:stretch>
                  </pic:blipFill>
                  <pic:spPr>
                    <a:xfrm>
                      <a:off x="0" y="0"/>
                      <a:ext cx="4544059" cy="2715004"/>
                    </a:xfrm>
                    <a:prstGeom prst="rect">
                      <a:avLst/>
                    </a:prstGeom>
                  </pic:spPr>
                </pic:pic>
              </a:graphicData>
            </a:graphic>
          </wp:inline>
        </w:drawing>
      </w:r>
    </w:p>
    <w:p w14:paraId="2DEB4CC2" w14:textId="77777777" w:rsidR="0069622E" w:rsidRPr="0005381A" w:rsidRDefault="0069622E" w:rsidP="0005381A">
      <w:pPr>
        <w:spacing w:before="120" w:after="120" w:line="360" w:lineRule="auto"/>
        <w:contextualSpacing/>
        <w:jc w:val="center"/>
        <w:rPr>
          <w:rFonts w:ascii="Arial" w:hAnsi="Arial" w:cs="Arial"/>
        </w:rPr>
      </w:pPr>
      <w:bookmarkStart w:id="7" w:name="_Toc222527571"/>
      <w:r w:rsidRPr="0005381A">
        <w:rPr>
          <w:rFonts w:ascii="Arial" w:hAnsi="Arial" w:cs="Arial"/>
        </w:rPr>
        <w:t xml:space="preserve">Figure </w:t>
      </w:r>
      <w:r w:rsidRPr="0005381A">
        <w:rPr>
          <w:rFonts w:ascii="Arial" w:hAnsi="Arial" w:cs="Arial"/>
        </w:rPr>
        <w:fldChar w:fldCharType="begin"/>
      </w:r>
      <w:r w:rsidRPr="0005381A">
        <w:rPr>
          <w:rFonts w:ascii="Arial" w:hAnsi="Arial" w:cs="Arial"/>
        </w:rPr>
        <w:instrText xml:space="preserve"> SEQ Figure \* ARABIC </w:instrText>
      </w:r>
      <w:r w:rsidRPr="0005381A">
        <w:rPr>
          <w:rFonts w:ascii="Arial" w:hAnsi="Arial" w:cs="Arial"/>
        </w:rPr>
        <w:fldChar w:fldCharType="separate"/>
      </w:r>
      <w:r w:rsidRPr="0005381A">
        <w:rPr>
          <w:rFonts w:ascii="Arial" w:hAnsi="Arial" w:cs="Arial"/>
          <w:noProof/>
        </w:rPr>
        <w:t>5</w:t>
      </w:r>
      <w:r w:rsidRPr="0005381A">
        <w:rPr>
          <w:rFonts w:ascii="Arial" w:hAnsi="Arial" w:cs="Arial"/>
          <w:noProof/>
        </w:rPr>
        <w:fldChar w:fldCharType="end"/>
      </w:r>
      <w:r w:rsidRPr="0005381A">
        <w:rPr>
          <w:rFonts w:ascii="Arial" w:hAnsi="Arial" w:cs="Arial"/>
        </w:rPr>
        <w:t xml:space="preserve">: </w:t>
      </w:r>
      <w:r w:rsidRPr="0005381A">
        <w:rPr>
          <w:rFonts w:ascii="Arial" w:hAnsi="Arial" w:cs="Arial"/>
          <w:lang w:val="en-US"/>
        </w:rPr>
        <w:t>Automotive Division Return on Investment (ROI %)</w:t>
      </w:r>
      <w:bookmarkEnd w:id="7"/>
      <w:r w:rsidRPr="0005381A">
        <w:rPr>
          <w:rFonts w:ascii="Arial" w:hAnsi="Arial" w:cs="Arial"/>
        </w:rPr>
        <w:t xml:space="preserve"> </w:t>
      </w:r>
    </w:p>
    <w:p w14:paraId="34F8D60F" w14:textId="2ECB71BA" w:rsidR="00882308" w:rsidRPr="0005381A" w:rsidRDefault="0069622E" w:rsidP="0005381A">
      <w:pPr>
        <w:spacing w:before="120" w:after="120" w:line="360" w:lineRule="auto"/>
        <w:contextualSpacing/>
        <w:jc w:val="center"/>
        <w:rPr>
          <w:rFonts w:ascii="Arial" w:hAnsi="Arial" w:cs="Arial"/>
          <w:lang w:val="en-US"/>
        </w:rPr>
      </w:pPr>
      <w:r w:rsidRPr="0005381A">
        <w:rPr>
          <w:rFonts w:ascii="Arial" w:hAnsi="Arial" w:cs="Arial"/>
          <w:lang w:val="en-US"/>
        </w:rPr>
        <w:t xml:space="preserve">Source: </w:t>
      </w:r>
      <w:r w:rsidR="00122A1C" w:rsidRPr="0005381A">
        <w:rPr>
          <w:rFonts w:ascii="Arial" w:hAnsi="Arial" w:cs="Arial"/>
          <w:lang w:val="en-US"/>
        </w:rPr>
        <w:t>(Volkswagen Group, 2022; Volkswagen Group, 2023; Volkswagen Group, 2024; Volkswagen Group, 2025a; Volkswagen Group, 2025b)</w:t>
      </w:r>
    </w:p>
    <w:p w14:paraId="27AFC5B5" w14:textId="7456FD36"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Cash flow measures are essential for appraising the capacity of the Volkswagen Group to generate cash from its business operations as well as to self-finance the capital-intensive electrification programme. To represent the Group’s ability to fund its transformation without too much external financing, we chose the net cash flow of the Automotive Division. This is operating cash flow less capital expenditure and changes in working capital (Volkswagen Group, 2024). As can be seen in Figure </w:t>
      </w:r>
      <w:r w:rsidR="00882308" w:rsidRPr="0005381A">
        <w:rPr>
          <w:rFonts w:ascii="Arial" w:hAnsi="Arial" w:cs="Arial"/>
          <w:lang w:val="en-US"/>
        </w:rPr>
        <w:t>6</w:t>
      </w:r>
      <w:r w:rsidRPr="0005381A">
        <w:rPr>
          <w:rFonts w:ascii="Arial" w:hAnsi="Arial" w:cs="Arial"/>
          <w:lang w:val="en-US"/>
        </w:rPr>
        <w:t xml:space="preserve"> the net cash flow was very volatile. In 2021, it stood at €8610 million, then dropped sharply to €4807 million in 2022, reached a peak of €10698 million in 2023, moderated down to €6000 million in 2024, and finally amounted to €1800 million for </w:t>
      </w:r>
      <w:r w:rsidRPr="0005381A">
        <w:rPr>
          <w:rFonts w:ascii="Arial" w:hAnsi="Arial" w:cs="Arial"/>
          <w:lang w:val="en-US"/>
        </w:rPr>
        <w:lastRenderedPageBreak/>
        <w:t xml:space="preserve">the first nine months of 2025 (Volkswagen Group 2022; Volkswagen Group 2023; Volkswagen Group 2024; Volkswagen Group 2025). </w:t>
      </w:r>
      <w:r w:rsidR="00EA22BA" w:rsidRPr="0005381A">
        <w:rPr>
          <w:rFonts w:ascii="Arial" w:hAnsi="Arial" w:cs="Arial"/>
          <w:lang w:val="en-US"/>
        </w:rPr>
        <w:t>This shows the toughness of the Group that allows it to handle cash pressures from the shift to electric vehicles globally</w:t>
      </w:r>
      <w:r w:rsidRPr="0005381A">
        <w:rPr>
          <w:rFonts w:ascii="Arial" w:hAnsi="Arial" w:cs="Arial"/>
          <w:lang w:val="en-US"/>
        </w:rPr>
        <w:t>.</w:t>
      </w:r>
    </w:p>
    <w:p w14:paraId="1D407FCE"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drawing>
          <wp:inline distT="0" distB="0" distL="0" distR="0" wp14:anchorId="1406E438" wp14:editId="676E006C">
            <wp:extent cx="4534533" cy="2705478"/>
            <wp:effectExtent l="0" t="0" r="0" b="0"/>
            <wp:docPr id="1800243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4334" name="Picture 180024334"/>
                    <pic:cNvPicPr/>
                  </pic:nvPicPr>
                  <pic:blipFill>
                    <a:blip r:embed="rId15">
                      <a:extLst>
                        <a:ext uri="{28A0092B-C50C-407E-A947-70E740481C1C}">
                          <a14:useLocalDpi xmlns:a14="http://schemas.microsoft.com/office/drawing/2010/main" val="0"/>
                        </a:ext>
                      </a:extLst>
                    </a:blip>
                    <a:stretch>
                      <a:fillRect/>
                    </a:stretch>
                  </pic:blipFill>
                  <pic:spPr>
                    <a:xfrm>
                      <a:off x="0" y="0"/>
                      <a:ext cx="4534533" cy="2705478"/>
                    </a:xfrm>
                    <a:prstGeom prst="rect">
                      <a:avLst/>
                    </a:prstGeom>
                  </pic:spPr>
                </pic:pic>
              </a:graphicData>
            </a:graphic>
          </wp:inline>
        </w:drawing>
      </w:r>
    </w:p>
    <w:p w14:paraId="4E73CD83" w14:textId="77777777" w:rsidR="0069622E" w:rsidRPr="0005381A" w:rsidRDefault="0069622E" w:rsidP="0005381A">
      <w:pPr>
        <w:pStyle w:val="Caption"/>
        <w:spacing w:before="120" w:after="120" w:line="360" w:lineRule="auto"/>
        <w:contextualSpacing/>
        <w:jc w:val="center"/>
        <w:rPr>
          <w:rFonts w:ascii="Arial" w:hAnsi="Arial" w:cs="Arial"/>
          <w:color w:val="auto"/>
          <w:sz w:val="24"/>
          <w:szCs w:val="24"/>
        </w:rPr>
      </w:pPr>
      <w:bookmarkStart w:id="8" w:name="_Toc222527572"/>
      <w:r w:rsidRPr="0005381A">
        <w:rPr>
          <w:rFonts w:ascii="Arial" w:hAnsi="Arial" w:cs="Arial"/>
          <w:color w:val="auto"/>
          <w:sz w:val="24"/>
          <w:szCs w:val="24"/>
        </w:rPr>
        <w:t xml:space="preserve">Figure </w:t>
      </w:r>
      <w:r w:rsidRPr="0005381A">
        <w:rPr>
          <w:rFonts w:ascii="Arial" w:hAnsi="Arial" w:cs="Arial"/>
          <w:color w:val="auto"/>
          <w:sz w:val="24"/>
          <w:szCs w:val="24"/>
        </w:rPr>
        <w:fldChar w:fldCharType="begin"/>
      </w:r>
      <w:r w:rsidRPr="0005381A">
        <w:rPr>
          <w:rFonts w:ascii="Arial" w:hAnsi="Arial" w:cs="Arial"/>
          <w:color w:val="auto"/>
          <w:sz w:val="24"/>
          <w:szCs w:val="24"/>
        </w:rPr>
        <w:instrText xml:space="preserve"> SEQ Figure \* ARABIC </w:instrText>
      </w:r>
      <w:r w:rsidRPr="0005381A">
        <w:rPr>
          <w:rFonts w:ascii="Arial" w:hAnsi="Arial" w:cs="Arial"/>
          <w:color w:val="auto"/>
          <w:sz w:val="24"/>
          <w:szCs w:val="24"/>
        </w:rPr>
        <w:fldChar w:fldCharType="separate"/>
      </w:r>
      <w:r w:rsidRPr="0005381A">
        <w:rPr>
          <w:rFonts w:ascii="Arial" w:hAnsi="Arial" w:cs="Arial"/>
          <w:noProof/>
          <w:color w:val="auto"/>
          <w:sz w:val="24"/>
          <w:szCs w:val="24"/>
        </w:rPr>
        <w:t>6</w:t>
      </w:r>
      <w:r w:rsidRPr="0005381A">
        <w:rPr>
          <w:rFonts w:ascii="Arial" w:hAnsi="Arial" w:cs="Arial"/>
          <w:noProof/>
          <w:color w:val="auto"/>
          <w:sz w:val="24"/>
          <w:szCs w:val="24"/>
        </w:rPr>
        <w:fldChar w:fldCharType="end"/>
      </w:r>
      <w:r w:rsidRPr="0005381A">
        <w:rPr>
          <w:rFonts w:ascii="Arial" w:hAnsi="Arial" w:cs="Arial"/>
          <w:color w:val="auto"/>
          <w:sz w:val="24"/>
          <w:szCs w:val="24"/>
        </w:rPr>
        <w:t>: Automotive Division Net Cash Flow (€ million)</w:t>
      </w:r>
      <w:bookmarkEnd w:id="8"/>
      <w:r w:rsidRPr="0005381A">
        <w:rPr>
          <w:rFonts w:ascii="Arial" w:hAnsi="Arial" w:cs="Arial"/>
          <w:color w:val="auto"/>
          <w:sz w:val="24"/>
          <w:szCs w:val="24"/>
        </w:rPr>
        <w:t xml:space="preserve"> </w:t>
      </w:r>
    </w:p>
    <w:p w14:paraId="4BA005F6" w14:textId="142B19E6" w:rsidR="0069622E" w:rsidRPr="0005381A" w:rsidRDefault="0069622E" w:rsidP="0005381A">
      <w:pPr>
        <w:pStyle w:val="Caption"/>
        <w:spacing w:before="120" w:after="120" w:line="360" w:lineRule="auto"/>
        <w:contextualSpacing/>
        <w:jc w:val="center"/>
        <w:rPr>
          <w:rFonts w:ascii="Arial" w:hAnsi="Arial" w:cs="Arial"/>
          <w:color w:val="auto"/>
          <w:sz w:val="24"/>
          <w:szCs w:val="24"/>
        </w:rPr>
      </w:pPr>
      <w:r w:rsidRPr="0005381A">
        <w:rPr>
          <w:rFonts w:ascii="Arial" w:hAnsi="Arial" w:cs="Arial"/>
          <w:color w:val="auto"/>
          <w:sz w:val="24"/>
          <w:szCs w:val="24"/>
        </w:rPr>
        <w:t xml:space="preserve">Source: </w:t>
      </w:r>
      <w:r w:rsidR="00122A1C" w:rsidRPr="0005381A">
        <w:rPr>
          <w:rFonts w:ascii="Arial" w:hAnsi="Arial" w:cs="Arial"/>
          <w:color w:val="auto"/>
          <w:sz w:val="24"/>
          <w:szCs w:val="24"/>
        </w:rPr>
        <w:t>(Volkswagen Group, 2022; Volkswagen Group, 2023; Volkswagen Group, 2024; Volkswagen Group, 2025a; Volkswagen Group, 2025b)</w:t>
      </w:r>
    </w:p>
    <w:p w14:paraId="5511935F" w14:textId="548D5921" w:rsidR="0069622E" w:rsidRPr="0005381A" w:rsidRDefault="0069622E" w:rsidP="0005381A">
      <w:pPr>
        <w:spacing w:before="120" w:after="120" w:line="360" w:lineRule="auto"/>
        <w:contextualSpacing/>
        <w:rPr>
          <w:rFonts w:ascii="Arial" w:hAnsi="Arial" w:cs="Arial"/>
        </w:rPr>
      </w:pPr>
      <w:r w:rsidRPr="0005381A">
        <w:rPr>
          <w:rFonts w:ascii="Arial" w:hAnsi="Arial" w:cs="Arial"/>
        </w:rPr>
        <w:t>To sum it up, the financial health check indicates that the Volkswagen Group retained a fundamentally healthy financial position in the years 2021–2025. The Group showed a strong recovery in profitability and efficiency and an excellent equity base with a strong ability to generate cash on a sustained basis (Volkswagen Group, 2025</w:t>
      </w:r>
      <w:r w:rsidR="00122A1C" w:rsidRPr="0005381A">
        <w:rPr>
          <w:rFonts w:ascii="Arial" w:hAnsi="Arial" w:cs="Arial"/>
        </w:rPr>
        <w:t>b</w:t>
      </w:r>
      <w:r w:rsidRPr="0005381A">
        <w:rPr>
          <w:rFonts w:ascii="Arial" w:hAnsi="Arial" w:cs="Arial"/>
        </w:rPr>
        <w:t>). The results support the underlying strength of the Group, which was a necessity for targeted discipline in costs and optimising the portfolio.</w:t>
      </w:r>
    </w:p>
    <w:p w14:paraId="1E4F77A9" w14:textId="77777777" w:rsidR="0069622E" w:rsidRPr="0005381A" w:rsidRDefault="0069622E" w:rsidP="0005381A">
      <w:pPr>
        <w:pStyle w:val="Heading1"/>
        <w:spacing w:before="120" w:after="120"/>
        <w:rPr>
          <w:rFonts w:eastAsiaTheme="minorEastAsia"/>
        </w:rPr>
      </w:pPr>
      <w:bookmarkStart w:id="9" w:name="_Toc222499702"/>
      <w:r w:rsidRPr="0005381A">
        <w:rPr>
          <w:lang w:val="en-US"/>
        </w:rPr>
        <w:t xml:space="preserve">3. </w:t>
      </w:r>
      <w:r w:rsidRPr="0005381A">
        <w:rPr>
          <w:rFonts w:eastAsiaTheme="minorEastAsia"/>
        </w:rPr>
        <w:t>WORKING CAPITAL MANAGEMENT ANALYSIS</w:t>
      </w:r>
      <w:bookmarkEnd w:id="9"/>
    </w:p>
    <w:p w14:paraId="69AE4132" w14:textId="35CD242E"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Due to the long production cycle times, global supply chain for batteries and components, capital-intensive nature of the industry and volatile demand, working capital management is essential for the Volkswagen Group. The cash operating cycle of the Group, analysed with the help of the Group’s consolidated balance sheet and income statement from the annual report, cash and liquidity operational reform opportunity identification and the working capital short-term versus long-term financing are analysed. All computations and conclusions are based solely on the </w:t>
      </w:r>
      <w:r w:rsidRPr="0005381A">
        <w:rPr>
          <w:rFonts w:ascii="Arial" w:hAnsi="Arial" w:cs="Arial"/>
          <w:lang w:val="en-US"/>
        </w:rPr>
        <w:lastRenderedPageBreak/>
        <w:t>2023 Annual Report and the January-September 2025 Interim Report figures</w:t>
      </w:r>
      <w:r w:rsidR="00EA22BA" w:rsidRPr="0005381A">
        <w:rPr>
          <w:rFonts w:ascii="Arial" w:hAnsi="Arial" w:cs="Arial"/>
          <w:lang w:val="en-US"/>
        </w:rPr>
        <w:t xml:space="preserve"> (Volkswagen Group, 2025b)</w:t>
      </w:r>
      <w:r w:rsidRPr="0005381A">
        <w:rPr>
          <w:rFonts w:ascii="Arial" w:hAnsi="Arial" w:cs="Arial"/>
          <w:lang w:val="en-US"/>
        </w:rPr>
        <w:t>.</w:t>
      </w:r>
    </w:p>
    <w:p w14:paraId="5D07FAD9"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The cash operating cycle indicates the time taken to convert the investment in inventory and other resources into cash from the sale. It is a measure of liquidity efficiency. Each of these may be calculated using the standard formulas: </w:t>
      </w:r>
    </w:p>
    <w:p w14:paraId="162F2EF3" w14:textId="77777777" w:rsidR="0069622E" w:rsidRPr="0005381A" w:rsidRDefault="0069622E" w:rsidP="0005381A">
      <w:pPr>
        <w:spacing w:before="120" w:after="120" w:line="360" w:lineRule="auto"/>
        <w:ind w:left="720"/>
        <w:contextualSpacing/>
        <w:rPr>
          <w:rFonts w:ascii="Arial" w:hAnsi="Arial" w:cs="Arial"/>
          <w:i/>
          <w:iCs/>
          <w:lang w:val="en-US"/>
        </w:rPr>
      </w:pPr>
      <w:r w:rsidRPr="0005381A">
        <w:rPr>
          <w:rFonts w:ascii="Arial" w:hAnsi="Arial" w:cs="Arial"/>
          <w:i/>
          <w:iCs/>
          <w:lang w:val="en-US"/>
        </w:rPr>
        <w:t xml:space="preserve">inventory days = (average inventories ÷ cost of sales) × 365; receivables days = (average trade receivables ÷ sales revenue) × 365; and payables days = (average trade payables ÷ cost of sales) × 365. </w:t>
      </w:r>
    </w:p>
    <w:p w14:paraId="2B28EB22" w14:textId="77777777" w:rsidR="0069622E" w:rsidRPr="0005381A" w:rsidRDefault="0069622E" w:rsidP="0005381A">
      <w:pPr>
        <w:spacing w:before="120" w:after="120" w:line="360" w:lineRule="auto"/>
        <w:ind w:left="720"/>
        <w:contextualSpacing/>
        <w:rPr>
          <w:rFonts w:ascii="Arial" w:hAnsi="Arial" w:cs="Arial"/>
          <w:i/>
          <w:iCs/>
          <w:lang w:val="en-US"/>
        </w:rPr>
      </w:pPr>
      <w:r w:rsidRPr="0005381A">
        <w:rPr>
          <w:rFonts w:ascii="Arial" w:hAnsi="Arial" w:cs="Arial"/>
          <w:i/>
          <w:iCs/>
          <w:lang w:val="en-US"/>
        </w:rPr>
        <w:t xml:space="preserve">For 2023, average inventories stood at €52,937.5 million ((€53,601 million + €52,274 million) ÷ 2), cost of sales at €261,262 million= inventory days of 74.0. </w:t>
      </w:r>
    </w:p>
    <w:p w14:paraId="5BD13C6F" w14:textId="77777777" w:rsidR="0069622E" w:rsidRPr="0005381A" w:rsidRDefault="0069622E" w:rsidP="0005381A">
      <w:pPr>
        <w:spacing w:before="120" w:after="120" w:line="360" w:lineRule="auto"/>
        <w:ind w:left="720"/>
        <w:contextualSpacing/>
        <w:rPr>
          <w:rFonts w:ascii="Arial" w:hAnsi="Arial" w:cs="Arial"/>
          <w:i/>
          <w:iCs/>
          <w:lang w:val="en-US"/>
        </w:rPr>
      </w:pPr>
      <w:r w:rsidRPr="0005381A">
        <w:rPr>
          <w:rFonts w:ascii="Arial" w:hAnsi="Arial" w:cs="Arial"/>
          <w:i/>
          <w:iCs/>
          <w:lang w:val="en-US"/>
        </w:rPr>
        <w:t xml:space="preserve">Average trade receivables were €20,191.5 million ((€21,849 million + €18,534 million) ÷ 2) against sales revenue of €322,284 million= receivables days of 22.9. </w:t>
      </w:r>
    </w:p>
    <w:p w14:paraId="05085A4D" w14:textId="77777777" w:rsidR="0069622E" w:rsidRPr="0005381A" w:rsidRDefault="0069622E" w:rsidP="0005381A">
      <w:pPr>
        <w:spacing w:before="120" w:after="120" w:line="360" w:lineRule="auto"/>
        <w:ind w:left="720"/>
        <w:contextualSpacing/>
        <w:rPr>
          <w:rFonts w:ascii="Arial" w:hAnsi="Arial" w:cs="Arial"/>
          <w:i/>
          <w:iCs/>
          <w:lang w:val="en-US"/>
        </w:rPr>
      </w:pPr>
      <w:r w:rsidRPr="0005381A">
        <w:rPr>
          <w:rFonts w:ascii="Arial" w:hAnsi="Arial" w:cs="Arial"/>
          <w:i/>
          <w:iCs/>
          <w:lang w:val="en-US"/>
        </w:rPr>
        <w:t xml:space="preserve">Average trade payables reached €29,819.5 million ((€30,901 million + €28,738 million) ÷ 2) = payables days of 41.7. </w:t>
      </w:r>
    </w:p>
    <w:p w14:paraId="2C7CE5A2"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Therefore, 2023’s cash operating cycle cost 55.2 days in total. In 2022, it was 62.4 days (Volkswagen Group, 2023), a longer cycle due to supply-chain constraints and higher inventory holding periods. Looking over a longer period from 2020 to 2023, the cycle position has improved somewhat, coinciding with a rising trend in total asset turnover as noted in the financial health check and positive working capital movement in the cash flow statement (Volkswagen Group, 2024). These numbers show that Group converts its operating investments into cash in a reasonable time frame for a car maker. The 55 to 62 days is still a long-time range however as this would result in substantial capital tied up instead of being used to fund EV platform investments or pay down debt.</w:t>
      </w:r>
    </w:p>
    <w:p w14:paraId="4E825164" w14:textId="04066E95"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Implications of COPC results will be on the liquidity and operational flexibility in the context of the Group’s electrification strategy. The cycle duration of devices of thirty-five days in 2023, while improved from 2022 (Volkswagen Group, 2023; Volkswagen Group, 2024), nevertheless remains a sizeable interval during which cash is tied up in raw materials, work-in-progress vehicles, and finished goods. 2023 was especially critical on account of the high value of battery cells and semiconductors. The </w:t>
      </w:r>
      <w:r w:rsidR="00882308" w:rsidRPr="0005381A">
        <w:rPr>
          <w:rFonts w:ascii="Arial" w:hAnsi="Arial" w:cs="Arial"/>
          <w:lang w:val="en-US"/>
        </w:rPr>
        <w:t>drop-in</w:t>
      </w:r>
      <w:r w:rsidRPr="0005381A">
        <w:rPr>
          <w:rFonts w:ascii="Arial" w:hAnsi="Arial" w:cs="Arial"/>
          <w:lang w:val="en-US"/>
        </w:rPr>
        <w:t xml:space="preserve"> inventory days from 77.2 in 2022 to 74.0 in 2023 indicates a successful attempt to optimise stock in terms of volume growth</w:t>
      </w:r>
      <w:r w:rsidR="00F712D3" w:rsidRPr="0005381A">
        <w:rPr>
          <w:rFonts w:ascii="Arial" w:hAnsi="Arial" w:cs="Arial"/>
        </w:rPr>
        <w:t xml:space="preserve"> </w:t>
      </w:r>
      <w:r w:rsidR="00F712D3" w:rsidRPr="0005381A">
        <w:rPr>
          <w:rFonts w:ascii="Arial" w:hAnsi="Arial" w:cs="Arial"/>
          <w:lang w:val="en-US"/>
        </w:rPr>
        <w:t>(Volkswagen Group, 2024)</w:t>
      </w:r>
      <w:r w:rsidRPr="0005381A">
        <w:rPr>
          <w:rFonts w:ascii="Arial" w:hAnsi="Arial" w:cs="Arial"/>
          <w:lang w:val="en-US"/>
        </w:rPr>
        <w:t xml:space="preserve">. Yet, the total </w:t>
      </w:r>
      <w:r w:rsidRPr="0005381A">
        <w:rPr>
          <w:rFonts w:ascii="Arial" w:hAnsi="Arial" w:cs="Arial"/>
          <w:lang w:val="en-US"/>
        </w:rPr>
        <w:lastRenderedPageBreak/>
        <w:t>inventory balance of more than 53 billion euros continues to exert pressure on liquidity (Volkswagen Group 2023; Volkswagen Group 2024). The Volkswagen Group’s receivables days under 25 show discipline in areas automotive and financial services. In other words, some good debt management. However, their payables days lengthening to 41.7 indicates good negotiation with suppliers (Volkswagen Group, 2024). Generally, the cycle provides sufficient liquidity in the short term, with the Automotive Division’s net liquidity amounting to €34.4 billion at the end of 2024. In addition, the nine-month 2025 interim results are sensitive as net cash flow in the Automotive Division drops to €1.8 billion, partly due working capital movements (Volkswagen Group, 2025</w:t>
      </w:r>
      <w:r w:rsidR="00EA22BA" w:rsidRPr="0005381A">
        <w:rPr>
          <w:rFonts w:ascii="Arial" w:hAnsi="Arial" w:cs="Arial"/>
          <w:lang w:val="en-US"/>
        </w:rPr>
        <w:t>b</w:t>
      </w:r>
      <w:r w:rsidRPr="0005381A">
        <w:rPr>
          <w:rFonts w:ascii="Arial" w:hAnsi="Arial" w:cs="Arial"/>
          <w:lang w:val="en-US"/>
        </w:rPr>
        <w:t>). Consequently, and the tightening of the cycle remains an operational priority to generate additional funds for growth without increasing borrowings.</w:t>
      </w:r>
    </w:p>
    <w:p w14:paraId="7879457D" w14:textId="0C0505BE"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To increase liquidity by working capital reforms, Volkswagen Group should execute inventory optimisation, receivables acceleration, and payables extension strategies, while ethically treating suppliers. The incorporation of demand forecasting with just-in-time (JIT) technique for battery modules and vehicle assembly can help cut down inventory days by 10-15%. In the end, a significant amount of money will be liberated (Monden, 2011; Christopher, 2016). For instance, the inventory movement of −€2,071 million in 2023 was positive. As suggested by Hofmann, Strewe and Bosia (2017), real time supplier communication and dynamic discounting on digital platforms could extend payables days further without damage to relationships. At the same time, stricter credit policies and selective factoring of trade receivables (without recourse) would speed up receivables collection (Soufani, 2002). These reforms are in line with the Group’s proven efficiency improvements, in particular the rising total asset turnover, and would increase resilience to the currency and commodity volatility outlined in the 2025 interim results (Volkswagen Group, 2025</w:t>
      </w:r>
      <w:r w:rsidR="00EA22BA" w:rsidRPr="0005381A">
        <w:rPr>
          <w:rFonts w:ascii="Arial" w:hAnsi="Arial" w:cs="Arial"/>
          <w:lang w:val="en-US"/>
        </w:rPr>
        <w:t>b</w:t>
      </w:r>
      <w:r w:rsidRPr="0005381A">
        <w:rPr>
          <w:rFonts w:ascii="Arial" w:hAnsi="Arial" w:cs="Arial"/>
          <w:lang w:val="en-US"/>
        </w:rPr>
        <w:t>). The impact of financial instruments on all suppliers in the battery supply chain should be critically assessed. In short, payment terms must not hinder ESG implementation. If implemented together, these targeted reforms can reduce the cash operating cycle by a duration of 10-15 days, thereby freeing a flow of cash amounting to a huge</w:t>
      </w:r>
      <w:r w:rsidR="00F712D3" w:rsidRPr="0005381A">
        <w:rPr>
          <w:rFonts w:ascii="Arial" w:hAnsi="Arial" w:cs="Arial"/>
          <w:lang w:val="en-US"/>
        </w:rPr>
        <w:t xml:space="preserve"> cost </w:t>
      </w:r>
      <w:r w:rsidRPr="0005381A">
        <w:rPr>
          <w:rFonts w:ascii="Arial" w:hAnsi="Arial" w:cs="Arial"/>
          <w:lang w:val="en-US"/>
        </w:rPr>
        <w:t>annually which can be used for reinvestment in EV infrastructure and shareholder returns.</w:t>
      </w:r>
    </w:p>
    <w:p w14:paraId="5F6BB648"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lastRenderedPageBreak/>
        <w:t>When choosing short-term or long-term financing options, there are different trade-offs one must consider for the Group’s capital needs. The comparison provided below summarises the key dimensions (Table 1).</w:t>
      </w:r>
    </w:p>
    <w:p w14:paraId="423CDB52" w14:textId="77777777" w:rsidR="0069622E" w:rsidRPr="0005381A" w:rsidRDefault="0069622E" w:rsidP="0005381A">
      <w:pPr>
        <w:pStyle w:val="Caption"/>
        <w:keepNext/>
        <w:spacing w:before="120" w:after="120" w:line="360" w:lineRule="auto"/>
        <w:contextualSpacing/>
        <w:rPr>
          <w:rFonts w:ascii="Arial" w:hAnsi="Arial" w:cs="Arial"/>
          <w:color w:val="auto"/>
          <w:sz w:val="24"/>
          <w:szCs w:val="24"/>
        </w:rPr>
      </w:pPr>
      <w:bookmarkStart w:id="10" w:name="_Toc222527587"/>
      <w:r w:rsidRPr="0005381A">
        <w:rPr>
          <w:rFonts w:ascii="Arial" w:hAnsi="Arial" w:cs="Arial"/>
          <w:color w:val="auto"/>
          <w:sz w:val="24"/>
          <w:szCs w:val="24"/>
        </w:rPr>
        <w:t xml:space="preserve">Table </w:t>
      </w:r>
      <w:r w:rsidRPr="0005381A">
        <w:rPr>
          <w:rFonts w:ascii="Arial" w:hAnsi="Arial" w:cs="Arial"/>
          <w:color w:val="auto"/>
          <w:sz w:val="24"/>
          <w:szCs w:val="24"/>
        </w:rPr>
        <w:fldChar w:fldCharType="begin"/>
      </w:r>
      <w:r w:rsidRPr="0005381A">
        <w:rPr>
          <w:rFonts w:ascii="Arial" w:hAnsi="Arial" w:cs="Arial"/>
          <w:color w:val="auto"/>
          <w:sz w:val="24"/>
          <w:szCs w:val="24"/>
        </w:rPr>
        <w:instrText xml:space="preserve"> SEQ Table \* ARABIC </w:instrText>
      </w:r>
      <w:r w:rsidRPr="0005381A">
        <w:rPr>
          <w:rFonts w:ascii="Arial" w:hAnsi="Arial" w:cs="Arial"/>
          <w:color w:val="auto"/>
          <w:sz w:val="24"/>
          <w:szCs w:val="24"/>
        </w:rPr>
        <w:fldChar w:fldCharType="separate"/>
      </w:r>
      <w:r w:rsidRPr="0005381A">
        <w:rPr>
          <w:rFonts w:ascii="Arial" w:hAnsi="Arial" w:cs="Arial"/>
          <w:noProof/>
          <w:color w:val="auto"/>
          <w:sz w:val="24"/>
          <w:szCs w:val="24"/>
        </w:rPr>
        <w:t>1</w:t>
      </w:r>
      <w:r w:rsidRPr="0005381A">
        <w:rPr>
          <w:rFonts w:ascii="Arial" w:hAnsi="Arial" w:cs="Arial"/>
          <w:color w:val="auto"/>
          <w:sz w:val="24"/>
          <w:szCs w:val="24"/>
        </w:rPr>
        <w:fldChar w:fldCharType="end"/>
      </w:r>
      <w:r w:rsidRPr="0005381A">
        <w:rPr>
          <w:rFonts w:ascii="Arial" w:hAnsi="Arial" w:cs="Arial"/>
          <w:color w:val="auto"/>
          <w:sz w:val="24"/>
          <w:szCs w:val="24"/>
        </w:rPr>
        <w:t>: Comparison of Short-Term versus Long-Term Financing Options</w:t>
      </w:r>
      <w:bookmarkEnd w:id="10"/>
    </w:p>
    <w:p w14:paraId="33B6B999"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noProof/>
          <w:lang w:val="en-US"/>
        </w:rPr>
        <w:drawing>
          <wp:inline distT="0" distB="0" distL="0" distR="0" wp14:anchorId="02132567" wp14:editId="338E7EB1">
            <wp:extent cx="5731510" cy="4586605"/>
            <wp:effectExtent l="19050" t="19050" r="2540" b="4445"/>
            <wp:docPr id="1735057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57103" name="Picture 1735057103"/>
                    <pic:cNvPicPr/>
                  </pic:nvPicPr>
                  <pic:blipFill rotWithShape="1">
                    <a:blip r:embed="rId16">
                      <a:extLst>
                        <a:ext uri="{28A0092B-C50C-407E-A947-70E740481C1C}">
                          <a14:useLocalDpi xmlns:a14="http://schemas.microsoft.com/office/drawing/2010/main" val="0"/>
                        </a:ext>
                      </a:extLst>
                    </a:blip>
                    <a:srcRect/>
                    <a:stretch/>
                  </pic:blipFill>
                  <pic:spPr bwMode="auto">
                    <a:xfrm>
                      <a:off x="0" y="0"/>
                      <a:ext cx="5731510" cy="458660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3FAF023" w14:textId="2617228D"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Facilities of an inexpensive short term used for financing day-to-day operations as well as working capital fluctuations expose the Group to a rollover risk when the credit markets are volatile (Graham and Harvey, 2001). Long-term instruments may have a high price tag, but are stable enough for several billion euros investment in electrification. Additionally, they are consistent with the enhanced equity ratio </w:t>
      </w:r>
      <w:r w:rsidR="00F712D3" w:rsidRPr="0005381A">
        <w:rPr>
          <w:rFonts w:ascii="Arial" w:hAnsi="Arial" w:cs="Arial"/>
          <w:lang w:val="en-US"/>
        </w:rPr>
        <w:t xml:space="preserve">(Figure 4) </w:t>
      </w:r>
      <w:r w:rsidRPr="0005381A">
        <w:rPr>
          <w:rFonts w:ascii="Arial" w:hAnsi="Arial" w:cs="Arial"/>
          <w:lang w:val="en-US"/>
        </w:rPr>
        <w:t>and investment-grade rating of the Group. A balanced approach to capital structure keeping a core of long-term debt supplemented by short-term facilities optimises the cost-risk trade-off and preserves financial flexibility (Titman and Wessels 1988). As a result, this balanced debt structure offers cost efficiency, stability, and the flexibility to facilitate the electrification strategy of Volkswagen Group.</w:t>
      </w:r>
    </w:p>
    <w:p w14:paraId="4CDB221D" w14:textId="77777777" w:rsidR="0069622E" w:rsidRPr="0005381A" w:rsidRDefault="0069622E" w:rsidP="0005381A">
      <w:pPr>
        <w:pStyle w:val="Heading1"/>
        <w:spacing w:before="120" w:after="120"/>
        <w:rPr>
          <w:lang w:val="en-US"/>
        </w:rPr>
      </w:pPr>
      <w:bookmarkStart w:id="11" w:name="_Toc222499703"/>
      <w:r w:rsidRPr="0005381A">
        <w:rPr>
          <w:lang w:val="en-US"/>
        </w:rPr>
        <w:lastRenderedPageBreak/>
        <w:t>4. STRATEGIC FINANCIAL RESTRUCTURING PLAN</w:t>
      </w:r>
      <w:bookmarkEnd w:id="11"/>
    </w:p>
    <w:p w14:paraId="7F692874" w14:textId="77777777" w:rsidR="0069622E" w:rsidRPr="0005381A" w:rsidRDefault="0069622E" w:rsidP="0005381A">
      <w:pPr>
        <w:pStyle w:val="Heading2"/>
        <w:spacing w:before="120" w:after="120" w:line="360" w:lineRule="auto"/>
        <w:contextualSpacing/>
        <w:rPr>
          <w:rFonts w:cs="Arial"/>
          <w:szCs w:val="24"/>
          <w:lang w:val="en-US"/>
        </w:rPr>
      </w:pPr>
      <w:bookmarkStart w:id="12" w:name="_Toc222499704"/>
      <w:r w:rsidRPr="0005381A">
        <w:rPr>
          <w:rFonts w:cs="Arial"/>
          <w:szCs w:val="24"/>
          <w:lang w:val="en-US"/>
        </w:rPr>
        <w:t>4.1 Recommended Restructuring Options</w:t>
      </w:r>
      <w:bookmarkEnd w:id="12"/>
    </w:p>
    <w:p w14:paraId="0041DE5C" w14:textId="6D6336DE"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The proposed restructuring pivots on the targeted divestment of non-core assets. The Group ought to divest the business for Ducati motorcycles as well as selected non-strategic commercial vehicle operations within the TRATON GROUP which do not fall within the core passenger electric vehicle strategy. While these businesses are profitable, they detract management attention and capital away from electrification</w:t>
      </w:r>
      <w:r w:rsidR="004D7DC0" w:rsidRPr="0005381A">
        <w:rPr>
          <w:rFonts w:ascii="Arial" w:eastAsiaTheme="majorEastAsia" w:hAnsi="Arial" w:cs="Arial"/>
          <w:bCs/>
          <w:lang w:val="en-US"/>
        </w:rPr>
        <w:t>, this is illustrated by the sizeable funding coming to the Commercial Vehicles segment and the decision in March 2025 to place 11 million TRATON SE shares, resulting in a fall in Volkswagen’s holding from 89.7% to 87.5% in order to free up €0.4 billion (Volkswagen Group, 2025).</w:t>
      </w:r>
      <w:r w:rsidRPr="0005381A">
        <w:rPr>
          <w:rFonts w:ascii="Arial" w:eastAsiaTheme="majorEastAsia" w:hAnsi="Arial" w:cs="Arial"/>
          <w:bCs/>
          <w:lang w:val="en-US"/>
        </w:rPr>
        <w:t>The revenue from such sales, which is valued at a few billion euros at current premium market rates, will be reserved for debt payment and accelerated capex. Studies exhibit that divestiture improves the concentration and value of firms, through a reassignment of resources (Hitt et al., 1991; Volkswagen Group, 2024). As a result, targeted divestitures would sharpen strategic electrification focus and generate useful proceeds for debt repayment and investment.</w:t>
      </w:r>
    </w:p>
    <w:p w14:paraId="79FC1868" w14:textId="6C987005"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 xml:space="preserve">The second component of the proposal is a strategic injection of equity. The equity base will be boosted with a rights issue or targeted private placement which will raise €6–8 billion without major dilution. This funding will boost the Group’s ability to fund its multi-year investment programme and at the same time support its relatively strong investment-grade credit profile. In 2023, 17,928 million </w:t>
      </w:r>
      <w:r w:rsidR="004D7DC0" w:rsidRPr="0005381A">
        <w:rPr>
          <w:rFonts w:ascii="Arial" w:eastAsiaTheme="majorEastAsia" w:hAnsi="Arial" w:cs="Arial"/>
          <w:bCs/>
          <w:lang w:val="en-US"/>
        </w:rPr>
        <w:t>profits</w:t>
      </w:r>
      <w:r w:rsidRPr="0005381A">
        <w:rPr>
          <w:rFonts w:ascii="Arial" w:eastAsiaTheme="majorEastAsia" w:hAnsi="Arial" w:cs="Arial"/>
          <w:bCs/>
          <w:lang w:val="en-US"/>
        </w:rPr>
        <w:t xml:space="preserve"> after tax and 31.6 per cent equity ratio</w:t>
      </w:r>
      <w:r w:rsidR="004D7DC0" w:rsidRPr="0005381A">
        <w:rPr>
          <w:rFonts w:ascii="Arial" w:eastAsiaTheme="majorEastAsia" w:hAnsi="Arial" w:cs="Arial"/>
          <w:bCs/>
          <w:lang w:val="en-US"/>
        </w:rPr>
        <w:t xml:space="preserve"> (see Figure 4)</w:t>
      </w:r>
      <w:r w:rsidRPr="0005381A">
        <w:rPr>
          <w:rFonts w:ascii="Arial" w:eastAsiaTheme="majorEastAsia" w:hAnsi="Arial" w:cs="Arial"/>
          <w:bCs/>
          <w:lang w:val="en-US"/>
        </w:rPr>
        <w:t>. The proposed structure will enhance the existing shareholders’ value in the long term</w:t>
      </w:r>
      <w:r w:rsidR="004D7DC0" w:rsidRPr="0005381A">
        <w:rPr>
          <w:rFonts w:ascii="Arial" w:eastAsiaTheme="majorEastAsia" w:hAnsi="Arial" w:cs="Arial"/>
          <w:bCs/>
          <w:lang w:val="en-US"/>
        </w:rPr>
        <w:t>, t</w:t>
      </w:r>
      <w:r w:rsidRPr="0005381A">
        <w:rPr>
          <w:rFonts w:ascii="Arial" w:eastAsiaTheme="majorEastAsia" w:hAnsi="Arial" w:cs="Arial"/>
          <w:bCs/>
          <w:lang w:val="en-US"/>
        </w:rPr>
        <w:t>his view of equity is consistent with the pecking order theory (Myers and Majluf 1984) which favours internal and equity financing in the presence of asymmetric information.  As a result, the capital base will be reinforced, and electrification investments will be accelerated without jeopardising the Investment Grade rating of the Group.</w:t>
      </w:r>
    </w:p>
    <w:p w14:paraId="57413555" w14:textId="096CB2F8"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 xml:space="preserve">Another suggested option is selective merger and joint-venture augmentation. Through either a broadened joint venture or a more focused merger with a local technology player, a deepening of the existing partnership in China (Reuters, 2025) would accelerate battery and software development, with no full capital commitment on the Group balance sheet. </w:t>
      </w:r>
      <w:r w:rsidR="004D7DC0" w:rsidRPr="0005381A">
        <w:rPr>
          <w:rFonts w:ascii="Arial" w:eastAsiaTheme="majorEastAsia" w:hAnsi="Arial" w:cs="Arial"/>
          <w:bCs/>
          <w:lang w:val="en-US"/>
        </w:rPr>
        <w:t>R</w:t>
      </w:r>
      <w:r w:rsidRPr="0005381A">
        <w:rPr>
          <w:rFonts w:ascii="Arial" w:eastAsiaTheme="majorEastAsia" w:hAnsi="Arial" w:cs="Arial"/>
          <w:bCs/>
          <w:lang w:val="en-US"/>
        </w:rPr>
        <w:t xml:space="preserve">esearchers, including Kogut (1988), Hennart (1988), </w:t>
      </w:r>
      <w:r w:rsidRPr="0005381A">
        <w:rPr>
          <w:rFonts w:ascii="Arial" w:eastAsiaTheme="majorEastAsia" w:hAnsi="Arial" w:cs="Arial"/>
          <w:bCs/>
          <w:lang w:val="en-US"/>
        </w:rPr>
        <w:lastRenderedPageBreak/>
        <w:t>and Volkswagen (2025), note that Joint Ventures are an efficient means to access complementary resources and mitigate risk in developing countries. As a result, faster innovation and access to markets through efficient capital would come through better joint ventures.</w:t>
      </w:r>
    </w:p>
    <w:p w14:paraId="7BA7E726" w14:textId="77777777" w:rsidR="0069622E" w:rsidRPr="0005381A" w:rsidRDefault="0069622E" w:rsidP="0005381A">
      <w:pPr>
        <w:pStyle w:val="Heading2"/>
        <w:spacing w:before="120" w:after="120" w:line="360" w:lineRule="auto"/>
        <w:contextualSpacing/>
        <w:rPr>
          <w:rFonts w:cs="Arial"/>
          <w:szCs w:val="24"/>
          <w:lang w:val="en-US"/>
        </w:rPr>
      </w:pPr>
      <w:bookmarkStart w:id="13" w:name="_Toc222499705"/>
      <w:r w:rsidRPr="0005381A">
        <w:rPr>
          <w:rFonts w:cs="Arial"/>
          <w:szCs w:val="24"/>
          <w:lang w:val="en-US"/>
        </w:rPr>
        <w:t>4.2 Evaluation of Impacts</w:t>
      </w:r>
      <w:bookmarkEnd w:id="13"/>
    </w:p>
    <w:p w14:paraId="56CFBDB6" w14:textId="77777777" w:rsidR="004D7DC0"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 xml:space="preserve">The merger strategies would have a positive measurable impact on key financial metrics. The strategy would result in an increase in shareholder value both over the immediate term and in the long run. The proceeds from divestiture could be used to buy back shares or offer a special dividend, while both an equity injection and merger synergies could help deliver better future earnings per share through improved operating margins and faster growth in EV market share.  </w:t>
      </w:r>
    </w:p>
    <w:p w14:paraId="735BA4DF" w14:textId="2A1A8792" w:rsidR="0069622E" w:rsidRPr="0005381A" w:rsidRDefault="00EA22BA"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The overall effect of corporate restructuring will be to increase intrinsic value. Restructuring reduces inefficiencies of free cash flow and thereby aligns manager and other’s interest (Jensen, 1986)</w:t>
      </w:r>
      <w:r w:rsidR="0069622E" w:rsidRPr="0005381A">
        <w:rPr>
          <w:rFonts w:ascii="Arial" w:eastAsiaTheme="majorEastAsia" w:hAnsi="Arial" w:cs="Arial"/>
          <w:bCs/>
          <w:lang w:val="en-US"/>
        </w:rPr>
        <w:t xml:space="preserve">. Taking everything into account, the plan would, therefore, generate meaningful long-term value creation for the Volkswagen shareholders. </w:t>
      </w:r>
    </w:p>
    <w:p w14:paraId="1DD0F9D2" w14:textId="418404FB"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 xml:space="preserve">Impact on debt structure would be positive and considerable. Cash inflows from the divestiture would lead to a reduction in net debt, improving key leverage ratios, while equity injection would raise the equity ratio above 31.6% </w:t>
      </w:r>
      <w:r w:rsidR="004D7DC0" w:rsidRPr="0005381A">
        <w:rPr>
          <w:rFonts w:ascii="Arial" w:eastAsiaTheme="majorEastAsia" w:hAnsi="Arial" w:cs="Arial"/>
          <w:bCs/>
          <w:lang w:val="en-US"/>
        </w:rPr>
        <w:t xml:space="preserve">(Figure 4) </w:t>
      </w:r>
      <w:r w:rsidRPr="0005381A">
        <w:rPr>
          <w:rFonts w:ascii="Arial" w:eastAsiaTheme="majorEastAsia" w:hAnsi="Arial" w:cs="Arial"/>
          <w:bCs/>
          <w:lang w:val="en-US"/>
        </w:rPr>
        <w:t>and lessen interest cover risk. It will also help avoid interest-rate volatility seen in the exchange-rate movements section of the 2025 interim report (Rajan and Zingales, 1995; Volkswagen Group, 2025</w:t>
      </w:r>
      <w:r w:rsidR="00EA22BA" w:rsidRPr="0005381A">
        <w:rPr>
          <w:rFonts w:ascii="Arial" w:eastAsiaTheme="majorEastAsia" w:hAnsi="Arial" w:cs="Arial"/>
          <w:bCs/>
          <w:lang w:val="en-US"/>
        </w:rPr>
        <w:t>b</w:t>
      </w:r>
      <w:r w:rsidRPr="0005381A">
        <w:rPr>
          <w:rFonts w:ascii="Arial" w:eastAsiaTheme="majorEastAsia" w:hAnsi="Arial" w:cs="Arial"/>
          <w:bCs/>
          <w:lang w:val="en-US"/>
        </w:rPr>
        <w:t xml:space="preserve">). The ensuing capital structure would be conservative yet flexible to allow the Group’s bold growth to be actualised. </w:t>
      </w:r>
    </w:p>
    <w:p w14:paraId="750CBC09" w14:textId="173F7913"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Under the proposed plan, operational flexibility would improve. A divested business portfolio would offer faster decision-making and faster resources geared towards core EV businesses</w:t>
      </w:r>
      <w:r w:rsidR="00376979" w:rsidRPr="0005381A">
        <w:rPr>
          <w:rFonts w:ascii="Arial" w:eastAsiaTheme="majorEastAsia" w:hAnsi="Arial" w:cs="Arial"/>
          <w:bCs/>
          <w:lang w:val="en-US"/>
        </w:rPr>
        <w:t>, a concept agreed by Labaki and Hirigoyen (2020)</w:t>
      </w:r>
      <w:r w:rsidRPr="0005381A">
        <w:rPr>
          <w:rFonts w:ascii="Arial" w:eastAsiaTheme="majorEastAsia" w:hAnsi="Arial" w:cs="Arial"/>
          <w:bCs/>
          <w:lang w:val="en-US"/>
        </w:rPr>
        <w:t xml:space="preserve">. Accessing the expertise and distribution networks of local players </w:t>
      </w:r>
      <w:r w:rsidR="00376979" w:rsidRPr="0005381A">
        <w:rPr>
          <w:rFonts w:ascii="Arial" w:eastAsiaTheme="majorEastAsia" w:hAnsi="Arial" w:cs="Arial"/>
          <w:bCs/>
          <w:lang w:val="en-US"/>
        </w:rPr>
        <w:t xml:space="preserve">and </w:t>
      </w:r>
      <w:r w:rsidRPr="0005381A">
        <w:rPr>
          <w:rFonts w:ascii="Arial" w:eastAsiaTheme="majorEastAsia" w:hAnsi="Arial" w:cs="Arial"/>
          <w:bCs/>
          <w:lang w:val="en-US"/>
        </w:rPr>
        <w:t>expansion through enhanced joint-venture structures gains liquidity from the equity injection in the near term</w:t>
      </w:r>
      <w:r w:rsidR="00376979" w:rsidRPr="0005381A">
        <w:rPr>
          <w:rFonts w:ascii="Arial" w:eastAsiaTheme="majorEastAsia" w:hAnsi="Arial" w:cs="Arial"/>
          <w:bCs/>
          <w:lang w:val="en-US"/>
        </w:rPr>
        <w:t xml:space="preserve"> (Azis et al., 2023</w:t>
      </w:r>
      <w:r w:rsidR="00405BE0" w:rsidRPr="0005381A">
        <w:rPr>
          <w:rFonts w:ascii="Arial" w:eastAsiaTheme="majorEastAsia" w:hAnsi="Arial" w:cs="Arial"/>
          <w:bCs/>
          <w:lang w:val="en-US"/>
        </w:rPr>
        <w:t>; Ding, Zhang and Wu, 2023</w:t>
      </w:r>
      <w:r w:rsidR="00376979" w:rsidRPr="0005381A">
        <w:rPr>
          <w:rFonts w:ascii="Arial" w:eastAsiaTheme="majorEastAsia" w:hAnsi="Arial" w:cs="Arial"/>
          <w:bCs/>
          <w:lang w:val="en-US"/>
        </w:rPr>
        <w:t>)</w:t>
      </w:r>
      <w:r w:rsidRPr="0005381A">
        <w:rPr>
          <w:rFonts w:ascii="Arial" w:eastAsiaTheme="majorEastAsia" w:hAnsi="Arial" w:cs="Arial"/>
          <w:bCs/>
          <w:lang w:val="en-US"/>
        </w:rPr>
        <w:t>. Together, these changes will enable the Group to respond faster to fluctuating EV demand, regulations, and technology changes (Hitt et al., 1991). As a result, restructuring would significantly enhance Volkswagen’s operating efficiency in a rapidly evolving EV market.</w:t>
      </w:r>
    </w:p>
    <w:p w14:paraId="0496A1CE" w14:textId="77777777" w:rsidR="0069622E" w:rsidRPr="0005381A" w:rsidRDefault="0069622E" w:rsidP="0005381A">
      <w:pPr>
        <w:pStyle w:val="Heading2"/>
        <w:spacing w:before="120" w:after="120" w:line="360" w:lineRule="auto"/>
        <w:contextualSpacing/>
        <w:rPr>
          <w:rFonts w:cs="Arial"/>
          <w:szCs w:val="24"/>
          <w:lang w:val="en-US"/>
        </w:rPr>
      </w:pPr>
      <w:bookmarkStart w:id="14" w:name="_Toc222499706"/>
      <w:r w:rsidRPr="0005381A">
        <w:rPr>
          <w:rFonts w:cs="Arial"/>
          <w:szCs w:val="24"/>
          <w:lang w:val="en-US"/>
        </w:rPr>
        <w:lastRenderedPageBreak/>
        <w:t>4.3 International and Ethical Considerations</w:t>
      </w:r>
      <w:bookmarkEnd w:id="14"/>
    </w:p>
    <w:p w14:paraId="21CA0B1E" w14:textId="77777777"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Taxation optimisation is a top-level international consideration in carrying out the restructuring. Tax effective supply chain solutions can be arranged through jurisdictions offering favourable capital gains and participation exemption regimes which help minimise effective tax rate on realised gains as well as maximising cash available for reinvestment. The Group’s overall tax planning framework and the income tax expense reported in 2023 of € 5,266 million were entirely in line with the OECD BEPS guidelines and EU tax directives (Volkswagen Group, 2024).</w:t>
      </w:r>
    </w:p>
    <w:p w14:paraId="5F1948FA" w14:textId="77777777" w:rsidR="0069622E" w:rsidRPr="0005381A" w:rsidRDefault="0069622E" w:rsidP="0005381A">
      <w:pPr>
        <w:spacing w:before="120" w:after="120" w:line="360" w:lineRule="auto"/>
        <w:contextualSpacing/>
        <w:rPr>
          <w:rFonts w:ascii="Arial" w:eastAsiaTheme="majorEastAsia" w:hAnsi="Arial" w:cs="Arial"/>
          <w:bCs/>
          <w:lang w:val="en-US"/>
        </w:rPr>
      </w:pPr>
      <w:r w:rsidRPr="0005381A">
        <w:rPr>
          <w:rFonts w:ascii="Arial" w:eastAsiaTheme="majorEastAsia" w:hAnsi="Arial" w:cs="Arial"/>
          <w:bCs/>
          <w:lang w:val="en-US"/>
        </w:rPr>
        <w:t>The second important ethical consideration is corporate social responsibility. Creating transparency in offering transition support, skill development and redeployment opportunities to affected employees, the restructuring process flays hurt the affected employees as much as possible. Suppliers in the battery value chain should be engaged on ethical terms to sustain commitments in Science Based Targets initiative already validated for Scope 1, 2 and 3 emissions reductions (Bals and Tate, 2017). Incorporating these principles into the plan will help to protect the Group’s reputation as a responsible corporate citizen while enhancing stakeholder confidence during the mobility transformation.</w:t>
      </w:r>
    </w:p>
    <w:p w14:paraId="681178CF" w14:textId="77777777" w:rsidR="0069622E" w:rsidRPr="0005381A" w:rsidRDefault="0069622E" w:rsidP="0005381A">
      <w:pPr>
        <w:pStyle w:val="Heading1"/>
        <w:spacing w:before="120" w:after="120"/>
        <w:rPr>
          <w:rFonts w:eastAsiaTheme="minorEastAsia"/>
        </w:rPr>
      </w:pPr>
      <w:bookmarkStart w:id="15" w:name="_Toc222499707"/>
      <w:r w:rsidRPr="0005381A">
        <w:rPr>
          <w:lang w:val="en-US"/>
        </w:rPr>
        <w:t xml:space="preserve">5. </w:t>
      </w:r>
      <w:r w:rsidRPr="0005381A">
        <w:rPr>
          <w:rFonts w:eastAsiaTheme="minorEastAsia"/>
        </w:rPr>
        <w:t>INVESTMENT APPRAISAL AND CAPITAL BUDGETING</w:t>
      </w:r>
      <w:bookmarkEnd w:id="15"/>
    </w:p>
    <w:p w14:paraId="01547CD0" w14:textId="735AD52B"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The investment appraisal and capital budgeting are the final phases of financial planning at the Volkswagen Group. Volkswagen Group is well-positioned in the market to manage any major capital projects, thanks to the Automotive Division having a net liquidity of €31.0 billion as at September 30 2025. Also, automotive construction can be assumptions generated from the very strong operating cash flow of €10,698 million in the Automotive Division (Volkswagen Group, 2025; Volkswagen Group, 2024). The evaluation of three proposed £50 million projects, using five complementary techniques, namely payback period (PBP), accounting rate of return (ARR), net present value (NPV), profitability index (PI) and internal rate of return (IRR). A £10 million annual depreciation over five years, straight-line, and a 10% discount rate is assumed in all calculations. Detailed step-by-step calculation is shown in </w:t>
      </w:r>
      <w:r w:rsidR="00405BE0" w:rsidRPr="0005381A">
        <w:rPr>
          <w:rFonts w:ascii="Arial" w:hAnsi="Arial" w:cs="Arial"/>
          <w:lang w:val="en-US"/>
        </w:rPr>
        <w:t>Table 2</w:t>
      </w:r>
      <w:r w:rsidRPr="0005381A">
        <w:rPr>
          <w:rFonts w:ascii="Arial" w:hAnsi="Arial" w:cs="Arial"/>
          <w:lang w:val="en-US"/>
        </w:rPr>
        <w:t xml:space="preserve"> below. Only one project has been recommended and justified with reference to the Group’s financial performance, and other non-financial risks. Ultimately, the identification of the optimal combination of projects is justified under the £100 million capital rationing limitation.</w:t>
      </w:r>
    </w:p>
    <w:p w14:paraId="2144E259" w14:textId="77777777" w:rsidR="0069622E" w:rsidRPr="0005381A" w:rsidRDefault="0069622E" w:rsidP="0005381A">
      <w:pPr>
        <w:pStyle w:val="Heading2"/>
        <w:spacing w:before="120" w:after="120" w:line="360" w:lineRule="auto"/>
        <w:contextualSpacing/>
        <w:rPr>
          <w:rFonts w:cs="Arial"/>
          <w:szCs w:val="24"/>
          <w:lang w:val="en-US"/>
        </w:rPr>
      </w:pPr>
      <w:bookmarkStart w:id="16" w:name="_Toc222499708"/>
      <w:r w:rsidRPr="0005381A">
        <w:rPr>
          <w:rFonts w:cs="Arial"/>
          <w:szCs w:val="24"/>
          <w:lang w:val="en-US"/>
        </w:rPr>
        <w:lastRenderedPageBreak/>
        <w:t>5.1. Detailed Project Appraisal Calculations</w:t>
      </w:r>
      <w:bookmarkEnd w:id="16"/>
    </w:p>
    <w:p w14:paraId="6AAC3F4E"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The cash flows for the three projects are quite different. Project A’s cash flows front-load and then decline, Project B has level annuity cash flows, while Project C has strongly back-loaded cash flows. The full calculation table below contains all the intermediate workings.</w:t>
      </w:r>
    </w:p>
    <w:p w14:paraId="6D0589E8" w14:textId="77777777" w:rsidR="0069622E" w:rsidRPr="0005381A" w:rsidRDefault="0069622E" w:rsidP="0005381A">
      <w:pPr>
        <w:pStyle w:val="Caption"/>
        <w:keepNext/>
        <w:spacing w:before="120" w:after="120" w:line="360" w:lineRule="auto"/>
        <w:contextualSpacing/>
        <w:rPr>
          <w:rFonts w:ascii="Arial" w:hAnsi="Arial" w:cs="Arial"/>
          <w:color w:val="auto"/>
          <w:sz w:val="24"/>
          <w:szCs w:val="24"/>
        </w:rPr>
      </w:pPr>
      <w:bookmarkStart w:id="17" w:name="_Toc222527588"/>
      <w:r w:rsidRPr="0005381A">
        <w:rPr>
          <w:rFonts w:ascii="Arial" w:hAnsi="Arial" w:cs="Arial"/>
          <w:color w:val="auto"/>
          <w:sz w:val="24"/>
          <w:szCs w:val="24"/>
        </w:rPr>
        <w:t xml:space="preserve">Table </w:t>
      </w:r>
      <w:r w:rsidRPr="0005381A">
        <w:rPr>
          <w:rFonts w:ascii="Arial" w:hAnsi="Arial" w:cs="Arial"/>
          <w:color w:val="auto"/>
          <w:sz w:val="24"/>
          <w:szCs w:val="24"/>
        </w:rPr>
        <w:fldChar w:fldCharType="begin"/>
      </w:r>
      <w:r w:rsidRPr="0005381A">
        <w:rPr>
          <w:rFonts w:ascii="Arial" w:hAnsi="Arial" w:cs="Arial"/>
          <w:color w:val="auto"/>
          <w:sz w:val="24"/>
          <w:szCs w:val="24"/>
        </w:rPr>
        <w:instrText xml:space="preserve"> SEQ Table \* ARABIC </w:instrText>
      </w:r>
      <w:r w:rsidRPr="0005381A">
        <w:rPr>
          <w:rFonts w:ascii="Arial" w:hAnsi="Arial" w:cs="Arial"/>
          <w:color w:val="auto"/>
          <w:sz w:val="24"/>
          <w:szCs w:val="24"/>
        </w:rPr>
        <w:fldChar w:fldCharType="separate"/>
      </w:r>
      <w:r w:rsidRPr="0005381A">
        <w:rPr>
          <w:rFonts w:ascii="Arial" w:hAnsi="Arial" w:cs="Arial"/>
          <w:noProof/>
          <w:color w:val="auto"/>
          <w:sz w:val="24"/>
          <w:szCs w:val="24"/>
        </w:rPr>
        <w:t>2</w:t>
      </w:r>
      <w:r w:rsidRPr="0005381A">
        <w:rPr>
          <w:rFonts w:ascii="Arial" w:hAnsi="Arial" w:cs="Arial"/>
          <w:color w:val="auto"/>
          <w:sz w:val="24"/>
          <w:szCs w:val="24"/>
        </w:rPr>
        <w:fldChar w:fldCharType="end"/>
      </w:r>
      <w:r w:rsidRPr="0005381A">
        <w:rPr>
          <w:rFonts w:ascii="Arial" w:hAnsi="Arial" w:cs="Arial"/>
          <w:color w:val="auto"/>
          <w:sz w:val="24"/>
          <w:szCs w:val="24"/>
        </w:rPr>
        <w:t>: Full Investment Appraisal Calculations (£ million)</w:t>
      </w:r>
      <w:bookmarkEnd w:id="17"/>
    </w:p>
    <w:tbl>
      <w:tblPr>
        <w:tblStyle w:val="TableGrid8"/>
        <w:tblW w:w="10008" w:type="dxa"/>
        <w:tblLook w:val="04A0" w:firstRow="1" w:lastRow="0" w:firstColumn="1" w:lastColumn="0" w:noHBand="0" w:noVBand="1"/>
      </w:tblPr>
      <w:tblGrid>
        <w:gridCol w:w="2537"/>
        <w:gridCol w:w="2592"/>
        <w:gridCol w:w="2265"/>
        <w:gridCol w:w="2614"/>
      </w:tblGrid>
      <w:tr w:rsidR="005F29DB" w:rsidRPr="0005381A" w14:paraId="61AC79B5" w14:textId="77777777" w:rsidTr="00282A15">
        <w:tc>
          <w:tcPr>
            <w:tcW w:w="2718" w:type="dxa"/>
            <w:shd w:val="clear" w:color="auto" w:fill="83CAEB" w:themeFill="accent1" w:themeFillTint="66"/>
            <w:hideMark/>
          </w:tcPr>
          <w:p w14:paraId="08888777" w14:textId="77777777" w:rsidR="0069622E" w:rsidRPr="0005381A" w:rsidRDefault="0069622E" w:rsidP="0005381A">
            <w:pPr>
              <w:spacing w:before="120" w:after="120" w:line="360" w:lineRule="auto"/>
              <w:contextualSpacing/>
              <w:rPr>
                <w:rFonts w:ascii="Arial" w:hAnsi="Arial" w:cs="Arial"/>
                <w:b/>
                <w:bCs/>
                <w:sz w:val="24"/>
                <w:szCs w:val="24"/>
                <w:lang w:val="en-US"/>
              </w:rPr>
            </w:pPr>
            <w:r w:rsidRPr="0005381A">
              <w:rPr>
                <w:rFonts w:ascii="Arial" w:hAnsi="Arial" w:cs="Arial"/>
                <w:b/>
                <w:bCs/>
                <w:sz w:val="24"/>
                <w:szCs w:val="24"/>
                <w:lang w:val="en-US"/>
              </w:rPr>
              <w:t>Technique and Calculation Steps</w:t>
            </w:r>
          </w:p>
        </w:tc>
        <w:tc>
          <w:tcPr>
            <w:tcW w:w="2401" w:type="dxa"/>
            <w:shd w:val="clear" w:color="auto" w:fill="83CAEB" w:themeFill="accent1" w:themeFillTint="66"/>
            <w:hideMark/>
          </w:tcPr>
          <w:p w14:paraId="78C18F35" w14:textId="77777777" w:rsidR="0069622E" w:rsidRPr="0005381A" w:rsidRDefault="0069622E" w:rsidP="0005381A">
            <w:pPr>
              <w:spacing w:before="120" w:after="120" w:line="360" w:lineRule="auto"/>
              <w:contextualSpacing/>
              <w:rPr>
                <w:rFonts w:ascii="Arial" w:hAnsi="Arial" w:cs="Arial"/>
                <w:b/>
                <w:bCs/>
                <w:sz w:val="24"/>
                <w:szCs w:val="24"/>
                <w:lang w:val="en-US"/>
              </w:rPr>
            </w:pPr>
            <w:r w:rsidRPr="0005381A">
              <w:rPr>
                <w:rFonts w:ascii="Arial" w:hAnsi="Arial" w:cs="Arial"/>
                <w:b/>
                <w:bCs/>
                <w:sz w:val="24"/>
                <w:szCs w:val="24"/>
                <w:lang w:val="en-US"/>
              </w:rPr>
              <w:t>Project A</w:t>
            </w:r>
          </w:p>
        </w:tc>
        <w:tc>
          <w:tcPr>
            <w:tcW w:w="2271" w:type="dxa"/>
            <w:shd w:val="clear" w:color="auto" w:fill="83CAEB" w:themeFill="accent1" w:themeFillTint="66"/>
            <w:hideMark/>
          </w:tcPr>
          <w:p w14:paraId="349FE030" w14:textId="77777777" w:rsidR="0069622E" w:rsidRPr="0005381A" w:rsidRDefault="0069622E" w:rsidP="0005381A">
            <w:pPr>
              <w:spacing w:before="120" w:after="120" w:line="360" w:lineRule="auto"/>
              <w:contextualSpacing/>
              <w:rPr>
                <w:rFonts w:ascii="Arial" w:hAnsi="Arial" w:cs="Arial"/>
                <w:b/>
                <w:bCs/>
                <w:sz w:val="24"/>
                <w:szCs w:val="24"/>
                <w:lang w:val="en-US"/>
              </w:rPr>
            </w:pPr>
            <w:r w:rsidRPr="0005381A">
              <w:rPr>
                <w:rFonts w:ascii="Arial" w:hAnsi="Arial" w:cs="Arial"/>
                <w:b/>
                <w:bCs/>
                <w:sz w:val="24"/>
                <w:szCs w:val="24"/>
                <w:lang w:val="en-US"/>
              </w:rPr>
              <w:t>Project B</w:t>
            </w:r>
          </w:p>
        </w:tc>
        <w:tc>
          <w:tcPr>
            <w:tcW w:w="2618" w:type="dxa"/>
            <w:shd w:val="clear" w:color="auto" w:fill="83CAEB" w:themeFill="accent1" w:themeFillTint="66"/>
            <w:hideMark/>
          </w:tcPr>
          <w:p w14:paraId="746855B2" w14:textId="77777777" w:rsidR="0069622E" w:rsidRPr="0005381A" w:rsidRDefault="0069622E" w:rsidP="0005381A">
            <w:pPr>
              <w:spacing w:before="120" w:after="120" w:line="360" w:lineRule="auto"/>
              <w:contextualSpacing/>
              <w:rPr>
                <w:rFonts w:ascii="Arial" w:hAnsi="Arial" w:cs="Arial"/>
                <w:b/>
                <w:bCs/>
                <w:sz w:val="24"/>
                <w:szCs w:val="24"/>
                <w:lang w:val="en-US"/>
              </w:rPr>
            </w:pPr>
            <w:r w:rsidRPr="0005381A">
              <w:rPr>
                <w:rFonts w:ascii="Arial" w:hAnsi="Arial" w:cs="Arial"/>
                <w:b/>
                <w:bCs/>
                <w:sz w:val="24"/>
                <w:szCs w:val="24"/>
                <w:lang w:val="en-US"/>
              </w:rPr>
              <w:t>Project C</w:t>
            </w:r>
          </w:p>
        </w:tc>
      </w:tr>
      <w:tr w:rsidR="005F29DB" w:rsidRPr="0005381A" w14:paraId="46FBB46F" w14:textId="77777777" w:rsidTr="00282A15">
        <w:tc>
          <w:tcPr>
            <w:tcW w:w="2718" w:type="dxa"/>
            <w:shd w:val="clear" w:color="auto" w:fill="F6C5AC" w:themeFill="accent2" w:themeFillTint="66"/>
            <w:hideMark/>
          </w:tcPr>
          <w:p w14:paraId="30C61243"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Payback Period</w:t>
            </w:r>
            <w:r w:rsidRPr="0005381A">
              <w:rPr>
                <w:rFonts w:ascii="Arial" w:hAnsi="Arial" w:cs="Arial"/>
                <w:sz w:val="24"/>
                <w:szCs w:val="24"/>
                <w:lang w:val="en-US"/>
              </w:rPr>
              <w:t xml:space="preserve"> Cumulative cash inflows Year 1 / 2 / 3 / 4 / 5</w:t>
            </w:r>
          </w:p>
        </w:tc>
        <w:tc>
          <w:tcPr>
            <w:tcW w:w="2401" w:type="dxa"/>
            <w:hideMark/>
          </w:tcPr>
          <w:p w14:paraId="39B75155"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10 → 22 → 36 → 46 → 54 Recovers £50m in Year 5 (4 + 4/8) = </w:t>
            </w:r>
            <w:r w:rsidRPr="0005381A">
              <w:rPr>
                <w:rFonts w:ascii="Arial" w:hAnsi="Arial" w:cs="Arial"/>
                <w:b/>
                <w:bCs/>
                <w:sz w:val="24"/>
                <w:szCs w:val="24"/>
                <w:lang w:val="en-US"/>
              </w:rPr>
              <w:t>4.50 years</w:t>
            </w:r>
          </w:p>
        </w:tc>
        <w:tc>
          <w:tcPr>
            <w:tcW w:w="2271" w:type="dxa"/>
            <w:hideMark/>
          </w:tcPr>
          <w:p w14:paraId="48B7FE2C"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11 → 22 → 33 → 44 → 55 Recovers £50m in Year 5 (4 + 6/11) = </w:t>
            </w:r>
            <w:r w:rsidRPr="0005381A">
              <w:rPr>
                <w:rFonts w:ascii="Arial" w:hAnsi="Arial" w:cs="Arial"/>
                <w:b/>
                <w:bCs/>
                <w:sz w:val="24"/>
                <w:szCs w:val="24"/>
                <w:lang w:val="en-US"/>
              </w:rPr>
              <w:t>4.55 years</w:t>
            </w:r>
          </w:p>
        </w:tc>
        <w:tc>
          <w:tcPr>
            <w:tcW w:w="2618" w:type="dxa"/>
            <w:hideMark/>
          </w:tcPr>
          <w:p w14:paraId="559EC516"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5 → 15 → 35 → 60 → 65 Recovers £50m in Year 4 (3 + 15/25) = </w:t>
            </w:r>
            <w:r w:rsidRPr="0005381A">
              <w:rPr>
                <w:rFonts w:ascii="Arial" w:hAnsi="Arial" w:cs="Arial"/>
                <w:b/>
                <w:bCs/>
                <w:sz w:val="24"/>
                <w:szCs w:val="24"/>
                <w:lang w:val="en-US"/>
              </w:rPr>
              <w:t>3.60 years</w:t>
            </w:r>
          </w:p>
        </w:tc>
      </w:tr>
      <w:tr w:rsidR="005F29DB" w:rsidRPr="0005381A" w14:paraId="3BA64731" w14:textId="77777777" w:rsidTr="00282A15">
        <w:tc>
          <w:tcPr>
            <w:tcW w:w="2718" w:type="dxa"/>
            <w:shd w:val="clear" w:color="auto" w:fill="F6C5AC" w:themeFill="accent2" w:themeFillTint="66"/>
            <w:hideMark/>
          </w:tcPr>
          <w:p w14:paraId="4145DF30"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Accounting Rate of Return</w:t>
            </w:r>
            <w:r w:rsidRPr="0005381A">
              <w:rPr>
                <w:rFonts w:ascii="Arial" w:hAnsi="Arial" w:cs="Arial"/>
                <w:sz w:val="24"/>
                <w:szCs w:val="24"/>
                <w:lang w:val="en-US"/>
              </w:rPr>
              <w:t xml:space="preserve"> Total inflows – Depreciation (£50m) = Total profit Average profit = Total profit ÷ 5 ARR = (Avg profit ÷ £50m) × 100</w:t>
            </w:r>
          </w:p>
        </w:tc>
        <w:tc>
          <w:tcPr>
            <w:tcW w:w="2401" w:type="dxa"/>
            <w:hideMark/>
          </w:tcPr>
          <w:p w14:paraId="30901E9D"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Total inflow £54m → Profit £4m Avg £0.8m → </w:t>
            </w:r>
            <w:r w:rsidRPr="0005381A">
              <w:rPr>
                <w:rFonts w:ascii="Arial" w:hAnsi="Arial" w:cs="Arial"/>
                <w:b/>
                <w:bCs/>
                <w:sz w:val="24"/>
                <w:szCs w:val="24"/>
                <w:lang w:val="en-US"/>
              </w:rPr>
              <w:t>1.60%</w:t>
            </w:r>
          </w:p>
        </w:tc>
        <w:tc>
          <w:tcPr>
            <w:tcW w:w="2271" w:type="dxa"/>
            <w:hideMark/>
          </w:tcPr>
          <w:p w14:paraId="23F32F46"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Total inflow £55m → Profit £5m Avg £1.0m → </w:t>
            </w:r>
            <w:r w:rsidRPr="0005381A">
              <w:rPr>
                <w:rFonts w:ascii="Arial" w:hAnsi="Arial" w:cs="Arial"/>
                <w:b/>
                <w:bCs/>
                <w:sz w:val="24"/>
                <w:szCs w:val="24"/>
                <w:lang w:val="en-US"/>
              </w:rPr>
              <w:t>2.00%</w:t>
            </w:r>
          </w:p>
        </w:tc>
        <w:tc>
          <w:tcPr>
            <w:tcW w:w="2618" w:type="dxa"/>
            <w:hideMark/>
          </w:tcPr>
          <w:p w14:paraId="436959C9"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Total inflow £65m → Profit £15m Avg £3.0m → </w:t>
            </w:r>
            <w:r w:rsidRPr="0005381A">
              <w:rPr>
                <w:rFonts w:ascii="Arial" w:hAnsi="Arial" w:cs="Arial"/>
                <w:b/>
                <w:bCs/>
                <w:sz w:val="24"/>
                <w:szCs w:val="24"/>
                <w:lang w:val="en-US"/>
              </w:rPr>
              <w:t>6.00%</w:t>
            </w:r>
          </w:p>
        </w:tc>
      </w:tr>
      <w:tr w:rsidR="005F29DB" w:rsidRPr="0005381A" w14:paraId="537D36E0" w14:textId="77777777" w:rsidTr="00282A15">
        <w:tc>
          <w:tcPr>
            <w:tcW w:w="2718" w:type="dxa"/>
            <w:shd w:val="clear" w:color="auto" w:fill="F6C5AC" w:themeFill="accent2" w:themeFillTint="66"/>
            <w:hideMark/>
          </w:tcPr>
          <w:p w14:paraId="7505EE1A"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Net Present Value</w:t>
            </w:r>
            <w:r w:rsidRPr="0005381A">
              <w:rPr>
                <w:rFonts w:ascii="Arial" w:hAnsi="Arial" w:cs="Arial"/>
                <w:sz w:val="24"/>
                <w:szCs w:val="24"/>
                <w:lang w:val="en-US"/>
              </w:rPr>
              <w:t xml:space="preserve"> PV factors (10%): 0.9091, 0.8264, 0.7513, 0.6830, 0.6209 Year-by-year PV + Total PV – £50m</w:t>
            </w:r>
          </w:p>
        </w:tc>
        <w:tc>
          <w:tcPr>
            <w:tcW w:w="2401" w:type="dxa"/>
            <w:hideMark/>
          </w:tcPr>
          <w:p w14:paraId="7F8C4A56"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Y1: 10×0.9091=9.091 Y2:12×0.8264=9.917 Y3:14×0.7513=10.518 Y4:10×0.6830=6.830 Y5:8×0.6209=4.967 </w:t>
            </w:r>
            <w:r w:rsidRPr="0005381A">
              <w:rPr>
                <w:rFonts w:ascii="Arial" w:hAnsi="Arial" w:cs="Arial"/>
                <w:b/>
                <w:bCs/>
                <w:sz w:val="24"/>
                <w:szCs w:val="24"/>
                <w:lang w:val="en-US"/>
              </w:rPr>
              <w:t>Total PV £41.323 → NPV –8.68</w:t>
            </w:r>
          </w:p>
        </w:tc>
        <w:tc>
          <w:tcPr>
            <w:tcW w:w="2271" w:type="dxa"/>
            <w:hideMark/>
          </w:tcPr>
          <w:p w14:paraId="440CBEDA"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Annuity factor 3.7908 11×3.7908=41.699 </w:t>
            </w:r>
            <w:r w:rsidRPr="0005381A">
              <w:rPr>
                <w:rFonts w:ascii="Arial" w:hAnsi="Arial" w:cs="Arial"/>
                <w:b/>
                <w:bCs/>
                <w:sz w:val="24"/>
                <w:szCs w:val="24"/>
                <w:lang w:val="en-US"/>
              </w:rPr>
              <w:t>NPV –8.30</w:t>
            </w:r>
          </w:p>
        </w:tc>
        <w:tc>
          <w:tcPr>
            <w:tcW w:w="2618" w:type="dxa"/>
            <w:hideMark/>
          </w:tcPr>
          <w:p w14:paraId="3802838B"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Y1:5×0.9091=4.545 Y2:10×0.8264=8.264 Y3:20×0.7513=15.026 Y4:25×0.6830=17.075 Y5:5×0.6209=3.105 </w:t>
            </w:r>
            <w:r w:rsidRPr="0005381A">
              <w:rPr>
                <w:rFonts w:ascii="Arial" w:hAnsi="Arial" w:cs="Arial"/>
                <w:b/>
                <w:bCs/>
                <w:sz w:val="24"/>
                <w:szCs w:val="24"/>
                <w:lang w:val="en-US"/>
              </w:rPr>
              <w:t>Total PV £48.015 → NPV –1.98</w:t>
            </w:r>
          </w:p>
        </w:tc>
      </w:tr>
      <w:tr w:rsidR="005F29DB" w:rsidRPr="0005381A" w14:paraId="089BDCAF" w14:textId="77777777" w:rsidTr="00282A15">
        <w:tc>
          <w:tcPr>
            <w:tcW w:w="2718" w:type="dxa"/>
            <w:shd w:val="clear" w:color="auto" w:fill="F6C5AC" w:themeFill="accent2" w:themeFillTint="66"/>
            <w:hideMark/>
          </w:tcPr>
          <w:p w14:paraId="05AEFEE1"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Profitability Index</w:t>
            </w:r>
            <w:r w:rsidRPr="0005381A">
              <w:rPr>
                <w:rFonts w:ascii="Arial" w:hAnsi="Arial" w:cs="Arial"/>
                <w:sz w:val="24"/>
                <w:szCs w:val="24"/>
                <w:lang w:val="en-US"/>
              </w:rPr>
              <w:t xml:space="preserve"> (Total PV of inflows ÷ Initial investment)</w:t>
            </w:r>
          </w:p>
        </w:tc>
        <w:tc>
          <w:tcPr>
            <w:tcW w:w="2401" w:type="dxa"/>
            <w:hideMark/>
          </w:tcPr>
          <w:p w14:paraId="2574A680"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41.323 ÷ 50 = </w:t>
            </w:r>
            <w:r w:rsidRPr="0005381A">
              <w:rPr>
                <w:rFonts w:ascii="Arial" w:hAnsi="Arial" w:cs="Arial"/>
                <w:b/>
                <w:bCs/>
                <w:sz w:val="24"/>
                <w:szCs w:val="24"/>
                <w:lang w:val="en-US"/>
              </w:rPr>
              <w:t>0.83</w:t>
            </w:r>
          </w:p>
        </w:tc>
        <w:tc>
          <w:tcPr>
            <w:tcW w:w="2271" w:type="dxa"/>
            <w:hideMark/>
          </w:tcPr>
          <w:p w14:paraId="07244F26"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41.699 ÷ 50 = </w:t>
            </w:r>
            <w:r w:rsidRPr="0005381A">
              <w:rPr>
                <w:rFonts w:ascii="Arial" w:hAnsi="Arial" w:cs="Arial"/>
                <w:b/>
                <w:bCs/>
                <w:sz w:val="24"/>
                <w:szCs w:val="24"/>
                <w:lang w:val="en-US"/>
              </w:rPr>
              <w:t>0.83</w:t>
            </w:r>
          </w:p>
        </w:tc>
        <w:tc>
          <w:tcPr>
            <w:tcW w:w="2618" w:type="dxa"/>
            <w:hideMark/>
          </w:tcPr>
          <w:p w14:paraId="16FD25B2"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sz w:val="24"/>
                <w:szCs w:val="24"/>
                <w:lang w:val="en-US"/>
              </w:rPr>
              <w:t xml:space="preserve">48.015 ÷ 50 = </w:t>
            </w:r>
            <w:r w:rsidRPr="0005381A">
              <w:rPr>
                <w:rFonts w:ascii="Arial" w:hAnsi="Arial" w:cs="Arial"/>
                <w:b/>
                <w:bCs/>
                <w:sz w:val="24"/>
                <w:szCs w:val="24"/>
                <w:lang w:val="en-US"/>
              </w:rPr>
              <w:t>0.96</w:t>
            </w:r>
          </w:p>
        </w:tc>
      </w:tr>
      <w:tr w:rsidR="005F29DB" w:rsidRPr="0005381A" w14:paraId="1B2F42ED" w14:textId="77777777" w:rsidTr="00282A15">
        <w:tc>
          <w:tcPr>
            <w:tcW w:w="2718" w:type="dxa"/>
            <w:shd w:val="clear" w:color="auto" w:fill="F6C5AC" w:themeFill="accent2" w:themeFillTint="66"/>
            <w:hideMark/>
          </w:tcPr>
          <w:p w14:paraId="5E6DCFD5"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Internal Rate of Return</w:t>
            </w:r>
            <w:r w:rsidRPr="0005381A">
              <w:rPr>
                <w:rFonts w:ascii="Arial" w:hAnsi="Arial" w:cs="Arial"/>
                <w:sz w:val="24"/>
                <w:szCs w:val="24"/>
                <w:lang w:val="en-US"/>
              </w:rPr>
              <w:t xml:space="preserve"> (Iterative rate </w:t>
            </w:r>
            <w:r w:rsidRPr="0005381A">
              <w:rPr>
                <w:rFonts w:ascii="Arial" w:hAnsi="Arial" w:cs="Arial"/>
                <w:sz w:val="24"/>
                <w:szCs w:val="24"/>
                <w:lang w:val="en-US"/>
              </w:rPr>
              <w:lastRenderedPageBreak/>
              <w:t>where NPV=0)</w:t>
            </w:r>
          </w:p>
        </w:tc>
        <w:tc>
          <w:tcPr>
            <w:tcW w:w="2401" w:type="dxa"/>
            <w:hideMark/>
          </w:tcPr>
          <w:p w14:paraId="35CB094D"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lastRenderedPageBreak/>
              <w:t>2.72%</w:t>
            </w:r>
          </w:p>
        </w:tc>
        <w:tc>
          <w:tcPr>
            <w:tcW w:w="2271" w:type="dxa"/>
            <w:hideMark/>
          </w:tcPr>
          <w:p w14:paraId="4930B087"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3.26%</w:t>
            </w:r>
          </w:p>
        </w:tc>
        <w:tc>
          <w:tcPr>
            <w:tcW w:w="2618" w:type="dxa"/>
            <w:hideMark/>
          </w:tcPr>
          <w:p w14:paraId="6BF117E9" w14:textId="77777777" w:rsidR="0069622E" w:rsidRPr="0005381A" w:rsidRDefault="0069622E" w:rsidP="0005381A">
            <w:pPr>
              <w:spacing w:before="120" w:after="120" w:line="360" w:lineRule="auto"/>
              <w:contextualSpacing/>
              <w:rPr>
                <w:rFonts w:ascii="Arial" w:hAnsi="Arial" w:cs="Arial"/>
                <w:sz w:val="24"/>
                <w:szCs w:val="24"/>
                <w:lang w:val="en-US"/>
              </w:rPr>
            </w:pPr>
            <w:r w:rsidRPr="0005381A">
              <w:rPr>
                <w:rFonts w:ascii="Arial" w:hAnsi="Arial" w:cs="Arial"/>
                <w:b/>
                <w:bCs/>
                <w:sz w:val="24"/>
                <w:szCs w:val="24"/>
                <w:lang w:val="en-US"/>
              </w:rPr>
              <w:t>8.59%</w:t>
            </w:r>
          </w:p>
        </w:tc>
      </w:tr>
    </w:tbl>
    <w:p w14:paraId="7F274C8B" w14:textId="77777777" w:rsidR="0069622E" w:rsidRPr="0005381A" w:rsidRDefault="0069622E" w:rsidP="0005381A">
      <w:pPr>
        <w:pStyle w:val="Heading2"/>
        <w:spacing w:before="120" w:after="120" w:line="360" w:lineRule="auto"/>
        <w:contextualSpacing/>
        <w:rPr>
          <w:rFonts w:cs="Arial"/>
          <w:szCs w:val="24"/>
          <w:lang w:val="en-US"/>
        </w:rPr>
      </w:pPr>
      <w:bookmarkStart w:id="18" w:name="_Toc222499709"/>
      <w:r w:rsidRPr="0005381A">
        <w:rPr>
          <w:rFonts w:cs="Arial"/>
          <w:szCs w:val="24"/>
          <w:lang w:val="en-US"/>
        </w:rPr>
        <w:t>5.2. Interpretation of Results</w:t>
      </w:r>
      <w:bookmarkEnd w:id="18"/>
    </w:p>
    <w:p w14:paraId="21B07785"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Every single metric point to Project C. The proposal boasts the shortest payback, at 3.60 years, highest ARR of 6.00%, lowest value destruction in NPV terms at –£1.98m, highest PI at 0.96, and IRR closest to the 10% hurdle rate at 8.59% (see Table 2). According to the analysis, Project B is likely to be the best project since its cash flows are predictable, while Project A is the weakest project in the ranking. The negative NPVs for all projects indicate a difficult 10% discount rate environment; however, project C minimizes value depreciation and ensures an efficient use of capital.</w:t>
      </w:r>
    </w:p>
    <w:p w14:paraId="09E5E916" w14:textId="77777777" w:rsidR="0069622E" w:rsidRPr="0005381A" w:rsidRDefault="0069622E" w:rsidP="0005381A">
      <w:pPr>
        <w:pStyle w:val="Heading2"/>
        <w:spacing w:before="120" w:after="120" w:line="360" w:lineRule="auto"/>
        <w:contextualSpacing/>
        <w:rPr>
          <w:rFonts w:cs="Arial"/>
          <w:szCs w:val="24"/>
          <w:lang w:val="en-US"/>
        </w:rPr>
      </w:pPr>
      <w:bookmarkStart w:id="19" w:name="_Toc222499710"/>
      <w:r w:rsidRPr="0005381A">
        <w:rPr>
          <w:rFonts w:cs="Arial"/>
          <w:szCs w:val="24"/>
          <w:lang w:val="en-US"/>
        </w:rPr>
        <w:t>5.3. Single Project Recommendation</w:t>
      </w:r>
      <w:bookmarkEnd w:id="19"/>
    </w:p>
    <w:p w14:paraId="542B9435"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The recommendation is for a single project C. This back-loaded investment is very much in tune with Volkswagen Group's current performance. The Group's return on sales jumped to 7.0% in 2023, while the ROI of the Automotive Division increased to 12.3% (Volkswagen Group 2024) Profits accounting of Project C (3m per annum £3.8%) reported earnings would be boosted in Years 3-4, the years when the Volkswagen major platform investment EV is expected to deliver scale benefits. According to Volkswagen data from 2023, the group’s current ratio (the liquidity ratio calculated by division of current assets by current liabilities) was 1.16. Automotive net liquidity reached €31.0 billion in 2025 and that easily absorbs the modest early outflows of Project C while preserving a robust cash operating cycle of 55.2 days (Volkswagen Group, 2025).</w:t>
      </w:r>
    </w:p>
    <w:p w14:paraId="26E19D55" w14:textId="4FAD1197" w:rsidR="0069622E" w:rsidRPr="0005381A" w:rsidRDefault="00405BE0" w:rsidP="0005381A">
      <w:pPr>
        <w:spacing w:before="120" w:after="120" w:line="360" w:lineRule="auto"/>
        <w:contextualSpacing/>
        <w:rPr>
          <w:rFonts w:ascii="Arial" w:hAnsi="Arial" w:cs="Arial"/>
          <w:lang w:val="en-US"/>
        </w:rPr>
      </w:pPr>
      <w:r w:rsidRPr="0005381A">
        <w:rPr>
          <w:rFonts w:ascii="Arial" w:hAnsi="Arial" w:cs="Arial"/>
          <w:lang w:val="en-US"/>
        </w:rPr>
        <w:t xml:space="preserve">When it comes to </w:t>
      </w:r>
      <w:r w:rsidR="0069622E" w:rsidRPr="0005381A">
        <w:rPr>
          <w:rFonts w:ascii="Arial" w:hAnsi="Arial" w:cs="Arial"/>
          <w:lang w:val="en-US"/>
        </w:rPr>
        <w:t xml:space="preserve">non-financial risks. The postponement of significant inflows on account of the ongoing </w:t>
      </w:r>
      <w:r w:rsidRPr="0005381A">
        <w:rPr>
          <w:rFonts w:ascii="Arial" w:hAnsi="Arial" w:cs="Arial"/>
          <w:lang w:val="en-US"/>
        </w:rPr>
        <w:t xml:space="preserve">USA-China trade </w:t>
      </w:r>
      <w:r w:rsidR="0069622E" w:rsidRPr="0005381A">
        <w:rPr>
          <w:rFonts w:ascii="Arial" w:hAnsi="Arial" w:cs="Arial"/>
          <w:lang w:val="en-US"/>
        </w:rPr>
        <w:t xml:space="preserve">war </w:t>
      </w:r>
      <w:r w:rsidRPr="0005381A">
        <w:rPr>
          <w:rFonts w:ascii="Arial" w:hAnsi="Arial" w:cs="Arial"/>
          <w:lang w:val="en-US"/>
        </w:rPr>
        <w:t xml:space="preserve">(Bekkers and Schroeter, 2020) </w:t>
      </w:r>
      <w:r w:rsidR="0069622E" w:rsidRPr="0005381A">
        <w:rPr>
          <w:rFonts w:ascii="Arial" w:hAnsi="Arial" w:cs="Arial"/>
          <w:lang w:val="en-US"/>
        </w:rPr>
        <w:t>will enhance our exposure to short-term issues such as US tariffs and the European CO</w:t>
      </w:r>
      <w:r w:rsidR="0069622E" w:rsidRPr="0005381A">
        <w:rPr>
          <w:rFonts w:ascii="Cambria Math" w:hAnsi="Cambria Math" w:cs="Cambria Math"/>
          <w:lang w:val="en-US"/>
        </w:rPr>
        <w:t>₂</w:t>
      </w:r>
      <w:r w:rsidR="0069622E" w:rsidRPr="0005381A">
        <w:rPr>
          <w:rFonts w:ascii="Arial" w:hAnsi="Arial" w:cs="Arial"/>
          <w:lang w:val="en-US"/>
        </w:rPr>
        <w:t xml:space="preserve"> fleet compliance costs illustrated in the 2025 interim report (Volkswagen Group, 2025</w:t>
      </w:r>
      <w:r w:rsidR="00EA22BA" w:rsidRPr="0005381A">
        <w:rPr>
          <w:rFonts w:ascii="Arial" w:hAnsi="Arial" w:cs="Arial"/>
          <w:lang w:val="en-US"/>
        </w:rPr>
        <w:t>b</w:t>
      </w:r>
      <w:r w:rsidR="0069622E" w:rsidRPr="0005381A">
        <w:rPr>
          <w:rFonts w:ascii="Arial" w:hAnsi="Arial" w:cs="Arial"/>
          <w:lang w:val="en-US"/>
        </w:rPr>
        <w:t>). The sophisticated technology profile of the project, which is what the big year 4 inflow signifies, will increase customer loyalty for Volkswagen’s premium as well as volume EVs</w:t>
      </w:r>
      <w:r w:rsidR="0005381A" w:rsidRPr="0005381A">
        <w:rPr>
          <w:rFonts w:ascii="Arial" w:hAnsi="Arial" w:cs="Arial"/>
          <w:lang w:val="en-US"/>
        </w:rPr>
        <w:t>, i</w:t>
      </w:r>
      <w:r w:rsidR="0069622E" w:rsidRPr="0005381A">
        <w:rPr>
          <w:rFonts w:ascii="Arial" w:hAnsi="Arial" w:cs="Arial"/>
          <w:lang w:val="en-US"/>
        </w:rPr>
        <w:t xml:space="preserve">t will strengthen brand preference in the core markets of Europe and China where Volkswagen already has a dominant electric vehicle market share, as shown in Figure 7 (Zandt, 2025). The lack of significant technological differentiation between projects A and B and lower potential for customer stickiness </w:t>
      </w:r>
      <w:r w:rsidR="0069622E" w:rsidRPr="0005381A">
        <w:rPr>
          <w:rFonts w:ascii="Arial" w:hAnsi="Arial" w:cs="Arial"/>
          <w:lang w:val="en-US"/>
        </w:rPr>
        <w:lastRenderedPageBreak/>
        <w:t>is discussed in the context of a large market. Consequently, Project C is found to be favourable with regards to both financial return and strategic fit.</w:t>
      </w:r>
    </w:p>
    <w:p w14:paraId="385D84D2" w14:textId="77777777" w:rsidR="0069622E" w:rsidRPr="0005381A" w:rsidRDefault="0069622E" w:rsidP="0005381A">
      <w:pPr>
        <w:keepNext/>
        <w:spacing w:before="120" w:after="120" w:line="360" w:lineRule="auto"/>
        <w:contextualSpacing/>
        <w:jc w:val="center"/>
        <w:rPr>
          <w:rFonts w:ascii="Arial" w:hAnsi="Arial" w:cs="Arial"/>
        </w:rPr>
      </w:pPr>
      <w:r w:rsidRPr="0005381A">
        <w:rPr>
          <w:rFonts w:ascii="Arial" w:hAnsi="Arial" w:cs="Arial"/>
          <w:noProof/>
          <w:lang w:val="en-US"/>
        </w:rPr>
        <w:drawing>
          <wp:inline distT="0" distB="0" distL="0" distR="0" wp14:anchorId="7C9F0E76" wp14:editId="7CFAC49E">
            <wp:extent cx="4410219" cy="3768670"/>
            <wp:effectExtent l="0" t="0" r="0" b="0"/>
            <wp:docPr id="13526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6847" name="Picture 13526847"/>
                    <pic:cNvPicPr/>
                  </pic:nvPicPr>
                  <pic:blipFill>
                    <a:blip r:embed="rId17">
                      <a:extLst>
                        <a:ext uri="{28A0092B-C50C-407E-A947-70E740481C1C}">
                          <a14:useLocalDpi xmlns:a14="http://schemas.microsoft.com/office/drawing/2010/main" val="0"/>
                        </a:ext>
                      </a:extLst>
                    </a:blip>
                    <a:stretch>
                      <a:fillRect/>
                    </a:stretch>
                  </pic:blipFill>
                  <pic:spPr>
                    <a:xfrm>
                      <a:off x="0" y="0"/>
                      <a:ext cx="4417720" cy="3775080"/>
                    </a:xfrm>
                    <a:prstGeom prst="rect">
                      <a:avLst/>
                    </a:prstGeom>
                  </pic:spPr>
                </pic:pic>
              </a:graphicData>
            </a:graphic>
          </wp:inline>
        </w:drawing>
      </w:r>
    </w:p>
    <w:p w14:paraId="76BD35F1" w14:textId="77777777" w:rsidR="0069622E" w:rsidRPr="0005381A" w:rsidRDefault="0069622E" w:rsidP="0005381A">
      <w:pPr>
        <w:pStyle w:val="Caption"/>
        <w:spacing w:before="120" w:after="120" w:line="360" w:lineRule="auto"/>
        <w:contextualSpacing/>
        <w:jc w:val="center"/>
        <w:rPr>
          <w:rFonts w:ascii="Arial" w:hAnsi="Arial" w:cs="Arial"/>
          <w:color w:val="auto"/>
          <w:sz w:val="24"/>
          <w:szCs w:val="24"/>
        </w:rPr>
      </w:pPr>
      <w:bookmarkStart w:id="20" w:name="_Toc222527573"/>
      <w:r w:rsidRPr="0005381A">
        <w:rPr>
          <w:rFonts w:ascii="Arial" w:hAnsi="Arial" w:cs="Arial"/>
          <w:color w:val="auto"/>
          <w:sz w:val="24"/>
          <w:szCs w:val="24"/>
        </w:rPr>
        <w:t xml:space="preserve">Figure </w:t>
      </w:r>
      <w:r w:rsidRPr="0005381A">
        <w:rPr>
          <w:rFonts w:ascii="Arial" w:hAnsi="Arial" w:cs="Arial"/>
          <w:color w:val="auto"/>
          <w:sz w:val="24"/>
          <w:szCs w:val="24"/>
        </w:rPr>
        <w:fldChar w:fldCharType="begin"/>
      </w:r>
      <w:r w:rsidRPr="0005381A">
        <w:rPr>
          <w:rFonts w:ascii="Arial" w:hAnsi="Arial" w:cs="Arial"/>
          <w:color w:val="auto"/>
          <w:sz w:val="24"/>
          <w:szCs w:val="24"/>
        </w:rPr>
        <w:instrText xml:space="preserve"> SEQ Figure \* ARABIC </w:instrText>
      </w:r>
      <w:r w:rsidRPr="0005381A">
        <w:rPr>
          <w:rFonts w:ascii="Arial" w:hAnsi="Arial" w:cs="Arial"/>
          <w:color w:val="auto"/>
          <w:sz w:val="24"/>
          <w:szCs w:val="24"/>
        </w:rPr>
        <w:fldChar w:fldCharType="separate"/>
      </w:r>
      <w:r w:rsidRPr="0005381A">
        <w:rPr>
          <w:rFonts w:ascii="Arial" w:hAnsi="Arial" w:cs="Arial"/>
          <w:noProof/>
          <w:color w:val="auto"/>
          <w:sz w:val="24"/>
          <w:szCs w:val="24"/>
        </w:rPr>
        <w:t>7</w:t>
      </w:r>
      <w:r w:rsidRPr="0005381A">
        <w:rPr>
          <w:rFonts w:ascii="Arial" w:hAnsi="Arial" w:cs="Arial"/>
          <w:color w:val="auto"/>
          <w:sz w:val="24"/>
          <w:szCs w:val="24"/>
        </w:rPr>
        <w:fldChar w:fldCharType="end"/>
      </w:r>
      <w:r w:rsidRPr="0005381A">
        <w:rPr>
          <w:rFonts w:ascii="Arial" w:hAnsi="Arial" w:cs="Arial"/>
          <w:color w:val="auto"/>
          <w:sz w:val="24"/>
          <w:szCs w:val="24"/>
        </w:rPr>
        <w:t>: The Most Important Markets for Volkswagen</w:t>
      </w:r>
      <w:bookmarkEnd w:id="20"/>
      <w:r w:rsidRPr="0005381A">
        <w:rPr>
          <w:rFonts w:ascii="Arial" w:hAnsi="Arial" w:cs="Arial"/>
          <w:color w:val="auto"/>
          <w:sz w:val="24"/>
          <w:szCs w:val="24"/>
        </w:rPr>
        <w:t xml:space="preserve"> </w:t>
      </w:r>
    </w:p>
    <w:p w14:paraId="53CB4D98" w14:textId="77777777" w:rsidR="0069622E" w:rsidRPr="0005381A" w:rsidRDefault="0069622E" w:rsidP="0005381A">
      <w:pPr>
        <w:pStyle w:val="Caption"/>
        <w:spacing w:before="120" w:after="120" w:line="360" w:lineRule="auto"/>
        <w:contextualSpacing/>
        <w:jc w:val="center"/>
        <w:rPr>
          <w:rFonts w:ascii="Arial" w:hAnsi="Arial" w:cs="Arial"/>
          <w:color w:val="auto"/>
          <w:sz w:val="24"/>
          <w:szCs w:val="24"/>
          <w:lang w:val="en-US"/>
        </w:rPr>
      </w:pPr>
      <w:r w:rsidRPr="0005381A">
        <w:rPr>
          <w:rFonts w:ascii="Arial" w:hAnsi="Arial" w:cs="Arial"/>
          <w:color w:val="auto"/>
          <w:sz w:val="24"/>
          <w:szCs w:val="24"/>
        </w:rPr>
        <w:t>Source: (Zandt, 2025)</w:t>
      </w:r>
    </w:p>
    <w:p w14:paraId="396CA18D" w14:textId="77777777" w:rsidR="0069622E" w:rsidRPr="0005381A" w:rsidRDefault="0069622E" w:rsidP="0005381A">
      <w:pPr>
        <w:pStyle w:val="Heading2"/>
        <w:spacing w:before="120" w:after="120" w:line="360" w:lineRule="auto"/>
        <w:contextualSpacing/>
        <w:rPr>
          <w:rFonts w:cs="Arial"/>
          <w:szCs w:val="24"/>
          <w:lang w:val="en-US"/>
        </w:rPr>
      </w:pPr>
      <w:bookmarkStart w:id="21" w:name="_Toc222499711"/>
      <w:r w:rsidRPr="0005381A">
        <w:rPr>
          <w:rFonts w:cs="Arial"/>
          <w:szCs w:val="24"/>
          <w:lang w:val="en-US"/>
        </w:rPr>
        <w:t>5.4. Capital Rationing Decision (£100 million limit)</w:t>
      </w:r>
      <w:bookmarkEnd w:id="21"/>
    </w:p>
    <w:p w14:paraId="177E7631"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Funding can only be given to exactly two projects with a cap of £100 million. Projects are arranged in order of profitability index under capital rationing to maximise value per pound. Project C (PI 0.96) is ranked first followed by Project A and Project B (0.83). Most appropriate combination is B and C, which has a combined NPV of -£10.28 million; notably more favourable than -£10.66 million with A and C combination.</w:t>
      </w:r>
    </w:p>
    <w:p w14:paraId="6988F2B7" w14:textId="0404FC95"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 xml:space="preserve">There are numerous reasons underlying this combination. To ensure total funding internally for £100 million outlay without pressure on equity ratio (31.6%) and without an increase in gearing, liquidity, and cash generation capacity (in 2023 £10,698 million net cash flow in Automotive Division). The steady cash flows that stem from Project B provide a natural hedge against the back-loaded risk inherent in Project C. The risk profile of the firm thus becomes more balanced. The overall portfolio risk is reduced and the 55.2-day cash operating cycle will be supported. The coupling </w:t>
      </w:r>
      <w:r w:rsidRPr="0005381A">
        <w:rPr>
          <w:rFonts w:ascii="Arial" w:hAnsi="Arial" w:cs="Arial"/>
          <w:lang w:val="en-US"/>
        </w:rPr>
        <w:lastRenderedPageBreak/>
        <w:t>reassures optimal versatility for a multi-year investment plan of the Group. In terms of non-</w:t>
      </w:r>
      <w:r w:rsidR="001445A8" w:rsidRPr="0005381A">
        <w:rPr>
          <w:rFonts w:ascii="Arial" w:hAnsi="Arial" w:cs="Arial"/>
          <w:lang w:val="en-US"/>
        </w:rPr>
        <w:t>financials,</w:t>
      </w:r>
      <w:r w:rsidRPr="0005381A">
        <w:rPr>
          <w:rFonts w:ascii="Arial" w:hAnsi="Arial" w:cs="Arial"/>
          <w:lang w:val="en-US"/>
        </w:rPr>
        <w:t xml:space="preserve"> it balances immediate cash flow stability (B) and future oriented innovation (C) thereby reducing concentration of political risk and enhancing customer loyalty across timeframes.</w:t>
      </w:r>
    </w:p>
    <w:p w14:paraId="45D44A2B" w14:textId="77777777" w:rsidR="0069622E" w:rsidRPr="0005381A" w:rsidRDefault="0069622E" w:rsidP="0005381A">
      <w:pPr>
        <w:pStyle w:val="Heading2"/>
        <w:spacing w:before="120" w:after="120" w:line="360" w:lineRule="auto"/>
        <w:contextualSpacing/>
        <w:rPr>
          <w:rFonts w:cs="Arial"/>
          <w:szCs w:val="24"/>
          <w:lang w:val="en-US"/>
        </w:rPr>
      </w:pPr>
      <w:bookmarkStart w:id="22" w:name="_Toc222499712"/>
      <w:r w:rsidRPr="0005381A">
        <w:rPr>
          <w:rFonts w:cs="Arial"/>
          <w:szCs w:val="24"/>
          <w:lang w:val="en-US"/>
        </w:rPr>
        <w:t>5.5. Conclusion</w:t>
      </w:r>
      <w:bookmarkEnd w:id="22"/>
    </w:p>
    <w:p w14:paraId="7C2E3ED7"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lang w:val="en-US"/>
        </w:rPr>
        <w:t>The in-depth assessment using multiple techniques identifies Project C as the best single project and the combination of B + C as the best choice under capital rationing. Everything is in line with Volkswagen Group recovering profitability, liquidity, efficiency improvement and shifting to leading the global transition to electric cars. By selecting these projects, the Group will utilise capital efficiently, protect the interests of the shareholders, and fulfil its vision of sustainable mobility over the long term by effectively managing financial and non-financial risks.</w:t>
      </w:r>
    </w:p>
    <w:p w14:paraId="152DBB8A" w14:textId="77777777" w:rsidR="0069622E" w:rsidRPr="0005381A" w:rsidRDefault="0069622E" w:rsidP="0005381A">
      <w:pPr>
        <w:spacing w:before="120" w:after="120" w:line="360" w:lineRule="auto"/>
        <w:contextualSpacing/>
        <w:rPr>
          <w:rFonts w:ascii="Arial" w:eastAsiaTheme="majorEastAsia" w:hAnsi="Arial" w:cs="Arial"/>
          <w:b/>
          <w:lang w:val="en-US"/>
        </w:rPr>
      </w:pPr>
      <w:r w:rsidRPr="0005381A">
        <w:rPr>
          <w:rFonts w:ascii="Arial" w:hAnsi="Arial" w:cs="Arial"/>
          <w:lang w:val="en-US"/>
        </w:rPr>
        <w:br w:type="page"/>
      </w:r>
    </w:p>
    <w:p w14:paraId="1680534F" w14:textId="77777777" w:rsidR="0069622E" w:rsidRPr="0005381A" w:rsidRDefault="0069622E" w:rsidP="0005381A">
      <w:pPr>
        <w:pStyle w:val="Heading1"/>
        <w:spacing w:before="120" w:after="120"/>
        <w:rPr>
          <w:lang w:val="en-US"/>
        </w:rPr>
      </w:pPr>
      <w:bookmarkStart w:id="23" w:name="_Toc222499713"/>
      <w:r w:rsidRPr="0005381A">
        <w:rPr>
          <w:lang w:val="en-US"/>
        </w:rPr>
        <w:lastRenderedPageBreak/>
        <w:t>6. LIST OF REFERENCES</w:t>
      </w:r>
      <w:bookmarkEnd w:id="23"/>
    </w:p>
    <w:p w14:paraId="4909B65D" w14:textId="77777777" w:rsidR="007D7D74" w:rsidRPr="007D7D74" w:rsidRDefault="007D7D74" w:rsidP="007D7D74">
      <w:pPr>
        <w:spacing w:before="120" w:after="120" w:line="360" w:lineRule="auto"/>
        <w:contextualSpacing/>
        <w:rPr>
          <w:rFonts w:ascii="Arial" w:hAnsi="Arial" w:cs="Arial"/>
          <w:lang w:val="en-US"/>
        </w:rPr>
      </w:pPr>
      <w:r w:rsidRPr="007D7D74">
        <w:rPr>
          <w:rFonts w:ascii="Arial" w:hAnsi="Arial" w:cs="Arial"/>
          <w:lang w:val="en-US"/>
        </w:rPr>
        <w:t xml:space="preserve">Azis, A. </w:t>
      </w:r>
      <w:r w:rsidRPr="007D7D74">
        <w:rPr>
          <w:rFonts w:ascii="Arial" w:hAnsi="Arial" w:cs="Arial"/>
          <w:i/>
          <w:iCs/>
          <w:lang w:val="en-US"/>
        </w:rPr>
        <w:t>et al.</w:t>
      </w:r>
      <w:r w:rsidRPr="007D7D74">
        <w:rPr>
          <w:rFonts w:ascii="Arial" w:hAnsi="Arial" w:cs="Arial"/>
          <w:lang w:val="en-US"/>
        </w:rPr>
        <w:t xml:space="preserve"> (2023) 'JOINT VENTURE AND STRATEGIC ALLIANCE,' </w:t>
      </w:r>
      <w:r w:rsidRPr="007D7D74">
        <w:rPr>
          <w:rFonts w:ascii="Arial" w:hAnsi="Arial" w:cs="Arial"/>
          <w:i/>
          <w:iCs/>
          <w:lang w:val="en-US"/>
        </w:rPr>
        <w:t>Journal of Accounting Research Utility Finance and Digital Assets</w:t>
      </w:r>
      <w:r w:rsidRPr="007D7D74">
        <w:rPr>
          <w:rFonts w:ascii="Arial" w:hAnsi="Arial" w:cs="Arial"/>
          <w:lang w:val="en-US"/>
        </w:rPr>
        <w:t>, 2(1), pp. 435–444. https://doi.org/10.54443/jaruda.v1i5.66.</w:t>
      </w:r>
    </w:p>
    <w:p w14:paraId="14A5DD10"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Bals, L. and Tate, W. (2017) </w:t>
      </w:r>
      <w:r w:rsidRPr="007D7D74">
        <w:rPr>
          <w:rFonts w:ascii="Arial" w:hAnsi="Arial" w:cs="Arial"/>
          <w:i/>
          <w:iCs/>
          <w:lang w:val="en-US"/>
        </w:rPr>
        <w:t>Implementing Triple Bottom Line Sustainability into Global Supply Chains</w:t>
      </w:r>
      <w:r w:rsidRPr="007D7D74">
        <w:rPr>
          <w:rFonts w:ascii="Arial" w:hAnsi="Arial" w:cs="Arial"/>
          <w:lang w:val="en-US"/>
        </w:rPr>
        <w:t>. Routledge.</w:t>
      </w:r>
    </w:p>
    <w:p w14:paraId="3A1E6908" w14:textId="77777777" w:rsidR="007D7D74" w:rsidRPr="007D7D74" w:rsidRDefault="007D7D74" w:rsidP="007D7D74">
      <w:pPr>
        <w:spacing w:before="120" w:after="120" w:line="360" w:lineRule="auto"/>
        <w:contextualSpacing/>
        <w:rPr>
          <w:rFonts w:ascii="Arial" w:hAnsi="Arial" w:cs="Arial"/>
          <w:lang w:val="en-US"/>
        </w:rPr>
      </w:pPr>
      <w:r w:rsidRPr="007D7D74">
        <w:rPr>
          <w:rFonts w:ascii="Arial" w:hAnsi="Arial" w:cs="Arial"/>
          <w:lang w:val="en-US"/>
        </w:rPr>
        <w:t xml:space="preserve">Bekkers, E. and Schroeter, S. (2020) </w:t>
      </w:r>
      <w:r w:rsidRPr="007D7D74">
        <w:rPr>
          <w:rFonts w:ascii="Arial" w:hAnsi="Arial" w:cs="Arial"/>
          <w:i/>
          <w:iCs/>
          <w:lang w:val="en-US"/>
        </w:rPr>
        <w:t>WTO | An Economic analysis of the US-China trade conflict</w:t>
      </w:r>
      <w:r w:rsidRPr="007D7D74">
        <w:rPr>
          <w:rFonts w:ascii="Arial" w:hAnsi="Arial" w:cs="Arial"/>
          <w:lang w:val="en-US"/>
        </w:rPr>
        <w:t>. https://www.wto.org/english/res_e/reser_e/ersd202004_e.htm (Accessed: February 16, 2026).</w:t>
      </w:r>
    </w:p>
    <w:p w14:paraId="3BB036EA"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Christopher, M. (2016) </w:t>
      </w:r>
      <w:r w:rsidRPr="007D7D74">
        <w:rPr>
          <w:rFonts w:ascii="Arial" w:hAnsi="Arial" w:cs="Arial"/>
          <w:i/>
          <w:iCs/>
          <w:lang w:val="en-US"/>
        </w:rPr>
        <w:t>Logistics &amp; Supply chain Management</w:t>
      </w:r>
      <w:r w:rsidRPr="007D7D74">
        <w:rPr>
          <w:rFonts w:ascii="Arial" w:hAnsi="Arial" w:cs="Arial"/>
          <w:lang w:val="en-US"/>
        </w:rPr>
        <w:t>. Financial Times/Prentice Hall.</w:t>
      </w:r>
    </w:p>
    <w:p w14:paraId="72379522"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Das, S. (2018) 'Cash flow ratios and financial performance: A comparative study,' </w:t>
      </w:r>
      <w:r w:rsidRPr="007D7D74">
        <w:rPr>
          <w:rFonts w:ascii="Arial" w:hAnsi="Arial" w:cs="Arial"/>
          <w:i/>
          <w:iCs/>
          <w:lang w:val="en-US"/>
        </w:rPr>
        <w:t>Accounting</w:t>
      </w:r>
      <w:r w:rsidRPr="007D7D74">
        <w:rPr>
          <w:rFonts w:ascii="Arial" w:hAnsi="Arial" w:cs="Arial"/>
          <w:lang w:val="en-US"/>
        </w:rPr>
        <w:t>, pp. 1–20. https://doi.org/10.5267/j.ac.2018.6.004.</w:t>
      </w:r>
    </w:p>
    <w:p w14:paraId="5961294B"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Didar, K. (2019) 'Impact of the Financial Factors on Return on Assets (ROA),' </w:t>
      </w:r>
      <w:r w:rsidRPr="007D7D74">
        <w:rPr>
          <w:rFonts w:ascii="Arial" w:hAnsi="Arial" w:cs="Arial"/>
          <w:i/>
          <w:iCs/>
          <w:lang w:val="en-US"/>
        </w:rPr>
        <w:t>Daffodil International University Journal of Business and Entrepreneurship.</w:t>
      </w:r>
      <w:r w:rsidRPr="007D7D74">
        <w:rPr>
          <w:rFonts w:ascii="Arial" w:hAnsi="Arial" w:cs="Arial"/>
          <w:lang w:val="en-US"/>
        </w:rPr>
        <w:t>, 12(01), pp. 50–61. https://doi.org/10.36481/diujbe.v012i1.54kdwn08.</w:t>
      </w:r>
    </w:p>
    <w:p w14:paraId="7F7A0A78" w14:textId="77777777" w:rsidR="007D7D74" w:rsidRPr="007D7D74" w:rsidRDefault="007D7D74" w:rsidP="007D7D74">
      <w:pPr>
        <w:spacing w:before="120" w:after="120" w:line="360" w:lineRule="auto"/>
        <w:contextualSpacing/>
        <w:rPr>
          <w:rFonts w:ascii="Arial" w:hAnsi="Arial" w:cs="Arial"/>
          <w:lang w:val="en-US"/>
        </w:rPr>
      </w:pPr>
      <w:r w:rsidRPr="007D7D74">
        <w:rPr>
          <w:rFonts w:ascii="Arial" w:hAnsi="Arial" w:cs="Arial"/>
          <w:lang w:val="en-US"/>
        </w:rPr>
        <w:t xml:space="preserve">Ding, C., Zhang, R. and Wu, X. (2023) 'The impact of product diversity and distribution networks on consumption expansion,' </w:t>
      </w:r>
      <w:r w:rsidRPr="007D7D74">
        <w:rPr>
          <w:rFonts w:ascii="Arial" w:hAnsi="Arial" w:cs="Arial"/>
          <w:i/>
          <w:iCs/>
          <w:lang w:val="en-US"/>
        </w:rPr>
        <w:t>Journal of Business Research</w:t>
      </w:r>
      <w:r w:rsidRPr="007D7D74">
        <w:rPr>
          <w:rFonts w:ascii="Arial" w:hAnsi="Arial" w:cs="Arial"/>
          <w:lang w:val="en-US"/>
        </w:rPr>
        <w:t>, 161, p. 113833. https://doi.org/10.1016/j.jbusres.2023.113833.</w:t>
      </w:r>
    </w:p>
    <w:p w14:paraId="07F090D6" w14:textId="77777777" w:rsidR="007D7D74" w:rsidRPr="007D7D74" w:rsidRDefault="007D7D74" w:rsidP="0005381A">
      <w:pPr>
        <w:spacing w:before="120" w:after="120" w:line="360" w:lineRule="auto"/>
        <w:contextualSpacing/>
        <w:rPr>
          <w:rFonts w:ascii="Arial" w:hAnsi="Arial" w:cs="Arial"/>
          <w:lang w:val="en-US"/>
        </w:rPr>
      </w:pPr>
      <w:proofErr w:type="spellStart"/>
      <w:r w:rsidRPr="007D7D74">
        <w:rPr>
          <w:rFonts w:ascii="Arial" w:hAnsi="Arial" w:cs="Arial"/>
          <w:lang w:val="en-US"/>
        </w:rPr>
        <w:t>Dissanaike</w:t>
      </w:r>
      <w:proofErr w:type="spellEnd"/>
      <w:r w:rsidRPr="007D7D74">
        <w:rPr>
          <w:rFonts w:ascii="Arial" w:hAnsi="Arial" w:cs="Arial"/>
          <w:lang w:val="en-US"/>
        </w:rPr>
        <w:t>, G. (2002) 'Does the size effect explain the UK Winner</w:t>
      </w:r>
      <w:r w:rsidRPr="007D7D74">
        <w:rPr>
          <w:rFonts w:ascii="Cambria Math" w:hAnsi="Cambria Math" w:cs="Cambria Math"/>
          <w:lang w:val="en-US"/>
        </w:rPr>
        <w:t>‐</w:t>
      </w:r>
      <w:r w:rsidRPr="007D7D74">
        <w:rPr>
          <w:rFonts w:ascii="Arial" w:hAnsi="Arial" w:cs="Arial"/>
          <w:lang w:val="en-US"/>
        </w:rPr>
        <w:t xml:space="preserve">Loser effect?,' </w:t>
      </w:r>
      <w:r w:rsidRPr="007D7D74">
        <w:rPr>
          <w:rFonts w:ascii="Arial" w:hAnsi="Arial" w:cs="Arial"/>
          <w:i/>
          <w:iCs/>
          <w:lang w:val="en-US"/>
        </w:rPr>
        <w:t>Journal of Business Finance &amp;Amp Accounting</w:t>
      </w:r>
      <w:r w:rsidRPr="007D7D74">
        <w:rPr>
          <w:rFonts w:ascii="Arial" w:hAnsi="Arial" w:cs="Arial"/>
          <w:lang w:val="en-US"/>
        </w:rPr>
        <w:t>, 29(1–2), pp. 139–154. https://doi.org/10.1111/1468-5957.00427.</w:t>
      </w:r>
    </w:p>
    <w:p w14:paraId="32F1234E"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Graham, J.R. and Harvey, C.R. (2001) 'The theory and practice of corporate finance: evidence from the field,' </w:t>
      </w:r>
      <w:r w:rsidRPr="007D7D74">
        <w:rPr>
          <w:rFonts w:ascii="Arial" w:hAnsi="Arial" w:cs="Arial"/>
          <w:i/>
          <w:iCs/>
          <w:lang w:val="en-US"/>
        </w:rPr>
        <w:t>Journal of Financial Economics</w:t>
      </w:r>
      <w:r w:rsidRPr="007D7D74">
        <w:rPr>
          <w:rFonts w:ascii="Arial" w:hAnsi="Arial" w:cs="Arial"/>
          <w:lang w:val="en-US"/>
        </w:rPr>
        <w:t>, 60(2–3), pp. 187–243. https://doi.org/10.1016/s0304-405x(01)00044-7.</w:t>
      </w:r>
    </w:p>
    <w:p w14:paraId="67E43EB3"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Hennart, J. (1988) 'A transaction costs theory of equity joint ventures,' </w:t>
      </w:r>
      <w:r w:rsidRPr="007D7D74">
        <w:rPr>
          <w:rFonts w:ascii="Arial" w:hAnsi="Arial" w:cs="Arial"/>
          <w:i/>
          <w:iCs/>
          <w:lang w:val="en-US"/>
        </w:rPr>
        <w:t>Strategic Management Journal</w:t>
      </w:r>
      <w:r w:rsidRPr="007D7D74">
        <w:rPr>
          <w:rFonts w:ascii="Arial" w:hAnsi="Arial" w:cs="Arial"/>
          <w:lang w:val="en-US"/>
        </w:rPr>
        <w:t>, 9(4), pp. 361–374. https://doi.org/10.1002/smj.4250090406.</w:t>
      </w:r>
    </w:p>
    <w:p w14:paraId="3A46514A"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Hitt, M. </w:t>
      </w:r>
      <w:r w:rsidRPr="007D7D74">
        <w:rPr>
          <w:rFonts w:ascii="Arial" w:hAnsi="Arial" w:cs="Arial"/>
          <w:i/>
          <w:iCs/>
          <w:lang w:val="en-US"/>
        </w:rPr>
        <w:t>et al.</w:t>
      </w:r>
      <w:r w:rsidRPr="007D7D74">
        <w:rPr>
          <w:rFonts w:ascii="Arial" w:hAnsi="Arial" w:cs="Arial"/>
          <w:lang w:val="en-US"/>
        </w:rPr>
        <w:t xml:space="preserve"> (1991) 'Effects of acquisition on R&amp;D inputs and outputs,' </w:t>
      </w:r>
      <w:r w:rsidRPr="007D7D74">
        <w:rPr>
          <w:rFonts w:ascii="Arial" w:hAnsi="Arial" w:cs="Arial"/>
          <w:i/>
          <w:iCs/>
          <w:lang w:val="en-US"/>
        </w:rPr>
        <w:t>ResearchGate</w:t>
      </w:r>
      <w:r w:rsidRPr="007D7D74">
        <w:rPr>
          <w:rFonts w:ascii="Arial" w:hAnsi="Arial" w:cs="Arial"/>
          <w:lang w:val="en-US"/>
        </w:rPr>
        <w:t xml:space="preserve"> [Preprint]. https://www.researchgate.net/publication/235475343_Effects_of_Acquisition_on_RD_Inputs_and_Outputs.</w:t>
      </w:r>
    </w:p>
    <w:p w14:paraId="36A94BD1"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Hofmann, E., Strewe, U.M. and Bosia, N. (2017) </w:t>
      </w:r>
      <w:r w:rsidRPr="007D7D74">
        <w:rPr>
          <w:rFonts w:ascii="Arial" w:hAnsi="Arial" w:cs="Arial"/>
          <w:i/>
          <w:iCs/>
          <w:lang w:val="en-US"/>
        </w:rPr>
        <w:t xml:space="preserve">Supply chain finance and blockchain technology: The Case of Reverse </w:t>
      </w:r>
      <w:proofErr w:type="spellStart"/>
      <w:r w:rsidRPr="007D7D74">
        <w:rPr>
          <w:rFonts w:ascii="Arial" w:hAnsi="Arial" w:cs="Arial"/>
          <w:i/>
          <w:iCs/>
          <w:lang w:val="en-US"/>
        </w:rPr>
        <w:t>Securitisation</w:t>
      </w:r>
      <w:proofErr w:type="spellEnd"/>
      <w:r w:rsidRPr="007D7D74">
        <w:rPr>
          <w:rFonts w:ascii="Arial" w:hAnsi="Arial" w:cs="Arial"/>
          <w:lang w:val="en-US"/>
        </w:rPr>
        <w:t>. Springer.</w:t>
      </w:r>
    </w:p>
    <w:p w14:paraId="17CE52CA"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lastRenderedPageBreak/>
        <w:t xml:space="preserve">International Energy Agency (2024) </w:t>
      </w:r>
      <w:r w:rsidRPr="007D7D74">
        <w:rPr>
          <w:rFonts w:ascii="Arial" w:hAnsi="Arial" w:cs="Arial"/>
          <w:i/>
          <w:iCs/>
          <w:lang w:val="en-US"/>
        </w:rPr>
        <w:t>Global EV Outlook 2024</w:t>
      </w:r>
      <w:r w:rsidRPr="007D7D74">
        <w:rPr>
          <w:rFonts w:ascii="Arial" w:hAnsi="Arial" w:cs="Arial"/>
          <w:lang w:val="en-US"/>
        </w:rPr>
        <w:t xml:space="preserve">, </w:t>
      </w:r>
      <w:r w:rsidRPr="007D7D74">
        <w:rPr>
          <w:rFonts w:ascii="Arial" w:hAnsi="Arial" w:cs="Arial"/>
          <w:i/>
          <w:iCs/>
          <w:lang w:val="en-US"/>
        </w:rPr>
        <w:t>International Energy Agency</w:t>
      </w:r>
      <w:r w:rsidRPr="007D7D74">
        <w:rPr>
          <w:rFonts w:ascii="Arial" w:hAnsi="Arial" w:cs="Arial"/>
          <w:lang w:val="en-US"/>
        </w:rPr>
        <w:t>. International Energy Agency. https://iea.blob.core.windows.net/assets/a9e3544b-0b12-4e15-b407-65f5c8ce1b5f/GlobalEVOutlook2024.pdf (Accessed: February 15, 2026).</w:t>
      </w:r>
    </w:p>
    <w:p w14:paraId="614ADC42"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Jensen, M. (1986) 'Agency costs of free cash flow, corporate finance, and takeovers,' </w:t>
      </w:r>
      <w:r w:rsidRPr="007D7D74">
        <w:rPr>
          <w:rFonts w:ascii="Arial" w:hAnsi="Arial" w:cs="Arial"/>
          <w:i/>
          <w:iCs/>
          <w:lang w:val="en-US"/>
        </w:rPr>
        <w:t>JSTOR</w:t>
      </w:r>
      <w:r w:rsidRPr="007D7D74">
        <w:rPr>
          <w:rFonts w:ascii="Arial" w:hAnsi="Arial" w:cs="Arial"/>
          <w:lang w:val="en-US"/>
        </w:rPr>
        <w:t>, pp. 323–329. https://www.jstor.org/stable/1818789.</w:t>
      </w:r>
    </w:p>
    <w:p w14:paraId="0FF0B7C1"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Kogut, B. (1988) 'Joint ventures: Theoretical and empirical perspectives,' </w:t>
      </w:r>
      <w:r w:rsidRPr="007D7D74">
        <w:rPr>
          <w:rFonts w:ascii="Arial" w:hAnsi="Arial" w:cs="Arial"/>
          <w:i/>
          <w:iCs/>
          <w:lang w:val="en-US"/>
        </w:rPr>
        <w:t>Strategic Management Journal</w:t>
      </w:r>
      <w:r w:rsidRPr="007D7D74">
        <w:rPr>
          <w:rFonts w:ascii="Arial" w:hAnsi="Arial" w:cs="Arial"/>
          <w:lang w:val="en-US"/>
        </w:rPr>
        <w:t>, 9(4), pp. 319–332. https://doi.org/10.1002/smj.4250090403.</w:t>
      </w:r>
    </w:p>
    <w:p w14:paraId="20C6308C" w14:textId="77777777" w:rsidR="007D7D74" w:rsidRPr="007D7D74" w:rsidRDefault="007D7D74" w:rsidP="007D7D74">
      <w:pPr>
        <w:spacing w:before="120" w:after="120" w:line="360" w:lineRule="auto"/>
        <w:contextualSpacing/>
        <w:rPr>
          <w:rFonts w:ascii="Arial" w:hAnsi="Arial" w:cs="Arial"/>
          <w:lang w:val="en-US"/>
        </w:rPr>
      </w:pPr>
      <w:r w:rsidRPr="007D7D74">
        <w:rPr>
          <w:rFonts w:ascii="Arial" w:hAnsi="Arial" w:cs="Arial"/>
          <w:lang w:val="en-US"/>
        </w:rPr>
        <w:t xml:space="preserve">Labaki, R. and Hirigoyen, G. (2020) 'The strategic divestment decision in the family business through the real options and emotional lenses,' in </w:t>
      </w:r>
      <w:r w:rsidRPr="007D7D74">
        <w:rPr>
          <w:rFonts w:ascii="Arial" w:hAnsi="Arial" w:cs="Arial"/>
          <w:i/>
          <w:iCs/>
          <w:lang w:val="en-US"/>
        </w:rPr>
        <w:t>Advances in business strategy and competitive advantage book series</w:t>
      </w:r>
      <w:r w:rsidRPr="007D7D74">
        <w:rPr>
          <w:rFonts w:ascii="Arial" w:hAnsi="Arial" w:cs="Arial"/>
          <w:lang w:val="en-US"/>
        </w:rPr>
        <w:t>, pp. 244–279. https://doi.org/10.4018/978-1-7998-2269-1.ch012.</w:t>
      </w:r>
    </w:p>
    <w:p w14:paraId="6E411EA2"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Lubis, S.S. (2023) 'Identify financial ratios to measure the company’s financial performance,' </w:t>
      </w:r>
      <w:r w:rsidRPr="007D7D74">
        <w:rPr>
          <w:rFonts w:ascii="Arial" w:hAnsi="Arial" w:cs="Arial"/>
          <w:i/>
          <w:iCs/>
          <w:lang w:val="en-US"/>
        </w:rPr>
        <w:t>Journal of Economics Business Industry</w:t>
      </w:r>
      <w:r w:rsidRPr="007D7D74">
        <w:rPr>
          <w:rFonts w:ascii="Arial" w:hAnsi="Arial" w:cs="Arial"/>
          <w:lang w:val="en-US"/>
        </w:rPr>
        <w:t>, 1(1), pp. 1–9. https://doi.org/10.59976/jebin.v1i1.7.</w:t>
      </w:r>
    </w:p>
    <w:p w14:paraId="53411A65"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Monden, Y. (2011) </w:t>
      </w:r>
      <w:r w:rsidRPr="007D7D74">
        <w:rPr>
          <w:rFonts w:ascii="Arial" w:hAnsi="Arial" w:cs="Arial"/>
          <w:i/>
          <w:iCs/>
          <w:lang w:val="en-US"/>
        </w:rPr>
        <w:t>Toyota Production System: An Integrated Approach to Just-In-Time, 4th Edition</w:t>
      </w:r>
      <w:r w:rsidRPr="007D7D74">
        <w:rPr>
          <w:rFonts w:ascii="Arial" w:hAnsi="Arial" w:cs="Arial"/>
          <w:lang w:val="en-US"/>
        </w:rPr>
        <w:t>. CRC Press.</w:t>
      </w:r>
    </w:p>
    <w:p w14:paraId="039E841D"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Myers, S.C. (1984) 'The capital structure puzzle,' </w:t>
      </w:r>
      <w:r w:rsidRPr="007D7D74">
        <w:rPr>
          <w:rFonts w:ascii="Arial" w:hAnsi="Arial" w:cs="Arial"/>
          <w:i/>
          <w:iCs/>
          <w:lang w:val="en-US"/>
        </w:rPr>
        <w:t>The Journal of Finance</w:t>
      </w:r>
      <w:r w:rsidRPr="007D7D74">
        <w:rPr>
          <w:rFonts w:ascii="Arial" w:hAnsi="Arial" w:cs="Arial"/>
          <w:lang w:val="en-US"/>
        </w:rPr>
        <w:t>, 39(3), p. 575. https://doi.org/10.2307/2327916.</w:t>
      </w:r>
    </w:p>
    <w:p w14:paraId="733F03D4"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Purwanto, I., Sanjaya, I.K.P.W. and Kawisana, P.G.W.P. (2021) 'The effect of debt to equity ratio, total asset turnover, return on assets and return on equity on dividend policy in manufacturing companies,' </w:t>
      </w:r>
      <w:r w:rsidRPr="007D7D74">
        <w:rPr>
          <w:rFonts w:ascii="Arial" w:hAnsi="Arial" w:cs="Arial"/>
          <w:i/>
          <w:iCs/>
          <w:lang w:val="en-US"/>
        </w:rPr>
        <w:t>Journal of Tourism Economics and Policy</w:t>
      </w:r>
      <w:r w:rsidRPr="007D7D74">
        <w:rPr>
          <w:rFonts w:ascii="Arial" w:hAnsi="Arial" w:cs="Arial"/>
          <w:lang w:val="en-US"/>
        </w:rPr>
        <w:t>, 1(2), pp. 41–47. https://doi.org/10.38142/jtep.v1i3.109.</w:t>
      </w:r>
    </w:p>
    <w:p w14:paraId="5382DE2A"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Rajan, R.G. and Zingales, L. (1995) 'What Do We Know about Capital Structure? Some Evidence from International Data,' </w:t>
      </w:r>
      <w:r w:rsidRPr="007D7D74">
        <w:rPr>
          <w:rFonts w:ascii="Arial" w:hAnsi="Arial" w:cs="Arial"/>
          <w:i/>
          <w:iCs/>
          <w:lang w:val="en-US"/>
        </w:rPr>
        <w:t>The Journal of Finance</w:t>
      </w:r>
      <w:r w:rsidRPr="007D7D74">
        <w:rPr>
          <w:rFonts w:ascii="Arial" w:hAnsi="Arial" w:cs="Arial"/>
          <w:lang w:val="en-US"/>
        </w:rPr>
        <w:t>, 50(5), pp. 1421–1460. https://doi.org/10.1111/j.1540-6261.1995.tb05184.x.</w:t>
      </w:r>
    </w:p>
    <w:p w14:paraId="5E91DEBA"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Reuters (2025) </w:t>
      </w:r>
      <w:r w:rsidRPr="007D7D74">
        <w:rPr>
          <w:rFonts w:ascii="Arial" w:hAnsi="Arial" w:cs="Arial"/>
          <w:i/>
          <w:iCs/>
          <w:lang w:val="en-US"/>
        </w:rPr>
        <w:t xml:space="preserve">China’s </w:t>
      </w:r>
      <w:proofErr w:type="spellStart"/>
      <w:r w:rsidRPr="007D7D74">
        <w:rPr>
          <w:rFonts w:ascii="Arial" w:hAnsi="Arial" w:cs="Arial"/>
          <w:i/>
          <w:iCs/>
          <w:lang w:val="en-US"/>
        </w:rPr>
        <w:t>Xpeng</w:t>
      </w:r>
      <w:proofErr w:type="spellEnd"/>
      <w:r w:rsidRPr="007D7D74">
        <w:rPr>
          <w:rFonts w:ascii="Arial" w:hAnsi="Arial" w:cs="Arial"/>
          <w:i/>
          <w:iCs/>
          <w:lang w:val="en-US"/>
        </w:rPr>
        <w:t xml:space="preserve"> eyes Volkswagen partnership on joint procurement and different models</w:t>
      </w:r>
      <w:r w:rsidRPr="007D7D74">
        <w:rPr>
          <w:rFonts w:ascii="Arial" w:hAnsi="Arial" w:cs="Arial"/>
          <w:lang w:val="en-US"/>
        </w:rPr>
        <w:t>. https://www.reuters.com/business/autos-transportation/chinas-xpeng-eyes-volkswagen-partnership-joint-procurement-different-models-2025-04-16/ (Accessed: February 16, 2026).</w:t>
      </w:r>
    </w:p>
    <w:p w14:paraId="1D1A6DDF"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Soufani, K. (2002) 'On the determinants of factoring as a financing choice: Evidence from the UK,' </w:t>
      </w:r>
      <w:r w:rsidRPr="007D7D74">
        <w:rPr>
          <w:rFonts w:ascii="Arial" w:hAnsi="Arial" w:cs="Arial"/>
          <w:i/>
          <w:iCs/>
          <w:lang w:val="en-US"/>
        </w:rPr>
        <w:t>Journal of Economics and Business</w:t>
      </w:r>
      <w:r w:rsidRPr="007D7D74">
        <w:rPr>
          <w:rFonts w:ascii="Arial" w:hAnsi="Arial" w:cs="Arial"/>
          <w:lang w:val="en-US"/>
        </w:rPr>
        <w:t>, 54(2), pp. 239–252. https://doi.org/10.1016/s0148-6195(01)00064-9.</w:t>
      </w:r>
    </w:p>
    <w:p w14:paraId="19F5D7DC"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lastRenderedPageBreak/>
        <w:t xml:space="preserve">Statista Research Department (2025) </w:t>
      </w:r>
      <w:r w:rsidRPr="007D7D74">
        <w:rPr>
          <w:rFonts w:ascii="Arial" w:hAnsi="Arial" w:cs="Arial"/>
          <w:i/>
          <w:iCs/>
          <w:lang w:val="en-US"/>
        </w:rPr>
        <w:t>Topic: Volkswagen Group</w:t>
      </w:r>
      <w:r w:rsidRPr="007D7D74">
        <w:rPr>
          <w:rFonts w:ascii="Arial" w:hAnsi="Arial" w:cs="Arial"/>
          <w:lang w:val="en-US"/>
        </w:rPr>
        <w:t>. https://www.statista.com/topics/1574/volkswagen/?srsltid=AfmBOopNyEExPYtxAR6f2P4-LQoB4G7HiF2y9dkS3KiB0hxjYfLPumf-#topicOverview (Accessed: February 14, 2026).</w:t>
      </w:r>
    </w:p>
    <w:p w14:paraId="0766D038"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Titman, S. and Wessels, R. (1988) 'The determinants of capital structure choice,' </w:t>
      </w:r>
      <w:r w:rsidRPr="007D7D74">
        <w:rPr>
          <w:rFonts w:ascii="Arial" w:hAnsi="Arial" w:cs="Arial"/>
          <w:i/>
          <w:iCs/>
          <w:lang w:val="en-US"/>
        </w:rPr>
        <w:t>The Journal of Finance</w:t>
      </w:r>
      <w:r w:rsidRPr="007D7D74">
        <w:rPr>
          <w:rFonts w:ascii="Arial" w:hAnsi="Arial" w:cs="Arial"/>
          <w:lang w:val="en-US"/>
        </w:rPr>
        <w:t>, 43(1), pp. 1–19. https://doi.org/10.1111/j.1540-6261.1988.tb02585.x.</w:t>
      </w:r>
    </w:p>
    <w:p w14:paraId="0E4E97CA"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Volkswagen Group (2023) </w:t>
      </w:r>
      <w:r w:rsidRPr="007D7D74">
        <w:rPr>
          <w:rFonts w:ascii="Arial" w:hAnsi="Arial" w:cs="Arial"/>
          <w:i/>
          <w:iCs/>
          <w:lang w:val="en-US"/>
        </w:rPr>
        <w:t>Volkswagen Group’s Annual Report 2022</w:t>
      </w:r>
      <w:r w:rsidRPr="007D7D74">
        <w:rPr>
          <w:rFonts w:ascii="Arial" w:hAnsi="Arial" w:cs="Arial"/>
          <w:lang w:val="en-US"/>
        </w:rPr>
        <w:t xml:space="preserve">, </w:t>
      </w:r>
      <w:r w:rsidRPr="007D7D74">
        <w:rPr>
          <w:rFonts w:ascii="Arial" w:hAnsi="Arial" w:cs="Arial"/>
          <w:i/>
          <w:iCs/>
          <w:lang w:val="en-US"/>
        </w:rPr>
        <w:t>Volkswagen Group</w:t>
      </w:r>
      <w:r w:rsidRPr="007D7D74">
        <w:rPr>
          <w:rFonts w:ascii="Arial" w:hAnsi="Arial" w:cs="Arial"/>
          <w:lang w:val="en-US"/>
        </w:rPr>
        <w:t>. Volkswagen Group. https://uploads.vw-mms.de/system/production/documents/cws/001/677/file_en/8bf85b8f8987b66fb9492394ebb6886d7fc68e5b/Y_2022_e.pdf?1682597523 (Accessed: February 14, 2026).</w:t>
      </w:r>
    </w:p>
    <w:p w14:paraId="7821D0A2"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Volkswagen Group (2024) </w:t>
      </w:r>
      <w:r w:rsidRPr="007D7D74">
        <w:rPr>
          <w:rFonts w:ascii="Arial" w:hAnsi="Arial" w:cs="Arial"/>
          <w:i/>
          <w:iCs/>
          <w:lang w:val="en-US"/>
        </w:rPr>
        <w:t>Volkswagen Group’s Annual Report 2023</w:t>
      </w:r>
      <w:r w:rsidRPr="007D7D74">
        <w:rPr>
          <w:rFonts w:ascii="Arial" w:hAnsi="Arial" w:cs="Arial"/>
          <w:lang w:val="en-US"/>
        </w:rPr>
        <w:t xml:space="preserve">, </w:t>
      </w:r>
      <w:r w:rsidRPr="007D7D74">
        <w:rPr>
          <w:rFonts w:ascii="Arial" w:hAnsi="Arial" w:cs="Arial"/>
          <w:i/>
          <w:iCs/>
          <w:lang w:val="en-US"/>
        </w:rPr>
        <w:t>Volkswagen Group</w:t>
      </w:r>
      <w:r w:rsidRPr="007D7D74">
        <w:rPr>
          <w:rFonts w:ascii="Arial" w:hAnsi="Arial" w:cs="Arial"/>
          <w:lang w:val="en-US"/>
        </w:rPr>
        <w:t>. Volkswagen Group. https://uploads.vw-mms.de/system/production/documents/cws/002/671/file_en/0638247dc949c755ddfa5ceba53df467a704db17/Y_2023_e.pdf?1710307376 (Accessed: February 14, 2026).</w:t>
      </w:r>
    </w:p>
    <w:p w14:paraId="444DD628"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Volkswagen Group (2025a) </w:t>
      </w:r>
      <w:r w:rsidRPr="007D7D74">
        <w:rPr>
          <w:rFonts w:ascii="Arial" w:hAnsi="Arial" w:cs="Arial"/>
          <w:i/>
          <w:iCs/>
          <w:lang w:val="en-US"/>
        </w:rPr>
        <w:t>Interim Report January - September 2025</w:t>
      </w:r>
      <w:r w:rsidRPr="007D7D74">
        <w:rPr>
          <w:rFonts w:ascii="Arial" w:hAnsi="Arial" w:cs="Arial"/>
          <w:lang w:val="en-US"/>
        </w:rPr>
        <w:t xml:space="preserve">, </w:t>
      </w:r>
      <w:r w:rsidRPr="007D7D74">
        <w:rPr>
          <w:rFonts w:ascii="Arial" w:hAnsi="Arial" w:cs="Arial"/>
          <w:i/>
          <w:iCs/>
          <w:lang w:val="en-US"/>
        </w:rPr>
        <w:t>Volkswagen Group’s Annual Report 2025</w:t>
      </w:r>
      <w:r w:rsidRPr="007D7D74">
        <w:rPr>
          <w:rFonts w:ascii="Arial" w:hAnsi="Arial" w:cs="Arial"/>
          <w:lang w:val="en-US"/>
        </w:rPr>
        <w:t>. https://uploads.vw-mms.de/system/production/documents/cws/003/129/file_en/e573f2d2a4c01d95183311ebeba8ca31c9845010/q3-interim-report-2025-volkswagen-group.pdf?1765352906 (Accessed: February 14, 2026).</w:t>
      </w:r>
    </w:p>
    <w:p w14:paraId="791D8762"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Volkswagen Group (2025b) </w:t>
      </w:r>
      <w:r w:rsidRPr="007D7D74">
        <w:rPr>
          <w:rFonts w:ascii="Arial" w:hAnsi="Arial" w:cs="Arial"/>
          <w:i/>
          <w:iCs/>
          <w:lang w:val="en-US"/>
        </w:rPr>
        <w:t>Volkswagen Group’s Annual Report 2024</w:t>
      </w:r>
      <w:r w:rsidRPr="007D7D74">
        <w:rPr>
          <w:rFonts w:ascii="Arial" w:hAnsi="Arial" w:cs="Arial"/>
          <w:lang w:val="en-US"/>
        </w:rPr>
        <w:t xml:space="preserve">, </w:t>
      </w:r>
      <w:r w:rsidRPr="007D7D74">
        <w:rPr>
          <w:rFonts w:ascii="Arial" w:hAnsi="Arial" w:cs="Arial"/>
          <w:i/>
          <w:iCs/>
          <w:lang w:val="en-US"/>
        </w:rPr>
        <w:t>Volkswagen Group</w:t>
      </w:r>
      <w:r w:rsidRPr="007D7D74">
        <w:rPr>
          <w:rFonts w:ascii="Arial" w:hAnsi="Arial" w:cs="Arial"/>
          <w:lang w:val="en-US"/>
        </w:rPr>
        <w:t>. Annual Report 2024. https://uploads.vw-mms.de/system/production/documents/cws/002/931/file_en/953dcbb8e57270df70ca288218092dba4721fd63/Y_2024_e.pdf?1742480062 (Accessed: February 14, 2026).</w:t>
      </w:r>
    </w:p>
    <w:p w14:paraId="7CDFA60C"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Volkswagen Group’s (2022) </w:t>
      </w:r>
      <w:r w:rsidRPr="007D7D74">
        <w:rPr>
          <w:rFonts w:ascii="Arial" w:hAnsi="Arial" w:cs="Arial"/>
          <w:i/>
          <w:iCs/>
          <w:lang w:val="en-US"/>
        </w:rPr>
        <w:t>Volkswagen Group’s Annual Report 2021</w:t>
      </w:r>
      <w:r w:rsidRPr="007D7D74">
        <w:rPr>
          <w:rFonts w:ascii="Arial" w:hAnsi="Arial" w:cs="Arial"/>
          <w:lang w:val="en-US"/>
        </w:rPr>
        <w:t xml:space="preserve">, </w:t>
      </w:r>
      <w:r w:rsidRPr="007D7D74">
        <w:rPr>
          <w:rFonts w:ascii="Arial" w:hAnsi="Arial" w:cs="Arial"/>
          <w:i/>
          <w:iCs/>
          <w:lang w:val="en-US"/>
        </w:rPr>
        <w:t>Volkswagen Group</w:t>
      </w:r>
      <w:r w:rsidRPr="007D7D74">
        <w:rPr>
          <w:rFonts w:ascii="Arial" w:hAnsi="Arial" w:cs="Arial"/>
          <w:lang w:val="en-US"/>
        </w:rPr>
        <w:t>. https://uploads.vw-mms.de/system/production/documents/cws/001/791/file_en/294a66ed40e570ea9dce9464773054069ecda16f/Y_2021_e.pdf?1712658735 (Accessed: February 14, 2026).</w:t>
      </w:r>
    </w:p>
    <w:p w14:paraId="2AF2067C" w14:textId="77777777" w:rsidR="007D7D74" w:rsidRPr="007D7D74" w:rsidRDefault="007D7D74" w:rsidP="0005381A">
      <w:pPr>
        <w:spacing w:before="120" w:after="120" w:line="360" w:lineRule="auto"/>
        <w:contextualSpacing/>
        <w:rPr>
          <w:rFonts w:ascii="Arial" w:hAnsi="Arial" w:cs="Arial"/>
          <w:lang w:val="en-US"/>
        </w:rPr>
      </w:pPr>
      <w:r w:rsidRPr="007D7D74">
        <w:rPr>
          <w:rFonts w:ascii="Arial" w:hAnsi="Arial" w:cs="Arial"/>
          <w:lang w:val="en-US"/>
        </w:rPr>
        <w:t xml:space="preserve">Zandt, F. (2025) 'The most important markets for Volkswagen,' </w:t>
      </w:r>
      <w:r w:rsidRPr="007D7D74">
        <w:rPr>
          <w:rFonts w:ascii="Arial" w:hAnsi="Arial" w:cs="Arial"/>
          <w:i/>
          <w:iCs/>
          <w:lang w:val="en-US"/>
        </w:rPr>
        <w:t>Statista Daily Data</w:t>
      </w:r>
      <w:r w:rsidRPr="007D7D74">
        <w:rPr>
          <w:rFonts w:ascii="Arial" w:hAnsi="Arial" w:cs="Arial"/>
          <w:lang w:val="en-US"/>
        </w:rPr>
        <w:t>, 14 January. https://www.statista.com/chart/33756/share-of-volkswagen-group-deliveries-by-</w:t>
      </w:r>
      <w:r w:rsidRPr="007D7D74">
        <w:rPr>
          <w:rFonts w:ascii="Arial" w:hAnsi="Arial" w:cs="Arial"/>
          <w:lang w:val="en-US"/>
        </w:rPr>
        <w:lastRenderedPageBreak/>
        <w:t>market/?srsltid=AfmBOorNUPBXkfg4F9T_5ytYPZGxV6Ni_I8qDb5gDuwZghBe2dBok8Ih.</w:t>
      </w:r>
    </w:p>
    <w:p w14:paraId="5408BDB0" w14:textId="77777777" w:rsidR="0069622E" w:rsidRPr="0005381A" w:rsidRDefault="0069622E" w:rsidP="0005381A">
      <w:pPr>
        <w:spacing w:before="120" w:after="120" w:line="360" w:lineRule="auto"/>
        <w:contextualSpacing/>
        <w:rPr>
          <w:rFonts w:ascii="Arial" w:hAnsi="Arial" w:cs="Arial"/>
          <w:lang w:val="en-US"/>
        </w:rPr>
      </w:pPr>
    </w:p>
    <w:p w14:paraId="6E61E76B" w14:textId="77777777" w:rsidR="0069622E" w:rsidRPr="0005381A" w:rsidRDefault="0069622E" w:rsidP="0005381A">
      <w:pPr>
        <w:pStyle w:val="Heading1"/>
        <w:spacing w:before="120" w:after="120"/>
        <w:rPr>
          <w:lang w:val="en-US"/>
        </w:rPr>
      </w:pPr>
      <w:bookmarkStart w:id="24" w:name="_Toc222499714"/>
      <w:r w:rsidRPr="0005381A">
        <w:rPr>
          <w:lang w:val="en-US"/>
        </w:rPr>
        <w:t>7. APPENDICES</w:t>
      </w:r>
      <w:bookmarkEnd w:id="24"/>
    </w:p>
    <w:p w14:paraId="3CF7F5F2" w14:textId="77777777" w:rsidR="0069622E" w:rsidRPr="0005381A" w:rsidRDefault="0069622E" w:rsidP="0005381A">
      <w:pPr>
        <w:pStyle w:val="Heading2"/>
        <w:spacing w:before="120" w:after="120" w:line="360" w:lineRule="auto"/>
        <w:contextualSpacing/>
        <w:rPr>
          <w:rFonts w:cs="Arial"/>
          <w:szCs w:val="24"/>
          <w:lang w:val="en-US"/>
        </w:rPr>
      </w:pPr>
      <w:bookmarkStart w:id="25" w:name="_Toc222499715"/>
      <w:r w:rsidRPr="0005381A">
        <w:rPr>
          <w:rFonts w:cs="Arial"/>
          <w:szCs w:val="24"/>
          <w:lang w:val="en-US"/>
        </w:rPr>
        <w:t>7.1. Ratio Tables</w:t>
      </w:r>
      <w:bookmarkEnd w:id="25"/>
    </w:p>
    <w:p w14:paraId="0FA32B58"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noProof/>
          <w:lang w:val="en-US"/>
        </w:rPr>
        <w:drawing>
          <wp:inline distT="0" distB="0" distL="0" distR="0" wp14:anchorId="3B55D610" wp14:editId="6701F69B">
            <wp:extent cx="4365266" cy="4095399"/>
            <wp:effectExtent l="0" t="0" r="0" b="0"/>
            <wp:docPr id="17507925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92500" name="Picture 1750792500"/>
                    <pic:cNvPicPr/>
                  </pic:nvPicPr>
                  <pic:blipFill>
                    <a:blip r:embed="rId18">
                      <a:extLst>
                        <a:ext uri="{28A0092B-C50C-407E-A947-70E740481C1C}">
                          <a14:useLocalDpi xmlns:a14="http://schemas.microsoft.com/office/drawing/2010/main" val="0"/>
                        </a:ext>
                      </a:extLst>
                    </a:blip>
                    <a:stretch>
                      <a:fillRect/>
                    </a:stretch>
                  </pic:blipFill>
                  <pic:spPr>
                    <a:xfrm>
                      <a:off x="0" y="0"/>
                      <a:ext cx="4372186" cy="4101891"/>
                    </a:xfrm>
                    <a:prstGeom prst="rect">
                      <a:avLst/>
                    </a:prstGeom>
                  </pic:spPr>
                </pic:pic>
              </a:graphicData>
            </a:graphic>
          </wp:inline>
        </w:drawing>
      </w:r>
    </w:p>
    <w:p w14:paraId="01C28E10" w14:textId="77777777" w:rsidR="0069622E" w:rsidRPr="0005381A" w:rsidRDefault="0069622E" w:rsidP="0005381A">
      <w:pPr>
        <w:pStyle w:val="Heading2"/>
        <w:spacing w:before="120" w:after="120" w:line="360" w:lineRule="auto"/>
        <w:contextualSpacing/>
        <w:rPr>
          <w:rFonts w:cs="Arial"/>
          <w:szCs w:val="24"/>
          <w:lang w:val="en-US"/>
        </w:rPr>
      </w:pPr>
      <w:bookmarkStart w:id="26" w:name="_Toc222499716"/>
      <w:r w:rsidRPr="0005381A">
        <w:rPr>
          <w:rFonts w:cs="Arial"/>
          <w:szCs w:val="24"/>
          <w:lang w:val="en-US"/>
        </w:rPr>
        <w:lastRenderedPageBreak/>
        <w:t>7.2. Investment Appraisal Calculations</w:t>
      </w:r>
      <w:bookmarkEnd w:id="26"/>
    </w:p>
    <w:p w14:paraId="1FD0AD0B" w14:textId="77777777" w:rsidR="0069622E" w:rsidRPr="0005381A" w:rsidRDefault="0069622E" w:rsidP="0005381A">
      <w:pPr>
        <w:spacing w:before="120" w:after="120" w:line="360" w:lineRule="auto"/>
        <w:contextualSpacing/>
        <w:rPr>
          <w:rFonts w:ascii="Arial" w:hAnsi="Arial" w:cs="Arial"/>
          <w:lang w:val="en-US"/>
        </w:rPr>
      </w:pPr>
      <w:r w:rsidRPr="0005381A">
        <w:rPr>
          <w:rFonts w:ascii="Arial" w:hAnsi="Arial" w:cs="Arial"/>
          <w:noProof/>
          <w:lang w:val="en-US"/>
        </w:rPr>
        <w:drawing>
          <wp:inline distT="0" distB="0" distL="0" distR="0" wp14:anchorId="515E8D7F" wp14:editId="33671E46">
            <wp:extent cx="6428745" cy="3108960"/>
            <wp:effectExtent l="0" t="0" r="0" b="0"/>
            <wp:docPr id="676274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74938" name="Picture 67627493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437497" cy="3113192"/>
                    </a:xfrm>
                    <a:prstGeom prst="rect">
                      <a:avLst/>
                    </a:prstGeom>
                  </pic:spPr>
                </pic:pic>
              </a:graphicData>
            </a:graphic>
          </wp:inline>
        </w:drawing>
      </w:r>
    </w:p>
    <w:p w14:paraId="62CFB77A" w14:textId="28BA0773" w:rsidR="0050405A" w:rsidRPr="0005381A" w:rsidRDefault="0050405A" w:rsidP="0005381A">
      <w:pPr>
        <w:spacing w:before="120" w:after="120" w:line="360" w:lineRule="auto"/>
        <w:contextualSpacing/>
        <w:rPr>
          <w:rFonts w:ascii="Arial" w:hAnsi="Arial" w:cs="Arial"/>
        </w:rPr>
      </w:pPr>
    </w:p>
    <w:sectPr w:rsidR="0050405A" w:rsidRPr="0005381A" w:rsidSect="00B55E6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7AE09" w14:textId="77777777" w:rsidR="000F3A9F" w:rsidRDefault="000F3A9F" w:rsidP="000F41D9">
      <w:pPr>
        <w:spacing w:after="0" w:line="240" w:lineRule="auto"/>
      </w:pPr>
      <w:r>
        <w:separator/>
      </w:r>
    </w:p>
  </w:endnote>
  <w:endnote w:type="continuationSeparator" w:id="0">
    <w:p w14:paraId="231B7DAF" w14:textId="77777777" w:rsidR="000F3A9F" w:rsidRDefault="000F3A9F" w:rsidP="000F4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738365094"/>
      <w:docPartObj>
        <w:docPartGallery w:val="Page Numbers (Bottom of Page)"/>
        <w:docPartUnique/>
      </w:docPartObj>
    </w:sdtPr>
    <w:sdtEndPr/>
    <w:sdtContent>
      <w:p w14:paraId="6D1F0655" w14:textId="77777777" w:rsidR="0069622E" w:rsidRDefault="0069622E">
        <w:pPr>
          <w:pStyle w:val="Footer"/>
          <w:jc w:val="right"/>
        </w:pPr>
        <w:r>
          <w:rPr>
            <w:lang w:val="en-GB"/>
          </w:rPr>
          <w:t xml:space="preserve">Page | </w:t>
        </w:r>
        <w:r>
          <w:fldChar w:fldCharType="begin"/>
        </w:r>
        <w:r>
          <w:instrText>PAGE   \* MERGEFORMAT</w:instrText>
        </w:r>
        <w:r>
          <w:fldChar w:fldCharType="separate"/>
        </w:r>
        <w:r>
          <w:rPr>
            <w:lang w:val="en-GB"/>
          </w:rPr>
          <w:t>2</w:t>
        </w:r>
        <w:r>
          <w:fldChar w:fldCharType="end"/>
        </w:r>
        <w:r>
          <w:rPr>
            <w:lang w:val="en-GB"/>
          </w:rPr>
          <w:t xml:space="preserve"> </w:t>
        </w:r>
      </w:p>
    </w:sdtContent>
  </w:sdt>
  <w:p w14:paraId="5A42D175" w14:textId="77777777" w:rsidR="0069622E" w:rsidRDefault="006962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1017926702"/>
      <w:docPartObj>
        <w:docPartGallery w:val="Page Numbers (Bottom of Page)"/>
        <w:docPartUnique/>
      </w:docPartObj>
    </w:sdtPr>
    <w:sdtEndPr/>
    <w:sdtContent>
      <w:p w14:paraId="31F3312C" w14:textId="2AB0F4BF" w:rsidR="00A01638" w:rsidRDefault="00A01638">
        <w:pPr>
          <w:pStyle w:val="Footer"/>
          <w:jc w:val="right"/>
        </w:pPr>
        <w:r>
          <w:rPr>
            <w:lang w:val="en-GB"/>
          </w:rPr>
          <w:t xml:space="preserve">Page | </w:t>
        </w:r>
        <w:r>
          <w:fldChar w:fldCharType="begin"/>
        </w:r>
        <w:r>
          <w:instrText>PAGE   \* MERGEFORMAT</w:instrText>
        </w:r>
        <w:r>
          <w:fldChar w:fldCharType="separate"/>
        </w:r>
        <w:r>
          <w:rPr>
            <w:lang w:val="en-GB"/>
          </w:rPr>
          <w:t>2</w:t>
        </w:r>
        <w:r>
          <w:fldChar w:fldCharType="end"/>
        </w:r>
        <w:r>
          <w:rPr>
            <w:lang w:val="en-GB"/>
          </w:rPr>
          <w:t xml:space="preserve"> </w:t>
        </w:r>
      </w:p>
    </w:sdtContent>
  </w:sdt>
  <w:p w14:paraId="575D7ADF" w14:textId="77777777" w:rsidR="007F187B" w:rsidRDefault="007F1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2E846" w14:textId="77777777" w:rsidR="000F3A9F" w:rsidRDefault="000F3A9F" w:rsidP="000F41D9">
      <w:pPr>
        <w:spacing w:after="0" w:line="240" w:lineRule="auto"/>
      </w:pPr>
      <w:r>
        <w:separator/>
      </w:r>
    </w:p>
  </w:footnote>
  <w:footnote w:type="continuationSeparator" w:id="0">
    <w:p w14:paraId="2C429FFD" w14:textId="77777777" w:rsidR="000F3A9F" w:rsidRDefault="000F3A9F" w:rsidP="000F4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FDB67" w14:textId="77777777" w:rsidR="0069622E" w:rsidRDefault="0069622E" w:rsidP="00DB5E81">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3A75A" w14:textId="26024F10" w:rsidR="00DB5E81" w:rsidRDefault="00DB5E81" w:rsidP="00DB5E81">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C3144"/>
    <w:multiLevelType w:val="hybridMultilevel"/>
    <w:tmpl w:val="69182140"/>
    <w:lvl w:ilvl="0" w:tplc="FFFFFFFF">
      <w:start w:val="1"/>
      <w:numFmt w:val="decimal"/>
      <w:lvlText w:val="%1."/>
      <w:lvlJc w:val="left"/>
      <w:pPr>
        <w:ind w:left="2880" w:hanging="72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 w15:restartNumberingAfterBreak="0">
    <w:nsid w:val="038A778D"/>
    <w:multiLevelType w:val="multilevel"/>
    <w:tmpl w:val="E042C612"/>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C7385"/>
    <w:multiLevelType w:val="hybridMultilevel"/>
    <w:tmpl w:val="ED14DA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3139C5"/>
    <w:multiLevelType w:val="hybridMultilevel"/>
    <w:tmpl w:val="5560DCDA"/>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611211"/>
    <w:multiLevelType w:val="multilevel"/>
    <w:tmpl w:val="851C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00C2E"/>
    <w:multiLevelType w:val="multilevel"/>
    <w:tmpl w:val="F69C6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4F4FA5"/>
    <w:multiLevelType w:val="hybridMultilevel"/>
    <w:tmpl w:val="582AD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A53B27"/>
    <w:multiLevelType w:val="hybridMultilevel"/>
    <w:tmpl w:val="711CD9AC"/>
    <w:lvl w:ilvl="0" w:tplc="FFFFFFF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58F0C8D"/>
    <w:multiLevelType w:val="hybridMultilevel"/>
    <w:tmpl w:val="A02EA8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60A0B24"/>
    <w:multiLevelType w:val="hybridMultilevel"/>
    <w:tmpl w:val="2496F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7617FBA"/>
    <w:multiLevelType w:val="hybridMultilevel"/>
    <w:tmpl w:val="A1328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0D6925"/>
    <w:multiLevelType w:val="hybridMultilevel"/>
    <w:tmpl w:val="D3A4CEB8"/>
    <w:lvl w:ilvl="0" w:tplc="04090001">
      <w:start w:val="1"/>
      <w:numFmt w:val="bullet"/>
      <w:lvlText w:val=""/>
      <w:lvlJc w:val="left"/>
      <w:pPr>
        <w:ind w:left="1188" w:hanging="360"/>
      </w:pPr>
      <w:rPr>
        <w:rFonts w:ascii="Symbol" w:hAnsi="Symbol" w:hint="default"/>
      </w:rPr>
    </w:lvl>
    <w:lvl w:ilvl="1" w:tplc="08090003" w:tentative="1">
      <w:start w:val="1"/>
      <w:numFmt w:val="bullet"/>
      <w:lvlText w:val="o"/>
      <w:lvlJc w:val="left"/>
      <w:pPr>
        <w:ind w:left="1908" w:hanging="360"/>
      </w:pPr>
      <w:rPr>
        <w:rFonts w:ascii="Courier New" w:hAnsi="Courier New" w:cs="Courier New" w:hint="default"/>
      </w:rPr>
    </w:lvl>
    <w:lvl w:ilvl="2" w:tplc="08090005" w:tentative="1">
      <w:start w:val="1"/>
      <w:numFmt w:val="bullet"/>
      <w:lvlText w:val=""/>
      <w:lvlJc w:val="left"/>
      <w:pPr>
        <w:ind w:left="2628" w:hanging="360"/>
      </w:pPr>
      <w:rPr>
        <w:rFonts w:ascii="Wingdings" w:hAnsi="Wingdings" w:hint="default"/>
      </w:rPr>
    </w:lvl>
    <w:lvl w:ilvl="3" w:tplc="08090001" w:tentative="1">
      <w:start w:val="1"/>
      <w:numFmt w:val="bullet"/>
      <w:lvlText w:val=""/>
      <w:lvlJc w:val="left"/>
      <w:pPr>
        <w:ind w:left="3348" w:hanging="360"/>
      </w:pPr>
      <w:rPr>
        <w:rFonts w:ascii="Symbol" w:hAnsi="Symbol" w:hint="default"/>
      </w:rPr>
    </w:lvl>
    <w:lvl w:ilvl="4" w:tplc="08090003" w:tentative="1">
      <w:start w:val="1"/>
      <w:numFmt w:val="bullet"/>
      <w:lvlText w:val="o"/>
      <w:lvlJc w:val="left"/>
      <w:pPr>
        <w:ind w:left="4068" w:hanging="360"/>
      </w:pPr>
      <w:rPr>
        <w:rFonts w:ascii="Courier New" w:hAnsi="Courier New" w:cs="Courier New" w:hint="default"/>
      </w:rPr>
    </w:lvl>
    <w:lvl w:ilvl="5" w:tplc="08090005" w:tentative="1">
      <w:start w:val="1"/>
      <w:numFmt w:val="bullet"/>
      <w:lvlText w:val=""/>
      <w:lvlJc w:val="left"/>
      <w:pPr>
        <w:ind w:left="4788" w:hanging="360"/>
      </w:pPr>
      <w:rPr>
        <w:rFonts w:ascii="Wingdings" w:hAnsi="Wingdings" w:hint="default"/>
      </w:rPr>
    </w:lvl>
    <w:lvl w:ilvl="6" w:tplc="08090001" w:tentative="1">
      <w:start w:val="1"/>
      <w:numFmt w:val="bullet"/>
      <w:lvlText w:val=""/>
      <w:lvlJc w:val="left"/>
      <w:pPr>
        <w:ind w:left="5508" w:hanging="360"/>
      </w:pPr>
      <w:rPr>
        <w:rFonts w:ascii="Symbol" w:hAnsi="Symbol" w:hint="default"/>
      </w:rPr>
    </w:lvl>
    <w:lvl w:ilvl="7" w:tplc="08090003" w:tentative="1">
      <w:start w:val="1"/>
      <w:numFmt w:val="bullet"/>
      <w:lvlText w:val="o"/>
      <w:lvlJc w:val="left"/>
      <w:pPr>
        <w:ind w:left="6228" w:hanging="360"/>
      </w:pPr>
      <w:rPr>
        <w:rFonts w:ascii="Courier New" w:hAnsi="Courier New" w:cs="Courier New" w:hint="default"/>
      </w:rPr>
    </w:lvl>
    <w:lvl w:ilvl="8" w:tplc="08090005" w:tentative="1">
      <w:start w:val="1"/>
      <w:numFmt w:val="bullet"/>
      <w:lvlText w:val=""/>
      <w:lvlJc w:val="left"/>
      <w:pPr>
        <w:ind w:left="6948" w:hanging="360"/>
      </w:pPr>
      <w:rPr>
        <w:rFonts w:ascii="Wingdings" w:hAnsi="Wingdings" w:hint="default"/>
      </w:rPr>
    </w:lvl>
  </w:abstractNum>
  <w:abstractNum w:abstractNumId="12" w15:restartNumberingAfterBreak="0">
    <w:nsid w:val="2BDC5EB4"/>
    <w:multiLevelType w:val="hybridMultilevel"/>
    <w:tmpl w:val="F9AA7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9200AB"/>
    <w:multiLevelType w:val="hybridMultilevel"/>
    <w:tmpl w:val="CC72C6FC"/>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7A6B03"/>
    <w:multiLevelType w:val="hybridMultilevel"/>
    <w:tmpl w:val="8776624C"/>
    <w:lvl w:ilvl="0" w:tplc="646CFCCA">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851204"/>
    <w:multiLevelType w:val="hybridMultilevel"/>
    <w:tmpl w:val="BB6468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CA5DFC"/>
    <w:multiLevelType w:val="hybridMultilevel"/>
    <w:tmpl w:val="5B064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4941F9"/>
    <w:multiLevelType w:val="hybridMultilevel"/>
    <w:tmpl w:val="3B2C94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BF12265"/>
    <w:multiLevelType w:val="hybridMultilevel"/>
    <w:tmpl w:val="7B281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7265E5"/>
    <w:multiLevelType w:val="multilevel"/>
    <w:tmpl w:val="8C0288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FE4A16"/>
    <w:multiLevelType w:val="hybridMultilevel"/>
    <w:tmpl w:val="D64CC40E"/>
    <w:lvl w:ilvl="0" w:tplc="08090001">
      <w:start w:val="1"/>
      <w:numFmt w:val="bullet"/>
      <w:lvlText w:val=""/>
      <w:lvlJc w:val="left"/>
      <w:pPr>
        <w:ind w:left="2064" w:hanging="360"/>
      </w:pPr>
      <w:rPr>
        <w:rFonts w:ascii="Symbol" w:hAnsi="Symbol" w:hint="default"/>
      </w:rPr>
    </w:lvl>
    <w:lvl w:ilvl="1" w:tplc="08090003" w:tentative="1">
      <w:start w:val="1"/>
      <w:numFmt w:val="bullet"/>
      <w:lvlText w:val="o"/>
      <w:lvlJc w:val="left"/>
      <w:pPr>
        <w:ind w:left="2784" w:hanging="360"/>
      </w:pPr>
      <w:rPr>
        <w:rFonts w:ascii="Courier New" w:hAnsi="Courier New" w:cs="Courier New" w:hint="default"/>
      </w:rPr>
    </w:lvl>
    <w:lvl w:ilvl="2" w:tplc="08090005" w:tentative="1">
      <w:start w:val="1"/>
      <w:numFmt w:val="bullet"/>
      <w:lvlText w:val=""/>
      <w:lvlJc w:val="left"/>
      <w:pPr>
        <w:ind w:left="3504" w:hanging="360"/>
      </w:pPr>
      <w:rPr>
        <w:rFonts w:ascii="Wingdings" w:hAnsi="Wingdings" w:hint="default"/>
      </w:rPr>
    </w:lvl>
    <w:lvl w:ilvl="3" w:tplc="08090001" w:tentative="1">
      <w:start w:val="1"/>
      <w:numFmt w:val="bullet"/>
      <w:lvlText w:val=""/>
      <w:lvlJc w:val="left"/>
      <w:pPr>
        <w:ind w:left="4224" w:hanging="360"/>
      </w:pPr>
      <w:rPr>
        <w:rFonts w:ascii="Symbol" w:hAnsi="Symbol" w:hint="default"/>
      </w:rPr>
    </w:lvl>
    <w:lvl w:ilvl="4" w:tplc="08090003" w:tentative="1">
      <w:start w:val="1"/>
      <w:numFmt w:val="bullet"/>
      <w:lvlText w:val="o"/>
      <w:lvlJc w:val="left"/>
      <w:pPr>
        <w:ind w:left="4944" w:hanging="360"/>
      </w:pPr>
      <w:rPr>
        <w:rFonts w:ascii="Courier New" w:hAnsi="Courier New" w:cs="Courier New" w:hint="default"/>
      </w:rPr>
    </w:lvl>
    <w:lvl w:ilvl="5" w:tplc="08090005" w:tentative="1">
      <w:start w:val="1"/>
      <w:numFmt w:val="bullet"/>
      <w:lvlText w:val=""/>
      <w:lvlJc w:val="left"/>
      <w:pPr>
        <w:ind w:left="5664" w:hanging="360"/>
      </w:pPr>
      <w:rPr>
        <w:rFonts w:ascii="Wingdings" w:hAnsi="Wingdings" w:hint="default"/>
      </w:rPr>
    </w:lvl>
    <w:lvl w:ilvl="6" w:tplc="08090001" w:tentative="1">
      <w:start w:val="1"/>
      <w:numFmt w:val="bullet"/>
      <w:lvlText w:val=""/>
      <w:lvlJc w:val="left"/>
      <w:pPr>
        <w:ind w:left="6384" w:hanging="360"/>
      </w:pPr>
      <w:rPr>
        <w:rFonts w:ascii="Symbol" w:hAnsi="Symbol" w:hint="default"/>
      </w:rPr>
    </w:lvl>
    <w:lvl w:ilvl="7" w:tplc="08090003" w:tentative="1">
      <w:start w:val="1"/>
      <w:numFmt w:val="bullet"/>
      <w:lvlText w:val="o"/>
      <w:lvlJc w:val="left"/>
      <w:pPr>
        <w:ind w:left="7104" w:hanging="360"/>
      </w:pPr>
      <w:rPr>
        <w:rFonts w:ascii="Courier New" w:hAnsi="Courier New" w:cs="Courier New" w:hint="default"/>
      </w:rPr>
    </w:lvl>
    <w:lvl w:ilvl="8" w:tplc="08090005" w:tentative="1">
      <w:start w:val="1"/>
      <w:numFmt w:val="bullet"/>
      <w:lvlText w:val=""/>
      <w:lvlJc w:val="left"/>
      <w:pPr>
        <w:ind w:left="7824" w:hanging="360"/>
      </w:pPr>
      <w:rPr>
        <w:rFonts w:ascii="Wingdings" w:hAnsi="Wingdings" w:hint="default"/>
      </w:rPr>
    </w:lvl>
  </w:abstractNum>
  <w:abstractNum w:abstractNumId="21" w15:restartNumberingAfterBreak="0">
    <w:nsid w:val="4F5823AA"/>
    <w:multiLevelType w:val="multilevel"/>
    <w:tmpl w:val="3ED02588"/>
    <w:lvl w:ilvl="0">
      <w:start w:val="1"/>
      <w:numFmt w:val="low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257337"/>
    <w:multiLevelType w:val="hybridMultilevel"/>
    <w:tmpl w:val="853A9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643B65"/>
    <w:multiLevelType w:val="hybridMultilevel"/>
    <w:tmpl w:val="995A7B1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57A68EA"/>
    <w:multiLevelType w:val="multilevel"/>
    <w:tmpl w:val="E042C612"/>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1F52DF"/>
    <w:multiLevelType w:val="hybridMultilevel"/>
    <w:tmpl w:val="3584701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6" w15:restartNumberingAfterBreak="0">
    <w:nsid w:val="5A897F98"/>
    <w:multiLevelType w:val="hybridMultilevel"/>
    <w:tmpl w:val="5C465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9015C6"/>
    <w:multiLevelType w:val="hybridMultilevel"/>
    <w:tmpl w:val="E04A1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53568ED"/>
    <w:multiLevelType w:val="hybridMultilevel"/>
    <w:tmpl w:val="42529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8F4BC2"/>
    <w:multiLevelType w:val="hybridMultilevel"/>
    <w:tmpl w:val="3B14C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E31D5C"/>
    <w:multiLevelType w:val="multilevel"/>
    <w:tmpl w:val="FA263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124BDD"/>
    <w:multiLevelType w:val="hybridMultilevel"/>
    <w:tmpl w:val="A8F89B00"/>
    <w:lvl w:ilvl="0" w:tplc="0809000F">
      <w:start w:val="1"/>
      <w:numFmt w:val="decimal"/>
      <w:lvlText w:val="%1."/>
      <w:lvlJc w:val="left"/>
      <w:pPr>
        <w:ind w:left="1344" w:hanging="360"/>
      </w:pPr>
    </w:lvl>
    <w:lvl w:ilvl="1" w:tplc="08090019" w:tentative="1">
      <w:start w:val="1"/>
      <w:numFmt w:val="lowerLetter"/>
      <w:lvlText w:val="%2."/>
      <w:lvlJc w:val="left"/>
      <w:pPr>
        <w:ind w:left="2064" w:hanging="360"/>
      </w:pPr>
    </w:lvl>
    <w:lvl w:ilvl="2" w:tplc="0809001B" w:tentative="1">
      <w:start w:val="1"/>
      <w:numFmt w:val="lowerRoman"/>
      <w:lvlText w:val="%3."/>
      <w:lvlJc w:val="right"/>
      <w:pPr>
        <w:ind w:left="2784" w:hanging="180"/>
      </w:pPr>
    </w:lvl>
    <w:lvl w:ilvl="3" w:tplc="0809000F" w:tentative="1">
      <w:start w:val="1"/>
      <w:numFmt w:val="decimal"/>
      <w:lvlText w:val="%4."/>
      <w:lvlJc w:val="left"/>
      <w:pPr>
        <w:ind w:left="3504" w:hanging="360"/>
      </w:pPr>
    </w:lvl>
    <w:lvl w:ilvl="4" w:tplc="08090019" w:tentative="1">
      <w:start w:val="1"/>
      <w:numFmt w:val="lowerLetter"/>
      <w:lvlText w:val="%5."/>
      <w:lvlJc w:val="left"/>
      <w:pPr>
        <w:ind w:left="4224" w:hanging="360"/>
      </w:pPr>
    </w:lvl>
    <w:lvl w:ilvl="5" w:tplc="0809001B" w:tentative="1">
      <w:start w:val="1"/>
      <w:numFmt w:val="lowerRoman"/>
      <w:lvlText w:val="%6."/>
      <w:lvlJc w:val="right"/>
      <w:pPr>
        <w:ind w:left="4944" w:hanging="180"/>
      </w:pPr>
    </w:lvl>
    <w:lvl w:ilvl="6" w:tplc="0809000F" w:tentative="1">
      <w:start w:val="1"/>
      <w:numFmt w:val="decimal"/>
      <w:lvlText w:val="%7."/>
      <w:lvlJc w:val="left"/>
      <w:pPr>
        <w:ind w:left="5664" w:hanging="360"/>
      </w:pPr>
    </w:lvl>
    <w:lvl w:ilvl="7" w:tplc="08090019" w:tentative="1">
      <w:start w:val="1"/>
      <w:numFmt w:val="lowerLetter"/>
      <w:lvlText w:val="%8."/>
      <w:lvlJc w:val="left"/>
      <w:pPr>
        <w:ind w:left="6384" w:hanging="360"/>
      </w:pPr>
    </w:lvl>
    <w:lvl w:ilvl="8" w:tplc="0809001B" w:tentative="1">
      <w:start w:val="1"/>
      <w:numFmt w:val="lowerRoman"/>
      <w:lvlText w:val="%9."/>
      <w:lvlJc w:val="right"/>
      <w:pPr>
        <w:ind w:left="7104" w:hanging="180"/>
      </w:pPr>
    </w:lvl>
  </w:abstractNum>
  <w:abstractNum w:abstractNumId="32" w15:restartNumberingAfterBreak="0">
    <w:nsid w:val="7370563B"/>
    <w:multiLevelType w:val="multilevel"/>
    <w:tmpl w:val="D3B8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92541F"/>
    <w:multiLevelType w:val="hybridMultilevel"/>
    <w:tmpl w:val="F3CEAD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90B778F"/>
    <w:multiLevelType w:val="hybridMultilevel"/>
    <w:tmpl w:val="1E98F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A44238"/>
    <w:multiLevelType w:val="hybridMultilevel"/>
    <w:tmpl w:val="3DEE2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CB3294D"/>
    <w:multiLevelType w:val="hybridMultilevel"/>
    <w:tmpl w:val="5028A0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F8602A8"/>
    <w:multiLevelType w:val="hybridMultilevel"/>
    <w:tmpl w:val="4F24881E"/>
    <w:lvl w:ilvl="0" w:tplc="FFFFFFFF">
      <w:start w:val="1"/>
      <w:numFmt w:val="decimal"/>
      <w:lvlText w:val="%1."/>
      <w:lvlJc w:val="left"/>
      <w:pPr>
        <w:ind w:left="1080" w:hanging="720"/>
      </w:pPr>
      <w:rPr>
        <w:rFonts w:hint="default"/>
      </w:rPr>
    </w:lvl>
    <w:lvl w:ilvl="1" w:tplc="7924FE2A">
      <w:start w:val="1"/>
      <w:numFmt w:val="decimal"/>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37"/>
  </w:num>
  <w:num w:numId="3">
    <w:abstractNumId w:val="25"/>
  </w:num>
  <w:num w:numId="4">
    <w:abstractNumId w:val="6"/>
  </w:num>
  <w:num w:numId="5">
    <w:abstractNumId w:val="29"/>
  </w:num>
  <w:num w:numId="6">
    <w:abstractNumId w:val="27"/>
  </w:num>
  <w:num w:numId="7">
    <w:abstractNumId w:val="26"/>
  </w:num>
  <w:num w:numId="8">
    <w:abstractNumId w:val="34"/>
  </w:num>
  <w:num w:numId="9">
    <w:abstractNumId w:val="16"/>
  </w:num>
  <w:num w:numId="10">
    <w:abstractNumId w:val="7"/>
  </w:num>
  <w:num w:numId="11">
    <w:abstractNumId w:val="0"/>
  </w:num>
  <w:num w:numId="12">
    <w:abstractNumId w:val="33"/>
  </w:num>
  <w:num w:numId="13">
    <w:abstractNumId w:val="36"/>
  </w:num>
  <w:num w:numId="14">
    <w:abstractNumId w:val="15"/>
  </w:num>
  <w:num w:numId="15">
    <w:abstractNumId w:val="2"/>
  </w:num>
  <w:num w:numId="16">
    <w:abstractNumId w:val="31"/>
  </w:num>
  <w:num w:numId="17">
    <w:abstractNumId w:val="20"/>
  </w:num>
  <w:num w:numId="18">
    <w:abstractNumId w:val="28"/>
  </w:num>
  <w:num w:numId="19">
    <w:abstractNumId w:val="11"/>
  </w:num>
  <w:num w:numId="20">
    <w:abstractNumId w:val="18"/>
  </w:num>
  <w:num w:numId="21">
    <w:abstractNumId w:val="8"/>
  </w:num>
  <w:num w:numId="22">
    <w:abstractNumId w:val="9"/>
  </w:num>
  <w:num w:numId="23">
    <w:abstractNumId w:val="17"/>
  </w:num>
  <w:num w:numId="24">
    <w:abstractNumId w:val="19"/>
  </w:num>
  <w:num w:numId="25">
    <w:abstractNumId w:val="21"/>
  </w:num>
  <w:num w:numId="26">
    <w:abstractNumId w:val="23"/>
  </w:num>
  <w:num w:numId="27">
    <w:abstractNumId w:val="14"/>
  </w:num>
  <w:num w:numId="28">
    <w:abstractNumId w:val="32"/>
  </w:num>
  <w:num w:numId="29">
    <w:abstractNumId w:val="24"/>
  </w:num>
  <w:num w:numId="30">
    <w:abstractNumId w:val="1"/>
  </w:num>
  <w:num w:numId="31">
    <w:abstractNumId w:val="13"/>
  </w:num>
  <w:num w:numId="32">
    <w:abstractNumId w:val="30"/>
  </w:num>
  <w:num w:numId="33">
    <w:abstractNumId w:val="4"/>
  </w:num>
  <w:num w:numId="34">
    <w:abstractNumId w:val="5"/>
  </w:num>
  <w:num w:numId="35">
    <w:abstractNumId w:val="12"/>
  </w:num>
  <w:num w:numId="36">
    <w:abstractNumId w:val="10"/>
  </w:num>
  <w:num w:numId="37">
    <w:abstractNumId w:val="35"/>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D5892"/>
    <w:rsid w:val="000032C6"/>
    <w:rsid w:val="0000344C"/>
    <w:rsid w:val="00003A6E"/>
    <w:rsid w:val="00005D2E"/>
    <w:rsid w:val="00007C71"/>
    <w:rsid w:val="000154A3"/>
    <w:rsid w:val="00016F54"/>
    <w:rsid w:val="000176EE"/>
    <w:rsid w:val="000225B1"/>
    <w:rsid w:val="00025D79"/>
    <w:rsid w:val="0003024B"/>
    <w:rsid w:val="00031F88"/>
    <w:rsid w:val="0003222C"/>
    <w:rsid w:val="0003636E"/>
    <w:rsid w:val="00050D1D"/>
    <w:rsid w:val="0005381A"/>
    <w:rsid w:val="00057F4E"/>
    <w:rsid w:val="000677D6"/>
    <w:rsid w:val="0007473A"/>
    <w:rsid w:val="00074DD7"/>
    <w:rsid w:val="000752FD"/>
    <w:rsid w:val="00075F59"/>
    <w:rsid w:val="000801A4"/>
    <w:rsid w:val="00081834"/>
    <w:rsid w:val="000829CE"/>
    <w:rsid w:val="000905F0"/>
    <w:rsid w:val="00092D9A"/>
    <w:rsid w:val="00093D06"/>
    <w:rsid w:val="0009565A"/>
    <w:rsid w:val="000A3081"/>
    <w:rsid w:val="000B16D2"/>
    <w:rsid w:val="000B2EC1"/>
    <w:rsid w:val="000B2F4F"/>
    <w:rsid w:val="000B3977"/>
    <w:rsid w:val="000B664A"/>
    <w:rsid w:val="000C2CB0"/>
    <w:rsid w:val="000C387E"/>
    <w:rsid w:val="000C3985"/>
    <w:rsid w:val="000C6B14"/>
    <w:rsid w:val="000C6B4E"/>
    <w:rsid w:val="000C6E94"/>
    <w:rsid w:val="000D0AE6"/>
    <w:rsid w:val="000D2276"/>
    <w:rsid w:val="000E7249"/>
    <w:rsid w:val="000E7C9B"/>
    <w:rsid w:val="000E7D55"/>
    <w:rsid w:val="000F1E36"/>
    <w:rsid w:val="000F3A9F"/>
    <w:rsid w:val="000F41D9"/>
    <w:rsid w:val="00100F64"/>
    <w:rsid w:val="00101A97"/>
    <w:rsid w:val="00104889"/>
    <w:rsid w:val="001104D8"/>
    <w:rsid w:val="00122A08"/>
    <w:rsid w:val="00122A1C"/>
    <w:rsid w:val="0013044E"/>
    <w:rsid w:val="00130542"/>
    <w:rsid w:val="00131094"/>
    <w:rsid w:val="00131880"/>
    <w:rsid w:val="00132935"/>
    <w:rsid w:val="00133248"/>
    <w:rsid w:val="001353BA"/>
    <w:rsid w:val="00135B92"/>
    <w:rsid w:val="001445A8"/>
    <w:rsid w:val="00144D5B"/>
    <w:rsid w:val="00146F99"/>
    <w:rsid w:val="00150BFA"/>
    <w:rsid w:val="00153BE8"/>
    <w:rsid w:val="00155620"/>
    <w:rsid w:val="00155EA6"/>
    <w:rsid w:val="001619FE"/>
    <w:rsid w:val="00165B5C"/>
    <w:rsid w:val="00173ABC"/>
    <w:rsid w:val="00174FE7"/>
    <w:rsid w:val="00175401"/>
    <w:rsid w:val="00176366"/>
    <w:rsid w:val="0017689A"/>
    <w:rsid w:val="00176D88"/>
    <w:rsid w:val="001806D1"/>
    <w:rsid w:val="00181371"/>
    <w:rsid w:val="0018403E"/>
    <w:rsid w:val="00185551"/>
    <w:rsid w:val="00186E50"/>
    <w:rsid w:val="00187761"/>
    <w:rsid w:val="00194825"/>
    <w:rsid w:val="001A4A67"/>
    <w:rsid w:val="001A7714"/>
    <w:rsid w:val="001B150C"/>
    <w:rsid w:val="001B628E"/>
    <w:rsid w:val="001B6564"/>
    <w:rsid w:val="001C2A7B"/>
    <w:rsid w:val="001C6E02"/>
    <w:rsid w:val="001D233A"/>
    <w:rsid w:val="001D336E"/>
    <w:rsid w:val="001D36DB"/>
    <w:rsid w:val="001D7B5B"/>
    <w:rsid w:val="001E16AC"/>
    <w:rsid w:val="001E2805"/>
    <w:rsid w:val="001E3B5A"/>
    <w:rsid w:val="001E585C"/>
    <w:rsid w:val="001F057F"/>
    <w:rsid w:val="001F0B47"/>
    <w:rsid w:val="001F166D"/>
    <w:rsid w:val="001F26D2"/>
    <w:rsid w:val="001F28E0"/>
    <w:rsid w:val="001F391F"/>
    <w:rsid w:val="001F5052"/>
    <w:rsid w:val="00200120"/>
    <w:rsid w:val="0020139C"/>
    <w:rsid w:val="0020470D"/>
    <w:rsid w:val="0020658B"/>
    <w:rsid w:val="00206965"/>
    <w:rsid w:val="00207EE0"/>
    <w:rsid w:val="00214633"/>
    <w:rsid w:val="002171FE"/>
    <w:rsid w:val="00220D05"/>
    <w:rsid w:val="00221736"/>
    <w:rsid w:val="00224322"/>
    <w:rsid w:val="00227518"/>
    <w:rsid w:val="002275D2"/>
    <w:rsid w:val="00231B46"/>
    <w:rsid w:val="002349CB"/>
    <w:rsid w:val="0024128F"/>
    <w:rsid w:val="002429DB"/>
    <w:rsid w:val="00244E62"/>
    <w:rsid w:val="00246EA6"/>
    <w:rsid w:val="00250C04"/>
    <w:rsid w:val="0025287A"/>
    <w:rsid w:val="00252E27"/>
    <w:rsid w:val="00261A85"/>
    <w:rsid w:val="00263EEA"/>
    <w:rsid w:val="00264A77"/>
    <w:rsid w:val="00264DA1"/>
    <w:rsid w:val="00265875"/>
    <w:rsid w:val="00265B9B"/>
    <w:rsid w:val="002663BF"/>
    <w:rsid w:val="00270CB3"/>
    <w:rsid w:val="00270FC2"/>
    <w:rsid w:val="002724E3"/>
    <w:rsid w:val="002734BD"/>
    <w:rsid w:val="00276EB8"/>
    <w:rsid w:val="00283D1B"/>
    <w:rsid w:val="00287633"/>
    <w:rsid w:val="002904BE"/>
    <w:rsid w:val="002942F4"/>
    <w:rsid w:val="002B0045"/>
    <w:rsid w:val="002B0DB9"/>
    <w:rsid w:val="002B3865"/>
    <w:rsid w:val="002B486F"/>
    <w:rsid w:val="002B624D"/>
    <w:rsid w:val="002C211D"/>
    <w:rsid w:val="002C2CE1"/>
    <w:rsid w:val="002C3339"/>
    <w:rsid w:val="002C5123"/>
    <w:rsid w:val="002C6B79"/>
    <w:rsid w:val="002D1FB8"/>
    <w:rsid w:val="002D423B"/>
    <w:rsid w:val="002E0450"/>
    <w:rsid w:val="002E1C44"/>
    <w:rsid w:val="002E335A"/>
    <w:rsid w:val="002E343E"/>
    <w:rsid w:val="002E386B"/>
    <w:rsid w:val="002E6FD4"/>
    <w:rsid w:val="002F109C"/>
    <w:rsid w:val="002F11D3"/>
    <w:rsid w:val="002F42E0"/>
    <w:rsid w:val="002F69B2"/>
    <w:rsid w:val="002F7A7D"/>
    <w:rsid w:val="00303ADD"/>
    <w:rsid w:val="003042A2"/>
    <w:rsid w:val="0030712F"/>
    <w:rsid w:val="00307D49"/>
    <w:rsid w:val="0031050D"/>
    <w:rsid w:val="00311DA7"/>
    <w:rsid w:val="00321A4E"/>
    <w:rsid w:val="003247CE"/>
    <w:rsid w:val="00327084"/>
    <w:rsid w:val="00332D11"/>
    <w:rsid w:val="00333CC9"/>
    <w:rsid w:val="003345A3"/>
    <w:rsid w:val="0036144F"/>
    <w:rsid w:val="003617D8"/>
    <w:rsid w:val="003643C9"/>
    <w:rsid w:val="00365C69"/>
    <w:rsid w:val="00366831"/>
    <w:rsid w:val="003738C0"/>
    <w:rsid w:val="00373BDE"/>
    <w:rsid w:val="00376979"/>
    <w:rsid w:val="00376DEB"/>
    <w:rsid w:val="00382F05"/>
    <w:rsid w:val="00386C6D"/>
    <w:rsid w:val="0039143A"/>
    <w:rsid w:val="00391783"/>
    <w:rsid w:val="00394531"/>
    <w:rsid w:val="00397394"/>
    <w:rsid w:val="00397F25"/>
    <w:rsid w:val="00397F67"/>
    <w:rsid w:val="003A797D"/>
    <w:rsid w:val="003B0024"/>
    <w:rsid w:val="003B11CE"/>
    <w:rsid w:val="003B3226"/>
    <w:rsid w:val="003B390C"/>
    <w:rsid w:val="003B670A"/>
    <w:rsid w:val="003B69A8"/>
    <w:rsid w:val="003B72D1"/>
    <w:rsid w:val="003B7520"/>
    <w:rsid w:val="003C0A52"/>
    <w:rsid w:val="003D3000"/>
    <w:rsid w:val="003D78B4"/>
    <w:rsid w:val="003E07B4"/>
    <w:rsid w:val="003E49B2"/>
    <w:rsid w:val="003F0057"/>
    <w:rsid w:val="003F0DEB"/>
    <w:rsid w:val="003F35C7"/>
    <w:rsid w:val="003F49BD"/>
    <w:rsid w:val="00403EA0"/>
    <w:rsid w:val="004047EA"/>
    <w:rsid w:val="004048CC"/>
    <w:rsid w:val="00405BE0"/>
    <w:rsid w:val="00410095"/>
    <w:rsid w:val="00410130"/>
    <w:rsid w:val="00410A91"/>
    <w:rsid w:val="0041461B"/>
    <w:rsid w:val="00415E1E"/>
    <w:rsid w:val="004171D8"/>
    <w:rsid w:val="004171ED"/>
    <w:rsid w:val="00420963"/>
    <w:rsid w:val="00425406"/>
    <w:rsid w:val="004272DB"/>
    <w:rsid w:val="004316FF"/>
    <w:rsid w:val="0043181A"/>
    <w:rsid w:val="004340D3"/>
    <w:rsid w:val="00445C5D"/>
    <w:rsid w:val="00451987"/>
    <w:rsid w:val="00452224"/>
    <w:rsid w:val="00455E74"/>
    <w:rsid w:val="00465175"/>
    <w:rsid w:val="004667CE"/>
    <w:rsid w:val="0047026D"/>
    <w:rsid w:val="00470604"/>
    <w:rsid w:val="00470B0C"/>
    <w:rsid w:val="004731E5"/>
    <w:rsid w:val="00473690"/>
    <w:rsid w:val="00476D7B"/>
    <w:rsid w:val="00477030"/>
    <w:rsid w:val="00480ED7"/>
    <w:rsid w:val="004813F0"/>
    <w:rsid w:val="0048193A"/>
    <w:rsid w:val="00482021"/>
    <w:rsid w:val="00486B83"/>
    <w:rsid w:val="00491264"/>
    <w:rsid w:val="00494B16"/>
    <w:rsid w:val="00494CC6"/>
    <w:rsid w:val="00497C7F"/>
    <w:rsid w:val="004A4129"/>
    <w:rsid w:val="004A74ED"/>
    <w:rsid w:val="004A7BCF"/>
    <w:rsid w:val="004B0463"/>
    <w:rsid w:val="004B1676"/>
    <w:rsid w:val="004B483C"/>
    <w:rsid w:val="004B4D55"/>
    <w:rsid w:val="004B5113"/>
    <w:rsid w:val="004B6B8D"/>
    <w:rsid w:val="004C11F2"/>
    <w:rsid w:val="004C533B"/>
    <w:rsid w:val="004D42C1"/>
    <w:rsid w:val="004D68D1"/>
    <w:rsid w:val="004D6926"/>
    <w:rsid w:val="004D7DC0"/>
    <w:rsid w:val="004E06F4"/>
    <w:rsid w:val="004E0DC3"/>
    <w:rsid w:val="004E457A"/>
    <w:rsid w:val="004F55C6"/>
    <w:rsid w:val="004F6C20"/>
    <w:rsid w:val="004F6F2A"/>
    <w:rsid w:val="0050292C"/>
    <w:rsid w:val="00502CBB"/>
    <w:rsid w:val="0050405A"/>
    <w:rsid w:val="00507D87"/>
    <w:rsid w:val="00516FDC"/>
    <w:rsid w:val="00517C30"/>
    <w:rsid w:val="0052180D"/>
    <w:rsid w:val="00525253"/>
    <w:rsid w:val="0052633E"/>
    <w:rsid w:val="0052671E"/>
    <w:rsid w:val="0053189A"/>
    <w:rsid w:val="00534DDD"/>
    <w:rsid w:val="00536939"/>
    <w:rsid w:val="0053735A"/>
    <w:rsid w:val="00543ED2"/>
    <w:rsid w:val="00543FC1"/>
    <w:rsid w:val="005449F8"/>
    <w:rsid w:val="0054585B"/>
    <w:rsid w:val="00552FCE"/>
    <w:rsid w:val="005547C2"/>
    <w:rsid w:val="00565D57"/>
    <w:rsid w:val="00566009"/>
    <w:rsid w:val="00566B60"/>
    <w:rsid w:val="005703E5"/>
    <w:rsid w:val="00573DDA"/>
    <w:rsid w:val="00583464"/>
    <w:rsid w:val="00587049"/>
    <w:rsid w:val="00590727"/>
    <w:rsid w:val="005A14CB"/>
    <w:rsid w:val="005A38A7"/>
    <w:rsid w:val="005A58E0"/>
    <w:rsid w:val="005A7C5E"/>
    <w:rsid w:val="005B3AC9"/>
    <w:rsid w:val="005B677F"/>
    <w:rsid w:val="005C29D8"/>
    <w:rsid w:val="005C51D6"/>
    <w:rsid w:val="005C60DC"/>
    <w:rsid w:val="005C6990"/>
    <w:rsid w:val="005C69AD"/>
    <w:rsid w:val="005D12A9"/>
    <w:rsid w:val="005D377B"/>
    <w:rsid w:val="005D6323"/>
    <w:rsid w:val="005E0394"/>
    <w:rsid w:val="005E0E16"/>
    <w:rsid w:val="005E519B"/>
    <w:rsid w:val="005E6F64"/>
    <w:rsid w:val="005F0338"/>
    <w:rsid w:val="005F22F1"/>
    <w:rsid w:val="005F29DB"/>
    <w:rsid w:val="005F32DA"/>
    <w:rsid w:val="005F6E1B"/>
    <w:rsid w:val="005F7178"/>
    <w:rsid w:val="006019AC"/>
    <w:rsid w:val="00602EB4"/>
    <w:rsid w:val="00605B6A"/>
    <w:rsid w:val="0061380D"/>
    <w:rsid w:val="006156B1"/>
    <w:rsid w:val="006260A5"/>
    <w:rsid w:val="006379FF"/>
    <w:rsid w:val="00641DAF"/>
    <w:rsid w:val="00642CB1"/>
    <w:rsid w:val="00644F3B"/>
    <w:rsid w:val="0064673C"/>
    <w:rsid w:val="00646E36"/>
    <w:rsid w:val="006471FA"/>
    <w:rsid w:val="00647BDE"/>
    <w:rsid w:val="00650B70"/>
    <w:rsid w:val="0065212A"/>
    <w:rsid w:val="00652E83"/>
    <w:rsid w:val="006556BB"/>
    <w:rsid w:val="00660986"/>
    <w:rsid w:val="006653CA"/>
    <w:rsid w:val="00665478"/>
    <w:rsid w:val="00666172"/>
    <w:rsid w:val="006715F8"/>
    <w:rsid w:val="00671944"/>
    <w:rsid w:val="00673050"/>
    <w:rsid w:val="006811BE"/>
    <w:rsid w:val="0068288A"/>
    <w:rsid w:val="006866D1"/>
    <w:rsid w:val="00687E50"/>
    <w:rsid w:val="00690089"/>
    <w:rsid w:val="0069622E"/>
    <w:rsid w:val="006A2E79"/>
    <w:rsid w:val="006A6DF4"/>
    <w:rsid w:val="006B3EDC"/>
    <w:rsid w:val="006B6208"/>
    <w:rsid w:val="006C0AE5"/>
    <w:rsid w:val="006C3736"/>
    <w:rsid w:val="006C4F0B"/>
    <w:rsid w:val="006C6ED4"/>
    <w:rsid w:val="006D015D"/>
    <w:rsid w:val="006D027B"/>
    <w:rsid w:val="006D1334"/>
    <w:rsid w:val="006D1692"/>
    <w:rsid w:val="006D3EF7"/>
    <w:rsid w:val="006D5322"/>
    <w:rsid w:val="006D5892"/>
    <w:rsid w:val="006E230A"/>
    <w:rsid w:val="006E4884"/>
    <w:rsid w:val="006E73BB"/>
    <w:rsid w:val="006F116E"/>
    <w:rsid w:val="006F38F8"/>
    <w:rsid w:val="006F48B1"/>
    <w:rsid w:val="006F4E40"/>
    <w:rsid w:val="006F5887"/>
    <w:rsid w:val="00701736"/>
    <w:rsid w:val="0070484D"/>
    <w:rsid w:val="007055B0"/>
    <w:rsid w:val="007059C0"/>
    <w:rsid w:val="0071019D"/>
    <w:rsid w:val="0071066A"/>
    <w:rsid w:val="007114CC"/>
    <w:rsid w:val="00713176"/>
    <w:rsid w:val="007136F8"/>
    <w:rsid w:val="007158F9"/>
    <w:rsid w:val="00715B38"/>
    <w:rsid w:val="0071603D"/>
    <w:rsid w:val="00716705"/>
    <w:rsid w:val="007209BB"/>
    <w:rsid w:val="00720D0A"/>
    <w:rsid w:val="0072207C"/>
    <w:rsid w:val="00731F70"/>
    <w:rsid w:val="0073273E"/>
    <w:rsid w:val="0074046B"/>
    <w:rsid w:val="0074447F"/>
    <w:rsid w:val="0075020A"/>
    <w:rsid w:val="00750F6D"/>
    <w:rsid w:val="00752B1C"/>
    <w:rsid w:val="007543E4"/>
    <w:rsid w:val="007610AD"/>
    <w:rsid w:val="00765086"/>
    <w:rsid w:val="00766BBF"/>
    <w:rsid w:val="00767F1E"/>
    <w:rsid w:val="00770902"/>
    <w:rsid w:val="00771852"/>
    <w:rsid w:val="00772B42"/>
    <w:rsid w:val="007755D1"/>
    <w:rsid w:val="00781BD5"/>
    <w:rsid w:val="00782760"/>
    <w:rsid w:val="00784B29"/>
    <w:rsid w:val="00784CB8"/>
    <w:rsid w:val="00785D4D"/>
    <w:rsid w:val="00794624"/>
    <w:rsid w:val="007A37B9"/>
    <w:rsid w:val="007A4994"/>
    <w:rsid w:val="007A6794"/>
    <w:rsid w:val="007B031C"/>
    <w:rsid w:val="007B053E"/>
    <w:rsid w:val="007B5A60"/>
    <w:rsid w:val="007C0BA7"/>
    <w:rsid w:val="007C2AE7"/>
    <w:rsid w:val="007C50C8"/>
    <w:rsid w:val="007D1165"/>
    <w:rsid w:val="007D3159"/>
    <w:rsid w:val="007D4CAB"/>
    <w:rsid w:val="007D7D74"/>
    <w:rsid w:val="007D7F12"/>
    <w:rsid w:val="007E2601"/>
    <w:rsid w:val="007E72FA"/>
    <w:rsid w:val="007F17C4"/>
    <w:rsid w:val="007F187B"/>
    <w:rsid w:val="007F47EB"/>
    <w:rsid w:val="00801BCA"/>
    <w:rsid w:val="0080280E"/>
    <w:rsid w:val="00803627"/>
    <w:rsid w:val="008039D9"/>
    <w:rsid w:val="0080595C"/>
    <w:rsid w:val="00811A2E"/>
    <w:rsid w:val="008159D0"/>
    <w:rsid w:val="00815D1E"/>
    <w:rsid w:val="008238CE"/>
    <w:rsid w:val="00825015"/>
    <w:rsid w:val="00825210"/>
    <w:rsid w:val="0082795E"/>
    <w:rsid w:val="00835BA5"/>
    <w:rsid w:val="00835E3B"/>
    <w:rsid w:val="00836321"/>
    <w:rsid w:val="0083678A"/>
    <w:rsid w:val="00844881"/>
    <w:rsid w:val="00845592"/>
    <w:rsid w:val="0084667E"/>
    <w:rsid w:val="0085266E"/>
    <w:rsid w:val="00854A4F"/>
    <w:rsid w:val="00854C6E"/>
    <w:rsid w:val="00861011"/>
    <w:rsid w:val="008641C2"/>
    <w:rsid w:val="00865D78"/>
    <w:rsid w:val="00870F74"/>
    <w:rsid w:val="00872256"/>
    <w:rsid w:val="00873A8D"/>
    <w:rsid w:val="00873E45"/>
    <w:rsid w:val="00874B5F"/>
    <w:rsid w:val="0087720B"/>
    <w:rsid w:val="0087763F"/>
    <w:rsid w:val="00881507"/>
    <w:rsid w:val="008818A6"/>
    <w:rsid w:val="0088227C"/>
    <w:rsid w:val="00882308"/>
    <w:rsid w:val="00883A80"/>
    <w:rsid w:val="00883A91"/>
    <w:rsid w:val="00890383"/>
    <w:rsid w:val="00894D81"/>
    <w:rsid w:val="008A08CF"/>
    <w:rsid w:val="008A0F06"/>
    <w:rsid w:val="008A100B"/>
    <w:rsid w:val="008A157A"/>
    <w:rsid w:val="008A545C"/>
    <w:rsid w:val="008B3B5A"/>
    <w:rsid w:val="008B3F77"/>
    <w:rsid w:val="008B4469"/>
    <w:rsid w:val="008B52F6"/>
    <w:rsid w:val="008C2C5D"/>
    <w:rsid w:val="008C3212"/>
    <w:rsid w:val="008C5DFA"/>
    <w:rsid w:val="008D168D"/>
    <w:rsid w:val="008D340D"/>
    <w:rsid w:val="008D5CCE"/>
    <w:rsid w:val="008D6E7B"/>
    <w:rsid w:val="008D7E84"/>
    <w:rsid w:val="008E38A3"/>
    <w:rsid w:val="008E4642"/>
    <w:rsid w:val="008E6952"/>
    <w:rsid w:val="008E7B28"/>
    <w:rsid w:val="008F0C5F"/>
    <w:rsid w:val="008F1512"/>
    <w:rsid w:val="008F33D0"/>
    <w:rsid w:val="009009D5"/>
    <w:rsid w:val="009032B1"/>
    <w:rsid w:val="00903495"/>
    <w:rsid w:val="009104E8"/>
    <w:rsid w:val="009119E0"/>
    <w:rsid w:val="009164FF"/>
    <w:rsid w:val="00921864"/>
    <w:rsid w:val="00922882"/>
    <w:rsid w:val="00925AEE"/>
    <w:rsid w:val="0093446D"/>
    <w:rsid w:val="00934C9F"/>
    <w:rsid w:val="00935486"/>
    <w:rsid w:val="009415A5"/>
    <w:rsid w:val="00941FD8"/>
    <w:rsid w:val="00942D7B"/>
    <w:rsid w:val="0094317F"/>
    <w:rsid w:val="009434D4"/>
    <w:rsid w:val="0094528F"/>
    <w:rsid w:val="00954772"/>
    <w:rsid w:val="009600BC"/>
    <w:rsid w:val="0096058F"/>
    <w:rsid w:val="00962A09"/>
    <w:rsid w:val="0097003A"/>
    <w:rsid w:val="00971FA4"/>
    <w:rsid w:val="00981963"/>
    <w:rsid w:val="00982C23"/>
    <w:rsid w:val="00986F8A"/>
    <w:rsid w:val="009876BF"/>
    <w:rsid w:val="00991985"/>
    <w:rsid w:val="00991B94"/>
    <w:rsid w:val="009941D5"/>
    <w:rsid w:val="00996B08"/>
    <w:rsid w:val="009979E1"/>
    <w:rsid w:val="009A1382"/>
    <w:rsid w:val="009A3D88"/>
    <w:rsid w:val="009A5A72"/>
    <w:rsid w:val="009B08AA"/>
    <w:rsid w:val="009B11C4"/>
    <w:rsid w:val="009B1419"/>
    <w:rsid w:val="009B298D"/>
    <w:rsid w:val="009B3580"/>
    <w:rsid w:val="009B52DB"/>
    <w:rsid w:val="009B7CA0"/>
    <w:rsid w:val="009C2C37"/>
    <w:rsid w:val="009C60FC"/>
    <w:rsid w:val="009C724F"/>
    <w:rsid w:val="009D0BA1"/>
    <w:rsid w:val="009D163B"/>
    <w:rsid w:val="009D18B0"/>
    <w:rsid w:val="009D2403"/>
    <w:rsid w:val="009D38D2"/>
    <w:rsid w:val="009D4BDC"/>
    <w:rsid w:val="009D6DC9"/>
    <w:rsid w:val="009E6FD7"/>
    <w:rsid w:val="009F1CA6"/>
    <w:rsid w:val="009F4055"/>
    <w:rsid w:val="00A01638"/>
    <w:rsid w:val="00A031B4"/>
    <w:rsid w:val="00A04D32"/>
    <w:rsid w:val="00A052FB"/>
    <w:rsid w:val="00A16F12"/>
    <w:rsid w:val="00A22D66"/>
    <w:rsid w:val="00A24C22"/>
    <w:rsid w:val="00A262FA"/>
    <w:rsid w:val="00A32D6D"/>
    <w:rsid w:val="00A33014"/>
    <w:rsid w:val="00A338BE"/>
    <w:rsid w:val="00A35B60"/>
    <w:rsid w:val="00A41D0C"/>
    <w:rsid w:val="00A43106"/>
    <w:rsid w:val="00A453B3"/>
    <w:rsid w:val="00A5087E"/>
    <w:rsid w:val="00A537A7"/>
    <w:rsid w:val="00A54D80"/>
    <w:rsid w:val="00A558CD"/>
    <w:rsid w:val="00A6255C"/>
    <w:rsid w:val="00A644C3"/>
    <w:rsid w:val="00A64A6E"/>
    <w:rsid w:val="00A66717"/>
    <w:rsid w:val="00A71DF9"/>
    <w:rsid w:val="00A768B6"/>
    <w:rsid w:val="00A810AC"/>
    <w:rsid w:val="00A822AB"/>
    <w:rsid w:val="00A837D4"/>
    <w:rsid w:val="00A91560"/>
    <w:rsid w:val="00A970F4"/>
    <w:rsid w:val="00A9730E"/>
    <w:rsid w:val="00AA3E1F"/>
    <w:rsid w:val="00AA7877"/>
    <w:rsid w:val="00AB2F5B"/>
    <w:rsid w:val="00AB30FD"/>
    <w:rsid w:val="00AB526E"/>
    <w:rsid w:val="00AB5E4F"/>
    <w:rsid w:val="00AC0988"/>
    <w:rsid w:val="00AC3640"/>
    <w:rsid w:val="00AC39E5"/>
    <w:rsid w:val="00AC3A06"/>
    <w:rsid w:val="00AC3A2A"/>
    <w:rsid w:val="00AC51C1"/>
    <w:rsid w:val="00AC6ED1"/>
    <w:rsid w:val="00AC6EFB"/>
    <w:rsid w:val="00AD441F"/>
    <w:rsid w:val="00AD54C3"/>
    <w:rsid w:val="00AE1153"/>
    <w:rsid w:val="00AE3AE8"/>
    <w:rsid w:val="00AE3B08"/>
    <w:rsid w:val="00AE782B"/>
    <w:rsid w:val="00AF2878"/>
    <w:rsid w:val="00AF6780"/>
    <w:rsid w:val="00B0168F"/>
    <w:rsid w:val="00B031E2"/>
    <w:rsid w:val="00B03A8F"/>
    <w:rsid w:val="00B12829"/>
    <w:rsid w:val="00B13D82"/>
    <w:rsid w:val="00B17665"/>
    <w:rsid w:val="00B209B0"/>
    <w:rsid w:val="00B231D2"/>
    <w:rsid w:val="00B338F8"/>
    <w:rsid w:val="00B34A8D"/>
    <w:rsid w:val="00B372AE"/>
    <w:rsid w:val="00B41463"/>
    <w:rsid w:val="00B41A70"/>
    <w:rsid w:val="00B42631"/>
    <w:rsid w:val="00B431BB"/>
    <w:rsid w:val="00B4765D"/>
    <w:rsid w:val="00B51A56"/>
    <w:rsid w:val="00B51D31"/>
    <w:rsid w:val="00B53C2F"/>
    <w:rsid w:val="00B5538C"/>
    <w:rsid w:val="00B55E65"/>
    <w:rsid w:val="00B56B38"/>
    <w:rsid w:val="00B577D8"/>
    <w:rsid w:val="00B57D59"/>
    <w:rsid w:val="00B61058"/>
    <w:rsid w:val="00B63FC3"/>
    <w:rsid w:val="00B65E3B"/>
    <w:rsid w:val="00B66ADA"/>
    <w:rsid w:val="00B67335"/>
    <w:rsid w:val="00B73F99"/>
    <w:rsid w:val="00B76959"/>
    <w:rsid w:val="00B81498"/>
    <w:rsid w:val="00B90DFB"/>
    <w:rsid w:val="00B97306"/>
    <w:rsid w:val="00BA0107"/>
    <w:rsid w:val="00BA14E1"/>
    <w:rsid w:val="00BA2676"/>
    <w:rsid w:val="00BA3246"/>
    <w:rsid w:val="00BA424A"/>
    <w:rsid w:val="00BA64D1"/>
    <w:rsid w:val="00BA6CFF"/>
    <w:rsid w:val="00BA7B8D"/>
    <w:rsid w:val="00BA7F7B"/>
    <w:rsid w:val="00BB1440"/>
    <w:rsid w:val="00BB2770"/>
    <w:rsid w:val="00BB2A94"/>
    <w:rsid w:val="00BB581A"/>
    <w:rsid w:val="00BB5AA0"/>
    <w:rsid w:val="00BB6446"/>
    <w:rsid w:val="00BC1FD4"/>
    <w:rsid w:val="00BD04CA"/>
    <w:rsid w:val="00BD22F5"/>
    <w:rsid w:val="00BD36FF"/>
    <w:rsid w:val="00BD478F"/>
    <w:rsid w:val="00BD7A64"/>
    <w:rsid w:val="00BE1B22"/>
    <w:rsid w:val="00BE1F16"/>
    <w:rsid w:val="00BE2FE8"/>
    <w:rsid w:val="00BE3DCC"/>
    <w:rsid w:val="00BE50D2"/>
    <w:rsid w:val="00BF0577"/>
    <w:rsid w:val="00BF34AD"/>
    <w:rsid w:val="00BF4557"/>
    <w:rsid w:val="00BF5B7D"/>
    <w:rsid w:val="00BF7172"/>
    <w:rsid w:val="00C00488"/>
    <w:rsid w:val="00C05048"/>
    <w:rsid w:val="00C06466"/>
    <w:rsid w:val="00C13526"/>
    <w:rsid w:val="00C204FB"/>
    <w:rsid w:val="00C225D7"/>
    <w:rsid w:val="00C24188"/>
    <w:rsid w:val="00C24A54"/>
    <w:rsid w:val="00C25EAC"/>
    <w:rsid w:val="00C2641B"/>
    <w:rsid w:val="00C30DAD"/>
    <w:rsid w:val="00C46607"/>
    <w:rsid w:val="00C4789A"/>
    <w:rsid w:val="00C47BE8"/>
    <w:rsid w:val="00C50B66"/>
    <w:rsid w:val="00C513A5"/>
    <w:rsid w:val="00C535B3"/>
    <w:rsid w:val="00C537DA"/>
    <w:rsid w:val="00C6047D"/>
    <w:rsid w:val="00C62BE9"/>
    <w:rsid w:val="00C66503"/>
    <w:rsid w:val="00C71129"/>
    <w:rsid w:val="00C72F1F"/>
    <w:rsid w:val="00C73414"/>
    <w:rsid w:val="00C806B7"/>
    <w:rsid w:val="00C832A8"/>
    <w:rsid w:val="00C86C00"/>
    <w:rsid w:val="00C91A66"/>
    <w:rsid w:val="00C91B50"/>
    <w:rsid w:val="00C93156"/>
    <w:rsid w:val="00C95DB1"/>
    <w:rsid w:val="00CA2689"/>
    <w:rsid w:val="00CA4DB4"/>
    <w:rsid w:val="00CA6A64"/>
    <w:rsid w:val="00CB0A80"/>
    <w:rsid w:val="00CB5035"/>
    <w:rsid w:val="00CB6247"/>
    <w:rsid w:val="00CB74B8"/>
    <w:rsid w:val="00CC02F8"/>
    <w:rsid w:val="00CC509E"/>
    <w:rsid w:val="00CD115B"/>
    <w:rsid w:val="00CD4179"/>
    <w:rsid w:val="00CD44CA"/>
    <w:rsid w:val="00CD7C6E"/>
    <w:rsid w:val="00CE0C94"/>
    <w:rsid w:val="00CE2509"/>
    <w:rsid w:val="00CE2AD6"/>
    <w:rsid w:val="00CE5EB7"/>
    <w:rsid w:val="00CE7DA2"/>
    <w:rsid w:val="00CF3107"/>
    <w:rsid w:val="00CF429B"/>
    <w:rsid w:val="00CF46BC"/>
    <w:rsid w:val="00D02BE3"/>
    <w:rsid w:val="00D06329"/>
    <w:rsid w:val="00D06D99"/>
    <w:rsid w:val="00D0770F"/>
    <w:rsid w:val="00D104AD"/>
    <w:rsid w:val="00D157BF"/>
    <w:rsid w:val="00D16D2E"/>
    <w:rsid w:val="00D171C6"/>
    <w:rsid w:val="00D17A6C"/>
    <w:rsid w:val="00D20EC1"/>
    <w:rsid w:val="00D2200E"/>
    <w:rsid w:val="00D27435"/>
    <w:rsid w:val="00D2766C"/>
    <w:rsid w:val="00D33463"/>
    <w:rsid w:val="00D35446"/>
    <w:rsid w:val="00D35DBA"/>
    <w:rsid w:val="00D404E7"/>
    <w:rsid w:val="00D4313A"/>
    <w:rsid w:val="00D449F3"/>
    <w:rsid w:val="00D44FDE"/>
    <w:rsid w:val="00D45502"/>
    <w:rsid w:val="00D5299A"/>
    <w:rsid w:val="00D52B8C"/>
    <w:rsid w:val="00D54C92"/>
    <w:rsid w:val="00D5525D"/>
    <w:rsid w:val="00D5576D"/>
    <w:rsid w:val="00D57E4B"/>
    <w:rsid w:val="00D618E1"/>
    <w:rsid w:val="00D6275B"/>
    <w:rsid w:val="00D6490E"/>
    <w:rsid w:val="00D64A38"/>
    <w:rsid w:val="00D65AE3"/>
    <w:rsid w:val="00D65DD9"/>
    <w:rsid w:val="00D677D8"/>
    <w:rsid w:val="00D715EB"/>
    <w:rsid w:val="00D7376E"/>
    <w:rsid w:val="00D75F56"/>
    <w:rsid w:val="00D76B7C"/>
    <w:rsid w:val="00D8097F"/>
    <w:rsid w:val="00D902B6"/>
    <w:rsid w:val="00D91E46"/>
    <w:rsid w:val="00D91F35"/>
    <w:rsid w:val="00D93DFE"/>
    <w:rsid w:val="00DA0325"/>
    <w:rsid w:val="00DA4C58"/>
    <w:rsid w:val="00DA6250"/>
    <w:rsid w:val="00DB22E5"/>
    <w:rsid w:val="00DB5E81"/>
    <w:rsid w:val="00DB6702"/>
    <w:rsid w:val="00DB7842"/>
    <w:rsid w:val="00DC2C36"/>
    <w:rsid w:val="00DC34DC"/>
    <w:rsid w:val="00DC418C"/>
    <w:rsid w:val="00DC5A1A"/>
    <w:rsid w:val="00DC65B9"/>
    <w:rsid w:val="00DC7B9D"/>
    <w:rsid w:val="00DD119D"/>
    <w:rsid w:val="00DD612E"/>
    <w:rsid w:val="00DE06C9"/>
    <w:rsid w:val="00DE5278"/>
    <w:rsid w:val="00DE6E1D"/>
    <w:rsid w:val="00DF0C22"/>
    <w:rsid w:val="00DF4422"/>
    <w:rsid w:val="00DF7297"/>
    <w:rsid w:val="00E00AFC"/>
    <w:rsid w:val="00E00B10"/>
    <w:rsid w:val="00E02D52"/>
    <w:rsid w:val="00E0450E"/>
    <w:rsid w:val="00E13038"/>
    <w:rsid w:val="00E15D84"/>
    <w:rsid w:val="00E17339"/>
    <w:rsid w:val="00E210A8"/>
    <w:rsid w:val="00E237F2"/>
    <w:rsid w:val="00E3285C"/>
    <w:rsid w:val="00E37C05"/>
    <w:rsid w:val="00E403CC"/>
    <w:rsid w:val="00E4067E"/>
    <w:rsid w:val="00E40F09"/>
    <w:rsid w:val="00E4104D"/>
    <w:rsid w:val="00E41992"/>
    <w:rsid w:val="00E45691"/>
    <w:rsid w:val="00E53FBA"/>
    <w:rsid w:val="00E54606"/>
    <w:rsid w:val="00E578AC"/>
    <w:rsid w:val="00E6376E"/>
    <w:rsid w:val="00E6523D"/>
    <w:rsid w:val="00E65616"/>
    <w:rsid w:val="00E65715"/>
    <w:rsid w:val="00E67D4A"/>
    <w:rsid w:val="00E73415"/>
    <w:rsid w:val="00E73DE6"/>
    <w:rsid w:val="00E73E3B"/>
    <w:rsid w:val="00E746A4"/>
    <w:rsid w:val="00E76B33"/>
    <w:rsid w:val="00E80C13"/>
    <w:rsid w:val="00E84457"/>
    <w:rsid w:val="00E879AA"/>
    <w:rsid w:val="00E95E37"/>
    <w:rsid w:val="00E962FF"/>
    <w:rsid w:val="00E97B36"/>
    <w:rsid w:val="00EA0174"/>
    <w:rsid w:val="00EA22BA"/>
    <w:rsid w:val="00EA54B3"/>
    <w:rsid w:val="00EB0A6F"/>
    <w:rsid w:val="00EB2EA1"/>
    <w:rsid w:val="00EB4B28"/>
    <w:rsid w:val="00EB55AD"/>
    <w:rsid w:val="00EB5AD0"/>
    <w:rsid w:val="00EB6293"/>
    <w:rsid w:val="00EB6D9E"/>
    <w:rsid w:val="00EC1BB4"/>
    <w:rsid w:val="00EC6454"/>
    <w:rsid w:val="00EC75D1"/>
    <w:rsid w:val="00ED05A1"/>
    <w:rsid w:val="00ED102C"/>
    <w:rsid w:val="00ED18CB"/>
    <w:rsid w:val="00ED2318"/>
    <w:rsid w:val="00ED4DAE"/>
    <w:rsid w:val="00EE54CB"/>
    <w:rsid w:val="00EE70D4"/>
    <w:rsid w:val="00EF0370"/>
    <w:rsid w:val="00EF197A"/>
    <w:rsid w:val="00EF3657"/>
    <w:rsid w:val="00EF421A"/>
    <w:rsid w:val="00EF57A9"/>
    <w:rsid w:val="00F02A67"/>
    <w:rsid w:val="00F078D2"/>
    <w:rsid w:val="00F11BF4"/>
    <w:rsid w:val="00F174C0"/>
    <w:rsid w:val="00F20930"/>
    <w:rsid w:val="00F209D9"/>
    <w:rsid w:val="00F227FD"/>
    <w:rsid w:val="00F276FE"/>
    <w:rsid w:val="00F27C74"/>
    <w:rsid w:val="00F304FE"/>
    <w:rsid w:val="00F35661"/>
    <w:rsid w:val="00F36644"/>
    <w:rsid w:val="00F4033B"/>
    <w:rsid w:val="00F40688"/>
    <w:rsid w:val="00F41069"/>
    <w:rsid w:val="00F41593"/>
    <w:rsid w:val="00F47C5C"/>
    <w:rsid w:val="00F47E52"/>
    <w:rsid w:val="00F517EF"/>
    <w:rsid w:val="00F52DCB"/>
    <w:rsid w:val="00F56E3C"/>
    <w:rsid w:val="00F61429"/>
    <w:rsid w:val="00F62205"/>
    <w:rsid w:val="00F63AF1"/>
    <w:rsid w:val="00F65E95"/>
    <w:rsid w:val="00F67258"/>
    <w:rsid w:val="00F70DC9"/>
    <w:rsid w:val="00F712D3"/>
    <w:rsid w:val="00F72CDD"/>
    <w:rsid w:val="00F730F2"/>
    <w:rsid w:val="00F834B2"/>
    <w:rsid w:val="00F84CC2"/>
    <w:rsid w:val="00F96362"/>
    <w:rsid w:val="00FA08DE"/>
    <w:rsid w:val="00FA19C1"/>
    <w:rsid w:val="00FA2A35"/>
    <w:rsid w:val="00FA2A55"/>
    <w:rsid w:val="00FA6324"/>
    <w:rsid w:val="00FA6374"/>
    <w:rsid w:val="00FB0417"/>
    <w:rsid w:val="00FB09A4"/>
    <w:rsid w:val="00FB2720"/>
    <w:rsid w:val="00FB3271"/>
    <w:rsid w:val="00FB369F"/>
    <w:rsid w:val="00FC04DA"/>
    <w:rsid w:val="00FC1BC3"/>
    <w:rsid w:val="00FC58E4"/>
    <w:rsid w:val="00FC6A47"/>
    <w:rsid w:val="00FD0717"/>
    <w:rsid w:val="00FD0D1B"/>
    <w:rsid w:val="00FE2835"/>
    <w:rsid w:val="00FE2C8E"/>
    <w:rsid w:val="00FF3B73"/>
    <w:rsid w:val="00FF62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B3C905"/>
  <w15:docId w15:val="{6A9991BC-E616-473B-BB66-58DD3315A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042A2"/>
    <w:pPr>
      <w:keepNext/>
      <w:keepLines/>
      <w:spacing w:after="0" w:line="360" w:lineRule="auto"/>
      <w:contextualSpacing/>
      <w:outlineLvl w:val="0"/>
    </w:pPr>
    <w:rPr>
      <w:rFonts w:ascii="Arial" w:eastAsiaTheme="majorEastAsia" w:hAnsi="Arial" w:cs="Arial"/>
      <w:b/>
    </w:rPr>
  </w:style>
  <w:style w:type="paragraph" w:styleId="Heading2">
    <w:name w:val="heading 2"/>
    <w:basedOn w:val="Normal"/>
    <w:next w:val="Normal"/>
    <w:link w:val="Heading2Char"/>
    <w:autoRedefine/>
    <w:uiPriority w:val="9"/>
    <w:unhideWhenUsed/>
    <w:qFormat/>
    <w:rsid w:val="00752B1C"/>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6D5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2A2"/>
    <w:rPr>
      <w:rFonts w:ascii="Arial" w:eastAsiaTheme="majorEastAsia" w:hAnsi="Arial" w:cs="Arial"/>
      <w:b/>
    </w:rPr>
  </w:style>
  <w:style w:type="character" w:customStyle="1" w:styleId="Heading2Char">
    <w:name w:val="Heading 2 Char"/>
    <w:basedOn w:val="DefaultParagraphFont"/>
    <w:link w:val="Heading2"/>
    <w:uiPriority w:val="9"/>
    <w:rsid w:val="00752B1C"/>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6D5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892"/>
    <w:rPr>
      <w:rFonts w:eastAsiaTheme="majorEastAsia" w:cstheme="majorBidi"/>
      <w:color w:val="272727" w:themeColor="text1" w:themeTint="D8"/>
    </w:rPr>
  </w:style>
  <w:style w:type="paragraph" w:styleId="Title">
    <w:name w:val="Title"/>
    <w:basedOn w:val="Normal"/>
    <w:next w:val="Normal"/>
    <w:link w:val="TitleChar"/>
    <w:uiPriority w:val="10"/>
    <w:qFormat/>
    <w:rsid w:val="006D5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892"/>
    <w:pPr>
      <w:spacing w:before="160"/>
      <w:jc w:val="center"/>
    </w:pPr>
    <w:rPr>
      <w:i/>
      <w:iCs/>
      <w:color w:val="404040" w:themeColor="text1" w:themeTint="BF"/>
    </w:rPr>
  </w:style>
  <w:style w:type="character" w:customStyle="1" w:styleId="QuoteChar">
    <w:name w:val="Quote Char"/>
    <w:basedOn w:val="DefaultParagraphFont"/>
    <w:link w:val="Quote"/>
    <w:uiPriority w:val="29"/>
    <w:rsid w:val="006D5892"/>
    <w:rPr>
      <w:i/>
      <w:iCs/>
      <w:color w:val="404040" w:themeColor="text1" w:themeTint="BF"/>
    </w:rPr>
  </w:style>
  <w:style w:type="paragraph" w:styleId="ListParagraph">
    <w:name w:val="List Paragraph"/>
    <w:basedOn w:val="Normal"/>
    <w:uiPriority w:val="34"/>
    <w:qFormat/>
    <w:rsid w:val="006D5892"/>
    <w:pPr>
      <w:ind w:left="720"/>
      <w:contextualSpacing/>
    </w:pPr>
  </w:style>
  <w:style w:type="character" w:styleId="IntenseEmphasis">
    <w:name w:val="Intense Emphasis"/>
    <w:basedOn w:val="DefaultParagraphFont"/>
    <w:uiPriority w:val="21"/>
    <w:qFormat/>
    <w:rsid w:val="006D5892"/>
    <w:rPr>
      <w:i/>
      <w:iCs/>
      <w:color w:val="0F4761" w:themeColor="accent1" w:themeShade="BF"/>
    </w:rPr>
  </w:style>
  <w:style w:type="paragraph" w:styleId="IntenseQuote">
    <w:name w:val="Intense Quote"/>
    <w:basedOn w:val="Normal"/>
    <w:next w:val="Normal"/>
    <w:link w:val="IntenseQuoteChar"/>
    <w:uiPriority w:val="30"/>
    <w:qFormat/>
    <w:rsid w:val="006D5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892"/>
    <w:rPr>
      <w:i/>
      <w:iCs/>
      <w:color w:val="0F4761" w:themeColor="accent1" w:themeShade="BF"/>
    </w:rPr>
  </w:style>
  <w:style w:type="character" w:styleId="IntenseReference">
    <w:name w:val="Intense Reference"/>
    <w:basedOn w:val="DefaultParagraphFont"/>
    <w:uiPriority w:val="32"/>
    <w:qFormat/>
    <w:rsid w:val="006D5892"/>
    <w:rPr>
      <w:b/>
      <w:bCs/>
      <w:smallCaps/>
      <w:color w:val="0F4761" w:themeColor="accent1" w:themeShade="BF"/>
      <w:spacing w:val="5"/>
    </w:rPr>
  </w:style>
  <w:style w:type="paragraph" w:styleId="Header">
    <w:name w:val="header"/>
    <w:basedOn w:val="Normal"/>
    <w:link w:val="HeaderChar"/>
    <w:uiPriority w:val="99"/>
    <w:unhideWhenUsed/>
    <w:rsid w:val="000F41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41D9"/>
  </w:style>
  <w:style w:type="paragraph" w:styleId="Footer">
    <w:name w:val="footer"/>
    <w:basedOn w:val="Normal"/>
    <w:link w:val="FooterChar"/>
    <w:uiPriority w:val="99"/>
    <w:unhideWhenUsed/>
    <w:rsid w:val="000F41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41D9"/>
  </w:style>
  <w:style w:type="table" w:styleId="TableGrid">
    <w:name w:val="Table Grid"/>
    <w:basedOn w:val="TableNormal"/>
    <w:uiPriority w:val="59"/>
    <w:rsid w:val="00713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13176"/>
    <w:pPr>
      <w:spacing w:after="200" w:line="240" w:lineRule="auto"/>
    </w:pPr>
    <w:rPr>
      <w:i/>
      <w:iCs/>
      <w:color w:val="0E2841" w:themeColor="text2"/>
      <w:sz w:val="18"/>
      <w:szCs w:val="18"/>
    </w:rPr>
  </w:style>
  <w:style w:type="table" w:styleId="GridTable5Dark-Accent1">
    <w:name w:val="Grid Table 5 Dark Accent 1"/>
    <w:basedOn w:val="TableNormal"/>
    <w:uiPriority w:val="50"/>
    <w:rsid w:val="005B3A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3-Accent4">
    <w:name w:val="Grid Table 3 Accent 4"/>
    <w:basedOn w:val="TableNormal"/>
    <w:uiPriority w:val="48"/>
    <w:rsid w:val="007158F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3">
    <w:name w:val="Grid Table 3 Accent 3"/>
    <w:basedOn w:val="TableNormal"/>
    <w:uiPriority w:val="48"/>
    <w:rsid w:val="00025D7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character" w:styleId="Hyperlink">
    <w:name w:val="Hyperlink"/>
    <w:basedOn w:val="DefaultParagraphFont"/>
    <w:uiPriority w:val="99"/>
    <w:unhideWhenUsed/>
    <w:rsid w:val="00C537DA"/>
    <w:rPr>
      <w:color w:val="467886" w:themeColor="hyperlink"/>
      <w:u w:val="single"/>
    </w:rPr>
  </w:style>
  <w:style w:type="character" w:styleId="UnresolvedMention">
    <w:name w:val="Unresolved Mention"/>
    <w:basedOn w:val="DefaultParagraphFont"/>
    <w:uiPriority w:val="99"/>
    <w:semiHidden/>
    <w:unhideWhenUsed/>
    <w:rsid w:val="00C537DA"/>
    <w:rPr>
      <w:color w:val="605E5C"/>
      <w:shd w:val="clear" w:color="auto" w:fill="E1DFDD"/>
    </w:rPr>
  </w:style>
  <w:style w:type="table" w:customStyle="1" w:styleId="TableGrid8">
    <w:name w:val="Table Grid8"/>
    <w:basedOn w:val="TableNormal"/>
    <w:next w:val="TableGrid"/>
    <w:uiPriority w:val="39"/>
    <w:rsid w:val="00455E74"/>
    <w:pPr>
      <w:spacing w:after="0" w:line="240" w:lineRule="auto"/>
    </w:pPr>
    <w:rPr>
      <w:rFonts w:ascii="Calibri" w:eastAsia="Calibri" w:hAnsi="Calibri" w:cs="Times New Roman"/>
      <w:kern w:val="0"/>
      <w:sz w:val="22"/>
      <w:szCs w:val="22"/>
      <w:lang w:val="en-AU"/>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7763F"/>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E879AA"/>
    <w:rPr>
      <w:b/>
      <w:bCs/>
    </w:rPr>
  </w:style>
  <w:style w:type="paragraph" w:styleId="TOCHeading">
    <w:name w:val="TOC Heading"/>
    <w:basedOn w:val="Heading1"/>
    <w:next w:val="Normal"/>
    <w:uiPriority w:val="39"/>
    <w:unhideWhenUsed/>
    <w:qFormat/>
    <w:rsid w:val="00536939"/>
    <w:pPr>
      <w:spacing w:before="24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36939"/>
    <w:pPr>
      <w:spacing w:after="100"/>
    </w:pPr>
  </w:style>
  <w:style w:type="paragraph" w:styleId="TOC2">
    <w:name w:val="toc 2"/>
    <w:basedOn w:val="Normal"/>
    <w:next w:val="Normal"/>
    <w:autoRedefine/>
    <w:uiPriority w:val="39"/>
    <w:unhideWhenUsed/>
    <w:rsid w:val="00536939"/>
    <w:pPr>
      <w:spacing w:after="100"/>
      <w:ind w:left="240"/>
    </w:pPr>
  </w:style>
  <w:style w:type="character" w:styleId="FollowedHyperlink">
    <w:name w:val="FollowedHyperlink"/>
    <w:basedOn w:val="DefaultParagraphFont"/>
    <w:uiPriority w:val="99"/>
    <w:semiHidden/>
    <w:unhideWhenUsed/>
    <w:rsid w:val="001E16AC"/>
    <w:rPr>
      <w:color w:val="96607D" w:themeColor="followedHyperlink"/>
      <w:u w:val="single"/>
    </w:rPr>
  </w:style>
  <w:style w:type="paragraph" w:styleId="TableofFigures">
    <w:name w:val="table of figures"/>
    <w:basedOn w:val="Normal"/>
    <w:next w:val="Normal"/>
    <w:uiPriority w:val="99"/>
    <w:unhideWhenUsed/>
    <w:rsid w:val="006962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36165">
      <w:bodyDiv w:val="1"/>
      <w:marLeft w:val="0"/>
      <w:marRight w:val="0"/>
      <w:marTop w:val="0"/>
      <w:marBottom w:val="0"/>
      <w:divBdr>
        <w:top w:val="none" w:sz="0" w:space="0" w:color="auto"/>
        <w:left w:val="none" w:sz="0" w:space="0" w:color="auto"/>
        <w:bottom w:val="none" w:sz="0" w:space="0" w:color="auto"/>
        <w:right w:val="none" w:sz="0" w:space="0" w:color="auto"/>
      </w:divBdr>
    </w:div>
    <w:div w:id="137764284">
      <w:bodyDiv w:val="1"/>
      <w:marLeft w:val="0"/>
      <w:marRight w:val="0"/>
      <w:marTop w:val="0"/>
      <w:marBottom w:val="0"/>
      <w:divBdr>
        <w:top w:val="none" w:sz="0" w:space="0" w:color="auto"/>
        <w:left w:val="none" w:sz="0" w:space="0" w:color="auto"/>
        <w:bottom w:val="none" w:sz="0" w:space="0" w:color="auto"/>
        <w:right w:val="none" w:sz="0" w:space="0" w:color="auto"/>
      </w:divBdr>
    </w:div>
    <w:div w:id="172498994">
      <w:bodyDiv w:val="1"/>
      <w:marLeft w:val="0"/>
      <w:marRight w:val="0"/>
      <w:marTop w:val="0"/>
      <w:marBottom w:val="0"/>
      <w:divBdr>
        <w:top w:val="none" w:sz="0" w:space="0" w:color="auto"/>
        <w:left w:val="none" w:sz="0" w:space="0" w:color="auto"/>
        <w:bottom w:val="none" w:sz="0" w:space="0" w:color="auto"/>
        <w:right w:val="none" w:sz="0" w:space="0" w:color="auto"/>
      </w:divBdr>
    </w:div>
    <w:div w:id="243228502">
      <w:bodyDiv w:val="1"/>
      <w:marLeft w:val="0"/>
      <w:marRight w:val="0"/>
      <w:marTop w:val="0"/>
      <w:marBottom w:val="0"/>
      <w:divBdr>
        <w:top w:val="none" w:sz="0" w:space="0" w:color="auto"/>
        <w:left w:val="none" w:sz="0" w:space="0" w:color="auto"/>
        <w:bottom w:val="none" w:sz="0" w:space="0" w:color="auto"/>
        <w:right w:val="none" w:sz="0" w:space="0" w:color="auto"/>
      </w:divBdr>
    </w:div>
    <w:div w:id="295375527">
      <w:bodyDiv w:val="1"/>
      <w:marLeft w:val="0"/>
      <w:marRight w:val="0"/>
      <w:marTop w:val="0"/>
      <w:marBottom w:val="0"/>
      <w:divBdr>
        <w:top w:val="none" w:sz="0" w:space="0" w:color="auto"/>
        <w:left w:val="none" w:sz="0" w:space="0" w:color="auto"/>
        <w:bottom w:val="none" w:sz="0" w:space="0" w:color="auto"/>
        <w:right w:val="none" w:sz="0" w:space="0" w:color="auto"/>
      </w:divBdr>
      <w:divsChild>
        <w:div w:id="163054522">
          <w:marLeft w:val="0"/>
          <w:marRight w:val="0"/>
          <w:marTop w:val="0"/>
          <w:marBottom w:val="0"/>
          <w:divBdr>
            <w:top w:val="none" w:sz="0" w:space="0" w:color="auto"/>
            <w:left w:val="none" w:sz="0" w:space="0" w:color="auto"/>
            <w:bottom w:val="none" w:sz="0" w:space="0" w:color="auto"/>
            <w:right w:val="none" w:sz="0" w:space="0" w:color="auto"/>
          </w:divBdr>
          <w:divsChild>
            <w:div w:id="1712411881">
              <w:marLeft w:val="0"/>
              <w:marRight w:val="0"/>
              <w:marTop w:val="0"/>
              <w:marBottom w:val="0"/>
              <w:divBdr>
                <w:top w:val="none" w:sz="0" w:space="0" w:color="auto"/>
                <w:left w:val="none" w:sz="0" w:space="0" w:color="auto"/>
                <w:bottom w:val="none" w:sz="0" w:space="0" w:color="auto"/>
                <w:right w:val="none" w:sz="0" w:space="0" w:color="auto"/>
              </w:divBdr>
              <w:divsChild>
                <w:div w:id="114419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787675">
      <w:bodyDiv w:val="1"/>
      <w:marLeft w:val="0"/>
      <w:marRight w:val="0"/>
      <w:marTop w:val="0"/>
      <w:marBottom w:val="0"/>
      <w:divBdr>
        <w:top w:val="none" w:sz="0" w:space="0" w:color="auto"/>
        <w:left w:val="none" w:sz="0" w:space="0" w:color="auto"/>
        <w:bottom w:val="none" w:sz="0" w:space="0" w:color="auto"/>
        <w:right w:val="none" w:sz="0" w:space="0" w:color="auto"/>
      </w:divBdr>
    </w:div>
    <w:div w:id="361785129">
      <w:bodyDiv w:val="1"/>
      <w:marLeft w:val="0"/>
      <w:marRight w:val="0"/>
      <w:marTop w:val="0"/>
      <w:marBottom w:val="0"/>
      <w:divBdr>
        <w:top w:val="none" w:sz="0" w:space="0" w:color="auto"/>
        <w:left w:val="none" w:sz="0" w:space="0" w:color="auto"/>
        <w:bottom w:val="none" w:sz="0" w:space="0" w:color="auto"/>
        <w:right w:val="none" w:sz="0" w:space="0" w:color="auto"/>
      </w:divBdr>
    </w:div>
    <w:div w:id="381171305">
      <w:bodyDiv w:val="1"/>
      <w:marLeft w:val="0"/>
      <w:marRight w:val="0"/>
      <w:marTop w:val="0"/>
      <w:marBottom w:val="0"/>
      <w:divBdr>
        <w:top w:val="none" w:sz="0" w:space="0" w:color="auto"/>
        <w:left w:val="none" w:sz="0" w:space="0" w:color="auto"/>
        <w:bottom w:val="none" w:sz="0" w:space="0" w:color="auto"/>
        <w:right w:val="none" w:sz="0" w:space="0" w:color="auto"/>
      </w:divBdr>
    </w:div>
    <w:div w:id="402214389">
      <w:bodyDiv w:val="1"/>
      <w:marLeft w:val="0"/>
      <w:marRight w:val="0"/>
      <w:marTop w:val="0"/>
      <w:marBottom w:val="0"/>
      <w:divBdr>
        <w:top w:val="none" w:sz="0" w:space="0" w:color="auto"/>
        <w:left w:val="none" w:sz="0" w:space="0" w:color="auto"/>
        <w:bottom w:val="none" w:sz="0" w:space="0" w:color="auto"/>
        <w:right w:val="none" w:sz="0" w:space="0" w:color="auto"/>
      </w:divBdr>
      <w:divsChild>
        <w:div w:id="1452090368">
          <w:marLeft w:val="-720"/>
          <w:marRight w:val="0"/>
          <w:marTop w:val="0"/>
          <w:marBottom w:val="0"/>
          <w:divBdr>
            <w:top w:val="none" w:sz="0" w:space="0" w:color="auto"/>
            <w:left w:val="none" w:sz="0" w:space="0" w:color="auto"/>
            <w:bottom w:val="none" w:sz="0" w:space="0" w:color="auto"/>
            <w:right w:val="none" w:sz="0" w:space="0" w:color="auto"/>
          </w:divBdr>
        </w:div>
      </w:divsChild>
    </w:div>
    <w:div w:id="402795834">
      <w:bodyDiv w:val="1"/>
      <w:marLeft w:val="0"/>
      <w:marRight w:val="0"/>
      <w:marTop w:val="0"/>
      <w:marBottom w:val="0"/>
      <w:divBdr>
        <w:top w:val="none" w:sz="0" w:space="0" w:color="auto"/>
        <w:left w:val="none" w:sz="0" w:space="0" w:color="auto"/>
        <w:bottom w:val="none" w:sz="0" w:space="0" w:color="auto"/>
        <w:right w:val="none" w:sz="0" w:space="0" w:color="auto"/>
      </w:divBdr>
    </w:div>
    <w:div w:id="434836786">
      <w:bodyDiv w:val="1"/>
      <w:marLeft w:val="0"/>
      <w:marRight w:val="0"/>
      <w:marTop w:val="0"/>
      <w:marBottom w:val="0"/>
      <w:divBdr>
        <w:top w:val="none" w:sz="0" w:space="0" w:color="auto"/>
        <w:left w:val="none" w:sz="0" w:space="0" w:color="auto"/>
        <w:bottom w:val="none" w:sz="0" w:space="0" w:color="auto"/>
        <w:right w:val="none" w:sz="0" w:space="0" w:color="auto"/>
      </w:divBdr>
    </w:div>
    <w:div w:id="462161211">
      <w:bodyDiv w:val="1"/>
      <w:marLeft w:val="0"/>
      <w:marRight w:val="0"/>
      <w:marTop w:val="0"/>
      <w:marBottom w:val="0"/>
      <w:divBdr>
        <w:top w:val="none" w:sz="0" w:space="0" w:color="auto"/>
        <w:left w:val="none" w:sz="0" w:space="0" w:color="auto"/>
        <w:bottom w:val="none" w:sz="0" w:space="0" w:color="auto"/>
        <w:right w:val="none" w:sz="0" w:space="0" w:color="auto"/>
      </w:divBdr>
    </w:div>
    <w:div w:id="491482484">
      <w:bodyDiv w:val="1"/>
      <w:marLeft w:val="0"/>
      <w:marRight w:val="0"/>
      <w:marTop w:val="0"/>
      <w:marBottom w:val="0"/>
      <w:divBdr>
        <w:top w:val="none" w:sz="0" w:space="0" w:color="auto"/>
        <w:left w:val="none" w:sz="0" w:space="0" w:color="auto"/>
        <w:bottom w:val="none" w:sz="0" w:space="0" w:color="auto"/>
        <w:right w:val="none" w:sz="0" w:space="0" w:color="auto"/>
      </w:divBdr>
      <w:divsChild>
        <w:div w:id="102461727">
          <w:marLeft w:val="0"/>
          <w:marRight w:val="0"/>
          <w:marTop w:val="0"/>
          <w:marBottom w:val="0"/>
          <w:divBdr>
            <w:top w:val="none" w:sz="0" w:space="0" w:color="auto"/>
            <w:left w:val="none" w:sz="0" w:space="0" w:color="auto"/>
            <w:bottom w:val="none" w:sz="0" w:space="0" w:color="auto"/>
            <w:right w:val="none" w:sz="0" w:space="0" w:color="auto"/>
          </w:divBdr>
          <w:divsChild>
            <w:div w:id="1324819649">
              <w:marLeft w:val="0"/>
              <w:marRight w:val="0"/>
              <w:marTop w:val="0"/>
              <w:marBottom w:val="0"/>
              <w:divBdr>
                <w:top w:val="none" w:sz="0" w:space="0" w:color="auto"/>
                <w:left w:val="none" w:sz="0" w:space="0" w:color="auto"/>
                <w:bottom w:val="none" w:sz="0" w:space="0" w:color="auto"/>
                <w:right w:val="none" w:sz="0" w:space="0" w:color="auto"/>
              </w:divBdr>
              <w:divsChild>
                <w:div w:id="208719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673456">
          <w:marLeft w:val="0"/>
          <w:marRight w:val="0"/>
          <w:marTop w:val="0"/>
          <w:marBottom w:val="0"/>
          <w:divBdr>
            <w:top w:val="none" w:sz="0" w:space="0" w:color="auto"/>
            <w:left w:val="none" w:sz="0" w:space="0" w:color="auto"/>
            <w:bottom w:val="none" w:sz="0" w:space="0" w:color="auto"/>
            <w:right w:val="none" w:sz="0" w:space="0" w:color="auto"/>
          </w:divBdr>
          <w:divsChild>
            <w:div w:id="2127960828">
              <w:marLeft w:val="0"/>
              <w:marRight w:val="0"/>
              <w:marTop w:val="0"/>
              <w:marBottom w:val="0"/>
              <w:divBdr>
                <w:top w:val="none" w:sz="0" w:space="0" w:color="auto"/>
                <w:left w:val="none" w:sz="0" w:space="0" w:color="auto"/>
                <w:bottom w:val="none" w:sz="0" w:space="0" w:color="auto"/>
                <w:right w:val="none" w:sz="0" w:space="0" w:color="auto"/>
              </w:divBdr>
              <w:divsChild>
                <w:div w:id="94523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37711">
          <w:marLeft w:val="0"/>
          <w:marRight w:val="0"/>
          <w:marTop w:val="0"/>
          <w:marBottom w:val="0"/>
          <w:divBdr>
            <w:top w:val="none" w:sz="0" w:space="0" w:color="auto"/>
            <w:left w:val="none" w:sz="0" w:space="0" w:color="auto"/>
            <w:bottom w:val="none" w:sz="0" w:space="0" w:color="auto"/>
            <w:right w:val="none" w:sz="0" w:space="0" w:color="auto"/>
          </w:divBdr>
          <w:divsChild>
            <w:div w:id="450128611">
              <w:marLeft w:val="0"/>
              <w:marRight w:val="0"/>
              <w:marTop w:val="0"/>
              <w:marBottom w:val="0"/>
              <w:divBdr>
                <w:top w:val="none" w:sz="0" w:space="0" w:color="auto"/>
                <w:left w:val="none" w:sz="0" w:space="0" w:color="auto"/>
                <w:bottom w:val="none" w:sz="0" w:space="0" w:color="auto"/>
                <w:right w:val="none" w:sz="0" w:space="0" w:color="auto"/>
              </w:divBdr>
              <w:divsChild>
                <w:div w:id="97945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05978">
          <w:marLeft w:val="0"/>
          <w:marRight w:val="0"/>
          <w:marTop w:val="0"/>
          <w:marBottom w:val="0"/>
          <w:divBdr>
            <w:top w:val="none" w:sz="0" w:space="0" w:color="auto"/>
            <w:left w:val="none" w:sz="0" w:space="0" w:color="auto"/>
            <w:bottom w:val="none" w:sz="0" w:space="0" w:color="auto"/>
            <w:right w:val="none" w:sz="0" w:space="0" w:color="auto"/>
          </w:divBdr>
          <w:divsChild>
            <w:div w:id="1253317162">
              <w:marLeft w:val="0"/>
              <w:marRight w:val="0"/>
              <w:marTop w:val="0"/>
              <w:marBottom w:val="0"/>
              <w:divBdr>
                <w:top w:val="none" w:sz="0" w:space="0" w:color="auto"/>
                <w:left w:val="none" w:sz="0" w:space="0" w:color="auto"/>
                <w:bottom w:val="none" w:sz="0" w:space="0" w:color="auto"/>
                <w:right w:val="none" w:sz="0" w:space="0" w:color="auto"/>
              </w:divBdr>
              <w:divsChild>
                <w:div w:id="18618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585307">
          <w:marLeft w:val="0"/>
          <w:marRight w:val="0"/>
          <w:marTop w:val="0"/>
          <w:marBottom w:val="0"/>
          <w:divBdr>
            <w:top w:val="none" w:sz="0" w:space="0" w:color="auto"/>
            <w:left w:val="none" w:sz="0" w:space="0" w:color="auto"/>
            <w:bottom w:val="none" w:sz="0" w:space="0" w:color="auto"/>
            <w:right w:val="none" w:sz="0" w:space="0" w:color="auto"/>
          </w:divBdr>
          <w:divsChild>
            <w:div w:id="2038113338">
              <w:marLeft w:val="0"/>
              <w:marRight w:val="0"/>
              <w:marTop w:val="0"/>
              <w:marBottom w:val="0"/>
              <w:divBdr>
                <w:top w:val="none" w:sz="0" w:space="0" w:color="auto"/>
                <w:left w:val="none" w:sz="0" w:space="0" w:color="auto"/>
                <w:bottom w:val="none" w:sz="0" w:space="0" w:color="auto"/>
                <w:right w:val="none" w:sz="0" w:space="0" w:color="auto"/>
              </w:divBdr>
              <w:divsChild>
                <w:div w:id="52968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057034">
          <w:marLeft w:val="0"/>
          <w:marRight w:val="0"/>
          <w:marTop w:val="0"/>
          <w:marBottom w:val="0"/>
          <w:divBdr>
            <w:top w:val="none" w:sz="0" w:space="0" w:color="auto"/>
            <w:left w:val="none" w:sz="0" w:space="0" w:color="auto"/>
            <w:bottom w:val="none" w:sz="0" w:space="0" w:color="auto"/>
            <w:right w:val="none" w:sz="0" w:space="0" w:color="auto"/>
          </w:divBdr>
          <w:divsChild>
            <w:div w:id="510294958">
              <w:marLeft w:val="0"/>
              <w:marRight w:val="0"/>
              <w:marTop w:val="0"/>
              <w:marBottom w:val="0"/>
              <w:divBdr>
                <w:top w:val="none" w:sz="0" w:space="0" w:color="auto"/>
                <w:left w:val="none" w:sz="0" w:space="0" w:color="auto"/>
                <w:bottom w:val="none" w:sz="0" w:space="0" w:color="auto"/>
                <w:right w:val="none" w:sz="0" w:space="0" w:color="auto"/>
              </w:divBdr>
              <w:divsChild>
                <w:div w:id="183765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797259">
      <w:bodyDiv w:val="1"/>
      <w:marLeft w:val="0"/>
      <w:marRight w:val="0"/>
      <w:marTop w:val="0"/>
      <w:marBottom w:val="0"/>
      <w:divBdr>
        <w:top w:val="none" w:sz="0" w:space="0" w:color="auto"/>
        <w:left w:val="none" w:sz="0" w:space="0" w:color="auto"/>
        <w:bottom w:val="none" w:sz="0" w:space="0" w:color="auto"/>
        <w:right w:val="none" w:sz="0" w:space="0" w:color="auto"/>
      </w:divBdr>
    </w:div>
    <w:div w:id="528566366">
      <w:bodyDiv w:val="1"/>
      <w:marLeft w:val="0"/>
      <w:marRight w:val="0"/>
      <w:marTop w:val="0"/>
      <w:marBottom w:val="0"/>
      <w:divBdr>
        <w:top w:val="none" w:sz="0" w:space="0" w:color="auto"/>
        <w:left w:val="none" w:sz="0" w:space="0" w:color="auto"/>
        <w:bottom w:val="none" w:sz="0" w:space="0" w:color="auto"/>
        <w:right w:val="none" w:sz="0" w:space="0" w:color="auto"/>
      </w:divBdr>
    </w:div>
    <w:div w:id="564486985">
      <w:bodyDiv w:val="1"/>
      <w:marLeft w:val="0"/>
      <w:marRight w:val="0"/>
      <w:marTop w:val="0"/>
      <w:marBottom w:val="0"/>
      <w:divBdr>
        <w:top w:val="none" w:sz="0" w:space="0" w:color="auto"/>
        <w:left w:val="none" w:sz="0" w:space="0" w:color="auto"/>
        <w:bottom w:val="none" w:sz="0" w:space="0" w:color="auto"/>
        <w:right w:val="none" w:sz="0" w:space="0" w:color="auto"/>
      </w:divBdr>
    </w:div>
    <w:div w:id="672530562">
      <w:bodyDiv w:val="1"/>
      <w:marLeft w:val="0"/>
      <w:marRight w:val="0"/>
      <w:marTop w:val="0"/>
      <w:marBottom w:val="0"/>
      <w:divBdr>
        <w:top w:val="none" w:sz="0" w:space="0" w:color="auto"/>
        <w:left w:val="none" w:sz="0" w:space="0" w:color="auto"/>
        <w:bottom w:val="none" w:sz="0" w:space="0" w:color="auto"/>
        <w:right w:val="none" w:sz="0" w:space="0" w:color="auto"/>
      </w:divBdr>
    </w:div>
    <w:div w:id="700059114">
      <w:bodyDiv w:val="1"/>
      <w:marLeft w:val="0"/>
      <w:marRight w:val="0"/>
      <w:marTop w:val="0"/>
      <w:marBottom w:val="0"/>
      <w:divBdr>
        <w:top w:val="none" w:sz="0" w:space="0" w:color="auto"/>
        <w:left w:val="none" w:sz="0" w:space="0" w:color="auto"/>
        <w:bottom w:val="none" w:sz="0" w:space="0" w:color="auto"/>
        <w:right w:val="none" w:sz="0" w:space="0" w:color="auto"/>
      </w:divBdr>
    </w:div>
    <w:div w:id="717827553">
      <w:bodyDiv w:val="1"/>
      <w:marLeft w:val="0"/>
      <w:marRight w:val="0"/>
      <w:marTop w:val="0"/>
      <w:marBottom w:val="0"/>
      <w:divBdr>
        <w:top w:val="none" w:sz="0" w:space="0" w:color="auto"/>
        <w:left w:val="none" w:sz="0" w:space="0" w:color="auto"/>
        <w:bottom w:val="none" w:sz="0" w:space="0" w:color="auto"/>
        <w:right w:val="none" w:sz="0" w:space="0" w:color="auto"/>
      </w:divBdr>
    </w:div>
    <w:div w:id="816649175">
      <w:bodyDiv w:val="1"/>
      <w:marLeft w:val="0"/>
      <w:marRight w:val="0"/>
      <w:marTop w:val="0"/>
      <w:marBottom w:val="0"/>
      <w:divBdr>
        <w:top w:val="none" w:sz="0" w:space="0" w:color="auto"/>
        <w:left w:val="none" w:sz="0" w:space="0" w:color="auto"/>
        <w:bottom w:val="none" w:sz="0" w:space="0" w:color="auto"/>
        <w:right w:val="none" w:sz="0" w:space="0" w:color="auto"/>
      </w:divBdr>
    </w:div>
    <w:div w:id="868762722">
      <w:bodyDiv w:val="1"/>
      <w:marLeft w:val="0"/>
      <w:marRight w:val="0"/>
      <w:marTop w:val="0"/>
      <w:marBottom w:val="0"/>
      <w:divBdr>
        <w:top w:val="none" w:sz="0" w:space="0" w:color="auto"/>
        <w:left w:val="none" w:sz="0" w:space="0" w:color="auto"/>
        <w:bottom w:val="none" w:sz="0" w:space="0" w:color="auto"/>
        <w:right w:val="none" w:sz="0" w:space="0" w:color="auto"/>
      </w:divBdr>
    </w:div>
    <w:div w:id="993069030">
      <w:bodyDiv w:val="1"/>
      <w:marLeft w:val="0"/>
      <w:marRight w:val="0"/>
      <w:marTop w:val="0"/>
      <w:marBottom w:val="0"/>
      <w:divBdr>
        <w:top w:val="none" w:sz="0" w:space="0" w:color="auto"/>
        <w:left w:val="none" w:sz="0" w:space="0" w:color="auto"/>
        <w:bottom w:val="none" w:sz="0" w:space="0" w:color="auto"/>
        <w:right w:val="none" w:sz="0" w:space="0" w:color="auto"/>
      </w:divBdr>
    </w:div>
    <w:div w:id="1022977938">
      <w:bodyDiv w:val="1"/>
      <w:marLeft w:val="0"/>
      <w:marRight w:val="0"/>
      <w:marTop w:val="0"/>
      <w:marBottom w:val="0"/>
      <w:divBdr>
        <w:top w:val="none" w:sz="0" w:space="0" w:color="auto"/>
        <w:left w:val="none" w:sz="0" w:space="0" w:color="auto"/>
        <w:bottom w:val="none" w:sz="0" w:space="0" w:color="auto"/>
        <w:right w:val="none" w:sz="0" w:space="0" w:color="auto"/>
      </w:divBdr>
    </w:div>
    <w:div w:id="1029262601">
      <w:bodyDiv w:val="1"/>
      <w:marLeft w:val="0"/>
      <w:marRight w:val="0"/>
      <w:marTop w:val="0"/>
      <w:marBottom w:val="0"/>
      <w:divBdr>
        <w:top w:val="none" w:sz="0" w:space="0" w:color="auto"/>
        <w:left w:val="none" w:sz="0" w:space="0" w:color="auto"/>
        <w:bottom w:val="none" w:sz="0" w:space="0" w:color="auto"/>
        <w:right w:val="none" w:sz="0" w:space="0" w:color="auto"/>
      </w:divBdr>
    </w:div>
    <w:div w:id="1103527699">
      <w:bodyDiv w:val="1"/>
      <w:marLeft w:val="0"/>
      <w:marRight w:val="0"/>
      <w:marTop w:val="0"/>
      <w:marBottom w:val="0"/>
      <w:divBdr>
        <w:top w:val="none" w:sz="0" w:space="0" w:color="auto"/>
        <w:left w:val="none" w:sz="0" w:space="0" w:color="auto"/>
        <w:bottom w:val="none" w:sz="0" w:space="0" w:color="auto"/>
        <w:right w:val="none" w:sz="0" w:space="0" w:color="auto"/>
      </w:divBdr>
    </w:div>
    <w:div w:id="1104420054">
      <w:bodyDiv w:val="1"/>
      <w:marLeft w:val="0"/>
      <w:marRight w:val="0"/>
      <w:marTop w:val="0"/>
      <w:marBottom w:val="0"/>
      <w:divBdr>
        <w:top w:val="none" w:sz="0" w:space="0" w:color="auto"/>
        <w:left w:val="none" w:sz="0" w:space="0" w:color="auto"/>
        <w:bottom w:val="none" w:sz="0" w:space="0" w:color="auto"/>
        <w:right w:val="none" w:sz="0" w:space="0" w:color="auto"/>
      </w:divBdr>
    </w:div>
    <w:div w:id="1107968432">
      <w:bodyDiv w:val="1"/>
      <w:marLeft w:val="0"/>
      <w:marRight w:val="0"/>
      <w:marTop w:val="0"/>
      <w:marBottom w:val="0"/>
      <w:divBdr>
        <w:top w:val="none" w:sz="0" w:space="0" w:color="auto"/>
        <w:left w:val="none" w:sz="0" w:space="0" w:color="auto"/>
        <w:bottom w:val="none" w:sz="0" w:space="0" w:color="auto"/>
        <w:right w:val="none" w:sz="0" w:space="0" w:color="auto"/>
      </w:divBdr>
    </w:div>
    <w:div w:id="1186751419">
      <w:bodyDiv w:val="1"/>
      <w:marLeft w:val="0"/>
      <w:marRight w:val="0"/>
      <w:marTop w:val="0"/>
      <w:marBottom w:val="0"/>
      <w:divBdr>
        <w:top w:val="none" w:sz="0" w:space="0" w:color="auto"/>
        <w:left w:val="none" w:sz="0" w:space="0" w:color="auto"/>
        <w:bottom w:val="none" w:sz="0" w:space="0" w:color="auto"/>
        <w:right w:val="none" w:sz="0" w:space="0" w:color="auto"/>
      </w:divBdr>
      <w:divsChild>
        <w:div w:id="188300641">
          <w:marLeft w:val="0"/>
          <w:marRight w:val="0"/>
          <w:marTop w:val="0"/>
          <w:marBottom w:val="0"/>
          <w:divBdr>
            <w:top w:val="none" w:sz="0" w:space="0" w:color="auto"/>
            <w:left w:val="none" w:sz="0" w:space="0" w:color="auto"/>
            <w:bottom w:val="none" w:sz="0" w:space="0" w:color="auto"/>
            <w:right w:val="none" w:sz="0" w:space="0" w:color="auto"/>
          </w:divBdr>
          <w:divsChild>
            <w:div w:id="1792439141">
              <w:marLeft w:val="0"/>
              <w:marRight w:val="0"/>
              <w:marTop w:val="0"/>
              <w:marBottom w:val="0"/>
              <w:divBdr>
                <w:top w:val="none" w:sz="0" w:space="0" w:color="auto"/>
                <w:left w:val="none" w:sz="0" w:space="0" w:color="auto"/>
                <w:bottom w:val="none" w:sz="0" w:space="0" w:color="auto"/>
                <w:right w:val="none" w:sz="0" w:space="0" w:color="auto"/>
              </w:divBdr>
            </w:div>
          </w:divsChild>
        </w:div>
        <w:div w:id="734352750">
          <w:marLeft w:val="0"/>
          <w:marRight w:val="0"/>
          <w:marTop w:val="0"/>
          <w:marBottom w:val="0"/>
          <w:divBdr>
            <w:top w:val="none" w:sz="0" w:space="0" w:color="auto"/>
            <w:left w:val="none" w:sz="0" w:space="0" w:color="auto"/>
            <w:bottom w:val="none" w:sz="0" w:space="0" w:color="auto"/>
            <w:right w:val="none" w:sz="0" w:space="0" w:color="auto"/>
          </w:divBdr>
          <w:divsChild>
            <w:div w:id="1125194935">
              <w:marLeft w:val="0"/>
              <w:marRight w:val="0"/>
              <w:marTop w:val="0"/>
              <w:marBottom w:val="0"/>
              <w:divBdr>
                <w:top w:val="none" w:sz="0" w:space="0" w:color="auto"/>
                <w:left w:val="none" w:sz="0" w:space="0" w:color="auto"/>
                <w:bottom w:val="none" w:sz="0" w:space="0" w:color="auto"/>
                <w:right w:val="none" w:sz="0" w:space="0" w:color="auto"/>
              </w:divBdr>
            </w:div>
          </w:divsChild>
        </w:div>
        <w:div w:id="1562331529">
          <w:marLeft w:val="0"/>
          <w:marRight w:val="0"/>
          <w:marTop w:val="0"/>
          <w:marBottom w:val="0"/>
          <w:divBdr>
            <w:top w:val="none" w:sz="0" w:space="0" w:color="auto"/>
            <w:left w:val="none" w:sz="0" w:space="0" w:color="auto"/>
            <w:bottom w:val="none" w:sz="0" w:space="0" w:color="auto"/>
            <w:right w:val="none" w:sz="0" w:space="0" w:color="auto"/>
          </w:divBdr>
          <w:divsChild>
            <w:div w:id="2100248413">
              <w:marLeft w:val="0"/>
              <w:marRight w:val="0"/>
              <w:marTop w:val="0"/>
              <w:marBottom w:val="0"/>
              <w:divBdr>
                <w:top w:val="none" w:sz="0" w:space="0" w:color="auto"/>
                <w:left w:val="none" w:sz="0" w:space="0" w:color="auto"/>
                <w:bottom w:val="none" w:sz="0" w:space="0" w:color="auto"/>
                <w:right w:val="none" w:sz="0" w:space="0" w:color="auto"/>
              </w:divBdr>
            </w:div>
          </w:divsChild>
        </w:div>
        <w:div w:id="1946497718">
          <w:marLeft w:val="0"/>
          <w:marRight w:val="0"/>
          <w:marTop w:val="0"/>
          <w:marBottom w:val="0"/>
          <w:divBdr>
            <w:top w:val="none" w:sz="0" w:space="0" w:color="auto"/>
            <w:left w:val="none" w:sz="0" w:space="0" w:color="auto"/>
            <w:bottom w:val="none" w:sz="0" w:space="0" w:color="auto"/>
            <w:right w:val="none" w:sz="0" w:space="0" w:color="auto"/>
          </w:divBdr>
          <w:divsChild>
            <w:div w:id="147799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229681">
      <w:bodyDiv w:val="1"/>
      <w:marLeft w:val="0"/>
      <w:marRight w:val="0"/>
      <w:marTop w:val="0"/>
      <w:marBottom w:val="0"/>
      <w:divBdr>
        <w:top w:val="none" w:sz="0" w:space="0" w:color="auto"/>
        <w:left w:val="none" w:sz="0" w:space="0" w:color="auto"/>
        <w:bottom w:val="none" w:sz="0" w:space="0" w:color="auto"/>
        <w:right w:val="none" w:sz="0" w:space="0" w:color="auto"/>
      </w:divBdr>
      <w:divsChild>
        <w:div w:id="409667563">
          <w:marLeft w:val="0"/>
          <w:marRight w:val="0"/>
          <w:marTop w:val="0"/>
          <w:marBottom w:val="0"/>
          <w:divBdr>
            <w:top w:val="none" w:sz="0" w:space="0" w:color="auto"/>
            <w:left w:val="none" w:sz="0" w:space="0" w:color="auto"/>
            <w:bottom w:val="none" w:sz="0" w:space="0" w:color="auto"/>
            <w:right w:val="none" w:sz="0" w:space="0" w:color="auto"/>
          </w:divBdr>
          <w:divsChild>
            <w:div w:id="502086227">
              <w:marLeft w:val="0"/>
              <w:marRight w:val="0"/>
              <w:marTop w:val="0"/>
              <w:marBottom w:val="0"/>
              <w:divBdr>
                <w:top w:val="none" w:sz="0" w:space="0" w:color="auto"/>
                <w:left w:val="none" w:sz="0" w:space="0" w:color="auto"/>
                <w:bottom w:val="none" w:sz="0" w:space="0" w:color="auto"/>
                <w:right w:val="none" w:sz="0" w:space="0" w:color="auto"/>
              </w:divBdr>
              <w:divsChild>
                <w:div w:id="191982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84881">
      <w:bodyDiv w:val="1"/>
      <w:marLeft w:val="0"/>
      <w:marRight w:val="0"/>
      <w:marTop w:val="0"/>
      <w:marBottom w:val="0"/>
      <w:divBdr>
        <w:top w:val="none" w:sz="0" w:space="0" w:color="auto"/>
        <w:left w:val="none" w:sz="0" w:space="0" w:color="auto"/>
        <w:bottom w:val="none" w:sz="0" w:space="0" w:color="auto"/>
        <w:right w:val="none" w:sz="0" w:space="0" w:color="auto"/>
      </w:divBdr>
    </w:div>
    <w:div w:id="1278560960">
      <w:bodyDiv w:val="1"/>
      <w:marLeft w:val="0"/>
      <w:marRight w:val="0"/>
      <w:marTop w:val="0"/>
      <w:marBottom w:val="0"/>
      <w:divBdr>
        <w:top w:val="none" w:sz="0" w:space="0" w:color="auto"/>
        <w:left w:val="none" w:sz="0" w:space="0" w:color="auto"/>
        <w:bottom w:val="none" w:sz="0" w:space="0" w:color="auto"/>
        <w:right w:val="none" w:sz="0" w:space="0" w:color="auto"/>
      </w:divBdr>
    </w:div>
    <w:div w:id="1300646654">
      <w:bodyDiv w:val="1"/>
      <w:marLeft w:val="0"/>
      <w:marRight w:val="0"/>
      <w:marTop w:val="0"/>
      <w:marBottom w:val="0"/>
      <w:divBdr>
        <w:top w:val="none" w:sz="0" w:space="0" w:color="auto"/>
        <w:left w:val="none" w:sz="0" w:space="0" w:color="auto"/>
        <w:bottom w:val="none" w:sz="0" w:space="0" w:color="auto"/>
        <w:right w:val="none" w:sz="0" w:space="0" w:color="auto"/>
      </w:divBdr>
    </w:div>
    <w:div w:id="1322659830">
      <w:bodyDiv w:val="1"/>
      <w:marLeft w:val="0"/>
      <w:marRight w:val="0"/>
      <w:marTop w:val="0"/>
      <w:marBottom w:val="0"/>
      <w:divBdr>
        <w:top w:val="none" w:sz="0" w:space="0" w:color="auto"/>
        <w:left w:val="none" w:sz="0" w:space="0" w:color="auto"/>
        <w:bottom w:val="none" w:sz="0" w:space="0" w:color="auto"/>
        <w:right w:val="none" w:sz="0" w:space="0" w:color="auto"/>
      </w:divBdr>
    </w:div>
    <w:div w:id="1459108697">
      <w:bodyDiv w:val="1"/>
      <w:marLeft w:val="0"/>
      <w:marRight w:val="0"/>
      <w:marTop w:val="0"/>
      <w:marBottom w:val="0"/>
      <w:divBdr>
        <w:top w:val="none" w:sz="0" w:space="0" w:color="auto"/>
        <w:left w:val="none" w:sz="0" w:space="0" w:color="auto"/>
        <w:bottom w:val="none" w:sz="0" w:space="0" w:color="auto"/>
        <w:right w:val="none" w:sz="0" w:space="0" w:color="auto"/>
      </w:divBdr>
    </w:div>
    <w:div w:id="1709598956">
      <w:bodyDiv w:val="1"/>
      <w:marLeft w:val="0"/>
      <w:marRight w:val="0"/>
      <w:marTop w:val="0"/>
      <w:marBottom w:val="0"/>
      <w:divBdr>
        <w:top w:val="none" w:sz="0" w:space="0" w:color="auto"/>
        <w:left w:val="none" w:sz="0" w:space="0" w:color="auto"/>
        <w:bottom w:val="none" w:sz="0" w:space="0" w:color="auto"/>
        <w:right w:val="none" w:sz="0" w:space="0" w:color="auto"/>
      </w:divBdr>
      <w:divsChild>
        <w:div w:id="117381668">
          <w:marLeft w:val="-720"/>
          <w:marRight w:val="0"/>
          <w:marTop w:val="0"/>
          <w:marBottom w:val="0"/>
          <w:divBdr>
            <w:top w:val="none" w:sz="0" w:space="0" w:color="auto"/>
            <w:left w:val="none" w:sz="0" w:space="0" w:color="auto"/>
            <w:bottom w:val="none" w:sz="0" w:space="0" w:color="auto"/>
            <w:right w:val="none" w:sz="0" w:space="0" w:color="auto"/>
          </w:divBdr>
        </w:div>
      </w:divsChild>
    </w:div>
    <w:div w:id="1750997892">
      <w:bodyDiv w:val="1"/>
      <w:marLeft w:val="0"/>
      <w:marRight w:val="0"/>
      <w:marTop w:val="0"/>
      <w:marBottom w:val="0"/>
      <w:divBdr>
        <w:top w:val="none" w:sz="0" w:space="0" w:color="auto"/>
        <w:left w:val="none" w:sz="0" w:space="0" w:color="auto"/>
        <w:bottom w:val="none" w:sz="0" w:space="0" w:color="auto"/>
        <w:right w:val="none" w:sz="0" w:space="0" w:color="auto"/>
      </w:divBdr>
    </w:div>
    <w:div w:id="1755124995">
      <w:bodyDiv w:val="1"/>
      <w:marLeft w:val="0"/>
      <w:marRight w:val="0"/>
      <w:marTop w:val="0"/>
      <w:marBottom w:val="0"/>
      <w:divBdr>
        <w:top w:val="none" w:sz="0" w:space="0" w:color="auto"/>
        <w:left w:val="none" w:sz="0" w:space="0" w:color="auto"/>
        <w:bottom w:val="none" w:sz="0" w:space="0" w:color="auto"/>
        <w:right w:val="none" w:sz="0" w:space="0" w:color="auto"/>
      </w:divBdr>
    </w:div>
    <w:div w:id="1807963823">
      <w:bodyDiv w:val="1"/>
      <w:marLeft w:val="0"/>
      <w:marRight w:val="0"/>
      <w:marTop w:val="0"/>
      <w:marBottom w:val="0"/>
      <w:divBdr>
        <w:top w:val="none" w:sz="0" w:space="0" w:color="auto"/>
        <w:left w:val="none" w:sz="0" w:space="0" w:color="auto"/>
        <w:bottom w:val="none" w:sz="0" w:space="0" w:color="auto"/>
        <w:right w:val="none" w:sz="0" w:space="0" w:color="auto"/>
      </w:divBdr>
      <w:divsChild>
        <w:div w:id="690298689">
          <w:marLeft w:val="0"/>
          <w:marRight w:val="0"/>
          <w:marTop w:val="0"/>
          <w:marBottom w:val="0"/>
          <w:divBdr>
            <w:top w:val="none" w:sz="0" w:space="0" w:color="auto"/>
            <w:left w:val="none" w:sz="0" w:space="0" w:color="auto"/>
            <w:bottom w:val="none" w:sz="0" w:space="0" w:color="auto"/>
            <w:right w:val="none" w:sz="0" w:space="0" w:color="auto"/>
          </w:divBdr>
          <w:divsChild>
            <w:div w:id="263266204">
              <w:marLeft w:val="0"/>
              <w:marRight w:val="0"/>
              <w:marTop w:val="0"/>
              <w:marBottom w:val="0"/>
              <w:divBdr>
                <w:top w:val="none" w:sz="0" w:space="0" w:color="auto"/>
                <w:left w:val="none" w:sz="0" w:space="0" w:color="auto"/>
                <w:bottom w:val="none" w:sz="0" w:space="0" w:color="auto"/>
                <w:right w:val="none" w:sz="0" w:space="0" w:color="auto"/>
              </w:divBdr>
              <w:divsChild>
                <w:div w:id="590239640">
                  <w:marLeft w:val="0"/>
                  <w:marRight w:val="0"/>
                  <w:marTop w:val="0"/>
                  <w:marBottom w:val="0"/>
                  <w:divBdr>
                    <w:top w:val="none" w:sz="0" w:space="0" w:color="auto"/>
                    <w:left w:val="none" w:sz="0" w:space="0" w:color="auto"/>
                    <w:bottom w:val="none" w:sz="0" w:space="0" w:color="auto"/>
                    <w:right w:val="none" w:sz="0" w:space="0" w:color="auto"/>
                  </w:divBdr>
                  <w:divsChild>
                    <w:div w:id="52389347">
                      <w:marLeft w:val="0"/>
                      <w:marRight w:val="0"/>
                      <w:marTop w:val="0"/>
                      <w:marBottom w:val="0"/>
                      <w:divBdr>
                        <w:top w:val="none" w:sz="0" w:space="0" w:color="auto"/>
                        <w:left w:val="none" w:sz="0" w:space="0" w:color="auto"/>
                        <w:bottom w:val="none" w:sz="0" w:space="0" w:color="auto"/>
                        <w:right w:val="none" w:sz="0" w:space="0" w:color="auto"/>
                      </w:divBdr>
                    </w:div>
                    <w:div w:id="1673219845">
                      <w:marLeft w:val="0"/>
                      <w:marRight w:val="0"/>
                      <w:marTop w:val="0"/>
                      <w:marBottom w:val="0"/>
                      <w:divBdr>
                        <w:top w:val="none" w:sz="0" w:space="0" w:color="auto"/>
                        <w:left w:val="none" w:sz="0" w:space="0" w:color="auto"/>
                        <w:bottom w:val="none" w:sz="0" w:space="0" w:color="auto"/>
                        <w:right w:val="none" w:sz="0" w:space="0" w:color="auto"/>
                      </w:divBdr>
                    </w:div>
                  </w:divsChild>
                </w:div>
                <w:div w:id="720522683">
                  <w:marLeft w:val="0"/>
                  <w:marRight w:val="0"/>
                  <w:marTop w:val="0"/>
                  <w:marBottom w:val="0"/>
                  <w:divBdr>
                    <w:top w:val="none" w:sz="0" w:space="0" w:color="auto"/>
                    <w:left w:val="none" w:sz="0" w:space="0" w:color="auto"/>
                    <w:bottom w:val="none" w:sz="0" w:space="0" w:color="auto"/>
                    <w:right w:val="none" w:sz="0" w:space="0" w:color="auto"/>
                  </w:divBdr>
                  <w:divsChild>
                    <w:div w:id="963002622">
                      <w:marLeft w:val="0"/>
                      <w:marRight w:val="0"/>
                      <w:marTop w:val="0"/>
                      <w:marBottom w:val="0"/>
                      <w:divBdr>
                        <w:top w:val="none" w:sz="0" w:space="0" w:color="auto"/>
                        <w:left w:val="none" w:sz="0" w:space="0" w:color="auto"/>
                        <w:bottom w:val="none" w:sz="0" w:space="0" w:color="auto"/>
                        <w:right w:val="none" w:sz="0" w:space="0" w:color="auto"/>
                      </w:divBdr>
                    </w:div>
                    <w:div w:id="1928343873">
                      <w:marLeft w:val="0"/>
                      <w:marRight w:val="0"/>
                      <w:marTop w:val="0"/>
                      <w:marBottom w:val="0"/>
                      <w:divBdr>
                        <w:top w:val="none" w:sz="0" w:space="0" w:color="auto"/>
                        <w:left w:val="none" w:sz="0" w:space="0" w:color="auto"/>
                        <w:bottom w:val="none" w:sz="0" w:space="0" w:color="auto"/>
                        <w:right w:val="none" w:sz="0" w:space="0" w:color="auto"/>
                      </w:divBdr>
                    </w:div>
                  </w:divsChild>
                </w:div>
                <w:div w:id="1909418578">
                  <w:marLeft w:val="0"/>
                  <w:marRight w:val="0"/>
                  <w:marTop w:val="0"/>
                  <w:marBottom w:val="0"/>
                  <w:divBdr>
                    <w:top w:val="none" w:sz="0" w:space="0" w:color="auto"/>
                    <w:left w:val="none" w:sz="0" w:space="0" w:color="auto"/>
                    <w:bottom w:val="none" w:sz="0" w:space="0" w:color="auto"/>
                    <w:right w:val="none" w:sz="0" w:space="0" w:color="auto"/>
                  </w:divBdr>
                  <w:divsChild>
                    <w:div w:id="791901240">
                      <w:marLeft w:val="0"/>
                      <w:marRight w:val="0"/>
                      <w:marTop w:val="0"/>
                      <w:marBottom w:val="0"/>
                      <w:divBdr>
                        <w:top w:val="none" w:sz="0" w:space="0" w:color="auto"/>
                        <w:left w:val="none" w:sz="0" w:space="0" w:color="auto"/>
                        <w:bottom w:val="none" w:sz="0" w:space="0" w:color="auto"/>
                        <w:right w:val="none" w:sz="0" w:space="0" w:color="auto"/>
                      </w:divBdr>
                    </w:div>
                    <w:div w:id="89543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031445">
          <w:marLeft w:val="0"/>
          <w:marRight w:val="0"/>
          <w:marTop w:val="0"/>
          <w:marBottom w:val="0"/>
          <w:divBdr>
            <w:top w:val="none" w:sz="0" w:space="0" w:color="auto"/>
            <w:left w:val="none" w:sz="0" w:space="0" w:color="auto"/>
            <w:bottom w:val="none" w:sz="0" w:space="0" w:color="auto"/>
            <w:right w:val="none" w:sz="0" w:space="0" w:color="auto"/>
          </w:divBdr>
          <w:divsChild>
            <w:div w:id="948243195">
              <w:marLeft w:val="0"/>
              <w:marRight w:val="0"/>
              <w:marTop w:val="0"/>
              <w:marBottom w:val="0"/>
              <w:divBdr>
                <w:top w:val="none" w:sz="0" w:space="0" w:color="auto"/>
                <w:left w:val="none" w:sz="0" w:space="0" w:color="auto"/>
                <w:bottom w:val="none" w:sz="0" w:space="0" w:color="auto"/>
                <w:right w:val="none" w:sz="0" w:space="0" w:color="auto"/>
              </w:divBdr>
              <w:divsChild>
                <w:div w:id="848448078">
                  <w:marLeft w:val="0"/>
                  <w:marRight w:val="0"/>
                  <w:marTop w:val="0"/>
                  <w:marBottom w:val="0"/>
                  <w:divBdr>
                    <w:top w:val="none" w:sz="0" w:space="0" w:color="auto"/>
                    <w:left w:val="none" w:sz="0" w:space="0" w:color="auto"/>
                    <w:bottom w:val="none" w:sz="0" w:space="0" w:color="auto"/>
                    <w:right w:val="none" w:sz="0" w:space="0" w:color="auto"/>
                  </w:divBdr>
                  <w:divsChild>
                    <w:div w:id="462118282">
                      <w:marLeft w:val="0"/>
                      <w:marRight w:val="0"/>
                      <w:marTop w:val="0"/>
                      <w:marBottom w:val="0"/>
                      <w:divBdr>
                        <w:top w:val="none" w:sz="0" w:space="0" w:color="auto"/>
                        <w:left w:val="none" w:sz="0" w:space="0" w:color="auto"/>
                        <w:bottom w:val="none" w:sz="0" w:space="0" w:color="auto"/>
                        <w:right w:val="none" w:sz="0" w:space="0" w:color="auto"/>
                      </w:divBdr>
                    </w:div>
                    <w:div w:id="529878409">
                      <w:marLeft w:val="0"/>
                      <w:marRight w:val="0"/>
                      <w:marTop w:val="0"/>
                      <w:marBottom w:val="0"/>
                      <w:divBdr>
                        <w:top w:val="none" w:sz="0" w:space="0" w:color="auto"/>
                        <w:left w:val="none" w:sz="0" w:space="0" w:color="auto"/>
                        <w:bottom w:val="none" w:sz="0" w:space="0" w:color="auto"/>
                        <w:right w:val="none" w:sz="0" w:space="0" w:color="auto"/>
                      </w:divBdr>
                    </w:div>
                  </w:divsChild>
                </w:div>
                <w:div w:id="1886479625">
                  <w:marLeft w:val="0"/>
                  <w:marRight w:val="0"/>
                  <w:marTop w:val="0"/>
                  <w:marBottom w:val="0"/>
                  <w:divBdr>
                    <w:top w:val="none" w:sz="0" w:space="0" w:color="auto"/>
                    <w:left w:val="none" w:sz="0" w:space="0" w:color="auto"/>
                    <w:bottom w:val="none" w:sz="0" w:space="0" w:color="auto"/>
                    <w:right w:val="none" w:sz="0" w:space="0" w:color="auto"/>
                  </w:divBdr>
                  <w:divsChild>
                    <w:div w:id="70464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758097">
      <w:bodyDiv w:val="1"/>
      <w:marLeft w:val="0"/>
      <w:marRight w:val="0"/>
      <w:marTop w:val="0"/>
      <w:marBottom w:val="0"/>
      <w:divBdr>
        <w:top w:val="none" w:sz="0" w:space="0" w:color="auto"/>
        <w:left w:val="none" w:sz="0" w:space="0" w:color="auto"/>
        <w:bottom w:val="none" w:sz="0" w:space="0" w:color="auto"/>
        <w:right w:val="none" w:sz="0" w:space="0" w:color="auto"/>
      </w:divBdr>
      <w:divsChild>
        <w:div w:id="671686543">
          <w:marLeft w:val="0"/>
          <w:marRight w:val="0"/>
          <w:marTop w:val="0"/>
          <w:marBottom w:val="0"/>
          <w:divBdr>
            <w:top w:val="none" w:sz="0" w:space="0" w:color="auto"/>
            <w:left w:val="none" w:sz="0" w:space="0" w:color="auto"/>
            <w:bottom w:val="none" w:sz="0" w:space="0" w:color="auto"/>
            <w:right w:val="none" w:sz="0" w:space="0" w:color="auto"/>
          </w:divBdr>
          <w:divsChild>
            <w:div w:id="111023487">
              <w:marLeft w:val="0"/>
              <w:marRight w:val="0"/>
              <w:marTop w:val="0"/>
              <w:marBottom w:val="0"/>
              <w:divBdr>
                <w:top w:val="none" w:sz="0" w:space="0" w:color="auto"/>
                <w:left w:val="none" w:sz="0" w:space="0" w:color="auto"/>
                <w:bottom w:val="none" w:sz="0" w:space="0" w:color="auto"/>
                <w:right w:val="none" w:sz="0" w:space="0" w:color="auto"/>
              </w:divBdr>
              <w:divsChild>
                <w:div w:id="85658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220812">
          <w:marLeft w:val="0"/>
          <w:marRight w:val="0"/>
          <w:marTop w:val="0"/>
          <w:marBottom w:val="0"/>
          <w:divBdr>
            <w:top w:val="none" w:sz="0" w:space="0" w:color="auto"/>
            <w:left w:val="none" w:sz="0" w:space="0" w:color="auto"/>
            <w:bottom w:val="none" w:sz="0" w:space="0" w:color="auto"/>
            <w:right w:val="none" w:sz="0" w:space="0" w:color="auto"/>
          </w:divBdr>
          <w:divsChild>
            <w:div w:id="1324235882">
              <w:marLeft w:val="0"/>
              <w:marRight w:val="0"/>
              <w:marTop w:val="0"/>
              <w:marBottom w:val="0"/>
              <w:divBdr>
                <w:top w:val="none" w:sz="0" w:space="0" w:color="auto"/>
                <w:left w:val="none" w:sz="0" w:space="0" w:color="auto"/>
                <w:bottom w:val="none" w:sz="0" w:space="0" w:color="auto"/>
                <w:right w:val="none" w:sz="0" w:space="0" w:color="auto"/>
              </w:divBdr>
              <w:divsChild>
                <w:div w:id="153603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745545">
          <w:marLeft w:val="0"/>
          <w:marRight w:val="0"/>
          <w:marTop w:val="0"/>
          <w:marBottom w:val="0"/>
          <w:divBdr>
            <w:top w:val="none" w:sz="0" w:space="0" w:color="auto"/>
            <w:left w:val="none" w:sz="0" w:space="0" w:color="auto"/>
            <w:bottom w:val="none" w:sz="0" w:space="0" w:color="auto"/>
            <w:right w:val="none" w:sz="0" w:space="0" w:color="auto"/>
          </w:divBdr>
          <w:divsChild>
            <w:div w:id="1616135962">
              <w:marLeft w:val="0"/>
              <w:marRight w:val="0"/>
              <w:marTop w:val="0"/>
              <w:marBottom w:val="0"/>
              <w:divBdr>
                <w:top w:val="none" w:sz="0" w:space="0" w:color="auto"/>
                <w:left w:val="none" w:sz="0" w:space="0" w:color="auto"/>
                <w:bottom w:val="none" w:sz="0" w:space="0" w:color="auto"/>
                <w:right w:val="none" w:sz="0" w:space="0" w:color="auto"/>
              </w:divBdr>
              <w:divsChild>
                <w:div w:id="154431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418347">
          <w:marLeft w:val="0"/>
          <w:marRight w:val="0"/>
          <w:marTop w:val="0"/>
          <w:marBottom w:val="0"/>
          <w:divBdr>
            <w:top w:val="none" w:sz="0" w:space="0" w:color="auto"/>
            <w:left w:val="none" w:sz="0" w:space="0" w:color="auto"/>
            <w:bottom w:val="none" w:sz="0" w:space="0" w:color="auto"/>
            <w:right w:val="none" w:sz="0" w:space="0" w:color="auto"/>
          </w:divBdr>
          <w:divsChild>
            <w:div w:id="1709187380">
              <w:marLeft w:val="0"/>
              <w:marRight w:val="0"/>
              <w:marTop w:val="0"/>
              <w:marBottom w:val="0"/>
              <w:divBdr>
                <w:top w:val="none" w:sz="0" w:space="0" w:color="auto"/>
                <w:left w:val="none" w:sz="0" w:space="0" w:color="auto"/>
                <w:bottom w:val="none" w:sz="0" w:space="0" w:color="auto"/>
                <w:right w:val="none" w:sz="0" w:space="0" w:color="auto"/>
              </w:divBdr>
              <w:divsChild>
                <w:div w:id="152170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673519">
          <w:marLeft w:val="0"/>
          <w:marRight w:val="0"/>
          <w:marTop w:val="0"/>
          <w:marBottom w:val="0"/>
          <w:divBdr>
            <w:top w:val="none" w:sz="0" w:space="0" w:color="auto"/>
            <w:left w:val="none" w:sz="0" w:space="0" w:color="auto"/>
            <w:bottom w:val="none" w:sz="0" w:space="0" w:color="auto"/>
            <w:right w:val="none" w:sz="0" w:space="0" w:color="auto"/>
          </w:divBdr>
          <w:divsChild>
            <w:div w:id="283580968">
              <w:marLeft w:val="0"/>
              <w:marRight w:val="0"/>
              <w:marTop w:val="0"/>
              <w:marBottom w:val="0"/>
              <w:divBdr>
                <w:top w:val="none" w:sz="0" w:space="0" w:color="auto"/>
                <w:left w:val="none" w:sz="0" w:space="0" w:color="auto"/>
                <w:bottom w:val="none" w:sz="0" w:space="0" w:color="auto"/>
                <w:right w:val="none" w:sz="0" w:space="0" w:color="auto"/>
              </w:divBdr>
              <w:divsChild>
                <w:div w:id="7527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228603">
          <w:marLeft w:val="0"/>
          <w:marRight w:val="0"/>
          <w:marTop w:val="0"/>
          <w:marBottom w:val="0"/>
          <w:divBdr>
            <w:top w:val="none" w:sz="0" w:space="0" w:color="auto"/>
            <w:left w:val="none" w:sz="0" w:space="0" w:color="auto"/>
            <w:bottom w:val="none" w:sz="0" w:space="0" w:color="auto"/>
            <w:right w:val="none" w:sz="0" w:space="0" w:color="auto"/>
          </w:divBdr>
          <w:divsChild>
            <w:div w:id="1240747006">
              <w:marLeft w:val="0"/>
              <w:marRight w:val="0"/>
              <w:marTop w:val="0"/>
              <w:marBottom w:val="0"/>
              <w:divBdr>
                <w:top w:val="none" w:sz="0" w:space="0" w:color="auto"/>
                <w:left w:val="none" w:sz="0" w:space="0" w:color="auto"/>
                <w:bottom w:val="none" w:sz="0" w:space="0" w:color="auto"/>
                <w:right w:val="none" w:sz="0" w:space="0" w:color="auto"/>
              </w:divBdr>
              <w:divsChild>
                <w:div w:id="132365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51414">
      <w:bodyDiv w:val="1"/>
      <w:marLeft w:val="0"/>
      <w:marRight w:val="0"/>
      <w:marTop w:val="0"/>
      <w:marBottom w:val="0"/>
      <w:divBdr>
        <w:top w:val="none" w:sz="0" w:space="0" w:color="auto"/>
        <w:left w:val="none" w:sz="0" w:space="0" w:color="auto"/>
        <w:bottom w:val="none" w:sz="0" w:space="0" w:color="auto"/>
        <w:right w:val="none" w:sz="0" w:space="0" w:color="auto"/>
      </w:divBdr>
      <w:divsChild>
        <w:div w:id="152650156">
          <w:marLeft w:val="0"/>
          <w:marRight w:val="0"/>
          <w:marTop w:val="0"/>
          <w:marBottom w:val="0"/>
          <w:divBdr>
            <w:top w:val="none" w:sz="0" w:space="0" w:color="auto"/>
            <w:left w:val="none" w:sz="0" w:space="0" w:color="auto"/>
            <w:bottom w:val="none" w:sz="0" w:space="0" w:color="auto"/>
            <w:right w:val="none" w:sz="0" w:space="0" w:color="auto"/>
          </w:divBdr>
          <w:divsChild>
            <w:div w:id="180122535">
              <w:marLeft w:val="0"/>
              <w:marRight w:val="0"/>
              <w:marTop w:val="0"/>
              <w:marBottom w:val="0"/>
              <w:divBdr>
                <w:top w:val="none" w:sz="0" w:space="0" w:color="auto"/>
                <w:left w:val="none" w:sz="0" w:space="0" w:color="auto"/>
                <w:bottom w:val="none" w:sz="0" w:space="0" w:color="auto"/>
                <w:right w:val="none" w:sz="0" w:space="0" w:color="auto"/>
              </w:divBdr>
              <w:divsChild>
                <w:div w:id="67751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072375">
      <w:bodyDiv w:val="1"/>
      <w:marLeft w:val="0"/>
      <w:marRight w:val="0"/>
      <w:marTop w:val="0"/>
      <w:marBottom w:val="0"/>
      <w:divBdr>
        <w:top w:val="none" w:sz="0" w:space="0" w:color="auto"/>
        <w:left w:val="none" w:sz="0" w:space="0" w:color="auto"/>
        <w:bottom w:val="none" w:sz="0" w:space="0" w:color="auto"/>
        <w:right w:val="none" w:sz="0" w:space="0" w:color="auto"/>
      </w:divBdr>
    </w:div>
    <w:div w:id="1990867312">
      <w:bodyDiv w:val="1"/>
      <w:marLeft w:val="0"/>
      <w:marRight w:val="0"/>
      <w:marTop w:val="0"/>
      <w:marBottom w:val="0"/>
      <w:divBdr>
        <w:top w:val="none" w:sz="0" w:space="0" w:color="auto"/>
        <w:left w:val="none" w:sz="0" w:space="0" w:color="auto"/>
        <w:bottom w:val="none" w:sz="0" w:space="0" w:color="auto"/>
        <w:right w:val="none" w:sz="0" w:space="0" w:color="auto"/>
      </w:divBdr>
    </w:div>
    <w:div w:id="2030444916">
      <w:bodyDiv w:val="1"/>
      <w:marLeft w:val="0"/>
      <w:marRight w:val="0"/>
      <w:marTop w:val="0"/>
      <w:marBottom w:val="0"/>
      <w:divBdr>
        <w:top w:val="none" w:sz="0" w:space="0" w:color="auto"/>
        <w:left w:val="none" w:sz="0" w:space="0" w:color="auto"/>
        <w:bottom w:val="none" w:sz="0" w:space="0" w:color="auto"/>
        <w:right w:val="none" w:sz="0" w:space="0" w:color="auto"/>
      </w:divBdr>
    </w:div>
    <w:div w:id="20347700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B58E7-886D-4283-B223-759A010CB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3342</TotalTime>
  <Pages>25</Pages>
  <Words>6601</Words>
  <Characters>37626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PC</cp:lastModifiedBy>
  <cp:revision>18</cp:revision>
  <dcterms:created xsi:type="dcterms:W3CDTF">2025-12-12T10:48:00Z</dcterms:created>
  <dcterms:modified xsi:type="dcterms:W3CDTF">2026-02-21T07:48:00Z</dcterms:modified>
</cp:coreProperties>
</file>