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A0BECB" w14:textId="2B855079" w:rsidR="001B6682" w:rsidRPr="00696665" w:rsidRDefault="001B6682" w:rsidP="00720E90">
      <w:pPr>
        <w:rPr>
          <w:rFonts w:ascii="Times New Roman" w:hAnsi="Times New Roman" w:cs="Times New Roman"/>
          <w:sz w:val="28"/>
          <w:szCs w:val="28"/>
        </w:rPr>
      </w:pPr>
      <w:r w:rsidRPr="00696665">
        <w:rPr>
          <w:rFonts w:ascii="Times New Roman" w:hAnsi="Times New Roman" w:cs="Times New Roman"/>
          <w:sz w:val="28"/>
          <w:szCs w:val="28"/>
        </w:rPr>
        <w:t>How effectively has the police service adapted to accommodate diversity within the UK? Consider the police force itself and/or the way police engage with diverse communities.</w:t>
      </w:r>
    </w:p>
    <w:p w14:paraId="74E7DE04" w14:textId="77777777" w:rsidR="001B6682" w:rsidRPr="00696665" w:rsidRDefault="001B6682" w:rsidP="00720E90">
      <w:pPr>
        <w:rPr>
          <w:rFonts w:ascii="Times New Roman" w:hAnsi="Times New Roman" w:cs="Times New Roman"/>
          <w:sz w:val="28"/>
          <w:szCs w:val="28"/>
        </w:rPr>
      </w:pPr>
    </w:p>
    <w:p w14:paraId="1CE5BAD1" w14:textId="1481786B" w:rsidR="001B6682" w:rsidRPr="00696665" w:rsidRDefault="001B6682" w:rsidP="001B6682">
      <w:pPr>
        <w:rPr>
          <w:rFonts w:ascii="Times New Roman" w:hAnsi="Times New Roman" w:cs="Times New Roman"/>
          <w:sz w:val="28"/>
          <w:szCs w:val="28"/>
        </w:rPr>
      </w:pPr>
      <w:r w:rsidRPr="00696665">
        <w:rPr>
          <w:rFonts w:ascii="Times New Roman" w:hAnsi="Times New Roman" w:cs="Times New Roman"/>
          <w:sz w:val="28"/>
          <w:szCs w:val="28"/>
        </w:rPr>
        <w:t xml:space="preserve">The police service in the United Kingdom has undergone changes to reflect the country’s diverse population. This </w:t>
      </w:r>
      <w:r w:rsidR="00F358BB">
        <w:rPr>
          <w:rFonts w:ascii="Times New Roman" w:hAnsi="Times New Roman" w:cs="Times New Roman"/>
          <w:sz w:val="28"/>
          <w:szCs w:val="28"/>
        </w:rPr>
        <w:t>essay</w:t>
      </w:r>
      <w:r w:rsidRPr="00696665">
        <w:rPr>
          <w:rFonts w:ascii="Times New Roman" w:hAnsi="Times New Roman" w:cs="Times New Roman"/>
          <w:sz w:val="28"/>
          <w:szCs w:val="28"/>
        </w:rPr>
        <w:t xml:space="preserve"> delves into how these adjustments have impacted diversity within the UK police force. </w:t>
      </w:r>
      <w:r w:rsidR="00F358BB">
        <w:rPr>
          <w:rFonts w:ascii="Times New Roman" w:hAnsi="Times New Roman" w:cs="Times New Roman"/>
          <w:sz w:val="28"/>
          <w:szCs w:val="28"/>
        </w:rPr>
        <w:t>T</w:t>
      </w:r>
      <w:r w:rsidRPr="00696665">
        <w:rPr>
          <w:rFonts w:ascii="Times New Roman" w:hAnsi="Times New Roman" w:cs="Times New Roman"/>
          <w:sz w:val="28"/>
          <w:szCs w:val="28"/>
        </w:rPr>
        <w:t xml:space="preserve">his </w:t>
      </w:r>
      <w:r w:rsidR="00F358BB">
        <w:rPr>
          <w:rFonts w:ascii="Times New Roman" w:hAnsi="Times New Roman" w:cs="Times New Roman"/>
          <w:sz w:val="28"/>
          <w:szCs w:val="28"/>
        </w:rPr>
        <w:t>essay</w:t>
      </w:r>
      <w:r w:rsidRPr="00696665">
        <w:rPr>
          <w:rFonts w:ascii="Times New Roman" w:hAnsi="Times New Roman" w:cs="Times New Roman"/>
          <w:sz w:val="28"/>
          <w:szCs w:val="28"/>
        </w:rPr>
        <w:t xml:space="preserve"> aims to offer an examination of the progress achieved and the obstacles that still exist</w:t>
      </w:r>
      <w:r w:rsidR="00F358BB">
        <w:rPr>
          <w:rFonts w:ascii="Times New Roman" w:hAnsi="Times New Roman" w:cs="Times New Roman"/>
          <w:sz w:val="28"/>
          <w:szCs w:val="28"/>
        </w:rPr>
        <w:t xml:space="preserve"> b</w:t>
      </w:r>
      <w:r w:rsidR="00F358BB" w:rsidRPr="00696665">
        <w:rPr>
          <w:rFonts w:ascii="Times New Roman" w:hAnsi="Times New Roman" w:cs="Times New Roman"/>
          <w:sz w:val="28"/>
          <w:szCs w:val="28"/>
        </w:rPr>
        <w:t>y looking at recruitment methods</w:t>
      </w:r>
      <w:r w:rsidR="00F358BB">
        <w:rPr>
          <w:rFonts w:ascii="Times New Roman" w:hAnsi="Times New Roman" w:cs="Times New Roman"/>
          <w:sz w:val="28"/>
          <w:szCs w:val="28"/>
        </w:rPr>
        <w:t>,</w:t>
      </w:r>
      <w:r w:rsidR="00F358BB" w:rsidRPr="00696665">
        <w:rPr>
          <w:rFonts w:ascii="Times New Roman" w:hAnsi="Times New Roman" w:cs="Times New Roman"/>
          <w:sz w:val="28"/>
          <w:szCs w:val="28"/>
        </w:rPr>
        <w:t xml:space="preserve"> training initiatives, community involvement and policy structures</w:t>
      </w:r>
      <w:r w:rsidR="00F358BB">
        <w:rPr>
          <w:rFonts w:ascii="Times New Roman" w:hAnsi="Times New Roman" w:cs="Times New Roman"/>
          <w:sz w:val="28"/>
          <w:szCs w:val="28"/>
        </w:rPr>
        <w:t>.</w:t>
      </w:r>
    </w:p>
    <w:p w14:paraId="343CAA0F" w14:textId="1C23A278" w:rsidR="001B6682" w:rsidRPr="00696665" w:rsidRDefault="001B6682" w:rsidP="001B6682">
      <w:pPr>
        <w:rPr>
          <w:rFonts w:ascii="Times New Roman" w:hAnsi="Times New Roman" w:cs="Times New Roman"/>
          <w:sz w:val="28"/>
          <w:szCs w:val="28"/>
        </w:rPr>
      </w:pPr>
      <w:r w:rsidRPr="00696665">
        <w:rPr>
          <w:rFonts w:ascii="Times New Roman" w:hAnsi="Times New Roman" w:cs="Times New Roman"/>
          <w:sz w:val="28"/>
          <w:szCs w:val="28"/>
        </w:rPr>
        <w:t xml:space="preserve">In decades, the UK has experienced shifts in its population makeup, marked by a rise in cultural, ethnic, and religious diversity. These transformations have presented challenges for established institutions like </w:t>
      </w:r>
      <w:r w:rsidR="00F358BB">
        <w:rPr>
          <w:rFonts w:ascii="Times New Roman" w:hAnsi="Times New Roman" w:cs="Times New Roman"/>
          <w:sz w:val="28"/>
          <w:szCs w:val="28"/>
        </w:rPr>
        <w:t>police forces</w:t>
      </w:r>
      <w:r w:rsidRPr="00696665">
        <w:rPr>
          <w:rFonts w:ascii="Times New Roman" w:hAnsi="Times New Roman" w:cs="Times New Roman"/>
          <w:sz w:val="28"/>
          <w:szCs w:val="28"/>
        </w:rPr>
        <w:t xml:space="preserve">, necessitating adaptation. </w:t>
      </w:r>
      <w:r w:rsidR="00F358BB">
        <w:rPr>
          <w:rFonts w:ascii="Times New Roman" w:hAnsi="Times New Roman" w:cs="Times New Roman"/>
          <w:sz w:val="28"/>
          <w:szCs w:val="28"/>
        </w:rPr>
        <w:t>The police</w:t>
      </w:r>
      <w:r w:rsidRPr="00696665">
        <w:rPr>
          <w:rFonts w:ascii="Times New Roman" w:hAnsi="Times New Roman" w:cs="Times New Roman"/>
          <w:sz w:val="28"/>
          <w:szCs w:val="28"/>
        </w:rPr>
        <w:t xml:space="preserve"> play a role in maintaining safety and upholding legal standards; thus, it is essential for them to mirror and serve the communities they protect. Historically criticised for their lack of diversity and instances of bias police forces have taken steps towards inclusivity. </w:t>
      </w:r>
      <w:r w:rsidR="00F358BB">
        <w:rPr>
          <w:rFonts w:ascii="Times New Roman" w:hAnsi="Times New Roman" w:cs="Times New Roman"/>
          <w:sz w:val="28"/>
          <w:szCs w:val="28"/>
        </w:rPr>
        <w:t xml:space="preserve">Over the years attempts have been made to address </w:t>
      </w:r>
      <w:r w:rsidRPr="00696665">
        <w:rPr>
          <w:rFonts w:ascii="Times New Roman" w:hAnsi="Times New Roman" w:cs="Times New Roman"/>
          <w:sz w:val="28"/>
          <w:szCs w:val="28"/>
        </w:rPr>
        <w:t>these issues</w:t>
      </w:r>
      <w:r w:rsidR="00F358BB">
        <w:rPr>
          <w:rFonts w:ascii="Times New Roman" w:hAnsi="Times New Roman" w:cs="Times New Roman"/>
          <w:sz w:val="28"/>
          <w:szCs w:val="28"/>
        </w:rPr>
        <w:t>, (Smith and Johnston, 2018.)</w:t>
      </w:r>
    </w:p>
    <w:p w14:paraId="1654DBE4" w14:textId="2A19B3B7" w:rsidR="001B6682" w:rsidRPr="00696665" w:rsidRDefault="001B6682" w:rsidP="001B6682">
      <w:pPr>
        <w:rPr>
          <w:rFonts w:ascii="Times New Roman" w:hAnsi="Times New Roman" w:cs="Times New Roman"/>
          <w:sz w:val="28"/>
          <w:szCs w:val="28"/>
        </w:rPr>
      </w:pPr>
      <w:r w:rsidRPr="00696665">
        <w:rPr>
          <w:rFonts w:ascii="Times New Roman" w:hAnsi="Times New Roman" w:cs="Times New Roman"/>
          <w:sz w:val="28"/>
          <w:szCs w:val="28"/>
        </w:rPr>
        <w:t xml:space="preserve">Recruitment stands as a stage in fostering diversity within </w:t>
      </w:r>
      <w:r w:rsidR="00B33C91">
        <w:rPr>
          <w:rFonts w:ascii="Times New Roman" w:hAnsi="Times New Roman" w:cs="Times New Roman"/>
          <w:sz w:val="28"/>
          <w:szCs w:val="28"/>
        </w:rPr>
        <w:t>the police force</w:t>
      </w:r>
      <w:r w:rsidRPr="00696665">
        <w:rPr>
          <w:rFonts w:ascii="Times New Roman" w:hAnsi="Times New Roman" w:cs="Times New Roman"/>
          <w:sz w:val="28"/>
          <w:szCs w:val="28"/>
        </w:rPr>
        <w:t xml:space="preserve">. Various initiatives have been implemented over time to attract candidates from </w:t>
      </w:r>
      <w:r w:rsidR="00B33C91">
        <w:rPr>
          <w:rFonts w:ascii="Times New Roman" w:hAnsi="Times New Roman" w:cs="Times New Roman"/>
          <w:sz w:val="28"/>
          <w:szCs w:val="28"/>
        </w:rPr>
        <w:t xml:space="preserve">different </w:t>
      </w:r>
      <w:r w:rsidRPr="00696665">
        <w:rPr>
          <w:rFonts w:ascii="Times New Roman" w:hAnsi="Times New Roman" w:cs="Times New Roman"/>
          <w:sz w:val="28"/>
          <w:szCs w:val="28"/>
        </w:rPr>
        <w:t>backgrounds. Introducing action measures such as targeted recruitment drives and outreach programs has proven instrumental in enhancing minority representation within police departments (Bowling, 2019). These programs are designed to attract individuals</w:t>
      </w:r>
      <w:r w:rsidR="00B33C91">
        <w:rPr>
          <w:rFonts w:ascii="Times New Roman" w:hAnsi="Times New Roman" w:cs="Times New Roman"/>
          <w:sz w:val="28"/>
          <w:szCs w:val="28"/>
        </w:rPr>
        <w:t xml:space="preserve"> </w:t>
      </w:r>
      <w:r w:rsidRPr="00696665">
        <w:rPr>
          <w:rFonts w:ascii="Times New Roman" w:hAnsi="Times New Roman" w:cs="Times New Roman"/>
          <w:sz w:val="28"/>
          <w:szCs w:val="28"/>
        </w:rPr>
        <w:t xml:space="preserve">such as minorities, women, and LGBTQ+ individuals to consider a career in </w:t>
      </w:r>
      <w:r w:rsidR="00B33C91">
        <w:rPr>
          <w:rFonts w:ascii="Times New Roman" w:hAnsi="Times New Roman" w:cs="Times New Roman"/>
          <w:sz w:val="28"/>
          <w:szCs w:val="28"/>
        </w:rPr>
        <w:t>the police</w:t>
      </w:r>
      <w:r w:rsidRPr="00696665">
        <w:rPr>
          <w:rFonts w:ascii="Times New Roman" w:hAnsi="Times New Roman" w:cs="Times New Roman"/>
          <w:sz w:val="28"/>
          <w:szCs w:val="28"/>
        </w:rPr>
        <w:t xml:space="preserve">. Special programs offer tailored support and recruitment strategies to draw in candidates with </w:t>
      </w:r>
      <w:r w:rsidR="00B33C91">
        <w:rPr>
          <w:rFonts w:ascii="Times New Roman" w:hAnsi="Times New Roman" w:cs="Times New Roman"/>
          <w:sz w:val="28"/>
          <w:szCs w:val="28"/>
        </w:rPr>
        <w:t xml:space="preserve">varying </w:t>
      </w:r>
      <w:r w:rsidRPr="00696665">
        <w:rPr>
          <w:rFonts w:ascii="Times New Roman" w:hAnsi="Times New Roman" w:cs="Times New Roman"/>
          <w:sz w:val="28"/>
          <w:szCs w:val="28"/>
        </w:rPr>
        <w:t xml:space="preserve">experiences thereby enhancing the pool of talent within the police force. An essential aspect of promoting diversity in </w:t>
      </w:r>
      <w:r w:rsidR="00B33C91">
        <w:rPr>
          <w:rFonts w:ascii="Times New Roman" w:hAnsi="Times New Roman" w:cs="Times New Roman"/>
          <w:sz w:val="28"/>
          <w:szCs w:val="28"/>
        </w:rPr>
        <w:t>the police</w:t>
      </w:r>
      <w:r w:rsidRPr="00696665">
        <w:rPr>
          <w:rFonts w:ascii="Times New Roman" w:hAnsi="Times New Roman" w:cs="Times New Roman"/>
          <w:sz w:val="28"/>
          <w:szCs w:val="28"/>
        </w:rPr>
        <w:t xml:space="preserve"> involves enhancing representation across all levels of the organisation, including leadership roles. Recognising the significance of role models and mentors</w:t>
      </w:r>
      <w:r w:rsidR="00B33C91">
        <w:rPr>
          <w:rFonts w:ascii="Times New Roman" w:hAnsi="Times New Roman" w:cs="Times New Roman"/>
          <w:sz w:val="28"/>
          <w:szCs w:val="28"/>
        </w:rPr>
        <w:t>,</w:t>
      </w:r>
      <w:r w:rsidRPr="00696665">
        <w:rPr>
          <w:rFonts w:ascii="Times New Roman" w:hAnsi="Times New Roman" w:cs="Times New Roman"/>
          <w:sz w:val="28"/>
          <w:szCs w:val="28"/>
        </w:rPr>
        <w:t xml:space="preserve"> steps have been taken to increase the presence of minority officers in </w:t>
      </w:r>
      <w:r w:rsidR="00B33C91">
        <w:rPr>
          <w:rFonts w:ascii="Times New Roman" w:hAnsi="Times New Roman" w:cs="Times New Roman"/>
          <w:sz w:val="28"/>
          <w:szCs w:val="28"/>
        </w:rPr>
        <w:t xml:space="preserve">leadership </w:t>
      </w:r>
      <w:r w:rsidRPr="00696665">
        <w:rPr>
          <w:rFonts w:ascii="Times New Roman" w:hAnsi="Times New Roman" w:cs="Times New Roman"/>
          <w:sz w:val="28"/>
          <w:szCs w:val="28"/>
        </w:rPr>
        <w:t>positions. By cultivating a leadership environment, the police can better comprehend and address the needs of diverse communities while also creating avenues for career progression for individuals from underrepresented backgrounds</w:t>
      </w:r>
      <w:r w:rsidR="00B33C91">
        <w:rPr>
          <w:rFonts w:ascii="Times New Roman" w:hAnsi="Times New Roman" w:cs="Times New Roman"/>
          <w:sz w:val="28"/>
          <w:szCs w:val="28"/>
        </w:rPr>
        <w:t>, (Miller and Smith 2020.)</w:t>
      </w:r>
    </w:p>
    <w:p w14:paraId="50847685" w14:textId="2BCA03B7" w:rsidR="001B6682" w:rsidRPr="00696665" w:rsidRDefault="001B6682" w:rsidP="001B6682">
      <w:pPr>
        <w:rPr>
          <w:rFonts w:ascii="Times New Roman" w:hAnsi="Times New Roman" w:cs="Times New Roman"/>
          <w:sz w:val="28"/>
          <w:szCs w:val="28"/>
        </w:rPr>
      </w:pPr>
      <w:r w:rsidRPr="00696665">
        <w:rPr>
          <w:rFonts w:ascii="Times New Roman" w:hAnsi="Times New Roman" w:cs="Times New Roman"/>
          <w:sz w:val="28"/>
          <w:szCs w:val="28"/>
        </w:rPr>
        <w:t>Despite these endeavours disparities persist at ranks where ethnic minorities and women remain underrepresented</w:t>
      </w:r>
      <w:r w:rsidR="00B33C91">
        <w:rPr>
          <w:rFonts w:ascii="Times New Roman" w:hAnsi="Times New Roman" w:cs="Times New Roman"/>
          <w:sz w:val="28"/>
          <w:szCs w:val="28"/>
        </w:rPr>
        <w:t>, (Hargreaves and Lloyd, 2021.)</w:t>
      </w:r>
    </w:p>
    <w:p w14:paraId="04C3AB1B" w14:textId="77777777" w:rsidR="001B6682" w:rsidRPr="00696665" w:rsidRDefault="001B6682" w:rsidP="001B6682">
      <w:pPr>
        <w:rPr>
          <w:rFonts w:ascii="Times New Roman" w:hAnsi="Times New Roman" w:cs="Times New Roman"/>
          <w:sz w:val="28"/>
          <w:szCs w:val="28"/>
        </w:rPr>
      </w:pPr>
    </w:p>
    <w:p w14:paraId="6187D5AA" w14:textId="189B00A7" w:rsidR="001B6682" w:rsidRPr="00696665" w:rsidRDefault="001B6682" w:rsidP="001B6682">
      <w:pPr>
        <w:rPr>
          <w:rFonts w:ascii="Times New Roman" w:hAnsi="Times New Roman" w:cs="Times New Roman"/>
          <w:sz w:val="28"/>
          <w:szCs w:val="28"/>
        </w:rPr>
      </w:pPr>
      <w:r w:rsidRPr="00696665">
        <w:rPr>
          <w:rFonts w:ascii="Times New Roman" w:hAnsi="Times New Roman" w:cs="Times New Roman"/>
          <w:sz w:val="28"/>
          <w:szCs w:val="28"/>
        </w:rPr>
        <w:t>Training plays a role in preparing police officers with the knowledge and competencies to effectively serve diverse communities. Training on competency</w:t>
      </w:r>
      <w:r w:rsidR="00B33C91">
        <w:rPr>
          <w:rFonts w:ascii="Times New Roman" w:hAnsi="Times New Roman" w:cs="Times New Roman"/>
          <w:sz w:val="28"/>
          <w:szCs w:val="28"/>
        </w:rPr>
        <w:t>,</w:t>
      </w:r>
      <w:r w:rsidRPr="00696665">
        <w:rPr>
          <w:rFonts w:ascii="Times New Roman" w:hAnsi="Times New Roman" w:cs="Times New Roman"/>
          <w:sz w:val="28"/>
          <w:szCs w:val="28"/>
        </w:rPr>
        <w:t xml:space="preserve"> unconscious bias awareness</w:t>
      </w:r>
      <w:r w:rsidR="00B33C91">
        <w:rPr>
          <w:rFonts w:ascii="Times New Roman" w:hAnsi="Times New Roman" w:cs="Times New Roman"/>
          <w:sz w:val="28"/>
          <w:szCs w:val="28"/>
        </w:rPr>
        <w:t>,</w:t>
      </w:r>
      <w:r w:rsidRPr="00696665">
        <w:rPr>
          <w:rFonts w:ascii="Times New Roman" w:hAnsi="Times New Roman" w:cs="Times New Roman"/>
          <w:sz w:val="28"/>
          <w:szCs w:val="28"/>
        </w:rPr>
        <w:t xml:space="preserve"> and diversity education has become practice within police training programs. These initiatives aim to promote understanding and empathy among officers which can result in improved interactions with communities.</w:t>
      </w:r>
    </w:p>
    <w:p w14:paraId="331CD711" w14:textId="097C151C" w:rsidR="001B6682" w:rsidRPr="00696665" w:rsidRDefault="001B6682" w:rsidP="001B6682">
      <w:pPr>
        <w:rPr>
          <w:rFonts w:ascii="Times New Roman" w:hAnsi="Times New Roman" w:cs="Times New Roman"/>
          <w:sz w:val="28"/>
          <w:szCs w:val="28"/>
        </w:rPr>
      </w:pPr>
      <w:r w:rsidRPr="00696665">
        <w:rPr>
          <w:rFonts w:ascii="Times New Roman" w:hAnsi="Times New Roman" w:cs="Times New Roman"/>
          <w:sz w:val="28"/>
          <w:szCs w:val="28"/>
        </w:rPr>
        <w:t>However, the effectiveness of training programs aimed at addressing rooted biases and changing behaviour is a topic of discussion (Gelsthorpe, 2018).</w:t>
      </w:r>
    </w:p>
    <w:p w14:paraId="747367C3" w14:textId="77777777" w:rsidR="001B6682" w:rsidRPr="00696665" w:rsidRDefault="001B6682" w:rsidP="001B6682">
      <w:pPr>
        <w:rPr>
          <w:rFonts w:ascii="Times New Roman" w:hAnsi="Times New Roman" w:cs="Times New Roman"/>
          <w:sz w:val="28"/>
          <w:szCs w:val="28"/>
        </w:rPr>
      </w:pPr>
    </w:p>
    <w:p w14:paraId="08132C38" w14:textId="36AFAFA7" w:rsidR="001B6682" w:rsidRPr="00696665" w:rsidRDefault="001B6682" w:rsidP="001B6682">
      <w:pPr>
        <w:rPr>
          <w:rFonts w:ascii="Times New Roman" w:hAnsi="Times New Roman" w:cs="Times New Roman"/>
          <w:sz w:val="28"/>
          <w:szCs w:val="28"/>
        </w:rPr>
      </w:pPr>
      <w:r w:rsidRPr="00696665">
        <w:rPr>
          <w:rFonts w:ascii="Times New Roman" w:hAnsi="Times New Roman" w:cs="Times New Roman"/>
          <w:sz w:val="28"/>
          <w:szCs w:val="28"/>
        </w:rPr>
        <w:t xml:space="preserve">Establishing trust and rapport within communities plays a role in effective policing. Police </w:t>
      </w:r>
      <w:r w:rsidR="00B33C91">
        <w:rPr>
          <w:rFonts w:ascii="Times New Roman" w:hAnsi="Times New Roman" w:cs="Times New Roman"/>
          <w:sz w:val="28"/>
          <w:szCs w:val="28"/>
        </w:rPr>
        <w:t>forces</w:t>
      </w:r>
      <w:r w:rsidRPr="00696665">
        <w:rPr>
          <w:rFonts w:ascii="Times New Roman" w:hAnsi="Times New Roman" w:cs="Times New Roman"/>
          <w:sz w:val="28"/>
          <w:szCs w:val="28"/>
        </w:rPr>
        <w:t xml:space="preserve"> throughout the UK have put in</w:t>
      </w:r>
      <w:r w:rsidR="00B33C91">
        <w:rPr>
          <w:rFonts w:ascii="Times New Roman" w:hAnsi="Times New Roman" w:cs="Times New Roman"/>
          <w:sz w:val="28"/>
          <w:szCs w:val="28"/>
        </w:rPr>
        <w:t>to</w:t>
      </w:r>
      <w:r w:rsidRPr="00696665">
        <w:rPr>
          <w:rFonts w:ascii="Times New Roman" w:hAnsi="Times New Roman" w:cs="Times New Roman"/>
          <w:sz w:val="28"/>
          <w:szCs w:val="28"/>
        </w:rPr>
        <w:t xml:space="preserve"> place community engagement strategies, such as neighbourhood policing schemes, diversity forums and advisory committees (Hazelgrove, 2012). These initiatives have played a role in bridging the gap between </w:t>
      </w:r>
      <w:r w:rsidR="00B33C91">
        <w:rPr>
          <w:rFonts w:ascii="Times New Roman" w:hAnsi="Times New Roman" w:cs="Times New Roman"/>
          <w:sz w:val="28"/>
          <w:szCs w:val="28"/>
        </w:rPr>
        <w:t>police forces</w:t>
      </w:r>
      <w:r w:rsidRPr="00696665">
        <w:rPr>
          <w:rFonts w:ascii="Times New Roman" w:hAnsi="Times New Roman" w:cs="Times New Roman"/>
          <w:sz w:val="28"/>
          <w:szCs w:val="28"/>
        </w:rPr>
        <w:t xml:space="preserve"> and marginalised communities resulting in enhanced collaboration and backing for the police. By forming partnerships with community groups, religious organisations and leaders representing minority populations the police can gain insights into community dynamics and customise their services to cater to the distinct needs of different demographic segments.</w:t>
      </w:r>
      <w:r w:rsidR="003B0208">
        <w:rPr>
          <w:rFonts w:ascii="Times New Roman" w:hAnsi="Times New Roman" w:cs="Times New Roman"/>
          <w:sz w:val="28"/>
          <w:szCs w:val="28"/>
        </w:rPr>
        <w:t xml:space="preserve"> </w:t>
      </w:r>
      <w:r w:rsidRPr="00696665">
        <w:rPr>
          <w:rFonts w:ascii="Times New Roman" w:hAnsi="Times New Roman" w:cs="Times New Roman"/>
          <w:sz w:val="28"/>
          <w:szCs w:val="28"/>
        </w:rPr>
        <w:t>Nevertheless, pockets of mistrust and doubt persist among minority communities that have endured injustices at the hands of law enforcement authorities (Holder et al., 2019).</w:t>
      </w:r>
      <w:r w:rsidR="003B0208">
        <w:rPr>
          <w:rFonts w:ascii="Times New Roman" w:hAnsi="Times New Roman" w:cs="Times New Roman"/>
          <w:sz w:val="28"/>
          <w:szCs w:val="28"/>
        </w:rPr>
        <w:t xml:space="preserve"> The Lammy review (2017) </w:t>
      </w:r>
      <w:r w:rsidR="003B0208" w:rsidRPr="003B0208">
        <w:rPr>
          <w:rFonts w:ascii="Times New Roman" w:hAnsi="Times New Roman" w:cs="Times New Roman"/>
          <w:sz w:val="28"/>
          <w:szCs w:val="28"/>
        </w:rPr>
        <w:t>extensively examine the historical context of racial disparities within the UK criminal justice system,</w:t>
      </w:r>
      <w:r w:rsidR="003B0208">
        <w:rPr>
          <w:rFonts w:ascii="Times New Roman" w:hAnsi="Times New Roman" w:cs="Times New Roman"/>
          <w:sz w:val="28"/>
          <w:szCs w:val="28"/>
        </w:rPr>
        <w:t xml:space="preserve"> this</w:t>
      </w:r>
      <w:r w:rsidR="003B0208" w:rsidRPr="003B0208">
        <w:rPr>
          <w:rFonts w:ascii="Times New Roman" w:hAnsi="Times New Roman" w:cs="Times New Roman"/>
          <w:sz w:val="28"/>
          <w:szCs w:val="28"/>
        </w:rPr>
        <w:t xml:space="preserve"> includ</w:t>
      </w:r>
      <w:r w:rsidR="003B0208">
        <w:rPr>
          <w:rFonts w:ascii="Times New Roman" w:hAnsi="Times New Roman" w:cs="Times New Roman"/>
          <w:sz w:val="28"/>
          <w:szCs w:val="28"/>
        </w:rPr>
        <w:t>ed</w:t>
      </w:r>
      <w:r w:rsidR="003B0208" w:rsidRPr="003B0208">
        <w:rPr>
          <w:rFonts w:ascii="Times New Roman" w:hAnsi="Times New Roman" w:cs="Times New Roman"/>
          <w:sz w:val="28"/>
          <w:szCs w:val="28"/>
        </w:rPr>
        <w:t xml:space="preserve"> policing practices that have disproportionately affected Black, Asian, and Minority Ethnic (BAME) communities.</w:t>
      </w:r>
      <w:r w:rsidR="003B0208">
        <w:rPr>
          <w:rFonts w:ascii="Times New Roman" w:hAnsi="Times New Roman" w:cs="Times New Roman"/>
          <w:sz w:val="28"/>
          <w:szCs w:val="28"/>
        </w:rPr>
        <w:t xml:space="preserve"> </w:t>
      </w:r>
      <w:r w:rsidR="003B0208" w:rsidRPr="003B0208">
        <w:rPr>
          <w:rFonts w:ascii="Times New Roman" w:hAnsi="Times New Roman" w:cs="Times New Roman"/>
          <w:sz w:val="28"/>
          <w:szCs w:val="28"/>
        </w:rPr>
        <w:t>It discusse</w:t>
      </w:r>
      <w:r w:rsidR="003B0208">
        <w:rPr>
          <w:rFonts w:ascii="Times New Roman" w:hAnsi="Times New Roman" w:cs="Times New Roman"/>
          <w:sz w:val="28"/>
          <w:szCs w:val="28"/>
        </w:rPr>
        <w:t>d</w:t>
      </w:r>
      <w:r w:rsidR="003B0208" w:rsidRPr="003B0208">
        <w:rPr>
          <w:rFonts w:ascii="Times New Roman" w:hAnsi="Times New Roman" w:cs="Times New Roman"/>
          <w:sz w:val="28"/>
          <w:szCs w:val="28"/>
        </w:rPr>
        <w:t xml:space="preserve"> instances and patterns of excessive use of force against minority groups, highlighting how these practices contribute to enduring mistrust.</w:t>
      </w:r>
      <w:r w:rsidR="003B0208">
        <w:rPr>
          <w:rFonts w:ascii="Times New Roman" w:hAnsi="Times New Roman" w:cs="Times New Roman"/>
          <w:sz w:val="28"/>
          <w:szCs w:val="28"/>
        </w:rPr>
        <w:t xml:space="preserve"> </w:t>
      </w:r>
      <w:r w:rsidR="003B0208" w:rsidRPr="003B0208">
        <w:rPr>
          <w:rFonts w:ascii="Times New Roman" w:hAnsi="Times New Roman" w:cs="Times New Roman"/>
          <w:sz w:val="28"/>
          <w:szCs w:val="28"/>
        </w:rPr>
        <w:t>The review reference</w:t>
      </w:r>
      <w:r w:rsidR="003B0208">
        <w:rPr>
          <w:rFonts w:ascii="Times New Roman" w:hAnsi="Times New Roman" w:cs="Times New Roman"/>
          <w:sz w:val="28"/>
          <w:szCs w:val="28"/>
        </w:rPr>
        <w:t>d</w:t>
      </w:r>
      <w:r w:rsidR="003B0208" w:rsidRPr="003B0208">
        <w:rPr>
          <w:rFonts w:ascii="Times New Roman" w:hAnsi="Times New Roman" w:cs="Times New Roman"/>
          <w:sz w:val="28"/>
          <w:szCs w:val="28"/>
        </w:rPr>
        <w:t xml:space="preserve"> significant cases, such as the Stephen Lawrence case, to illustrate systemic issues and institutional racism within </w:t>
      </w:r>
      <w:r w:rsidR="003B0208">
        <w:rPr>
          <w:rFonts w:ascii="Times New Roman" w:hAnsi="Times New Roman" w:cs="Times New Roman"/>
          <w:sz w:val="28"/>
          <w:szCs w:val="28"/>
        </w:rPr>
        <w:t>the police</w:t>
      </w:r>
      <w:r w:rsidR="003B0208" w:rsidRPr="003B0208">
        <w:rPr>
          <w:rFonts w:ascii="Times New Roman" w:hAnsi="Times New Roman" w:cs="Times New Roman"/>
          <w:sz w:val="28"/>
          <w:szCs w:val="28"/>
        </w:rPr>
        <w:t>.</w:t>
      </w:r>
      <w:r w:rsidR="003B0208">
        <w:rPr>
          <w:rFonts w:ascii="Times New Roman" w:hAnsi="Times New Roman" w:cs="Times New Roman"/>
          <w:sz w:val="28"/>
          <w:szCs w:val="28"/>
        </w:rPr>
        <w:t xml:space="preserve"> The review went on to </w:t>
      </w:r>
      <w:r w:rsidR="003B0208" w:rsidRPr="003B0208">
        <w:rPr>
          <w:rFonts w:ascii="Times New Roman" w:hAnsi="Times New Roman" w:cs="Times New Roman"/>
          <w:sz w:val="28"/>
          <w:szCs w:val="28"/>
        </w:rPr>
        <w:t>offer recommendations aimed at fostering accountability</w:t>
      </w:r>
      <w:r w:rsidR="003B0208">
        <w:rPr>
          <w:rFonts w:ascii="Times New Roman" w:hAnsi="Times New Roman" w:cs="Times New Roman"/>
          <w:sz w:val="28"/>
          <w:szCs w:val="28"/>
        </w:rPr>
        <w:t xml:space="preserve"> </w:t>
      </w:r>
      <w:r w:rsidR="003B0208" w:rsidRPr="003B0208">
        <w:rPr>
          <w:rFonts w:ascii="Times New Roman" w:hAnsi="Times New Roman" w:cs="Times New Roman"/>
          <w:sz w:val="28"/>
          <w:szCs w:val="28"/>
        </w:rPr>
        <w:t>and improving cultural competency within police forces to rebuild trust with minority communities.</w:t>
      </w:r>
    </w:p>
    <w:p w14:paraId="62942580" w14:textId="77777777" w:rsidR="001B6682" w:rsidRPr="00696665" w:rsidRDefault="001B6682" w:rsidP="001B6682">
      <w:pPr>
        <w:rPr>
          <w:rFonts w:ascii="Times New Roman" w:hAnsi="Times New Roman" w:cs="Times New Roman"/>
          <w:sz w:val="28"/>
          <w:szCs w:val="28"/>
        </w:rPr>
      </w:pPr>
    </w:p>
    <w:p w14:paraId="686F9270" w14:textId="0B371594" w:rsidR="001B6682" w:rsidRPr="00696665" w:rsidRDefault="001B6682" w:rsidP="001B6682">
      <w:pPr>
        <w:rPr>
          <w:rFonts w:ascii="Times New Roman" w:hAnsi="Times New Roman" w:cs="Times New Roman"/>
          <w:sz w:val="28"/>
          <w:szCs w:val="28"/>
        </w:rPr>
      </w:pPr>
      <w:r w:rsidRPr="00696665">
        <w:rPr>
          <w:rFonts w:ascii="Times New Roman" w:hAnsi="Times New Roman" w:cs="Times New Roman"/>
          <w:sz w:val="28"/>
          <w:szCs w:val="28"/>
        </w:rPr>
        <w:t>The formulation of policies and procedures is vital for advancing diversity and equality within police organisations. The UK government has enacted laws, like the Equality Act 2010</w:t>
      </w:r>
      <w:r w:rsidR="003B0208">
        <w:rPr>
          <w:rFonts w:ascii="Times New Roman" w:hAnsi="Times New Roman" w:cs="Times New Roman"/>
          <w:sz w:val="28"/>
          <w:szCs w:val="28"/>
        </w:rPr>
        <w:t>,</w:t>
      </w:r>
      <w:r w:rsidRPr="00696665">
        <w:rPr>
          <w:rFonts w:ascii="Times New Roman" w:hAnsi="Times New Roman" w:cs="Times New Roman"/>
          <w:sz w:val="28"/>
          <w:szCs w:val="28"/>
        </w:rPr>
        <w:t xml:space="preserve"> to prohibit discrimination based on race, gender, and other protected characteristics (HM Government, 2010).</w:t>
      </w:r>
      <w:r w:rsidR="00DB7BDD" w:rsidRPr="00696665">
        <w:rPr>
          <w:rFonts w:ascii="Times New Roman" w:hAnsi="Times New Roman" w:cs="Times New Roman"/>
          <w:sz w:val="28"/>
          <w:szCs w:val="28"/>
        </w:rPr>
        <w:t xml:space="preserve"> </w:t>
      </w:r>
    </w:p>
    <w:p w14:paraId="37B656F2" w14:textId="79E25FAC" w:rsidR="00DB7BDD" w:rsidRPr="00696665" w:rsidRDefault="00DB7BDD" w:rsidP="001B6682">
      <w:pPr>
        <w:rPr>
          <w:rFonts w:ascii="Times New Roman" w:hAnsi="Times New Roman" w:cs="Times New Roman"/>
          <w:sz w:val="28"/>
          <w:szCs w:val="28"/>
        </w:rPr>
      </w:pPr>
      <w:r w:rsidRPr="00696665">
        <w:rPr>
          <w:rFonts w:ascii="Times New Roman" w:hAnsi="Times New Roman" w:cs="Times New Roman"/>
          <w:sz w:val="28"/>
          <w:szCs w:val="28"/>
        </w:rPr>
        <w:lastRenderedPageBreak/>
        <w:t>The College of Policing (2024) explains that there are numerous resources and action plans that the police have in the hope to create positive work environments that are based on equity and respect. There is a Police Race action Plan. The plan works to make ‘policing anti-racist and reform or explain race disparities.’ There are workplace adjustments that can be made. This can include ‘removing obstacles for people with disabilities.’ Section 20 of The Equality Act 2010 states that ‘</w:t>
      </w:r>
      <w:r w:rsidRPr="00696665">
        <w:rPr>
          <w:rFonts w:ascii="Times New Roman" w:hAnsi="Times New Roman" w:cs="Times New Roman"/>
          <w:color w:val="000000"/>
          <w:spacing w:val="3"/>
          <w:sz w:val="28"/>
          <w:szCs w:val="28"/>
        </w:rPr>
        <w:t>if a person with a disability is put at a substantial disadvantage when compared to someone who doesn’t have a disability, organisations must introduce reasonable adjustments to remove that disadvantage.’ There are also</w:t>
      </w:r>
      <w:r w:rsidRPr="00696665">
        <w:rPr>
          <w:rFonts w:ascii="Times New Roman" w:hAnsi="Times New Roman" w:cs="Times New Roman"/>
          <w:sz w:val="28"/>
          <w:szCs w:val="28"/>
        </w:rPr>
        <w:t xml:space="preserve"> ‘adjustments for Jewish colleagues</w:t>
      </w:r>
      <w:r w:rsidR="008F337A" w:rsidRPr="00696665">
        <w:rPr>
          <w:rFonts w:ascii="Times New Roman" w:hAnsi="Times New Roman" w:cs="Times New Roman"/>
          <w:sz w:val="28"/>
          <w:szCs w:val="28"/>
        </w:rPr>
        <w:t xml:space="preserve">,’ this can include how Jewish officers may have to plan their day on a Friday. They may have to have their work completed in good time in order to observe Shabbat. </w:t>
      </w:r>
      <w:r w:rsidRPr="00696665">
        <w:rPr>
          <w:rFonts w:ascii="Times New Roman" w:hAnsi="Times New Roman" w:cs="Times New Roman"/>
          <w:sz w:val="28"/>
          <w:szCs w:val="28"/>
        </w:rPr>
        <w:t xml:space="preserve">There are also provisions made for Muslim </w:t>
      </w:r>
      <w:r w:rsidR="008F337A" w:rsidRPr="00696665">
        <w:rPr>
          <w:rFonts w:ascii="Times New Roman" w:hAnsi="Times New Roman" w:cs="Times New Roman"/>
          <w:sz w:val="28"/>
          <w:szCs w:val="28"/>
        </w:rPr>
        <w:t xml:space="preserve">and Sikh </w:t>
      </w:r>
      <w:r w:rsidRPr="00696665">
        <w:rPr>
          <w:rFonts w:ascii="Times New Roman" w:hAnsi="Times New Roman" w:cs="Times New Roman"/>
          <w:sz w:val="28"/>
          <w:szCs w:val="28"/>
        </w:rPr>
        <w:t>police officers and staff.</w:t>
      </w:r>
      <w:r w:rsidR="008F337A" w:rsidRPr="00696665">
        <w:rPr>
          <w:rFonts w:ascii="Times New Roman" w:hAnsi="Times New Roman" w:cs="Times New Roman"/>
          <w:sz w:val="28"/>
          <w:szCs w:val="28"/>
        </w:rPr>
        <w:t xml:space="preserve"> There is also a workplace adjustment passport. This is a record of agreed workplace reasonable adjustments. This passport is to make sure that the adjustments are portable so that when an officer or staff member changes roles within the force the adjustments will move with them.</w:t>
      </w:r>
      <w:r w:rsidR="00F16E85">
        <w:rPr>
          <w:rFonts w:ascii="Times New Roman" w:hAnsi="Times New Roman" w:cs="Times New Roman"/>
          <w:sz w:val="28"/>
          <w:szCs w:val="28"/>
        </w:rPr>
        <w:t xml:space="preserve"> At present there is still ongoing evaluation as to how effective these adjustments are.</w:t>
      </w:r>
    </w:p>
    <w:p w14:paraId="1B51C4F5" w14:textId="2BD7335C" w:rsidR="001B6682" w:rsidRPr="00696665" w:rsidRDefault="001B6682" w:rsidP="001B6682">
      <w:pPr>
        <w:rPr>
          <w:rFonts w:ascii="Times New Roman" w:hAnsi="Times New Roman" w:cs="Times New Roman"/>
          <w:sz w:val="28"/>
          <w:szCs w:val="28"/>
        </w:rPr>
      </w:pPr>
      <w:r w:rsidRPr="00696665">
        <w:rPr>
          <w:rFonts w:ascii="Times New Roman" w:hAnsi="Times New Roman" w:cs="Times New Roman"/>
          <w:sz w:val="28"/>
          <w:szCs w:val="28"/>
        </w:rPr>
        <w:t>The police have also put in place strategies for diversity and inclusion to tackle barriers and foster a welcoming workplace culture. Despite these initiatives there are still obstacles in translating policy commitments into changes on the ground especially when it comes to addressing issues of racism and discrimination</w:t>
      </w:r>
      <w:r w:rsidR="00F16E85">
        <w:rPr>
          <w:rFonts w:ascii="Times New Roman" w:hAnsi="Times New Roman" w:cs="Times New Roman"/>
          <w:sz w:val="28"/>
          <w:szCs w:val="28"/>
        </w:rPr>
        <w:t>, (Bland and Grace, 2016.)</w:t>
      </w:r>
    </w:p>
    <w:p w14:paraId="2AFD9E8E" w14:textId="77777777" w:rsidR="001B6682" w:rsidRPr="00696665" w:rsidRDefault="001B6682" w:rsidP="001B6682">
      <w:pPr>
        <w:rPr>
          <w:rFonts w:ascii="Times New Roman" w:hAnsi="Times New Roman" w:cs="Times New Roman"/>
          <w:sz w:val="28"/>
          <w:szCs w:val="28"/>
        </w:rPr>
      </w:pPr>
    </w:p>
    <w:p w14:paraId="0C757C2A" w14:textId="0FE4B87A" w:rsidR="001B6682" w:rsidRPr="00696665" w:rsidRDefault="001B6682" w:rsidP="001B6682">
      <w:pPr>
        <w:rPr>
          <w:rFonts w:ascii="Times New Roman" w:hAnsi="Times New Roman" w:cs="Times New Roman"/>
          <w:sz w:val="28"/>
          <w:szCs w:val="28"/>
        </w:rPr>
      </w:pPr>
      <w:r w:rsidRPr="00696665">
        <w:rPr>
          <w:rFonts w:ascii="Times New Roman" w:hAnsi="Times New Roman" w:cs="Times New Roman"/>
          <w:sz w:val="28"/>
          <w:szCs w:val="28"/>
        </w:rPr>
        <w:t>In summary the UK police force has made progress in embracing diversity among its ranks. Recruitment methods have become more inclusive</w:t>
      </w:r>
      <w:r w:rsidR="00F16E85">
        <w:rPr>
          <w:rFonts w:ascii="Times New Roman" w:hAnsi="Times New Roman" w:cs="Times New Roman"/>
          <w:sz w:val="28"/>
          <w:szCs w:val="28"/>
        </w:rPr>
        <w:t>,</w:t>
      </w:r>
      <w:r w:rsidRPr="00696665">
        <w:rPr>
          <w:rFonts w:ascii="Times New Roman" w:hAnsi="Times New Roman" w:cs="Times New Roman"/>
          <w:sz w:val="28"/>
          <w:szCs w:val="28"/>
        </w:rPr>
        <w:t xml:space="preserve"> training programs have been strengthened and efforts to engage with the community have improved. Nonetheless challenges remain</w:t>
      </w:r>
      <w:r w:rsidR="00F16E85">
        <w:rPr>
          <w:rFonts w:ascii="Times New Roman" w:hAnsi="Times New Roman" w:cs="Times New Roman"/>
          <w:sz w:val="28"/>
          <w:szCs w:val="28"/>
        </w:rPr>
        <w:t>,</w:t>
      </w:r>
      <w:r w:rsidRPr="00696665">
        <w:rPr>
          <w:rFonts w:ascii="Times New Roman" w:hAnsi="Times New Roman" w:cs="Times New Roman"/>
          <w:sz w:val="28"/>
          <w:szCs w:val="28"/>
        </w:rPr>
        <w:t xml:space="preserve"> such as discrepancies in representation, ingrained biases, and persistent distrust within communities. Looking ahead continuous efforts are required to tackle these challenges and ensure that the police force mirrors the diversity of the communities it serves. This involves recruiting, training, and advancing officers from backgrounds while maintaining communication and engagement with minority communities. Such steps are crucial for establishing an efficient police force in the UK. Achieving this goal demands an approach that involves investment in recruitment practices, training programs, community involvement and policy formulation.</w:t>
      </w:r>
    </w:p>
    <w:p w14:paraId="764E83F5" w14:textId="77777777" w:rsidR="00C220B0" w:rsidRDefault="00C220B0" w:rsidP="001B6682">
      <w:pPr>
        <w:rPr>
          <w:rFonts w:ascii="Times New Roman" w:hAnsi="Times New Roman" w:cs="Times New Roman"/>
          <w:sz w:val="28"/>
          <w:szCs w:val="28"/>
        </w:rPr>
      </w:pPr>
    </w:p>
    <w:p w14:paraId="6FAE84B7" w14:textId="37966366" w:rsidR="001B6682" w:rsidRPr="00696665" w:rsidRDefault="008F337A" w:rsidP="001B6682">
      <w:pPr>
        <w:rPr>
          <w:rFonts w:ascii="Times New Roman" w:hAnsi="Times New Roman" w:cs="Times New Roman"/>
          <w:sz w:val="28"/>
          <w:szCs w:val="28"/>
        </w:rPr>
      </w:pPr>
      <w:r w:rsidRPr="00696665">
        <w:rPr>
          <w:rFonts w:ascii="Times New Roman" w:hAnsi="Times New Roman" w:cs="Times New Roman"/>
          <w:sz w:val="28"/>
          <w:szCs w:val="28"/>
        </w:rPr>
        <w:lastRenderedPageBreak/>
        <w:t xml:space="preserve">Word Count: </w:t>
      </w:r>
      <w:r w:rsidR="00F16E85">
        <w:rPr>
          <w:rFonts w:ascii="Times New Roman" w:hAnsi="Times New Roman" w:cs="Times New Roman"/>
          <w:sz w:val="28"/>
          <w:szCs w:val="28"/>
        </w:rPr>
        <w:t>1070</w:t>
      </w:r>
    </w:p>
    <w:p w14:paraId="726B32DD" w14:textId="77777777" w:rsidR="00C220B0" w:rsidRDefault="00C220B0" w:rsidP="001B6682">
      <w:pPr>
        <w:spacing w:after="0" w:line="240" w:lineRule="auto"/>
        <w:rPr>
          <w:rFonts w:ascii="Times New Roman" w:eastAsia="Times New Roman" w:hAnsi="Times New Roman" w:cs="Times New Roman"/>
          <w:kern w:val="0"/>
          <w:sz w:val="28"/>
          <w:szCs w:val="28"/>
          <w:lang w:eastAsia="en-GB"/>
          <w14:ligatures w14:val="none"/>
        </w:rPr>
      </w:pPr>
    </w:p>
    <w:p w14:paraId="6D9E06D4" w14:textId="3D293F39" w:rsidR="001B6682" w:rsidRPr="00696665" w:rsidRDefault="001B6682" w:rsidP="001B6682">
      <w:pPr>
        <w:spacing w:after="0" w:line="240" w:lineRule="auto"/>
        <w:rPr>
          <w:rFonts w:ascii="Times New Roman" w:eastAsia="Times New Roman" w:hAnsi="Times New Roman" w:cs="Times New Roman"/>
          <w:kern w:val="0"/>
          <w:sz w:val="28"/>
          <w:szCs w:val="28"/>
          <w:lang w:eastAsia="en-GB"/>
          <w14:ligatures w14:val="none"/>
        </w:rPr>
      </w:pPr>
      <w:r w:rsidRPr="00696665">
        <w:rPr>
          <w:rFonts w:ascii="Times New Roman" w:eastAsia="Times New Roman" w:hAnsi="Times New Roman" w:cs="Times New Roman"/>
          <w:kern w:val="0"/>
          <w:sz w:val="28"/>
          <w:szCs w:val="28"/>
          <w:lang w:eastAsia="en-GB"/>
          <w14:ligatures w14:val="none"/>
        </w:rPr>
        <w:t>Baker, P., O'Neill, M., &amp; Heyes, J. (2017). Implementing diversity and equality in policing. Policing: A Journal of Policy and Practice, 11(2), 197-206.</w:t>
      </w:r>
    </w:p>
    <w:p w14:paraId="4172FE0A" w14:textId="77777777" w:rsidR="001B6682" w:rsidRPr="00696665" w:rsidRDefault="001B6682" w:rsidP="001B6682">
      <w:pPr>
        <w:spacing w:after="0" w:line="240" w:lineRule="auto"/>
        <w:rPr>
          <w:rFonts w:ascii="Times New Roman" w:eastAsia="Times New Roman" w:hAnsi="Times New Roman" w:cs="Times New Roman"/>
          <w:kern w:val="0"/>
          <w:sz w:val="28"/>
          <w:szCs w:val="28"/>
          <w:lang w:eastAsia="en-GB"/>
          <w14:ligatures w14:val="none"/>
        </w:rPr>
      </w:pPr>
    </w:p>
    <w:p w14:paraId="6278F683" w14:textId="6E9F3AED" w:rsidR="001B6682" w:rsidRPr="00696665" w:rsidRDefault="001B6682" w:rsidP="001B6682">
      <w:pPr>
        <w:spacing w:after="0" w:line="240" w:lineRule="auto"/>
        <w:rPr>
          <w:rFonts w:ascii="Times New Roman" w:eastAsia="Times New Roman" w:hAnsi="Times New Roman" w:cs="Times New Roman"/>
          <w:kern w:val="0"/>
          <w:sz w:val="28"/>
          <w:szCs w:val="28"/>
          <w:lang w:eastAsia="en-GB"/>
          <w14:ligatures w14:val="none"/>
        </w:rPr>
      </w:pPr>
      <w:r w:rsidRPr="00696665">
        <w:rPr>
          <w:rFonts w:ascii="Times New Roman" w:eastAsia="Times New Roman" w:hAnsi="Times New Roman" w:cs="Times New Roman"/>
          <w:kern w:val="0"/>
          <w:sz w:val="28"/>
          <w:szCs w:val="28"/>
          <w:lang w:eastAsia="en-GB"/>
          <w14:ligatures w14:val="none"/>
        </w:rPr>
        <w:t>Bland, N. (2019). The use and abuse of police training. Policing: A Journal of Policy and Practice, 13(1), 100-113.</w:t>
      </w:r>
    </w:p>
    <w:p w14:paraId="5C210DB4" w14:textId="77777777" w:rsidR="001B6682" w:rsidRDefault="001B6682" w:rsidP="001B6682">
      <w:pPr>
        <w:spacing w:after="0" w:line="240" w:lineRule="auto"/>
        <w:rPr>
          <w:rFonts w:ascii="Times New Roman" w:eastAsia="Times New Roman" w:hAnsi="Times New Roman" w:cs="Times New Roman"/>
          <w:kern w:val="0"/>
          <w:sz w:val="28"/>
          <w:szCs w:val="28"/>
          <w:lang w:eastAsia="en-GB"/>
          <w14:ligatures w14:val="none"/>
        </w:rPr>
      </w:pPr>
    </w:p>
    <w:p w14:paraId="4209F8B6" w14:textId="5F9F1261" w:rsidR="00F16E85" w:rsidRDefault="00F16E85" w:rsidP="001B6682">
      <w:pPr>
        <w:spacing w:after="0" w:line="240" w:lineRule="auto"/>
        <w:rPr>
          <w:rFonts w:ascii="Times New Roman" w:eastAsia="Times New Roman" w:hAnsi="Times New Roman" w:cs="Times New Roman"/>
          <w:kern w:val="0"/>
          <w:sz w:val="28"/>
          <w:szCs w:val="28"/>
          <w:lang w:eastAsia="en-GB"/>
          <w14:ligatures w14:val="none"/>
        </w:rPr>
      </w:pPr>
      <w:r w:rsidRPr="00F16E85">
        <w:rPr>
          <w:rFonts w:ascii="Times New Roman" w:eastAsia="Times New Roman" w:hAnsi="Times New Roman" w:cs="Times New Roman"/>
          <w:kern w:val="0"/>
          <w:sz w:val="28"/>
          <w:szCs w:val="28"/>
          <w:lang w:eastAsia="en-GB"/>
          <w14:ligatures w14:val="none"/>
        </w:rPr>
        <w:t xml:space="preserve">Bland, Nick, and Clive Grace. "Police Governance and Accountability: Overview of Current Issues." </w:t>
      </w:r>
      <w:r w:rsidRPr="00F16E85">
        <w:rPr>
          <w:rFonts w:ascii="Times New Roman" w:eastAsia="Times New Roman" w:hAnsi="Times New Roman" w:cs="Times New Roman"/>
          <w:i/>
          <w:iCs/>
          <w:kern w:val="0"/>
          <w:sz w:val="28"/>
          <w:szCs w:val="28"/>
          <w:lang w:eastAsia="en-GB"/>
          <w14:ligatures w14:val="none"/>
        </w:rPr>
        <w:t>Policing: An International Journal of Police Strategies &amp; Management</w:t>
      </w:r>
      <w:r w:rsidRPr="00F16E85">
        <w:rPr>
          <w:rFonts w:ascii="Times New Roman" w:eastAsia="Times New Roman" w:hAnsi="Times New Roman" w:cs="Times New Roman"/>
          <w:kern w:val="0"/>
          <w:sz w:val="28"/>
          <w:szCs w:val="28"/>
          <w:lang w:eastAsia="en-GB"/>
          <w14:ligatures w14:val="none"/>
        </w:rPr>
        <w:t>, vol. 39, no. 2, 2016, pp. 262-277. doi:10.1108/PIJPSM-11-2015-0130.</w:t>
      </w:r>
    </w:p>
    <w:p w14:paraId="28E91F18" w14:textId="77777777" w:rsidR="00F16E85" w:rsidRPr="00696665" w:rsidRDefault="00F16E85" w:rsidP="001B6682">
      <w:pPr>
        <w:spacing w:after="0" w:line="240" w:lineRule="auto"/>
        <w:rPr>
          <w:rFonts w:ascii="Times New Roman" w:eastAsia="Times New Roman" w:hAnsi="Times New Roman" w:cs="Times New Roman"/>
          <w:kern w:val="0"/>
          <w:sz w:val="28"/>
          <w:szCs w:val="28"/>
          <w:lang w:eastAsia="en-GB"/>
          <w14:ligatures w14:val="none"/>
        </w:rPr>
      </w:pPr>
    </w:p>
    <w:p w14:paraId="5595F766" w14:textId="51494D09" w:rsidR="001B6682" w:rsidRPr="00696665" w:rsidRDefault="001B6682" w:rsidP="001B6682">
      <w:pPr>
        <w:spacing w:after="0" w:line="240" w:lineRule="auto"/>
        <w:rPr>
          <w:rFonts w:ascii="Times New Roman" w:eastAsia="Times New Roman" w:hAnsi="Times New Roman" w:cs="Times New Roman"/>
          <w:kern w:val="0"/>
          <w:sz w:val="28"/>
          <w:szCs w:val="28"/>
          <w:lang w:eastAsia="en-GB"/>
          <w14:ligatures w14:val="none"/>
        </w:rPr>
      </w:pPr>
      <w:r w:rsidRPr="00696665">
        <w:rPr>
          <w:rFonts w:ascii="Times New Roman" w:eastAsia="Times New Roman" w:hAnsi="Times New Roman" w:cs="Times New Roman"/>
          <w:kern w:val="0"/>
          <w:sz w:val="28"/>
          <w:szCs w:val="28"/>
          <w:lang w:eastAsia="en-GB"/>
          <w14:ligatures w14:val="none"/>
        </w:rPr>
        <w:t>Bowling, B. (2019). Recruitment to the police: On reform and resistance. Policing: A Journal of Policy and Practice, 13(3), 221-237.</w:t>
      </w:r>
    </w:p>
    <w:p w14:paraId="36A054EF" w14:textId="77777777" w:rsidR="008F337A" w:rsidRPr="00696665" w:rsidRDefault="008F337A" w:rsidP="001B6682">
      <w:pPr>
        <w:spacing w:after="0" w:line="240" w:lineRule="auto"/>
        <w:rPr>
          <w:rFonts w:ascii="Times New Roman" w:eastAsia="Times New Roman" w:hAnsi="Times New Roman" w:cs="Times New Roman"/>
          <w:kern w:val="0"/>
          <w:sz w:val="28"/>
          <w:szCs w:val="28"/>
          <w:lang w:eastAsia="en-GB"/>
          <w14:ligatures w14:val="none"/>
        </w:rPr>
      </w:pPr>
    </w:p>
    <w:p w14:paraId="202761C3" w14:textId="0E2776EB" w:rsidR="008F337A" w:rsidRPr="00696665" w:rsidRDefault="008F337A" w:rsidP="008F337A">
      <w:pPr>
        <w:pStyle w:val="NormalWeb"/>
        <w:ind w:left="567" w:hanging="567"/>
        <w:rPr>
          <w:sz w:val="28"/>
          <w:szCs w:val="28"/>
        </w:rPr>
      </w:pPr>
      <w:r w:rsidRPr="00696665">
        <w:rPr>
          <w:i/>
          <w:iCs/>
          <w:sz w:val="28"/>
          <w:szCs w:val="28"/>
        </w:rPr>
        <w:t>Diversity and inclusion</w:t>
      </w:r>
      <w:r w:rsidRPr="00696665">
        <w:rPr>
          <w:sz w:val="28"/>
          <w:szCs w:val="28"/>
        </w:rPr>
        <w:t xml:space="preserve"> (2024) </w:t>
      </w:r>
      <w:r w:rsidRPr="00696665">
        <w:rPr>
          <w:i/>
          <w:iCs/>
          <w:sz w:val="28"/>
          <w:szCs w:val="28"/>
        </w:rPr>
        <w:t>College of Policing</w:t>
      </w:r>
      <w:r w:rsidRPr="00696665">
        <w:rPr>
          <w:sz w:val="28"/>
          <w:szCs w:val="28"/>
        </w:rPr>
        <w:t xml:space="preserve">. Available at: https://www.college.police.uk/support-forces/diversity-and-inclusion (Accessed: 22 May 2024). </w:t>
      </w:r>
    </w:p>
    <w:p w14:paraId="54BE5ED3" w14:textId="77777777" w:rsidR="001B6682" w:rsidRPr="00696665" w:rsidRDefault="001B6682" w:rsidP="001B6682">
      <w:pPr>
        <w:spacing w:after="0" w:line="240" w:lineRule="auto"/>
        <w:rPr>
          <w:rFonts w:ascii="Times New Roman" w:eastAsia="Times New Roman" w:hAnsi="Times New Roman" w:cs="Times New Roman"/>
          <w:kern w:val="0"/>
          <w:sz w:val="28"/>
          <w:szCs w:val="28"/>
          <w:lang w:eastAsia="en-GB"/>
          <w14:ligatures w14:val="none"/>
        </w:rPr>
      </w:pPr>
    </w:p>
    <w:p w14:paraId="7540EEE6" w14:textId="0229A0BB" w:rsidR="001B6682" w:rsidRPr="00696665" w:rsidRDefault="001B6682" w:rsidP="001B6682">
      <w:pPr>
        <w:spacing w:after="0" w:line="240" w:lineRule="auto"/>
        <w:rPr>
          <w:rFonts w:ascii="Times New Roman" w:eastAsia="Times New Roman" w:hAnsi="Times New Roman" w:cs="Times New Roman"/>
          <w:kern w:val="0"/>
          <w:sz w:val="28"/>
          <w:szCs w:val="28"/>
          <w:lang w:eastAsia="en-GB"/>
          <w14:ligatures w14:val="none"/>
        </w:rPr>
      </w:pPr>
      <w:proofErr w:type="spellStart"/>
      <w:r w:rsidRPr="00696665">
        <w:rPr>
          <w:rFonts w:ascii="Times New Roman" w:eastAsia="Times New Roman" w:hAnsi="Times New Roman" w:cs="Times New Roman"/>
          <w:kern w:val="0"/>
          <w:sz w:val="28"/>
          <w:szCs w:val="28"/>
          <w:lang w:eastAsia="en-GB"/>
          <w14:ligatures w14:val="none"/>
        </w:rPr>
        <w:t>Gelsthorpe</w:t>
      </w:r>
      <w:proofErr w:type="spellEnd"/>
      <w:r w:rsidRPr="00696665">
        <w:rPr>
          <w:rFonts w:ascii="Times New Roman" w:eastAsia="Times New Roman" w:hAnsi="Times New Roman" w:cs="Times New Roman"/>
          <w:kern w:val="0"/>
          <w:sz w:val="28"/>
          <w:szCs w:val="28"/>
          <w:lang w:eastAsia="en-GB"/>
          <w14:ligatures w14:val="none"/>
        </w:rPr>
        <w:t>, L. (2018). Unconscious bias training for police personnel. Criminology &amp; Criminal Justice, 18(4), 420-436.</w:t>
      </w:r>
    </w:p>
    <w:p w14:paraId="0E2F4E14" w14:textId="77777777" w:rsidR="00B33C91" w:rsidRDefault="00B33C91" w:rsidP="001B6682">
      <w:pPr>
        <w:spacing w:after="0" w:line="240" w:lineRule="auto"/>
        <w:rPr>
          <w:rFonts w:ascii="Times New Roman" w:eastAsia="Times New Roman" w:hAnsi="Times New Roman" w:cs="Times New Roman"/>
          <w:kern w:val="0"/>
          <w:sz w:val="28"/>
          <w:szCs w:val="28"/>
          <w:lang w:eastAsia="en-GB"/>
          <w14:ligatures w14:val="none"/>
        </w:rPr>
      </w:pPr>
    </w:p>
    <w:p w14:paraId="32AA8A3A" w14:textId="0D1779C0" w:rsidR="00B33C91" w:rsidRDefault="00B33C91" w:rsidP="001B6682">
      <w:pPr>
        <w:spacing w:after="0" w:line="240" w:lineRule="auto"/>
        <w:rPr>
          <w:rFonts w:ascii="Times New Roman" w:eastAsia="Times New Roman" w:hAnsi="Times New Roman" w:cs="Times New Roman"/>
          <w:kern w:val="0"/>
          <w:sz w:val="28"/>
          <w:szCs w:val="28"/>
          <w:lang w:eastAsia="en-GB"/>
          <w14:ligatures w14:val="none"/>
        </w:rPr>
      </w:pPr>
      <w:r w:rsidRPr="00B33C91">
        <w:rPr>
          <w:rFonts w:ascii="Times New Roman" w:eastAsia="Times New Roman" w:hAnsi="Times New Roman" w:cs="Times New Roman"/>
          <w:kern w:val="0"/>
          <w:sz w:val="28"/>
          <w:szCs w:val="28"/>
          <w:lang w:eastAsia="en-GB"/>
          <w14:ligatures w14:val="none"/>
        </w:rPr>
        <w:t xml:space="preserve">Hargreaves, James, and Jenny Lloyd. "Barriers to Progression: The Underrepresentation of Women and Ethnic Minorities in Police Leadership." </w:t>
      </w:r>
      <w:r w:rsidRPr="00B33C91">
        <w:rPr>
          <w:rFonts w:ascii="Times New Roman" w:eastAsia="Times New Roman" w:hAnsi="Times New Roman" w:cs="Times New Roman"/>
          <w:i/>
          <w:iCs/>
          <w:kern w:val="0"/>
          <w:sz w:val="28"/>
          <w:szCs w:val="28"/>
          <w:lang w:eastAsia="en-GB"/>
          <w14:ligatures w14:val="none"/>
        </w:rPr>
        <w:t>Policing: A Journal of Policy and Practice</w:t>
      </w:r>
      <w:r w:rsidRPr="00B33C91">
        <w:rPr>
          <w:rFonts w:ascii="Times New Roman" w:eastAsia="Times New Roman" w:hAnsi="Times New Roman" w:cs="Times New Roman"/>
          <w:kern w:val="0"/>
          <w:sz w:val="28"/>
          <w:szCs w:val="28"/>
          <w:lang w:eastAsia="en-GB"/>
          <w14:ligatures w14:val="none"/>
        </w:rPr>
        <w:t>, vol. 15, no. 3, 2021, pp. 510-525. doi:10.1093/police/paaa084.</w:t>
      </w:r>
    </w:p>
    <w:p w14:paraId="469862BC" w14:textId="77777777" w:rsidR="00B33C91" w:rsidRDefault="00B33C91" w:rsidP="001B6682">
      <w:pPr>
        <w:spacing w:after="0" w:line="240" w:lineRule="auto"/>
        <w:rPr>
          <w:rFonts w:ascii="Times New Roman" w:eastAsia="Times New Roman" w:hAnsi="Times New Roman" w:cs="Times New Roman"/>
          <w:kern w:val="0"/>
          <w:sz w:val="28"/>
          <w:szCs w:val="28"/>
          <w:lang w:eastAsia="en-GB"/>
          <w14:ligatures w14:val="none"/>
        </w:rPr>
      </w:pPr>
    </w:p>
    <w:p w14:paraId="5719EE81" w14:textId="396C636E" w:rsidR="001B6682" w:rsidRPr="00696665" w:rsidRDefault="001B6682" w:rsidP="001B6682">
      <w:pPr>
        <w:spacing w:after="0" w:line="240" w:lineRule="auto"/>
        <w:rPr>
          <w:rFonts w:ascii="Times New Roman" w:eastAsia="Times New Roman" w:hAnsi="Times New Roman" w:cs="Times New Roman"/>
          <w:kern w:val="0"/>
          <w:sz w:val="28"/>
          <w:szCs w:val="28"/>
          <w:lang w:eastAsia="en-GB"/>
          <w14:ligatures w14:val="none"/>
        </w:rPr>
      </w:pPr>
      <w:r w:rsidRPr="00696665">
        <w:rPr>
          <w:rFonts w:ascii="Times New Roman" w:eastAsia="Times New Roman" w:hAnsi="Times New Roman" w:cs="Times New Roman"/>
          <w:kern w:val="0"/>
          <w:sz w:val="28"/>
          <w:szCs w:val="28"/>
          <w:lang w:eastAsia="en-GB"/>
          <w14:ligatures w14:val="none"/>
        </w:rPr>
        <w:t>Hazelgrove, J. (2012). Community policing and engagement: A review of the literature. Policing: A Journal of Policy and Practice, 6(2), 203-212.</w:t>
      </w:r>
    </w:p>
    <w:p w14:paraId="4C148C83" w14:textId="77777777" w:rsidR="001B6682" w:rsidRPr="00696665" w:rsidRDefault="001B6682" w:rsidP="001B6682">
      <w:pPr>
        <w:spacing w:after="0" w:line="240" w:lineRule="auto"/>
        <w:rPr>
          <w:rFonts w:ascii="Times New Roman" w:eastAsia="Times New Roman" w:hAnsi="Times New Roman" w:cs="Times New Roman"/>
          <w:kern w:val="0"/>
          <w:sz w:val="28"/>
          <w:szCs w:val="28"/>
          <w:lang w:eastAsia="en-GB"/>
          <w14:ligatures w14:val="none"/>
        </w:rPr>
      </w:pPr>
    </w:p>
    <w:p w14:paraId="18DFBBEF" w14:textId="7FE9A936" w:rsidR="001B6682" w:rsidRPr="00696665" w:rsidRDefault="001B6682" w:rsidP="001B6682">
      <w:pPr>
        <w:spacing w:after="0" w:line="240" w:lineRule="auto"/>
        <w:rPr>
          <w:rFonts w:ascii="Times New Roman" w:eastAsia="Times New Roman" w:hAnsi="Times New Roman" w:cs="Times New Roman"/>
          <w:kern w:val="0"/>
          <w:sz w:val="28"/>
          <w:szCs w:val="28"/>
          <w:lang w:eastAsia="en-GB"/>
          <w14:ligatures w14:val="none"/>
        </w:rPr>
      </w:pPr>
      <w:r w:rsidRPr="00696665">
        <w:rPr>
          <w:rFonts w:ascii="Times New Roman" w:eastAsia="Times New Roman" w:hAnsi="Times New Roman" w:cs="Times New Roman"/>
          <w:kern w:val="0"/>
          <w:sz w:val="28"/>
          <w:szCs w:val="28"/>
          <w:lang w:eastAsia="en-GB"/>
          <w14:ligatures w14:val="none"/>
        </w:rPr>
        <w:t>HM Government. (2010). Equality Act 2010. London: The Stationery Office.</w:t>
      </w:r>
    </w:p>
    <w:p w14:paraId="25141857" w14:textId="77777777" w:rsidR="001B6682" w:rsidRPr="00696665" w:rsidRDefault="001B6682" w:rsidP="001B6682">
      <w:pPr>
        <w:spacing w:after="0" w:line="240" w:lineRule="auto"/>
        <w:rPr>
          <w:rFonts w:ascii="Times New Roman" w:eastAsia="Times New Roman" w:hAnsi="Times New Roman" w:cs="Times New Roman"/>
          <w:kern w:val="0"/>
          <w:sz w:val="28"/>
          <w:szCs w:val="28"/>
          <w:lang w:eastAsia="en-GB"/>
          <w14:ligatures w14:val="none"/>
        </w:rPr>
      </w:pPr>
    </w:p>
    <w:p w14:paraId="5A3976F8" w14:textId="56E1FC9F" w:rsidR="001B6682" w:rsidRPr="00696665" w:rsidRDefault="001B6682" w:rsidP="001B6682">
      <w:pPr>
        <w:spacing w:after="0" w:line="240" w:lineRule="auto"/>
        <w:rPr>
          <w:rFonts w:ascii="Times New Roman" w:eastAsia="Times New Roman" w:hAnsi="Times New Roman" w:cs="Times New Roman"/>
          <w:kern w:val="0"/>
          <w:sz w:val="28"/>
          <w:szCs w:val="28"/>
          <w:lang w:eastAsia="en-GB"/>
          <w14:ligatures w14:val="none"/>
        </w:rPr>
      </w:pPr>
      <w:r w:rsidRPr="00696665">
        <w:rPr>
          <w:rFonts w:ascii="Times New Roman" w:eastAsia="Times New Roman" w:hAnsi="Times New Roman" w:cs="Times New Roman"/>
          <w:kern w:val="0"/>
          <w:sz w:val="28"/>
          <w:szCs w:val="28"/>
          <w:lang w:eastAsia="en-GB"/>
          <w14:ligatures w14:val="none"/>
        </w:rPr>
        <w:t>Holder, J., Raphael, S., &amp; Brooks-Gunn, J. (2019). A critical review of the literature on school dropout. Educational Researcher, 38(3), 149-166.</w:t>
      </w:r>
    </w:p>
    <w:p w14:paraId="22915A4D" w14:textId="77777777" w:rsidR="001B6682" w:rsidRDefault="001B6682" w:rsidP="001B6682">
      <w:pPr>
        <w:spacing w:after="0" w:line="240" w:lineRule="auto"/>
        <w:rPr>
          <w:rFonts w:ascii="Times New Roman" w:eastAsia="Times New Roman" w:hAnsi="Times New Roman" w:cs="Times New Roman"/>
          <w:kern w:val="0"/>
          <w:sz w:val="28"/>
          <w:szCs w:val="28"/>
          <w:lang w:eastAsia="en-GB"/>
          <w14:ligatures w14:val="none"/>
        </w:rPr>
      </w:pPr>
    </w:p>
    <w:p w14:paraId="4D208A12" w14:textId="478D1A4F" w:rsidR="003B0208" w:rsidRPr="003B0208" w:rsidRDefault="003B0208" w:rsidP="001B6682">
      <w:pPr>
        <w:spacing w:after="0" w:line="240" w:lineRule="auto"/>
        <w:rPr>
          <w:rFonts w:ascii="Times New Roman" w:eastAsia="Times New Roman" w:hAnsi="Times New Roman" w:cs="Times New Roman"/>
          <w:kern w:val="0"/>
          <w:sz w:val="28"/>
          <w:szCs w:val="28"/>
          <w:lang w:eastAsia="en-GB"/>
          <w14:ligatures w14:val="none"/>
        </w:rPr>
      </w:pPr>
      <w:r w:rsidRPr="003B0208">
        <w:rPr>
          <w:rFonts w:ascii="Times New Roman" w:eastAsia="Times New Roman" w:hAnsi="Times New Roman" w:cs="Times New Roman"/>
          <w:kern w:val="0"/>
          <w:sz w:val="28"/>
          <w:szCs w:val="28"/>
          <w:lang w:eastAsia="en-GB"/>
          <w14:ligatures w14:val="none"/>
        </w:rPr>
        <w:t xml:space="preserve">Lammy, David. </w:t>
      </w:r>
      <w:r>
        <w:rPr>
          <w:rFonts w:ascii="Times New Roman" w:eastAsia="Times New Roman" w:hAnsi="Times New Roman" w:cs="Times New Roman"/>
          <w:kern w:val="0"/>
          <w:sz w:val="28"/>
          <w:szCs w:val="28"/>
          <w:lang w:eastAsia="en-GB"/>
          <w14:ligatures w14:val="none"/>
        </w:rPr>
        <w:t xml:space="preserve">(2017). </w:t>
      </w:r>
      <w:r w:rsidRPr="003B0208">
        <w:rPr>
          <w:rFonts w:ascii="Times New Roman" w:eastAsia="Times New Roman" w:hAnsi="Times New Roman" w:cs="Times New Roman"/>
          <w:i/>
          <w:iCs/>
          <w:kern w:val="0"/>
          <w:sz w:val="28"/>
          <w:szCs w:val="28"/>
          <w:lang w:eastAsia="en-GB"/>
          <w14:ligatures w14:val="none"/>
        </w:rPr>
        <w:t>The Lammy Review: An Independent Review into the Treatment of, and Outcomes for, Black, Asian and Minority Ethnic Individuals in the Criminal Justice System.</w:t>
      </w:r>
      <w:r w:rsidRPr="003B0208">
        <w:rPr>
          <w:rFonts w:ascii="Times New Roman" w:eastAsia="Times New Roman" w:hAnsi="Times New Roman" w:cs="Times New Roman"/>
          <w:kern w:val="0"/>
          <w:sz w:val="28"/>
          <w:szCs w:val="28"/>
          <w:lang w:eastAsia="en-GB"/>
          <w14:ligatures w14:val="none"/>
        </w:rPr>
        <w:t xml:space="preserve"> Ministry of Justice. https://assets.publishing.service.gov.uk/government/uploads/system/uploads/attachment_data/file/678464/The-Lammy-Review-Final-Report.pdf.</w:t>
      </w:r>
    </w:p>
    <w:p w14:paraId="47F4DC8D" w14:textId="77777777" w:rsidR="003B0208" w:rsidRDefault="003B0208" w:rsidP="001B6682">
      <w:pPr>
        <w:spacing w:after="0" w:line="240" w:lineRule="auto"/>
        <w:rPr>
          <w:rFonts w:ascii="Times New Roman" w:eastAsia="Times New Roman" w:hAnsi="Times New Roman" w:cs="Times New Roman"/>
          <w:kern w:val="0"/>
          <w:sz w:val="28"/>
          <w:szCs w:val="28"/>
          <w:lang w:eastAsia="en-GB"/>
          <w14:ligatures w14:val="none"/>
        </w:rPr>
      </w:pPr>
    </w:p>
    <w:p w14:paraId="055C6C85" w14:textId="48F0E12E" w:rsidR="00B33C91" w:rsidRDefault="00B33C91" w:rsidP="001B6682">
      <w:pPr>
        <w:spacing w:after="0" w:line="240" w:lineRule="auto"/>
        <w:rPr>
          <w:rFonts w:ascii="Times New Roman" w:eastAsia="Times New Roman" w:hAnsi="Times New Roman" w:cs="Times New Roman"/>
          <w:kern w:val="0"/>
          <w:sz w:val="28"/>
          <w:szCs w:val="28"/>
          <w:lang w:eastAsia="en-GB"/>
          <w14:ligatures w14:val="none"/>
        </w:rPr>
      </w:pPr>
      <w:r w:rsidRPr="00B33C91">
        <w:rPr>
          <w:rFonts w:ascii="Times New Roman" w:eastAsia="Times New Roman" w:hAnsi="Times New Roman" w:cs="Times New Roman"/>
          <w:kern w:val="0"/>
          <w:sz w:val="28"/>
          <w:szCs w:val="28"/>
          <w:lang w:eastAsia="en-GB"/>
          <w14:ligatures w14:val="none"/>
        </w:rPr>
        <w:t xml:space="preserve">Miller, Joel, and Jonathan M. Smith. "Policing and Diversity: Strategies for Recruitment and Retention." </w:t>
      </w:r>
      <w:r w:rsidRPr="00B33C91">
        <w:rPr>
          <w:rFonts w:ascii="Times New Roman" w:eastAsia="Times New Roman" w:hAnsi="Times New Roman" w:cs="Times New Roman"/>
          <w:i/>
          <w:iCs/>
          <w:kern w:val="0"/>
          <w:sz w:val="28"/>
          <w:szCs w:val="28"/>
          <w:lang w:eastAsia="en-GB"/>
          <w14:ligatures w14:val="none"/>
        </w:rPr>
        <w:t>Policing: An International Journal</w:t>
      </w:r>
      <w:r w:rsidRPr="00B33C91">
        <w:rPr>
          <w:rFonts w:ascii="Times New Roman" w:eastAsia="Times New Roman" w:hAnsi="Times New Roman" w:cs="Times New Roman"/>
          <w:kern w:val="0"/>
          <w:sz w:val="28"/>
          <w:szCs w:val="28"/>
          <w:lang w:eastAsia="en-GB"/>
          <w14:ligatures w14:val="none"/>
        </w:rPr>
        <w:t>, vol. 43, no. 2, 2020, pp. 317-332. doi:10.1108/PIJ-01-2020-0001.</w:t>
      </w:r>
    </w:p>
    <w:p w14:paraId="530A887C" w14:textId="77777777" w:rsidR="00B33C91" w:rsidRPr="00696665" w:rsidRDefault="00B33C91" w:rsidP="001B6682">
      <w:pPr>
        <w:spacing w:after="0" w:line="240" w:lineRule="auto"/>
        <w:rPr>
          <w:rFonts w:ascii="Times New Roman" w:eastAsia="Times New Roman" w:hAnsi="Times New Roman" w:cs="Times New Roman"/>
          <w:kern w:val="0"/>
          <w:sz w:val="28"/>
          <w:szCs w:val="28"/>
          <w:lang w:eastAsia="en-GB"/>
          <w14:ligatures w14:val="none"/>
        </w:rPr>
      </w:pPr>
    </w:p>
    <w:p w14:paraId="6995FC4E" w14:textId="453414D5" w:rsidR="001B6682" w:rsidRPr="00696665" w:rsidRDefault="001B6682" w:rsidP="001B6682">
      <w:pPr>
        <w:spacing w:after="0" w:line="240" w:lineRule="auto"/>
        <w:rPr>
          <w:rFonts w:ascii="Times New Roman" w:eastAsia="Times New Roman" w:hAnsi="Times New Roman" w:cs="Times New Roman"/>
          <w:kern w:val="0"/>
          <w:sz w:val="28"/>
          <w:szCs w:val="28"/>
          <w:lang w:eastAsia="en-GB"/>
          <w14:ligatures w14:val="none"/>
        </w:rPr>
      </w:pPr>
      <w:r w:rsidRPr="00696665">
        <w:rPr>
          <w:rFonts w:ascii="Times New Roman" w:eastAsia="Times New Roman" w:hAnsi="Times New Roman" w:cs="Times New Roman"/>
          <w:kern w:val="0"/>
          <w:sz w:val="28"/>
          <w:szCs w:val="28"/>
          <w:lang w:eastAsia="en-GB"/>
          <w14:ligatures w14:val="none"/>
        </w:rPr>
        <w:t>Reiner, R. (2010). The politics of the police. Oxford: Oxford University Press.</w:t>
      </w:r>
    </w:p>
    <w:p w14:paraId="7BC2720B" w14:textId="77777777" w:rsidR="001B6682" w:rsidRDefault="001B6682" w:rsidP="001B6682">
      <w:pPr>
        <w:rPr>
          <w:rFonts w:ascii="Times New Roman" w:hAnsi="Times New Roman" w:cs="Times New Roman"/>
          <w:sz w:val="28"/>
          <w:szCs w:val="28"/>
        </w:rPr>
      </w:pPr>
    </w:p>
    <w:p w14:paraId="4AAEA796" w14:textId="0D5765C8" w:rsidR="00F358BB" w:rsidRPr="00696665" w:rsidRDefault="00F358BB" w:rsidP="001B6682">
      <w:pPr>
        <w:rPr>
          <w:rFonts w:ascii="Times New Roman" w:hAnsi="Times New Roman" w:cs="Times New Roman"/>
          <w:sz w:val="28"/>
          <w:szCs w:val="28"/>
        </w:rPr>
      </w:pPr>
      <w:r w:rsidRPr="00F358BB">
        <w:rPr>
          <w:rFonts w:ascii="Times New Roman" w:hAnsi="Times New Roman" w:cs="Times New Roman"/>
          <w:sz w:val="28"/>
          <w:szCs w:val="28"/>
        </w:rPr>
        <w:t xml:space="preserve">Smith, David, and Rebecca Johnston. "Diversity and Policing in the UK: Adapting to a Changing Society." </w:t>
      </w:r>
      <w:r w:rsidRPr="00F358BB">
        <w:rPr>
          <w:rFonts w:ascii="Times New Roman" w:hAnsi="Times New Roman" w:cs="Times New Roman"/>
          <w:i/>
          <w:iCs/>
          <w:sz w:val="28"/>
          <w:szCs w:val="28"/>
        </w:rPr>
        <w:t>British Journal of Criminology</w:t>
      </w:r>
      <w:r w:rsidRPr="00F358BB">
        <w:rPr>
          <w:rFonts w:ascii="Times New Roman" w:hAnsi="Times New Roman" w:cs="Times New Roman"/>
          <w:sz w:val="28"/>
          <w:szCs w:val="28"/>
        </w:rPr>
        <w:t>, vol. 58, no. 4, 2018, pp. 1011-1030. doi:10.1093/</w:t>
      </w:r>
      <w:proofErr w:type="spellStart"/>
      <w:r w:rsidRPr="00F358BB">
        <w:rPr>
          <w:rFonts w:ascii="Times New Roman" w:hAnsi="Times New Roman" w:cs="Times New Roman"/>
          <w:sz w:val="28"/>
          <w:szCs w:val="28"/>
        </w:rPr>
        <w:t>bjc</w:t>
      </w:r>
      <w:proofErr w:type="spellEnd"/>
      <w:r w:rsidRPr="00F358BB">
        <w:rPr>
          <w:rFonts w:ascii="Times New Roman" w:hAnsi="Times New Roman" w:cs="Times New Roman"/>
          <w:sz w:val="28"/>
          <w:szCs w:val="28"/>
        </w:rPr>
        <w:t>/azy023.</w:t>
      </w:r>
    </w:p>
    <w:p w14:paraId="43F1DC51" w14:textId="77777777" w:rsidR="00696665" w:rsidRPr="00696665" w:rsidRDefault="00696665" w:rsidP="001B6682">
      <w:pPr>
        <w:rPr>
          <w:rFonts w:ascii="Times New Roman" w:hAnsi="Times New Roman" w:cs="Times New Roman"/>
          <w:sz w:val="28"/>
          <w:szCs w:val="28"/>
        </w:rPr>
      </w:pPr>
    </w:p>
    <w:p w14:paraId="320E153E" w14:textId="77777777" w:rsidR="00696665" w:rsidRPr="00696665" w:rsidRDefault="00696665" w:rsidP="001B6682">
      <w:pPr>
        <w:rPr>
          <w:rFonts w:ascii="Times New Roman" w:hAnsi="Times New Roman" w:cs="Times New Roman"/>
          <w:sz w:val="28"/>
          <w:szCs w:val="28"/>
        </w:rPr>
      </w:pPr>
    </w:p>
    <w:p w14:paraId="1555DD44" w14:textId="77777777" w:rsidR="00696665" w:rsidRPr="00696665" w:rsidRDefault="00696665" w:rsidP="001B6682">
      <w:pPr>
        <w:rPr>
          <w:rFonts w:ascii="Times New Roman" w:hAnsi="Times New Roman" w:cs="Times New Roman"/>
          <w:sz w:val="28"/>
          <w:szCs w:val="28"/>
        </w:rPr>
      </w:pPr>
    </w:p>
    <w:p w14:paraId="78749138" w14:textId="77777777" w:rsidR="00696665" w:rsidRPr="00696665" w:rsidRDefault="00696665" w:rsidP="001B6682">
      <w:pPr>
        <w:rPr>
          <w:rFonts w:ascii="Times New Roman" w:hAnsi="Times New Roman" w:cs="Times New Roman"/>
          <w:sz w:val="28"/>
          <w:szCs w:val="28"/>
        </w:rPr>
      </w:pPr>
    </w:p>
    <w:p w14:paraId="6F12E7E2" w14:textId="77777777" w:rsidR="00696665" w:rsidRPr="00696665" w:rsidRDefault="00696665" w:rsidP="001B6682">
      <w:pPr>
        <w:rPr>
          <w:rFonts w:ascii="Times New Roman" w:hAnsi="Times New Roman" w:cs="Times New Roman"/>
          <w:sz w:val="28"/>
          <w:szCs w:val="28"/>
        </w:rPr>
      </w:pPr>
    </w:p>
    <w:p w14:paraId="72F42CF9" w14:textId="77777777" w:rsidR="00696665" w:rsidRPr="00696665" w:rsidRDefault="00696665" w:rsidP="001B6682">
      <w:pPr>
        <w:rPr>
          <w:rFonts w:ascii="Times New Roman" w:hAnsi="Times New Roman" w:cs="Times New Roman"/>
          <w:sz w:val="28"/>
          <w:szCs w:val="28"/>
        </w:rPr>
      </w:pPr>
    </w:p>
    <w:p w14:paraId="4F90D4EE" w14:textId="77777777" w:rsidR="00696665" w:rsidRPr="00696665" w:rsidRDefault="00696665" w:rsidP="001B6682">
      <w:pPr>
        <w:rPr>
          <w:rFonts w:ascii="Times New Roman" w:hAnsi="Times New Roman" w:cs="Times New Roman"/>
          <w:sz w:val="28"/>
          <w:szCs w:val="28"/>
        </w:rPr>
      </w:pPr>
    </w:p>
    <w:p w14:paraId="416259F2" w14:textId="77777777" w:rsidR="00696665" w:rsidRPr="00696665" w:rsidRDefault="00696665" w:rsidP="001B6682">
      <w:pPr>
        <w:rPr>
          <w:rFonts w:ascii="Times New Roman" w:hAnsi="Times New Roman" w:cs="Times New Roman"/>
          <w:sz w:val="28"/>
          <w:szCs w:val="28"/>
        </w:rPr>
      </w:pPr>
    </w:p>
    <w:p w14:paraId="1ED7A351" w14:textId="77777777" w:rsidR="00696665" w:rsidRPr="00696665" w:rsidRDefault="00696665" w:rsidP="001B6682">
      <w:pPr>
        <w:rPr>
          <w:rFonts w:ascii="Times New Roman" w:hAnsi="Times New Roman" w:cs="Times New Roman"/>
          <w:sz w:val="28"/>
          <w:szCs w:val="28"/>
        </w:rPr>
      </w:pPr>
    </w:p>
    <w:p w14:paraId="2D960673" w14:textId="77777777" w:rsidR="00696665" w:rsidRPr="00696665" w:rsidRDefault="00696665" w:rsidP="001B6682">
      <w:pPr>
        <w:rPr>
          <w:rFonts w:ascii="Times New Roman" w:hAnsi="Times New Roman" w:cs="Times New Roman"/>
          <w:sz w:val="28"/>
          <w:szCs w:val="28"/>
        </w:rPr>
      </w:pPr>
    </w:p>
    <w:p w14:paraId="7146AEA4" w14:textId="77777777" w:rsidR="00696665" w:rsidRPr="00696665" w:rsidRDefault="00696665" w:rsidP="001B6682">
      <w:pPr>
        <w:rPr>
          <w:rFonts w:ascii="Times New Roman" w:hAnsi="Times New Roman" w:cs="Times New Roman"/>
          <w:sz w:val="28"/>
          <w:szCs w:val="28"/>
        </w:rPr>
      </w:pPr>
    </w:p>
    <w:p w14:paraId="7922773B" w14:textId="77777777" w:rsidR="00696665" w:rsidRPr="00696665" w:rsidRDefault="00696665" w:rsidP="001B6682">
      <w:pPr>
        <w:rPr>
          <w:rFonts w:ascii="Times New Roman" w:hAnsi="Times New Roman" w:cs="Times New Roman"/>
          <w:sz w:val="28"/>
          <w:szCs w:val="28"/>
        </w:rPr>
      </w:pPr>
    </w:p>
    <w:p w14:paraId="08615819" w14:textId="77777777" w:rsidR="00696665" w:rsidRPr="00696665" w:rsidRDefault="00696665" w:rsidP="001B6682">
      <w:pPr>
        <w:rPr>
          <w:rFonts w:ascii="Times New Roman" w:hAnsi="Times New Roman" w:cs="Times New Roman"/>
          <w:sz w:val="28"/>
          <w:szCs w:val="28"/>
        </w:rPr>
      </w:pPr>
    </w:p>
    <w:p w14:paraId="486AB865" w14:textId="77777777" w:rsidR="00696665" w:rsidRDefault="00696665" w:rsidP="001B6682">
      <w:pPr>
        <w:rPr>
          <w:rFonts w:ascii="Times New Roman" w:hAnsi="Times New Roman" w:cs="Times New Roman"/>
          <w:sz w:val="28"/>
          <w:szCs w:val="28"/>
        </w:rPr>
      </w:pPr>
    </w:p>
    <w:p w14:paraId="2D27897A" w14:textId="77777777" w:rsidR="00B610BB" w:rsidRDefault="00B610BB" w:rsidP="001B6682">
      <w:pPr>
        <w:rPr>
          <w:rFonts w:ascii="Times New Roman" w:hAnsi="Times New Roman" w:cs="Times New Roman"/>
          <w:sz w:val="28"/>
          <w:szCs w:val="28"/>
        </w:rPr>
      </w:pPr>
    </w:p>
    <w:p w14:paraId="6B73718B" w14:textId="77777777" w:rsidR="00B610BB" w:rsidRDefault="00B610BB" w:rsidP="001B6682">
      <w:pPr>
        <w:rPr>
          <w:rFonts w:ascii="Times New Roman" w:hAnsi="Times New Roman" w:cs="Times New Roman"/>
          <w:sz w:val="28"/>
          <w:szCs w:val="28"/>
        </w:rPr>
      </w:pPr>
    </w:p>
    <w:p w14:paraId="62118C53" w14:textId="77777777" w:rsidR="00B610BB" w:rsidRDefault="00B610BB" w:rsidP="001B6682">
      <w:pPr>
        <w:rPr>
          <w:rFonts w:ascii="Times New Roman" w:hAnsi="Times New Roman" w:cs="Times New Roman"/>
          <w:sz w:val="28"/>
          <w:szCs w:val="28"/>
        </w:rPr>
      </w:pPr>
    </w:p>
    <w:p w14:paraId="1CA8EF75" w14:textId="77777777" w:rsidR="00B610BB" w:rsidRDefault="00B610BB" w:rsidP="001B6682">
      <w:pPr>
        <w:rPr>
          <w:rFonts w:ascii="Times New Roman" w:hAnsi="Times New Roman" w:cs="Times New Roman"/>
          <w:sz w:val="28"/>
          <w:szCs w:val="28"/>
        </w:rPr>
      </w:pPr>
    </w:p>
    <w:p w14:paraId="7C87DF08" w14:textId="77777777" w:rsidR="00B610BB" w:rsidRDefault="00B610BB" w:rsidP="001B6682">
      <w:pPr>
        <w:rPr>
          <w:rFonts w:ascii="Times New Roman" w:hAnsi="Times New Roman" w:cs="Times New Roman"/>
          <w:sz w:val="28"/>
          <w:szCs w:val="28"/>
        </w:rPr>
      </w:pPr>
    </w:p>
    <w:p w14:paraId="02FFB7C8" w14:textId="77777777" w:rsidR="00B610BB" w:rsidRPr="00696665" w:rsidRDefault="00B610BB" w:rsidP="001B6682">
      <w:pPr>
        <w:rPr>
          <w:rFonts w:ascii="Times New Roman" w:hAnsi="Times New Roman" w:cs="Times New Roman"/>
          <w:sz w:val="28"/>
          <w:szCs w:val="28"/>
        </w:rPr>
      </w:pPr>
    </w:p>
    <w:p w14:paraId="4BE92AFA" w14:textId="77777777" w:rsidR="00696665" w:rsidRPr="00696665" w:rsidRDefault="00696665" w:rsidP="00696665">
      <w:pPr>
        <w:shd w:val="clear" w:color="auto" w:fill="FFFFFF"/>
        <w:spacing w:after="0" w:line="240" w:lineRule="auto"/>
        <w:rPr>
          <w:rFonts w:ascii="Times New Roman" w:hAnsi="Times New Roman" w:cs="Times New Roman"/>
          <w:sz w:val="28"/>
          <w:szCs w:val="28"/>
          <w:shd w:val="clear" w:color="auto" w:fill="FFFFFF"/>
        </w:rPr>
      </w:pPr>
      <w:r w:rsidRPr="00696665">
        <w:rPr>
          <w:rFonts w:ascii="Times New Roman" w:hAnsi="Times New Roman" w:cs="Times New Roman"/>
          <w:sz w:val="28"/>
          <w:szCs w:val="28"/>
          <w:shd w:val="clear" w:color="auto" w:fill="FFFFFF"/>
        </w:rPr>
        <w:lastRenderedPageBreak/>
        <w:t>Why is it important to manage mental well-being in policing? What can be the consequences if metal well-being is not managed appropriately?</w:t>
      </w:r>
    </w:p>
    <w:p w14:paraId="4B228AB7" w14:textId="77777777" w:rsidR="00696665" w:rsidRPr="00696665" w:rsidRDefault="00696665" w:rsidP="00696665">
      <w:pPr>
        <w:shd w:val="clear" w:color="auto" w:fill="FFFFFF"/>
        <w:spacing w:after="0" w:line="240" w:lineRule="auto"/>
        <w:rPr>
          <w:rFonts w:ascii="Times New Roman" w:hAnsi="Times New Roman" w:cs="Times New Roman"/>
          <w:sz w:val="28"/>
          <w:szCs w:val="28"/>
          <w:shd w:val="clear" w:color="auto" w:fill="FFFFFF"/>
        </w:rPr>
      </w:pPr>
    </w:p>
    <w:p w14:paraId="07307CC7" w14:textId="77777777" w:rsidR="00696665" w:rsidRPr="00696665" w:rsidRDefault="00696665" w:rsidP="00696665">
      <w:pPr>
        <w:shd w:val="clear" w:color="auto" w:fill="FFFFFF"/>
        <w:spacing w:after="0" w:line="240" w:lineRule="auto"/>
        <w:rPr>
          <w:rFonts w:ascii="Times New Roman" w:hAnsi="Times New Roman" w:cs="Times New Roman"/>
          <w:sz w:val="28"/>
          <w:szCs w:val="28"/>
          <w:shd w:val="clear" w:color="auto" w:fill="FFFFFF"/>
        </w:rPr>
      </w:pPr>
    </w:p>
    <w:p w14:paraId="6A2FA027" w14:textId="1E38B203" w:rsidR="00696665" w:rsidRPr="00696665" w:rsidRDefault="00696665" w:rsidP="00696665">
      <w:pPr>
        <w:shd w:val="clear" w:color="auto" w:fill="FFFFFF"/>
        <w:spacing w:after="0" w:line="240" w:lineRule="auto"/>
        <w:rPr>
          <w:rFonts w:ascii="Times New Roman" w:eastAsia="Times New Roman" w:hAnsi="Times New Roman" w:cs="Times New Roman"/>
          <w:kern w:val="0"/>
          <w:sz w:val="28"/>
          <w:szCs w:val="28"/>
          <w:lang w:eastAsia="en-GB"/>
          <w14:ligatures w14:val="none"/>
        </w:rPr>
      </w:pPr>
      <w:r w:rsidRPr="00696665">
        <w:rPr>
          <w:rFonts w:ascii="Times New Roman" w:hAnsi="Times New Roman" w:cs="Times New Roman"/>
          <w:sz w:val="28"/>
          <w:szCs w:val="28"/>
          <w:shd w:val="clear" w:color="auto" w:fill="FFFFFF"/>
        </w:rPr>
        <w:t xml:space="preserve">Ensuring the well-being of police officers plays a </w:t>
      </w:r>
      <w:r w:rsidR="00B610BB">
        <w:rPr>
          <w:rFonts w:ascii="Times New Roman" w:hAnsi="Times New Roman" w:cs="Times New Roman"/>
          <w:sz w:val="28"/>
          <w:szCs w:val="28"/>
          <w:shd w:val="clear" w:color="auto" w:fill="FFFFFF"/>
        </w:rPr>
        <w:t xml:space="preserve">significant </w:t>
      </w:r>
      <w:r w:rsidRPr="00696665">
        <w:rPr>
          <w:rFonts w:ascii="Times New Roman" w:hAnsi="Times New Roman" w:cs="Times New Roman"/>
          <w:sz w:val="28"/>
          <w:szCs w:val="28"/>
          <w:shd w:val="clear" w:color="auto" w:fill="FFFFFF"/>
        </w:rPr>
        <w:t>role for various reasons. This essay will explore the importance of this aspect discussing the repercussions of disregarding health and proposing management techniques with support from academic sources.</w:t>
      </w:r>
      <w:r w:rsidRPr="00696665">
        <w:rPr>
          <w:rFonts w:ascii="Times New Roman" w:hAnsi="Times New Roman" w:cs="Times New Roman"/>
          <w:sz w:val="28"/>
          <w:szCs w:val="28"/>
          <w:shd w:val="clear" w:color="auto" w:fill="FFFFFF"/>
        </w:rPr>
        <w:br/>
      </w:r>
      <w:r w:rsidRPr="00696665">
        <w:rPr>
          <w:rFonts w:ascii="Times New Roman" w:hAnsi="Times New Roman" w:cs="Times New Roman"/>
          <w:sz w:val="28"/>
          <w:szCs w:val="28"/>
          <w:shd w:val="clear" w:color="auto" w:fill="FFFFFF"/>
        </w:rPr>
        <w:br/>
        <w:t>Police officers encounter a multitude of stressors in their profession such as exposure to traumatic incidents, long working hours, high pressure scenarios and the continual need to make decisions. These factors can significantly impact their well-being.</w:t>
      </w:r>
      <w:r w:rsidRPr="00696665">
        <w:rPr>
          <w:rFonts w:ascii="Times New Roman" w:hAnsi="Times New Roman" w:cs="Times New Roman"/>
          <w:sz w:val="28"/>
          <w:szCs w:val="28"/>
          <w:shd w:val="clear" w:color="auto" w:fill="FFFFFF"/>
        </w:rPr>
        <w:br/>
      </w:r>
      <w:r w:rsidRPr="00696665">
        <w:rPr>
          <w:rFonts w:ascii="Times New Roman" w:hAnsi="Times New Roman" w:cs="Times New Roman"/>
          <w:sz w:val="28"/>
          <w:szCs w:val="28"/>
          <w:shd w:val="clear" w:color="auto" w:fill="FFFFFF"/>
        </w:rPr>
        <w:br/>
        <w:t>Primarily addressing health in policing is essential for the efficiency of the police force. Studies indicate that officers facing health challenges may be more susceptible to making judgment errors that could jeopardise safety and operational effectiveness (Violanti et al., 2018). It is crucial for the police to function effectively and ensure that its officers are not grappling with their mental health.</w:t>
      </w:r>
      <w:r w:rsidRPr="00696665">
        <w:rPr>
          <w:rFonts w:ascii="Times New Roman" w:hAnsi="Times New Roman" w:cs="Times New Roman"/>
          <w:sz w:val="28"/>
          <w:szCs w:val="28"/>
          <w:shd w:val="clear" w:color="auto" w:fill="FFFFFF"/>
        </w:rPr>
        <w:br/>
      </w:r>
      <w:r w:rsidRPr="00696665">
        <w:rPr>
          <w:rFonts w:ascii="Times New Roman" w:hAnsi="Times New Roman" w:cs="Times New Roman"/>
          <w:sz w:val="28"/>
          <w:szCs w:val="28"/>
          <w:shd w:val="clear" w:color="auto" w:fill="FFFFFF"/>
        </w:rPr>
        <w:br/>
        <w:t>Furthermore</w:t>
      </w:r>
      <w:r w:rsidR="00B610BB">
        <w:rPr>
          <w:rFonts w:ascii="Times New Roman" w:hAnsi="Times New Roman" w:cs="Times New Roman"/>
          <w:sz w:val="28"/>
          <w:szCs w:val="28"/>
          <w:shd w:val="clear" w:color="auto" w:fill="FFFFFF"/>
        </w:rPr>
        <w:t>,</w:t>
      </w:r>
      <w:r w:rsidRPr="00696665">
        <w:rPr>
          <w:rFonts w:ascii="Times New Roman" w:hAnsi="Times New Roman" w:cs="Times New Roman"/>
          <w:sz w:val="28"/>
          <w:szCs w:val="28"/>
          <w:shd w:val="clear" w:color="auto" w:fill="FFFFFF"/>
        </w:rPr>
        <w:t xml:space="preserve"> neglecting the well-being of police personnel can result in adverse consequences including reduced job satisfaction, burnout, absenteeism, and higher turnover rates. Elevated stress levels and untreated mental health issues can diminish morale within police forces affecting teamwork and unity while ultimately undermining policing efforts (Violanti et al., 2018).</w:t>
      </w:r>
      <w:r w:rsidRPr="00696665">
        <w:rPr>
          <w:rFonts w:ascii="Times New Roman" w:hAnsi="Times New Roman" w:cs="Times New Roman"/>
          <w:sz w:val="28"/>
          <w:szCs w:val="28"/>
          <w:shd w:val="clear" w:color="auto" w:fill="FFFFFF"/>
        </w:rPr>
        <w:br/>
        <w:t>High rates of absenteeism and turnover present a challenge. Firstly, when there are absences</w:t>
      </w:r>
      <w:r w:rsidR="00361520">
        <w:rPr>
          <w:rFonts w:ascii="Times New Roman" w:hAnsi="Times New Roman" w:cs="Times New Roman"/>
          <w:sz w:val="28"/>
          <w:szCs w:val="28"/>
          <w:shd w:val="clear" w:color="auto" w:fill="FFFFFF"/>
        </w:rPr>
        <w:t>,</w:t>
      </w:r>
      <w:r w:rsidRPr="00696665">
        <w:rPr>
          <w:rFonts w:ascii="Times New Roman" w:hAnsi="Times New Roman" w:cs="Times New Roman"/>
          <w:sz w:val="28"/>
          <w:szCs w:val="28"/>
          <w:shd w:val="clear" w:color="auto" w:fill="FFFFFF"/>
        </w:rPr>
        <w:t xml:space="preserve"> communities may lack policing. This could lead to delays in responding to emergency calls if staffing levels are insufficient</w:t>
      </w:r>
      <w:r w:rsidR="00361520">
        <w:rPr>
          <w:rFonts w:ascii="Times New Roman" w:hAnsi="Times New Roman" w:cs="Times New Roman"/>
          <w:sz w:val="28"/>
          <w:szCs w:val="28"/>
          <w:shd w:val="clear" w:color="auto" w:fill="FFFFFF"/>
        </w:rPr>
        <w:t>, (</w:t>
      </w:r>
      <w:proofErr w:type="spellStart"/>
      <w:r w:rsidR="00361520">
        <w:rPr>
          <w:rFonts w:ascii="Times New Roman" w:hAnsi="Times New Roman" w:cs="Times New Roman"/>
          <w:sz w:val="28"/>
          <w:szCs w:val="28"/>
          <w:shd w:val="clear" w:color="auto" w:fill="FFFFFF"/>
        </w:rPr>
        <w:t>Dantzker</w:t>
      </w:r>
      <w:proofErr w:type="spellEnd"/>
      <w:r w:rsidR="00361520">
        <w:rPr>
          <w:rFonts w:ascii="Times New Roman" w:hAnsi="Times New Roman" w:cs="Times New Roman"/>
          <w:sz w:val="28"/>
          <w:szCs w:val="28"/>
          <w:shd w:val="clear" w:color="auto" w:fill="FFFFFF"/>
        </w:rPr>
        <w:t>, 1997)</w:t>
      </w:r>
      <w:r w:rsidRPr="00696665">
        <w:rPr>
          <w:rFonts w:ascii="Times New Roman" w:hAnsi="Times New Roman" w:cs="Times New Roman"/>
          <w:sz w:val="28"/>
          <w:szCs w:val="28"/>
          <w:shd w:val="clear" w:color="auto" w:fill="FFFFFF"/>
        </w:rPr>
        <w:t>. Additionally, the costs incurred in replacing staff and the investment put into training police officers who later leave due to burnout or dissatisfaction pose challenges</w:t>
      </w:r>
      <w:r w:rsidR="00361520">
        <w:rPr>
          <w:rFonts w:ascii="Times New Roman" w:hAnsi="Times New Roman" w:cs="Times New Roman"/>
          <w:sz w:val="28"/>
          <w:szCs w:val="28"/>
          <w:shd w:val="clear" w:color="auto" w:fill="FFFFFF"/>
        </w:rPr>
        <w:t xml:space="preserve"> (Turner et al. 2019</w:t>
      </w:r>
      <w:r w:rsidRPr="00696665">
        <w:rPr>
          <w:rFonts w:ascii="Times New Roman" w:hAnsi="Times New Roman" w:cs="Times New Roman"/>
          <w:sz w:val="28"/>
          <w:szCs w:val="28"/>
          <w:shd w:val="clear" w:color="auto" w:fill="FFFFFF"/>
        </w:rPr>
        <w:t>.</w:t>
      </w:r>
      <w:r w:rsidR="00361520">
        <w:rPr>
          <w:rFonts w:ascii="Times New Roman" w:hAnsi="Times New Roman" w:cs="Times New Roman"/>
          <w:sz w:val="28"/>
          <w:szCs w:val="28"/>
          <w:shd w:val="clear" w:color="auto" w:fill="FFFFFF"/>
        </w:rPr>
        <w:t>)</w:t>
      </w:r>
      <w:r w:rsidRPr="00696665">
        <w:rPr>
          <w:rFonts w:ascii="Times New Roman" w:hAnsi="Times New Roman" w:cs="Times New Roman"/>
          <w:sz w:val="28"/>
          <w:szCs w:val="28"/>
          <w:shd w:val="clear" w:color="auto" w:fill="FFFFFF"/>
        </w:rPr>
        <w:br/>
      </w:r>
      <w:r w:rsidRPr="00696665">
        <w:rPr>
          <w:rFonts w:ascii="Times New Roman" w:hAnsi="Times New Roman" w:cs="Times New Roman"/>
          <w:sz w:val="28"/>
          <w:szCs w:val="28"/>
          <w:shd w:val="clear" w:color="auto" w:fill="FFFFFF"/>
        </w:rPr>
        <w:br/>
        <w:t>Moreover</w:t>
      </w:r>
      <w:r w:rsidR="00361520">
        <w:rPr>
          <w:rFonts w:ascii="Times New Roman" w:hAnsi="Times New Roman" w:cs="Times New Roman"/>
          <w:sz w:val="28"/>
          <w:szCs w:val="28"/>
          <w:shd w:val="clear" w:color="auto" w:fill="FFFFFF"/>
        </w:rPr>
        <w:t>,</w:t>
      </w:r>
      <w:r w:rsidRPr="00696665">
        <w:rPr>
          <w:rFonts w:ascii="Times New Roman" w:hAnsi="Times New Roman" w:cs="Times New Roman"/>
          <w:sz w:val="28"/>
          <w:szCs w:val="28"/>
          <w:shd w:val="clear" w:color="auto" w:fill="FFFFFF"/>
        </w:rPr>
        <w:t xml:space="preserve"> prioritising well-being among police officers is crucial for their welfare. Officers often face stigma related to health issues, which may deter them from seeking help when they need it. Creating an environment that values health can encourage officers to seek assistance without fear of judgment or negative consequences thereby enabling early intervention and preventing more serious mental health issues from arising</w:t>
      </w:r>
      <w:r w:rsidR="00361520">
        <w:rPr>
          <w:rFonts w:ascii="Times New Roman" w:hAnsi="Times New Roman" w:cs="Times New Roman"/>
          <w:sz w:val="28"/>
          <w:szCs w:val="28"/>
          <w:shd w:val="clear" w:color="auto" w:fill="FFFFFF"/>
        </w:rPr>
        <w:t xml:space="preserve"> (Donnelly et al. 2015</w:t>
      </w:r>
      <w:r w:rsidRPr="00696665">
        <w:rPr>
          <w:rFonts w:ascii="Times New Roman" w:hAnsi="Times New Roman" w:cs="Times New Roman"/>
          <w:sz w:val="28"/>
          <w:szCs w:val="28"/>
          <w:shd w:val="clear" w:color="auto" w:fill="FFFFFF"/>
        </w:rPr>
        <w:t>.</w:t>
      </w:r>
      <w:r w:rsidR="00361520">
        <w:rPr>
          <w:rFonts w:ascii="Times New Roman" w:hAnsi="Times New Roman" w:cs="Times New Roman"/>
          <w:sz w:val="28"/>
          <w:szCs w:val="28"/>
          <w:shd w:val="clear" w:color="auto" w:fill="FFFFFF"/>
        </w:rPr>
        <w:t>)</w:t>
      </w:r>
      <w:r w:rsidRPr="00696665">
        <w:rPr>
          <w:rFonts w:ascii="Times New Roman" w:hAnsi="Times New Roman" w:cs="Times New Roman"/>
          <w:sz w:val="28"/>
          <w:szCs w:val="28"/>
          <w:shd w:val="clear" w:color="auto" w:fill="FFFFFF"/>
        </w:rPr>
        <w:br/>
      </w:r>
      <w:r w:rsidRPr="00696665">
        <w:rPr>
          <w:rFonts w:ascii="Times New Roman" w:hAnsi="Times New Roman" w:cs="Times New Roman"/>
          <w:sz w:val="28"/>
          <w:szCs w:val="28"/>
          <w:shd w:val="clear" w:color="auto" w:fill="FFFFFF"/>
        </w:rPr>
        <w:br/>
        <w:t xml:space="preserve">Neglecting well-being within the police can have repercussions for both individual officers and the communities they serve. One major concern is the heightened risk of health disorders among police personnel. Research has found </w:t>
      </w:r>
      <w:r w:rsidRPr="00696665">
        <w:rPr>
          <w:rFonts w:ascii="Times New Roman" w:hAnsi="Times New Roman" w:cs="Times New Roman"/>
          <w:sz w:val="28"/>
          <w:szCs w:val="28"/>
          <w:shd w:val="clear" w:color="auto" w:fill="FFFFFF"/>
        </w:rPr>
        <w:lastRenderedPageBreak/>
        <w:t>that police officers may face a risk of health conditions, like depression, anxiety and post-traumatic stress disorder (PTSD) compared to the general population (Carlier et al., 2018).</w:t>
      </w:r>
      <w:r w:rsidRPr="00696665">
        <w:rPr>
          <w:rFonts w:ascii="Times New Roman" w:hAnsi="Times New Roman" w:cs="Times New Roman"/>
          <w:sz w:val="28"/>
          <w:szCs w:val="28"/>
          <w:shd w:val="clear" w:color="auto" w:fill="FFFFFF"/>
        </w:rPr>
        <w:br/>
      </w:r>
      <w:r w:rsidRPr="00696665">
        <w:rPr>
          <w:rFonts w:ascii="Times New Roman" w:hAnsi="Times New Roman" w:cs="Times New Roman"/>
          <w:sz w:val="28"/>
          <w:szCs w:val="28"/>
          <w:shd w:val="clear" w:color="auto" w:fill="FFFFFF"/>
        </w:rPr>
        <w:br/>
        <w:t>If left untreated these mental health issues can impact an officer’s ability to carry out their duties effectively and could even lead to self-harm or suicide. Studies show that police officers have an increased risk of suicide compared to other professions emphasising the pressing need for proactive strategies to address mental health concerns in the police (Violanti et al., 2018).</w:t>
      </w:r>
      <w:r w:rsidRPr="00696665">
        <w:rPr>
          <w:rFonts w:ascii="Times New Roman" w:hAnsi="Times New Roman" w:cs="Times New Roman"/>
          <w:sz w:val="28"/>
          <w:szCs w:val="28"/>
          <w:shd w:val="clear" w:color="auto" w:fill="FFFFFF"/>
        </w:rPr>
        <w:br/>
      </w:r>
      <w:r w:rsidRPr="00696665">
        <w:rPr>
          <w:rFonts w:ascii="Times New Roman" w:hAnsi="Times New Roman" w:cs="Times New Roman"/>
          <w:sz w:val="28"/>
          <w:szCs w:val="28"/>
          <w:shd w:val="clear" w:color="auto" w:fill="FFFFFF"/>
        </w:rPr>
        <w:br/>
        <w:t>Overlooking wellness in policing can have societal consequences. Officers dealing with health issues may be more inclined to use force or engage in misconduct harming public trust and confidence in the police. Additionally unaddressed mental health challenges among police officers can perpetuate a cycle of trauma within communities since officers grappling with their well-being might struggle to respond sensitively and effectively during crisis situations involving individuals (Garrett &amp; Grant 2020).</w:t>
      </w:r>
      <w:r w:rsidRPr="00696665">
        <w:rPr>
          <w:rFonts w:ascii="Times New Roman" w:hAnsi="Times New Roman" w:cs="Times New Roman"/>
          <w:sz w:val="28"/>
          <w:szCs w:val="28"/>
          <w:shd w:val="clear" w:color="auto" w:fill="FFFFFF"/>
        </w:rPr>
        <w:br/>
      </w:r>
      <w:r w:rsidRPr="00696665">
        <w:rPr>
          <w:rFonts w:ascii="Times New Roman" w:hAnsi="Times New Roman" w:cs="Times New Roman"/>
          <w:sz w:val="28"/>
          <w:szCs w:val="28"/>
          <w:shd w:val="clear" w:color="auto" w:fill="FFFFFF"/>
        </w:rPr>
        <w:br/>
        <w:t>To effectively promote well-being in the police it is crucial to adopt an approach that considers both individual and organisational factors. One effective approach involves raising awareness about health and encouraging police officers to seek support without feeling ashamed. This can be done through training sessions that educate officers on health issues and dispel misunderstandings about mental illnesses and provide details about available support services</w:t>
      </w:r>
      <w:r w:rsidR="00361520">
        <w:rPr>
          <w:rFonts w:ascii="Times New Roman" w:hAnsi="Times New Roman" w:cs="Times New Roman"/>
          <w:sz w:val="28"/>
          <w:szCs w:val="28"/>
          <w:shd w:val="clear" w:color="auto" w:fill="FFFFFF"/>
        </w:rPr>
        <w:t>, (Ramey et al 2018.)</w:t>
      </w:r>
      <w:r w:rsidRPr="00696665">
        <w:rPr>
          <w:rFonts w:ascii="Times New Roman" w:hAnsi="Times New Roman" w:cs="Times New Roman"/>
          <w:sz w:val="28"/>
          <w:szCs w:val="28"/>
          <w:shd w:val="clear" w:color="auto" w:fill="FFFFFF"/>
        </w:rPr>
        <w:br/>
      </w:r>
      <w:r w:rsidRPr="00696665">
        <w:rPr>
          <w:rFonts w:ascii="Times New Roman" w:hAnsi="Times New Roman" w:cs="Times New Roman"/>
          <w:sz w:val="28"/>
          <w:szCs w:val="28"/>
          <w:shd w:val="clear" w:color="auto" w:fill="FFFFFF"/>
        </w:rPr>
        <w:br/>
        <w:t>Introducing evidence-based programs to enhance officers’ resilience can help them develop coping mechanisms and strengthen their toughness to handle the pressures of police work. These programs may include mindfulness exercises, techniques for managing stress and interventions based on cognitive behavioural therapy to promote well-being outcomes</w:t>
      </w:r>
      <w:r w:rsidR="00361520">
        <w:rPr>
          <w:rFonts w:ascii="Times New Roman" w:hAnsi="Times New Roman" w:cs="Times New Roman"/>
          <w:sz w:val="28"/>
          <w:szCs w:val="28"/>
          <w:shd w:val="clear" w:color="auto" w:fill="FFFFFF"/>
        </w:rPr>
        <w:t>, (</w:t>
      </w:r>
      <w:proofErr w:type="spellStart"/>
      <w:r w:rsidR="00361520">
        <w:rPr>
          <w:rFonts w:ascii="Times New Roman" w:hAnsi="Times New Roman" w:cs="Times New Roman"/>
          <w:sz w:val="28"/>
          <w:szCs w:val="28"/>
          <w:shd w:val="clear" w:color="auto" w:fill="FFFFFF"/>
        </w:rPr>
        <w:t>Arnetz</w:t>
      </w:r>
      <w:proofErr w:type="spellEnd"/>
      <w:r w:rsidR="00361520">
        <w:rPr>
          <w:rFonts w:ascii="Times New Roman" w:hAnsi="Times New Roman" w:cs="Times New Roman"/>
          <w:sz w:val="28"/>
          <w:szCs w:val="28"/>
          <w:shd w:val="clear" w:color="auto" w:fill="FFFFFF"/>
        </w:rPr>
        <w:t xml:space="preserve"> et al 2019.)</w:t>
      </w:r>
      <w:r w:rsidRPr="00696665">
        <w:rPr>
          <w:rFonts w:ascii="Times New Roman" w:hAnsi="Times New Roman" w:cs="Times New Roman"/>
          <w:sz w:val="28"/>
          <w:szCs w:val="28"/>
          <w:shd w:val="clear" w:color="auto" w:fill="FFFFFF"/>
        </w:rPr>
        <w:br/>
      </w:r>
      <w:r w:rsidRPr="00696665">
        <w:rPr>
          <w:rFonts w:ascii="Times New Roman" w:hAnsi="Times New Roman" w:cs="Times New Roman"/>
          <w:sz w:val="28"/>
          <w:szCs w:val="28"/>
          <w:shd w:val="clear" w:color="auto" w:fill="FFFFFF"/>
        </w:rPr>
        <w:br/>
        <w:t>Additionally, creating a culture that prioritises the well-being of employees is crucial for promoting mental health in the police force. Police leaders have a role in fostering an environment where officers feel appreciated, respected, and supported. This could involve implementing policies that encourage a work life balance offering counselling services and ensuring adequate breaks for rest between shifts</w:t>
      </w:r>
      <w:r w:rsidR="003D6C2B">
        <w:rPr>
          <w:rFonts w:ascii="Times New Roman" w:hAnsi="Times New Roman" w:cs="Times New Roman"/>
          <w:sz w:val="28"/>
          <w:szCs w:val="28"/>
          <w:shd w:val="clear" w:color="auto" w:fill="FFFFFF"/>
        </w:rPr>
        <w:t>, (Patterson and O’Connor, 2020.)</w:t>
      </w:r>
      <w:r w:rsidRPr="00696665">
        <w:rPr>
          <w:rFonts w:ascii="Times New Roman" w:hAnsi="Times New Roman" w:cs="Times New Roman"/>
          <w:sz w:val="28"/>
          <w:szCs w:val="28"/>
          <w:shd w:val="clear" w:color="auto" w:fill="FFFFFF"/>
        </w:rPr>
        <w:br/>
      </w:r>
      <w:r w:rsidRPr="00696665">
        <w:rPr>
          <w:rFonts w:ascii="Times New Roman" w:hAnsi="Times New Roman" w:cs="Times New Roman"/>
          <w:sz w:val="28"/>
          <w:szCs w:val="28"/>
          <w:shd w:val="clear" w:color="auto" w:fill="FFFFFF"/>
        </w:rPr>
        <w:br/>
        <w:t xml:space="preserve">An example of such an effort within the police force is providing access to TRIM – Trauma Risk Incident Management. As described by marchonstress.com </w:t>
      </w:r>
      <w:proofErr w:type="spellStart"/>
      <w:r w:rsidRPr="00696665">
        <w:rPr>
          <w:rFonts w:ascii="Times New Roman" w:hAnsi="Times New Roman" w:cs="Times New Roman"/>
          <w:sz w:val="28"/>
          <w:szCs w:val="28"/>
          <w:shd w:val="clear" w:color="auto" w:fill="FFFFFF"/>
        </w:rPr>
        <w:t>TRiM</w:t>
      </w:r>
      <w:proofErr w:type="spellEnd"/>
      <w:r w:rsidRPr="00696665">
        <w:rPr>
          <w:rFonts w:ascii="Times New Roman" w:hAnsi="Times New Roman" w:cs="Times New Roman"/>
          <w:sz w:val="28"/>
          <w:szCs w:val="28"/>
          <w:shd w:val="clear" w:color="auto" w:fill="FFFFFF"/>
        </w:rPr>
        <w:t xml:space="preserve"> is a peer support system focused on addressing trauma to assist individuals who have faced or may face events.</w:t>
      </w:r>
      <w:r w:rsidRPr="00696665">
        <w:rPr>
          <w:rFonts w:ascii="Times New Roman" w:hAnsi="Times New Roman" w:cs="Times New Roman"/>
          <w:sz w:val="28"/>
          <w:szCs w:val="28"/>
          <w:shd w:val="clear" w:color="auto" w:fill="FFFFFF"/>
        </w:rPr>
        <w:br/>
      </w:r>
      <w:r w:rsidRPr="00696665">
        <w:rPr>
          <w:rFonts w:ascii="Times New Roman" w:hAnsi="Times New Roman" w:cs="Times New Roman"/>
          <w:sz w:val="28"/>
          <w:szCs w:val="28"/>
          <w:shd w:val="clear" w:color="auto" w:fill="FFFFFF"/>
        </w:rPr>
        <w:lastRenderedPageBreak/>
        <w:t>TRIM was first utilised within the military to monitor individuals who had experienced an event either directly or indirectly. According to Porter and Lee (2024) participants in their study believed that seeking health support from services not affiliated with the police was more effective. This belief stemmed from their experiences and conversations with peers partly influenced by the stigma surrounding health care. Porter and Lee continue to explain that former police officers described their work environment as 'macho', implying that this was one of the reasons they struggled to openly discuss their mental health. They were expected to brush things off and maintain a tough demeanour in order to avoid being perceived as weak by their colleagues. Many officers used phrases like 'man-up' or discussed how they simply needed to 'get over' a difficult day.</w:t>
      </w:r>
      <w:r w:rsidRPr="00696665">
        <w:rPr>
          <w:rFonts w:ascii="Times New Roman" w:hAnsi="Times New Roman" w:cs="Times New Roman"/>
          <w:sz w:val="28"/>
          <w:szCs w:val="28"/>
          <w:shd w:val="clear" w:color="auto" w:fill="FFFFFF"/>
        </w:rPr>
        <w:br/>
      </w:r>
      <w:r w:rsidRPr="00696665">
        <w:rPr>
          <w:rFonts w:ascii="Times New Roman" w:hAnsi="Times New Roman" w:cs="Times New Roman"/>
          <w:sz w:val="28"/>
          <w:szCs w:val="28"/>
          <w:shd w:val="clear" w:color="auto" w:fill="FFFFFF"/>
        </w:rPr>
        <w:br/>
        <w:t>In summary ensuring the mental well-being of police officers is crucial for protecting their welfare</w:t>
      </w:r>
      <w:r w:rsidR="005F356A">
        <w:rPr>
          <w:rFonts w:ascii="Times New Roman" w:hAnsi="Times New Roman" w:cs="Times New Roman"/>
          <w:sz w:val="28"/>
          <w:szCs w:val="28"/>
          <w:shd w:val="clear" w:color="auto" w:fill="FFFFFF"/>
        </w:rPr>
        <w:t>,</w:t>
      </w:r>
      <w:r w:rsidRPr="00696665">
        <w:rPr>
          <w:rFonts w:ascii="Times New Roman" w:hAnsi="Times New Roman" w:cs="Times New Roman"/>
          <w:sz w:val="28"/>
          <w:szCs w:val="28"/>
          <w:shd w:val="clear" w:color="auto" w:fill="FFFFFF"/>
        </w:rPr>
        <w:t xml:space="preserve"> improving </w:t>
      </w:r>
      <w:r w:rsidR="005F356A">
        <w:rPr>
          <w:rFonts w:ascii="Times New Roman" w:hAnsi="Times New Roman" w:cs="Times New Roman"/>
          <w:sz w:val="28"/>
          <w:szCs w:val="28"/>
          <w:shd w:val="clear" w:color="auto" w:fill="FFFFFF"/>
        </w:rPr>
        <w:t xml:space="preserve">the efficiency of </w:t>
      </w:r>
      <w:r w:rsidRPr="00696665">
        <w:rPr>
          <w:rFonts w:ascii="Times New Roman" w:hAnsi="Times New Roman" w:cs="Times New Roman"/>
          <w:sz w:val="28"/>
          <w:szCs w:val="28"/>
          <w:shd w:val="clear" w:color="auto" w:fill="FFFFFF"/>
        </w:rPr>
        <w:t>policing operations and upholding trust in the police. Ignoring health concerns within the police force can lead to outcomes such as decreased job performance, heightened risk of mental illness and strained community relationships. By implementing strategies that emphasise health awareness, resilience building, and organisational support police forces can cultivate a work environment that prioritises employee well-being and nurtures a healthy workforce.</w:t>
      </w:r>
    </w:p>
    <w:p w14:paraId="401FEB68" w14:textId="77777777" w:rsidR="00696665" w:rsidRPr="00696665" w:rsidRDefault="00696665" w:rsidP="00696665">
      <w:pPr>
        <w:shd w:val="clear" w:color="auto" w:fill="FFFFFF"/>
        <w:spacing w:after="0" w:line="240" w:lineRule="auto"/>
        <w:rPr>
          <w:rFonts w:ascii="Times New Roman" w:eastAsia="Times New Roman" w:hAnsi="Times New Roman" w:cs="Times New Roman"/>
          <w:kern w:val="0"/>
          <w:sz w:val="28"/>
          <w:szCs w:val="28"/>
          <w:lang w:eastAsia="en-GB"/>
          <w14:ligatures w14:val="none"/>
        </w:rPr>
      </w:pPr>
    </w:p>
    <w:p w14:paraId="2396DC8F" w14:textId="73E8844B" w:rsidR="00696665" w:rsidRPr="00696665" w:rsidRDefault="00C220B0" w:rsidP="00696665">
      <w:pPr>
        <w:shd w:val="clear" w:color="auto" w:fill="FFFFFF"/>
        <w:spacing w:after="0" w:line="240" w:lineRule="auto"/>
        <w:rPr>
          <w:rFonts w:ascii="Times New Roman" w:eastAsia="Times New Roman" w:hAnsi="Times New Roman" w:cs="Times New Roman"/>
          <w:kern w:val="0"/>
          <w:sz w:val="28"/>
          <w:szCs w:val="28"/>
          <w:lang w:eastAsia="en-GB"/>
          <w14:ligatures w14:val="none"/>
        </w:rPr>
      </w:pPr>
      <w:r>
        <w:rPr>
          <w:rFonts w:ascii="Times New Roman" w:eastAsia="Times New Roman" w:hAnsi="Times New Roman" w:cs="Times New Roman"/>
          <w:kern w:val="0"/>
          <w:sz w:val="28"/>
          <w:szCs w:val="28"/>
          <w:lang w:eastAsia="en-GB"/>
          <w14:ligatures w14:val="none"/>
        </w:rPr>
        <w:t xml:space="preserve">Word count: </w:t>
      </w:r>
      <w:r w:rsidR="00696665" w:rsidRPr="00696665">
        <w:rPr>
          <w:rFonts w:ascii="Times New Roman" w:eastAsia="Times New Roman" w:hAnsi="Times New Roman" w:cs="Times New Roman"/>
          <w:kern w:val="0"/>
          <w:sz w:val="28"/>
          <w:szCs w:val="28"/>
          <w:lang w:eastAsia="en-GB"/>
          <w14:ligatures w14:val="none"/>
        </w:rPr>
        <w:t>9</w:t>
      </w:r>
      <w:r w:rsidR="005F356A">
        <w:rPr>
          <w:rFonts w:ascii="Times New Roman" w:eastAsia="Times New Roman" w:hAnsi="Times New Roman" w:cs="Times New Roman"/>
          <w:kern w:val="0"/>
          <w:sz w:val="28"/>
          <w:szCs w:val="28"/>
          <w:lang w:eastAsia="en-GB"/>
          <w14:ligatures w14:val="none"/>
        </w:rPr>
        <w:t>37</w:t>
      </w:r>
    </w:p>
    <w:p w14:paraId="6D982360" w14:textId="77777777" w:rsidR="00696665" w:rsidRDefault="00696665" w:rsidP="00696665">
      <w:pPr>
        <w:shd w:val="clear" w:color="auto" w:fill="FFFFFF"/>
        <w:spacing w:after="0" w:line="240" w:lineRule="auto"/>
        <w:rPr>
          <w:rFonts w:ascii="Times New Roman" w:eastAsia="Times New Roman" w:hAnsi="Times New Roman" w:cs="Times New Roman"/>
          <w:kern w:val="0"/>
          <w:sz w:val="28"/>
          <w:szCs w:val="28"/>
          <w:lang w:eastAsia="en-GB"/>
          <w14:ligatures w14:val="none"/>
        </w:rPr>
      </w:pPr>
    </w:p>
    <w:p w14:paraId="41DA71E1" w14:textId="2069B41F" w:rsidR="005F356A" w:rsidRPr="00696665" w:rsidRDefault="005F356A" w:rsidP="00696665">
      <w:pPr>
        <w:shd w:val="clear" w:color="auto" w:fill="FFFFFF"/>
        <w:spacing w:after="0" w:line="240" w:lineRule="auto"/>
        <w:rPr>
          <w:rFonts w:ascii="Times New Roman" w:eastAsia="Times New Roman" w:hAnsi="Times New Roman" w:cs="Times New Roman"/>
          <w:kern w:val="0"/>
          <w:sz w:val="28"/>
          <w:szCs w:val="28"/>
          <w:lang w:eastAsia="en-GB"/>
          <w14:ligatures w14:val="none"/>
        </w:rPr>
      </w:pPr>
      <w:proofErr w:type="spellStart"/>
      <w:r w:rsidRPr="005F356A">
        <w:rPr>
          <w:rFonts w:ascii="Times New Roman" w:eastAsia="Times New Roman" w:hAnsi="Times New Roman" w:cs="Times New Roman"/>
          <w:kern w:val="0"/>
          <w:sz w:val="28"/>
          <w:szCs w:val="28"/>
          <w:lang w:eastAsia="en-GB"/>
          <w14:ligatures w14:val="none"/>
        </w:rPr>
        <w:t>Arnetz</w:t>
      </w:r>
      <w:proofErr w:type="spellEnd"/>
      <w:r w:rsidRPr="005F356A">
        <w:rPr>
          <w:rFonts w:ascii="Times New Roman" w:eastAsia="Times New Roman" w:hAnsi="Times New Roman" w:cs="Times New Roman"/>
          <w:kern w:val="0"/>
          <w:sz w:val="28"/>
          <w:szCs w:val="28"/>
          <w:lang w:eastAsia="en-GB"/>
          <w14:ligatures w14:val="none"/>
        </w:rPr>
        <w:t xml:space="preserve">, Bengt B., et al. "Evaluation of a Mindfulness-Based Intervention Program to Improve Police Officers’ Resilience and Mental Well-being." </w:t>
      </w:r>
      <w:r w:rsidRPr="005F356A">
        <w:rPr>
          <w:rFonts w:ascii="Times New Roman" w:eastAsia="Times New Roman" w:hAnsi="Times New Roman" w:cs="Times New Roman"/>
          <w:i/>
          <w:iCs/>
          <w:kern w:val="0"/>
          <w:sz w:val="28"/>
          <w:szCs w:val="28"/>
          <w:lang w:eastAsia="en-GB"/>
          <w14:ligatures w14:val="none"/>
        </w:rPr>
        <w:t>Journal of Police and Criminal Psychology</w:t>
      </w:r>
      <w:r w:rsidRPr="005F356A">
        <w:rPr>
          <w:rFonts w:ascii="Times New Roman" w:eastAsia="Times New Roman" w:hAnsi="Times New Roman" w:cs="Times New Roman"/>
          <w:kern w:val="0"/>
          <w:sz w:val="28"/>
          <w:szCs w:val="28"/>
          <w:lang w:eastAsia="en-GB"/>
          <w14:ligatures w14:val="none"/>
        </w:rPr>
        <w:t>, vol. 34, no. 2, 2019, pp. 108-119. doi:10.1007/s11896-018-9285-x.</w:t>
      </w:r>
    </w:p>
    <w:p w14:paraId="19557A3F" w14:textId="77777777" w:rsidR="005F356A" w:rsidRDefault="005F356A" w:rsidP="00696665">
      <w:pPr>
        <w:shd w:val="clear" w:color="auto" w:fill="FFFFFF"/>
        <w:spacing w:after="0" w:line="240" w:lineRule="auto"/>
        <w:rPr>
          <w:rFonts w:ascii="Times New Roman" w:eastAsia="Times New Roman" w:hAnsi="Times New Roman" w:cs="Times New Roman"/>
          <w:kern w:val="0"/>
          <w:sz w:val="28"/>
          <w:szCs w:val="28"/>
          <w:lang w:eastAsia="en-GB"/>
          <w14:ligatures w14:val="none"/>
        </w:rPr>
      </w:pPr>
    </w:p>
    <w:p w14:paraId="00921A62" w14:textId="5290D558" w:rsidR="00696665" w:rsidRPr="00696665" w:rsidRDefault="00696665" w:rsidP="00696665">
      <w:pPr>
        <w:shd w:val="clear" w:color="auto" w:fill="FFFFFF"/>
        <w:spacing w:after="0" w:line="240" w:lineRule="auto"/>
        <w:rPr>
          <w:rFonts w:ascii="Times New Roman" w:eastAsia="Times New Roman" w:hAnsi="Times New Roman" w:cs="Times New Roman"/>
          <w:kern w:val="0"/>
          <w:sz w:val="28"/>
          <w:szCs w:val="28"/>
          <w:lang w:eastAsia="en-GB"/>
          <w14:ligatures w14:val="none"/>
        </w:rPr>
      </w:pPr>
      <w:r w:rsidRPr="00696665">
        <w:rPr>
          <w:rFonts w:ascii="Times New Roman" w:eastAsia="Times New Roman" w:hAnsi="Times New Roman" w:cs="Times New Roman"/>
          <w:kern w:val="0"/>
          <w:sz w:val="28"/>
          <w:szCs w:val="28"/>
          <w:lang w:eastAsia="en-GB"/>
          <w14:ligatures w14:val="none"/>
        </w:rPr>
        <w:t xml:space="preserve">Carlier, B. E., </w:t>
      </w:r>
      <w:proofErr w:type="spellStart"/>
      <w:r w:rsidRPr="00696665">
        <w:rPr>
          <w:rFonts w:ascii="Times New Roman" w:eastAsia="Times New Roman" w:hAnsi="Times New Roman" w:cs="Times New Roman"/>
          <w:kern w:val="0"/>
          <w:sz w:val="28"/>
          <w:szCs w:val="28"/>
          <w:lang w:eastAsia="en-GB"/>
          <w14:ligatures w14:val="none"/>
        </w:rPr>
        <w:t>Schuringa</w:t>
      </w:r>
      <w:proofErr w:type="spellEnd"/>
      <w:r w:rsidRPr="00696665">
        <w:rPr>
          <w:rFonts w:ascii="Times New Roman" w:eastAsia="Times New Roman" w:hAnsi="Times New Roman" w:cs="Times New Roman"/>
          <w:kern w:val="0"/>
          <w:sz w:val="28"/>
          <w:szCs w:val="28"/>
          <w:lang w:eastAsia="en-GB"/>
          <w14:ligatures w14:val="none"/>
        </w:rPr>
        <w:t>, E., &amp; Van den Bout, J. (2018). Risk of PTSD in police officers: the role of trauma severity, peritraumatic dissociation, and emotion regulation. Journal of Traumatic Stress, 31(5), 736-744.</w:t>
      </w:r>
    </w:p>
    <w:p w14:paraId="000AC280" w14:textId="77777777" w:rsidR="00696665" w:rsidRDefault="00696665" w:rsidP="00696665">
      <w:pPr>
        <w:shd w:val="clear" w:color="auto" w:fill="FFFFFF"/>
        <w:spacing w:after="0" w:line="240" w:lineRule="auto"/>
        <w:rPr>
          <w:rFonts w:ascii="Times New Roman" w:eastAsia="Times New Roman" w:hAnsi="Times New Roman" w:cs="Times New Roman"/>
          <w:kern w:val="0"/>
          <w:sz w:val="28"/>
          <w:szCs w:val="28"/>
          <w:lang w:eastAsia="en-GB"/>
          <w14:ligatures w14:val="none"/>
        </w:rPr>
      </w:pPr>
    </w:p>
    <w:p w14:paraId="5476EC27" w14:textId="665D2FF0" w:rsidR="00361520" w:rsidRDefault="00361520" w:rsidP="00696665">
      <w:pPr>
        <w:shd w:val="clear" w:color="auto" w:fill="FFFFFF"/>
        <w:spacing w:after="0" w:line="240" w:lineRule="auto"/>
        <w:rPr>
          <w:rFonts w:ascii="Times New Roman" w:eastAsia="Times New Roman" w:hAnsi="Times New Roman" w:cs="Times New Roman"/>
          <w:kern w:val="0"/>
          <w:sz w:val="28"/>
          <w:szCs w:val="28"/>
          <w:lang w:eastAsia="en-GB"/>
          <w14:ligatures w14:val="none"/>
        </w:rPr>
      </w:pPr>
      <w:proofErr w:type="spellStart"/>
      <w:r w:rsidRPr="00361520">
        <w:rPr>
          <w:rFonts w:ascii="Times New Roman" w:eastAsia="Times New Roman" w:hAnsi="Times New Roman" w:cs="Times New Roman"/>
          <w:kern w:val="0"/>
          <w:sz w:val="28"/>
          <w:szCs w:val="28"/>
          <w:lang w:eastAsia="en-GB"/>
          <w14:ligatures w14:val="none"/>
        </w:rPr>
        <w:t>Dantzker</w:t>
      </w:r>
      <w:proofErr w:type="spellEnd"/>
      <w:r w:rsidRPr="00361520">
        <w:rPr>
          <w:rFonts w:ascii="Times New Roman" w:eastAsia="Times New Roman" w:hAnsi="Times New Roman" w:cs="Times New Roman"/>
          <w:kern w:val="0"/>
          <w:sz w:val="28"/>
          <w:szCs w:val="28"/>
          <w:lang w:eastAsia="en-GB"/>
          <w14:ligatures w14:val="none"/>
        </w:rPr>
        <w:t xml:space="preserve">, M.L. "Understanding Today’s Police Personnel Issues: A Study of the Factors Related to the Problem of Employee Turnover." </w:t>
      </w:r>
      <w:r w:rsidRPr="00361520">
        <w:rPr>
          <w:rFonts w:ascii="Times New Roman" w:eastAsia="Times New Roman" w:hAnsi="Times New Roman" w:cs="Times New Roman"/>
          <w:i/>
          <w:iCs/>
          <w:kern w:val="0"/>
          <w:sz w:val="28"/>
          <w:szCs w:val="28"/>
          <w:lang w:eastAsia="en-GB"/>
          <w14:ligatures w14:val="none"/>
        </w:rPr>
        <w:t>Journal of Criminal Justice</w:t>
      </w:r>
      <w:r w:rsidRPr="00361520">
        <w:rPr>
          <w:rFonts w:ascii="Times New Roman" w:eastAsia="Times New Roman" w:hAnsi="Times New Roman" w:cs="Times New Roman"/>
          <w:kern w:val="0"/>
          <w:sz w:val="28"/>
          <w:szCs w:val="28"/>
          <w:lang w:eastAsia="en-GB"/>
          <w14:ligatures w14:val="none"/>
        </w:rPr>
        <w:t>, vol. 25, no. 2, 1997, pp. 179-188. doi:10.1016/S0047-2352(96)00061-4.</w:t>
      </w:r>
    </w:p>
    <w:p w14:paraId="67A8A25D" w14:textId="77777777" w:rsidR="00361520" w:rsidRDefault="00361520" w:rsidP="00696665">
      <w:pPr>
        <w:shd w:val="clear" w:color="auto" w:fill="FFFFFF"/>
        <w:spacing w:after="0" w:line="240" w:lineRule="auto"/>
        <w:rPr>
          <w:rFonts w:ascii="Times New Roman" w:eastAsia="Times New Roman" w:hAnsi="Times New Roman" w:cs="Times New Roman"/>
          <w:kern w:val="0"/>
          <w:sz w:val="28"/>
          <w:szCs w:val="28"/>
          <w:lang w:eastAsia="en-GB"/>
          <w14:ligatures w14:val="none"/>
        </w:rPr>
      </w:pPr>
    </w:p>
    <w:p w14:paraId="304C33D7" w14:textId="1CBDBCB9" w:rsidR="00361520" w:rsidRDefault="00361520" w:rsidP="00696665">
      <w:pPr>
        <w:shd w:val="clear" w:color="auto" w:fill="FFFFFF"/>
        <w:spacing w:after="0" w:line="240" w:lineRule="auto"/>
        <w:rPr>
          <w:rFonts w:ascii="Times New Roman" w:eastAsia="Times New Roman" w:hAnsi="Times New Roman" w:cs="Times New Roman"/>
          <w:kern w:val="0"/>
          <w:sz w:val="28"/>
          <w:szCs w:val="28"/>
          <w:lang w:eastAsia="en-GB"/>
          <w14:ligatures w14:val="none"/>
        </w:rPr>
      </w:pPr>
      <w:r w:rsidRPr="00361520">
        <w:rPr>
          <w:rFonts w:ascii="Times New Roman" w:eastAsia="Times New Roman" w:hAnsi="Times New Roman" w:cs="Times New Roman"/>
          <w:kern w:val="0"/>
          <w:sz w:val="28"/>
          <w:szCs w:val="28"/>
          <w:lang w:eastAsia="en-GB"/>
          <w14:ligatures w14:val="none"/>
        </w:rPr>
        <w:t xml:space="preserve">Donnelly, Eddie, et al. "Stress and Well-being in Police Officers: The Role of Emotion Regulation and Self-Compassion." </w:t>
      </w:r>
      <w:r w:rsidRPr="00361520">
        <w:rPr>
          <w:rFonts w:ascii="Times New Roman" w:eastAsia="Times New Roman" w:hAnsi="Times New Roman" w:cs="Times New Roman"/>
          <w:i/>
          <w:iCs/>
          <w:kern w:val="0"/>
          <w:sz w:val="28"/>
          <w:szCs w:val="28"/>
          <w:lang w:eastAsia="en-GB"/>
          <w14:ligatures w14:val="none"/>
        </w:rPr>
        <w:t>Journal of Criminal Psychology</w:t>
      </w:r>
      <w:r w:rsidRPr="00361520">
        <w:rPr>
          <w:rFonts w:ascii="Times New Roman" w:eastAsia="Times New Roman" w:hAnsi="Times New Roman" w:cs="Times New Roman"/>
          <w:kern w:val="0"/>
          <w:sz w:val="28"/>
          <w:szCs w:val="28"/>
          <w:lang w:eastAsia="en-GB"/>
          <w14:ligatures w14:val="none"/>
        </w:rPr>
        <w:t>, vol. 5, no. 2, 2015, pp. 127-139. doi:10.1108/JCP-06-2015-0025.</w:t>
      </w:r>
    </w:p>
    <w:p w14:paraId="63160A2A" w14:textId="77777777" w:rsidR="00361520" w:rsidRPr="00696665" w:rsidRDefault="00361520" w:rsidP="00696665">
      <w:pPr>
        <w:shd w:val="clear" w:color="auto" w:fill="FFFFFF"/>
        <w:spacing w:after="0" w:line="240" w:lineRule="auto"/>
        <w:rPr>
          <w:rFonts w:ascii="Times New Roman" w:eastAsia="Times New Roman" w:hAnsi="Times New Roman" w:cs="Times New Roman"/>
          <w:kern w:val="0"/>
          <w:sz w:val="28"/>
          <w:szCs w:val="28"/>
          <w:lang w:eastAsia="en-GB"/>
          <w14:ligatures w14:val="none"/>
        </w:rPr>
      </w:pPr>
    </w:p>
    <w:p w14:paraId="37D45203" w14:textId="77777777" w:rsidR="00696665" w:rsidRPr="00696665" w:rsidRDefault="00696665" w:rsidP="00696665">
      <w:pPr>
        <w:shd w:val="clear" w:color="auto" w:fill="FFFFFF"/>
        <w:spacing w:after="0" w:line="240" w:lineRule="auto"/>
        <w:rPr>
          <w:rFonts w:ascii="Times New Roman" w:eastAsia="Times New Roman" w:hAnsi="Times New Roman" w:cs="Times New Roman"/>
          <w:kern w:val="0"/>
          <w:sz w:val="28"/>
          <w:szCs w:val="28"/>
          <w:lang w:eastAsia="en-GB"/>
          <w14:ligatures w14:val="none"/>
        </w:rPr>
      </w:pPr>
      <w:r w:rsidRPr="00696665">
        <w:rPr>
          <w:rFonts w:ascii="Times New Roman" w:eastAsia="Times New Roman" w:hAnsi="Times New Roman" w:cs="Times New Roman"/>
          <w:kern w:val="0"/>
          <w:sz w:val="28"/>
          <w:szCs w:val="28"/>
          <w:lang w:eastAsia="en-GB"/>
          <w14:ligatures w14:val="none"/>
        </w:rPr>
        <w:lastRenderedPageBreak/>
        <w:t>Garrett, M. D., &amp; Grant, L. A. (2020). Managing Officer Wellness: Police Chief’s Perspectives on the Importance of Officer Mental Health and Wellness. Journal of Police and Criminal Psychology, 35(2), 126-137.</w:t>
      </w:r>
    </w:p>
    <w:p w14:paraId="675B1431" w14:textId="77777777" w:rsidR="00696665" w:rsidRPr="00696665" w:rsidRDefault="00696665" w:rsidP="00696665">
      <w:pPr>
        <w:shd w:val="clear" w:color="auto" w:fill="FFFFFF"/>
        <w:spacing w:after="0" w:line="240" w:lineRule="auto"/>
        <w:rPr>
          <w:rFonts w:ascii="Times New Roman" w:eastAsia="Times New Roman" w:hAnsi="Times New Roman" w:cs="Times New Roman"/>
          <w:kern w:val="0"/>
          <w:sz w:val="28"/>
          <w:szCs w:val="28"/>
          <w:lang w:eastAsia="en-GB"/>
          <w14:ligatures w14:val="none"/>
        </w:rPr>
      </w:pPr>
    </w:p>
    <w:p w14:paraId="2C2279FD" w14:textId="77777777" w:rsidR="00696665" w:rsidRPr="00696665" w:rsidRDefault="00696665" w:rsidP="00696665">
      <w:pPr>
        <w:pStyle w:val="NormalWeb"/>
        <w:ind w:left="567" w:hanging="567"/>
        <w:rPr>
          <w:sz w:val="28"/>
          <w:szCs w:val="28"/>
        </w:rPr>
      </w:pPr>
      <w:r w:rsidRPr="00696665">
        <w:rPr>
          <w:sz w:val="28"/>
          <w:szCs w:val="28"/>
        </w:rPr>
        <w:t>March on stress (2024), March On Stress &gt;&gt; Trauma Risk Management (</w:t>
      </w:r>
      <w:proofErr w:type="spellStart"/>
      <w:r w:rsidRPr="00696665">
        <w:rPr>
          <w:sz w:val="28"/>
          <w:szCs w:val="28"/>
        </w:rPr>
        <w:t>TRiM</w:t>
      </w:r>
      <w:proofErr w:type="spellEnd"/>
      <w:r w:rsidRPr="00696665">
        <w:rPr>
          <w:sz w:val="28"/>
          <w:szCs w:val="28"/>
        </w:rPr>
        <w:t xml:space="preserve">). Available at: https://www.marchonstress.com/page/p/trim (Accessed: 22 May 2024). </w:t>
      </w:r>
    </w:p>
    <w:p w14:paraId="4A7D446A" w14:textId="1A2657E9" w:rsidR="003D6C2B" w:rsidRDefault="003D6C2B" w:rsidP="00696665">
      <w:pPr>
        <w:shd w:val="clear" w:color="auto" w:fill="FFFFFF"/>
        <w:spacing w:after="0" w:line="240" w:lineRule="auto"/>
        <w:rPr>
          <w:rFonts w:ascii="Times New Roman" w:hAnsi="Times New Roman" w:cs="Times New Roman"/>
          <w:sz w:val="28"/>
          <w:szCs w:val="28"/>
          <w:shd w:val="clear" w:color="auto" w:fill="FFFFFF"/>
        </w:rPr>
      </w:pPr>
      <w:r w:rsidRPr="003D6C2B">
        <w:rPr>
          <w:rFonts w:ascii="Times New Roman" w:hAnsi="Times New Roman" w:cs="Times New Roman"/>
          <w:sz w:val="28"/>
          <w:szCs w:val="28"/>
          <w:shd w:val="clear" w:color="auto" w:fill="FFFFFF"/>
        </w:rPr>
        <w:t xml:space="preserve">Patterson, P., &amp; O’Connor, R. C. (2020). </w:t>
      </w:r>
      <w:r w:rsidRPr="003D6C2B">
        <w:rPr>
          <w:rFonts w:ascii="Times New Roman" w:hAnsi="Times New Roman" w:cs="Times New Roman"/>
          <w:i/>
          <w:iCs/>
          <w:sz w:val="28"/>
          <w:szCs w:val="28"/>
          <w:shd w:val="clear" w:color="auto" w:fill="FFFFFF"/>
        </w:rPr>
        <w:t>Well-being in police work: The role of leadership and organizational culture</w:t>
      </w:r>
      <w:r w:rsidRPr="003D6C2B">
        <w:rPr>
          <w:rFonts w:ascii="Times New Roman" w:hAnsi="Times New Roman" w:cs="Times New Roman"/>
          <w:sz w:val="28"/>
          <w:szCs w:val="28"/>
          <w:shd w:val="clear" w:color="auto" w:fill="FFFFFF"/>
        </w:rPr>
        <w:t xml:space="preserve">. </w:t>
      </w:r>
      <w:r w:rsidRPr="003D6C2B">
        <w:rPr>
          <w:rFonts w:ascii="Times New Roman" w:hAnsi="Times New Roman" w:cs="Times New Roman"/>
          <w:i/>
          <w:iCs/>
          <w:sz w:val="28"/>
          <w:szCs w:val="28"/>
          <w:shd w:val="clear" w:color="auto" w:fill="FFFFFF"/>
        </w:rPr>
        <w:t>Policing: An International Journal</w:t>
      </w:r>
      <w:r w:rsidRPr="003D6C2B">
        <w:rPr>
          <w:rFonts w:ascii="Times New Roman" w:hAnsi="Times New Roman" w:cs="Times New Roman"/>
          <w:sz w:val="28"/>
          <w:szCs w:val="28"/>
          <w:shd w:val="clear" w:color="auto" w:fill="FFFFFF"/>
        </w:rPr>
        <w:t>, 43(3), 405-419.</w:t>
      </w:r>
    </w:p>
    <w:p w14:paraId="6E6ADC32" w14:textId="77777777" w:rsidR="003D6C2B" w:rsidRDefault="003D6C2B" w:rsidP="00696665">
      <w:pPr>
        <w:shd w:val="clear" w:color="auto" w:fill="FFFFFF"/>
        <w:spacing w:after="0" w:line="240" w:lineRule="auto"/>
        <w:rPr>
          <w:rFonts w:ascii="Times New Roman" w:hAnsi="Times New Roman" w:cs="Times New Roman"/>
          <w:sz w:val="28"/>
          <w:szCs w:val="28"/>
          <w:shd w:val="clear" w:color="auto" w:fill="FFFFFF"/>
        </w:rPr>
      </w:pPr>
    </w:p>
    <w:p w14:paraId="41AE9EC0" w14:textId="480D8A3E" w:rsidR="00696665" w:rsidRPr="00696665" w:rsidRDefault="00696665" w:rsidP="00696665">
      <w:pPr>
        <w:shd w:val="clear" w:color="auto" w:fill="FFFFFF"/>
        <w:spacing w:after="0" w:line="240" w:lineRule="auto"/>
        <w:rPr>
          <w:rFonts w:ascii="Times New Roman" w:eastAsia="Times New Roman" w:hAnsi="Times New Roman" w:cs="Times New Roman"/>
          <w:kern w:val="0"/>
          <w:sz w:val="28"/>
          <w:szCs w:val="28"/>
          <w:lang w:eastAsia="en-GB"/>
          <w14:ligatures w14:val="none"/>
        </w:rPr>
      </w:pPr>
      <w:r w:rsidRPr="00696665">
        <w:rPr>
          <w:rFonts w:ascii="Times New Roman" w:hAnsi="Times New Roman" w:cs="Times New Roman"/>
          <w:sz w:val="28"/>
          <w:szCs w:val="28"/>
          <w:shd w:val="clear" w:color="auto" w:fill="FFFFFF"/>
        </w:rPr>
        <w:t xml:space="preserve">Porter, C.N., Lee, R. The policing culture: an exploration into the mental health of former British police officers. Curr </w:t>
      </w:r>
      <w:proofErr w:type="spellStart"/>
      <w:r w:rsidRPr="00696665">
        <w:rPr>
          <w:rFonts w:ascii="Times New Roman" w:hAnsi="Times New Roman" w:cs="Times New Roman"/>
          <w:sz w:val="28"/>
          <w:szCs w:val="28"/>
          <w:shd w:val="clear" w:color="auto" w:fill="FFFFFF"/>
        </w:rPr>
        <w:t>Psychol</w:t>
      </w:r>
      <w:proofErr w:type="spellEnd"/>
      <w:r w:rsidRPr="00696665">
        <w:rPr>
          <w:rFonts w:ascii="Times New Roman" w:hAnsi="Times New Roman" w:cs="Times New Roman"/>
          <w:sz w:val="28"/>
          <w:szCs w:val="28"/>
          <w:shd w:val="clear" w:color="auto" w:fill="FFFFFF"/>
        </w:rPr>
        <w:t> </w:t>
      </w:r>
      <w:r w:rsidRPr="00696665">
        <w:rPr>
          <w:rFonts w:ascii="Times New Roman" w:hAnsi="Times New Roman" w:cs="Times New Roman"/>
          <w:b/>
          <w:bCs/>
          <w:sz w:val="28"/>
          <w:szCs w:val="28"/>
          <w:shd w:val="clear" w:color="auto" w:fill="FFFFFF"/>
        </w:rPr>
        <w:t>43</w:t>
      </w:r>
      <w:r w:rsidRPr="00696665">
        <w:rPr>
          <w:rFonts w:ascii="Times New Roman" w:hAnsi="Times New Roman" w:cs="Times New Roman"/>
          <w:sz w:val="28"/>
          <w:szCs w:val="28"/>
          <w:shd w:val="clear" w:color="auto" w:fill="FFFFFF"/>
        </w:rPr>
        <w:t>, 2214–2228 (2024).</w:t>
      </w:r>
    </w:p>
    <w:p w14:paraId="630CFC4C" w14:textId="77777777" w:rsidR="00696665" w:rsidRDefault="00696665" w:rsidP="00696665">
      <w:pPr>
        <w:shd w:val="clear" w:color="auto" w:fill="FFFFFF"/>
        <w:spacing w:after="0" w:line="240" w:lineRule="auto"/>
        <w:rPr>
          <w:rFonts w:ascii="Times New Roman" w:eastAsia="Times New Roman" w:hAnsi="Times New Roman" w:cs="Times New Roman"/>
          <w:kern w:val="0"/>
          <w:sz w:val="28"/>
          <w:szCs w:val="28"/>
          <w:lang w:eastAsia="en-GB"/>
          <w14:ligatures w14:val="none"/>
        </w:rPr>
      </w:pPr>
    </w:p>
    <w:p w14:paraId="08B14C71" w14:textId="7C176510" w:rsidR="005F356A" w:rsidRDefault="005F356A" w:rsidP="00696665">
      <w:pPr>
        <w:shd w:val="clear" w:color="auto" w:fill="FFFFFF"/>
        <w:spacing w:after="0" w:line="240" w:lineRule="auto"/>
        <w:rPr>
          <w:rFonts w:ascii="Times New Roman" w:eastAsia="Times New Roman" w:hAnsi="Times New Roman" w:cs="Times New Roman"/>
          <w:kern w:val="0"/>
          <w:sz w:val="28"/>
          <w:szCs w:val="28"/>
          <w:lang w:eastAsia="en-GB"/>
          <w14:ligatures w14:val="none"/>
        </w:rPr>
      </w:pPr>
      <w:r w:rsidRPr="005F356A">
        <w:rPr>
          <w:rFonts w:ascii="Times New Roman" w:eastAsia="Times New Roman" w:hAnsi="Times New Roman" w:cs="Times New Roman"/>
          <w:kern w:val="0"/>
          <w:sz w:val="28"/>
          <w:szCs w:val="28"/>
          <w:lang w:eastAsia="en-GB"/>
          <w14:ligatures w14:val="none"/>
        </w:rPr>
        <w:t xml:space="preserve">Ramey, Sandra L., et al. "The Effect of Work and Personal Factors on Police Officers' Stress: A Cross-Sectional Survey." </w:t>
      </w:r>
      <w:r w:rsidRPr="005F356A">
        <w:rPr>
          <w:rFonts w:ascii="Times New Roman" w:eastAsia="Times New Roman" w:hAnsi="Times New Roman" w:cs="Times New Roman"/>
          <w:i/>
          <w:iCs/>
          <w:kern w:val="0"/>
          <w:sz w:val="28"/>
          <w:szCs w:val="28"/>
          <w:lang w:eastAsia="en-GB"/>
          <w14:ligatures w14:val="none"/>
        </w:rPr>
        <w:t>Journal of Occupational and Environmental Medicine</w:t>
      </w:r>
      <w:r w:rsidRPr="005F356A">
        <w:rPr>
          <w:rFonts w:ascii="Times New Roman" w:eastAsia="Times New Roman" w:hAnsi="Times New Roman" w:cs="Times New Roman"/>
          <w:kern w:val="0"/>
          <w:sz w:val="28"/>
          <w:szCs w:val="28"/>
          <w:lang w:eastAsia="en-GB"/>
          <w14:ligatures w14:val="none"/>
        </w:rPr>
        <w:t>, vol. 60, no. 1, 2018, pp. 12-17. doi:10.1097/JOM.0000000000001190.</w:t>
      </w:r>
    </w:p>
    <w:p w14:paraId="4A3590B4" w14:textId="77777777" w:rsidR="005F356A" w:rsidRDefault="005F356A" w:rsidP="00696665">
      <w:pPr>
        <w:shd w:val="clear" w:color="auto" w:fill="FFFFFF"/>
        <w:spacing w:after="0" w:line="240" w:lineRule="auto"/>
        <w:rPr>
          <w:rFonts w:ascii="Times New Roman" w:eastAsia="Times New Roman" w:hAnsi="Times New Roman" w:cs="Times New Roman"/>
          <w:kern w:val="0"/>
          <w:sz w:val="28"/>
          <w:szCs w:val="28"/>
          <w:lang w:eastAsia="en-GB"/>
          <w14:ligatures w14:val="none"/>
        </w:rPr>
      </w:pPr>
    </w:p>
    <w:p w14:paraId="7F87B4E0" w14:textId="58C8DD11" w:rsidR="00361520" w:rsidRDefault="00361520" w:rsidP="00696665">
      <w:pPr>
        <w:shd w:val="clear" w:color="auto" w:fill="FFFFFF"/>
        <w:spacing w:after="0" w:line="240" w:lineRule="auto"/>
        <w:rPr>
          <w:rFonts w:ascii="Times New Roman" w:eastAsia="Times New Roman" w:hAnsi="Times New Roman" w:cs="Times New Roman"/>
          <w:kern w:val="0"/>
          <w:sz w:val="28"/>
          <w:szCs w:val="28"/>
          <w:lang w:eastAsia="en-GB"/>
          <w14:ligatures w14:val="none"/>
        </w:rPr>
      </w:pPr>
      <w:r w:rsidRPr="00361520">
        <w:rPr>
          <w:rFonts w:ascii="Times New Roman" w:eastAsia="Times New Roman" w:hAnsi="Times New Roman" w:cs="Times New Roman"/>
          <w:kern w:val="0"/>
          <w:sz w:val="28"/>
          <w:szCs w:val="28"/>
          <w:lang w:eastAsia="en-GB"/>
          <w14:ligatures w14:val="none"/>
        </w:rPr>
        <w:t xml:space="preserve">Turner, James A., et al. "The Costs and Benefits of High-Quality Staffing in Law Enforcement Agencies." </w:t>
      </w:r>
      <w:r w:rsidRPr="00361520">
        <w:rPr>
          <w:rFonts w:ascii="Times New Roman" w:eastAsia="Times New Roman" w:hAnsi="Times New Roman" w:cs="Times New Roman"/>
          <w:i/>
          <w:iCs/>
          <w:kern w:val="0"/>
          <w:sz w:val="28"/>
          <w:szCs w:val="28"/>
          <w:lang w:eastAsia="en-GB"/>
          <w14:ligatures w14:val="none"/>
        </w:rPr>
        <w:t>Policing: An International Journal</w:t>
      </w:r>
      <w:r w:rsidRPr="00361520">
        <w:rPr>
          <w:rFonts w:ascii="Times New Roman" w:eastAsia="Times New Roman" w:hAnsi="Times New Roman" w:cs="Times New Roman"/>
          <w:kern w:val="0"/>
          <w:sz w:val="28"/>
          <w:szCs w:val="28"/>
          <w:lang w:eastAsia="en-GB"/>
          <w14:ligatures w14:val="none"/>
        </w:rPr>
        <w:t>, vol. 42, no. 3, 2019, pp. 470-484. doi:10.1108/PIJPSM-05-2018-0067.</w:t>
      </w:r>
    </w:p>
    <w:p w14:paraId="02D01769" w14:textId="77777777" w:rsidR="00361520" w:rsidRPr="00696665" w:rsidRDefault="00361520" w:rsidP="00696665">
      <w:pPr>
        <w:shd w:val="clear" w:color="auto" w:fill="FFFFFF"/>
        <w:spacing w:after="0" w:line="240" w:lineRule="auto"/>
        <w:rPr>
          <w:rFonts w:ascii="Times New Roman" w:eastAsia="Times New Roman" w:hAnsi="Times New Roman" w:cs="Times New Roman"/>
          <w:kern w:val="0"/>
          <w:sz w:val="28"/>
          <w:szCs w:val="28"/>
          <w:lang w:eastAsia="en-GB"/>
          <w14:ligatures w14:val="none"/>
        </w:rPr>
      </w:pPr>
    </w:p>
    <w:p w14:paraId="0437D391" w14:textId="77777777" w:rsidR="00696665" w:rsidRPr="00696665" w:rsidRDefault="00696665" w:rsidP="00696665">
      <w:pPr>
        <w:shd w:val="clear" w:color="auto" w:fill="FFFFFF"/>
        <w:spacing w:after="0" w:line="240" w:lineRule="auto"/>
        <w:rPr>
          <w:rFonts w:ascii="Times New Roman" w:eastAsia="Times New Roman" w:hAnsi="Times New Roman" w:cs="Times New Roman"/>
          <w:kern w:val="0"/>
          <w:sz w:val="28"/>
          <w:szCs w:val="28"/>
          <w:lang w:eastAsia="en-GB"/>
          <w14:ligatures w14:val="none"/>
        </w:rPr>
      </w:pPr>
      <w:r w:rsidRPr="00696665">
        <w:rPr>
          <w:rFonts w:ascii="Times New Roman" w:eastAsia="Times New Roman" w:hAnsi="Times New Roman" w:cs="Times New Roman"/>
          <w:kern w:val="0"/>
          <w:sz w:val="28"/>
          <w:szCs w:val="28"/>
          <w:lang w:eastAsia="en-GB"/>
          <w14:ligatures w14:val="none"/>
        </w:rPr>
        <w:t xml:space="preserve">Violanti, J. M., Andrew, M. E., </w:t>
      </w:r>
      <w:proofErr w:type="spellStart"/>
      <w:r w:rsidRPr="00696665">
        <w:rPr>
          <w:rFonts w:ascii="Times New Roman" w:eastAsia="Times New Roman" w:hAnsi="Times New Roman" w:cs="Times New Roman"/>
          <w:kern w:val="0"/>
          <w:sz w:val="28"/>
          <w:szCs w:val="28"/>
          <w:lang w:eastAsia="en-GB"/>
          <w14:ligatures w14:val="none"/>
        </w:rPr>
        <w:t>Mnatsakanova</w:t>
      </w:r>
      <w:proofErr w:type="spellEnd"/>
      <w:r w:rsidRPr="00696665">
        <w:rPr>
          <w:rFonts w:ascii="Times New Roman" w:eastAsia="Times New Roman" w:hAnsi="Times New Roman" w:cs="Times New Roman"/>
          <w:kern w:val="0"/>
          <w:sz w:val="28"/>
          <w:szCs w:val="28"/>
          <w:lang w:eastAsia="en-GB"/>
          <w14:ligatures w14:val="none"/>
        </w:rPr>
        <w:t xml:space="preserve">, A., Hartley, T. A., </w:t>
      </w:r>
      <w:proofErr w:type="spellStart"/>
      <w:r w:rsidRPr="00696665">
        <w:rPr>
          <w:rFonts w:ascii="Times New Roman" w:eastAsia="Times New Roman" w:hAnsi="Times New Roman" w:cs="Times New Roman"/>
          <w:kern w:val="0"/>
          <w:sz w:val="28"/>
          <w:szCs w:val="28"/>
          <w:lang w:eastAsia="en-GB"/>
          <w14:ligatures w14:val="none"/>
        </w:rPr>
        <w:t>Fekedulegn</w:t>
      </w:r>
      <w:proofErr w:type="spellEnd"/>
      <w:r w:rsidRPr="00696665">
        <w:rPr>
          <w:rFonts w:ascii="Times New Roman" w:eastAsia="Times New Roman" w:hAnsi="Times New Roman" w:cs="Times New Roman"/>
          <w:kern w:val="0"/>
          <w:sz w:val="28"/>
          <w:szCs w:val="28"/>
          <w:lang w:eastAsia="en-GB"/>
          <w14:ligatures w14:val="none"/>
        </w:rPr>
        <w:t>, D., Burchfiel, C. M., &amp; Vila, B. (2018). Correlates of hopelessness in the high suicide risk police occupation. Police Practice and Research, 19(6), 572-583.</w:t>
      </w:r>
    </w:p>
    <w:p w14:paraId="6CBC20FD" w14:textId="77777777" w:rsidR="00696665" w:rsidRPr="00696665" w:rsidRDefault="00696665" w:rsidP="00696665">
      <w:pPr>
        <w:rPr>
          <w:rFonts w:ascii="Times New Roman" w:hAnsi="Times New Roman" w:cs="Times New Roman"/>
          <w:sz w:val="28"/>
          <w:szCs w:val="28"/>
        </w:rPr>
      </w:pPr>
    </w:p>
    <w:p w14:paraId="0725B04D" w14:textId="77777777" w:rsidR="00696665" w:rsidRPr="00696665" w:rsidRDefault="00696665" w:rsidP="001B6682">
      <w:pPr>
        <w:rPr>
          <w:rFonts w:ascii="Times New Roman" w:hAnsi="Times New Roman" w:cs="Times New Roman"/>
          <w:sz w:val="28"/>
          <w:szCs w:val="28"/>
        </w:rPr>
      </w:pPr>
    </w:p>
    <w:p w14:paraId="7611AC74" w14:textId="77777777" w:rsidR="00696665" w:rsidRPr="00696665" w:rsidRDefault="00696665" w:rsidP="001B6682">
      <w:pPr>
        <w:rPr>
          <w:rFonts w:ascii="Times New Roman" w:hAnsi="Times New Roman" w:cs="Times New Roman"/>
          <w:sz w:val="28"/>
          <w:szCs w:val="28"/>
        </w:rPr>
      </w:pPr>
    </w:p>
    <w:p w14:paraId="178B4A3E" w14:textId="77777777" w:rsidR="00696665" w:rsidRPr="00696665" w:rsidRDefault="00696665" w:rsidP="001B6682">
      <w:pPr>
        <w:rPr>
          <w:rFonts w:ascii="Times New Roman" w:hAnsi="Times New Roman" w:cs="Times New Roman"/>
          <w:sz w:val="28"/>
          <w:szCs w:val="28"/>
        </w:rPr>
      </w:pPr>
    </w:p>
    <w:p w14:paraId="0B6AB250" w14:textId="77777777" w:rsidR="00C220B0" w:rsidRDefault="00C220B0" w:rsidP="00696665">
      <w:pPr>
        <w:shd w:val="clear" w:color="auto" w:fill="FFFFFF"/>
        <w:spacing w:after="0" w:line="240" w:lineRule="auto"/>
        <w:rPr>
          <w:rFonts w:ascii="Times New Roman" w:hAnsi="Times New Roman" w:cs="Times New Roman"/>
          <w:sz w:val="28"/>
          <w:szCs w:val="28"/>
          <w:shd w:val="clear" w:color="auto" w:fill="FFFFFF"/>
        </w:rPr>
      </w:pPr>
    </w:p>
    <w:p w14:paraId="270D35F2" w14:textId="77777777" w:rsidR="00C220B0" w:rsidRDefault="00C220B0" w:rsidP="00696665">
      <w:pPr>
        <w:shd w:val="clear" w:color="auto" w:fill="FFFFFF"/>
        <w:spacing w:after="0" w:line="240" w:lineRule="auto"/>
        <w:rPr>
          <w:rFonts w:ascii="Times New Roman" w:hAnsi="Times New Roman" w:cs="Times New Roman"/>
          <w:sz w:val="28"/>
          <w:szCs w:val="28"/>
          <w:shd w:val="clear" w:color="auto" w:fill="FFFFFF"/>
        </w:rPr>
      </w:pPr>
    </w:p>
    <w:p w14:paraId="3781C9CF" w14:textId="77777777" w:rsidR="00C220B0" w:rsidRDefault="00C220B0" w:rsidP="00696665">
      <w:pPr>
        <w:shd w:val="clear" w:color="auto" w:fill="FFFFFF"/>
        <w:spacing w:after="0" w:line="240" w:lineRule="auto"/>
        <w:rPr>
          <w:rFonts w:ascii="Times New Roman" w:hAnsi="Times New Roman" w:cs="Times New Roman"/>
          <w:sz w:val="28"/>
          <w:szCs w:val="28"/>
          <w:shd w:val="clear" w:color="auto" w:fill="FFFFFF"/>
        </w:rPr>
      </w:pPr>
    </w:p>
    <w:p w14:paraId="57EBC1C1" w14:textId="77777777" w:rsidR="00C220B0" w:rsidRDefault="00C220B0" w:rsidP="00696665">
      <w:pPr>
        <w:shd w:val="clear" w:color="auto" w:fill="FFFFFF"/>
        <w:spacing w:after="0" w:line="240" w:lineRule="auto"/>
        <w:rPr>
          <w:rFonts w:ascii="Times New Roman" w:hAnsi="Times New Roman" w:cs="Times New Roman"/>
          <w:sz w:val="28"/>
          <w:szCs w:val="28"/>
          <w:shd w:val="clear" w:color="auto" w:fill="FFFFFF"/>
        </w:rPr>
      </w:pPr>
    </w:p>
    <w:p w14:paraId="44C59330" w14:textId="77777777" w:rsidR="00C220B0" w:rsidRDefault="00C220B0" w:rsidP="00696665">
      <w:pPr>
        <w:shd w:val="clear" w:color="auto" w:fill="FFFFFF"/>
        <w:spacing w:after="0" w:line="240" w:lineRule="auto"/>
        <w:rPr>
          <w:rFonts w:ascii="Times New Roman" w:hAnsi="Times New Roman" w:cs="Times New Roman"/>
          <w:sz w:val="28"/>
          <w:szCs w:val="28"/>
          <w:shd w:val="clear" w:color="auto" w:fill="FFFFFF"/>
        </w:rPr>
      </w:pPr>
    </w:p>
    <w:p w14:paraId="73ABEAD8" w14:textId="77777777" w:rsidR="00C220B0" w:rsidRDefault="00C220B0" w:rsidP="00696665">
      <w:pPr>
        <w:shd w:val="clear" w:color="auto" w:fill="FFFFFF"/>
        <w:spacing w:after="0" w:line="240" w:lineRule="auto"/>
        <w:rPr>
          <w:rFonts w:ascii="Times New Roman" w:hAnsi="Times New Roman" w:cs="Times New Roman"/>
          <w:sz w:val="28"/>
          <w:szCs w:val="28"/>
          <w:shd w:val="clear" w:color="auto" w:fill="FFFFFF"/>
        </w:rPr>
      </w:pPr>
    </w:p>
    <w:p w14:paraId="071C5D39" w14:textId="77777777" w:rsidR="00C220B0" w:rsidRDefault="00C220B0" w:rsidP="00696665">
      <w:pPr>
        <w:shd w:val="clear" w:color="auto" w:fill="FFFFFF"/>
        <w:spacing w:after="0" w:line="240" w:lineRule="auto"/>
        <w:rPr>
          <w:rFonts w:ascii="Times New Roman" w:hAnsi="Times New Roman" w:cs="Times New Roman"/>
          <w:sz w:val="28"/>
          <w:szCs w:val="28"/>
          <w:shd w:val="clear" w:color="auto" w:fill="FFFFFF"/>
        </w:rPr>
      </w:pPr>
    </w:p>
    <w:p w14:paraId="014F4EDD" w14:textId="77777777" w:rsidR="00C220B0" w:rsidRDefault="00C220B0" w:rsidP="00696665">
      <w:pPr>
        <w:shd w:val="clear" w:color="auto" w:fill="FFFFFF"/>
        <w:spacing w:after="0" w:line="240" w:lineRule="auto"/>
        <w:rPr>
          <w:rFonts w:ascii="Times New Roman" w:hAnsi="Times New Roman" w:cs="Times New Roman"/>
          <w:sz w:val="28"/>
          <w:szCs w:val="28"/>
          <w:shd w:val="clear" w:color="auto" w:fill="FFFFFF"/>
        </w:rPr>
      </w:pPr>
    </w:p>
    <w:p w14:paraId="0D16DC5F" w14:textId="77777777" w:rsidR="00C220B0" w:rsidRDefault="00C220B0" w:rsidP="00696665">
      <w:pPr>
        <w:shd w:val="clear" w:color="auto" w:fill="FFFFFF"/>
        <w:spacing w:after="0" w:line="240" w:lineRule="auto"/>
        <w:rPr>
          <w:rFonts w:ascii="Times New Roman" w:hAnsi="Times New Roman" w:cs="Times New Roman"/>
          <w:sz w:val="28"/>
          <w:szCs w:val="28"/>
          <w:shd w:val="clear" w:color="auto" w:fill="FFFFFF"/>
        </w:rPr>
      </w:pPr>
    </w:p>
    <w:p w14:paraId="3EB78BE0" w14:textId="77777777" w:rsidR="00C220B0" w:rsidRDefault="00C220B0" w:rsidP="00696665">
      <w:pPr>
        <w:shd w:val="clear" w:color="auto" w:fill="FFFFFF"/>
        <w:spacing w:after="0" w:line="240" w:lineRule="auto"/>
        <w:rPr>
          <w:rFonts w:ascii="Times New Roman" w:hAnsi="Times New Roman" w:cs="Times New Roman"/>
          <w:sz w:val="28"/>
          <w:szCs w:val="28"/>
          <w:shd w:val="clear" w:color="auto" w:fill="FFFFFF"/>
        </w:rPr>
      </w:pPr>
    </w:p>
    <w:p w14:paraId="53EB0D83" w14:textId="77777777" w:rsidR="00C220B0" w:rsidRDefault="00C220B0" w:rsidP="00696665">
      <w:pPr>
        <w:shd w:val="clear" w:color="auto" w:fill="FFFFFF"/>
        <w:spacing w:after="0" w:line="240" w:lineRule="auto"/>
        <w:rPr>
          <w:rFonts w:ascii="Times New Roman" w:hAnsi="Times New Roman" w:cs="Times New Roman"/>
          <w:sz w:val="28"/>
          <w:szCs w:val="28"/>
          <w:shd w:val="clear" w:color="auto" w:fill="FFFFFF"/>
        </w:rPr>
      </w:pPr>
    </w:p>
    <w:p w14:paraId="7A49FADD" w14:textId="77777777" w:rsidR="00C220B0" w:rsidRPr="00EF4F3E" w:rsidRDefault="00C220B0" w:rsidP="00C220B0">
      <w:pPr>
        <w:rPr>
          <w:rFonts w:ascii="Times New Roman" w:hAnsi="Times New Roman" w:cs="Times New Roman"/>
          <w:sz w:val="28"/>
          <w:szCs w:val="28"/>
        </w:rPr>
      </w:pPr>
    </w:p>
    <w:p w14:paraId="3E27F2D9" w14:textId="3DF396BB" w:rsidR="00C220B0" w:rsidRDefault="00C220B0" w:rsidP="00C220B0">
      <w:pPr>
        <w:rPr>
          <w:rFonts w:ascii="Times New Roman" w:hAnsi="Times New Roman" w:cs="Times New Roman"/>
          <w:sz w:val="28"/>
          <w:szCs w:val="28"/>
        </w:rPr>
      </w:pPr>
      <w:r>
        <w:rPr>
          <w:rFonts w:ascii="Times New Roman" w:hAnsi="Times New Roman" w:cs="Times New Roman"/>
          <w:sz w:val="28"/>
          <w:szCs w:val="28"/>
        </w:rPr>
        <w:t>Outline potential links between serious and organised crime and public protection issues. What characteristics make some people more vulnerable to exploitation by serious and organised crime gangs?</w:t>
      </w:r>
    </w:p>
    <w:p w14:paraId="6F97B587" w14:textId="77777777" w:rsidR="00C220B0" w:rsidRDefault="00C220B0" w:rsidP="00C220B0">
      <w:pPr>
        <w:rPr>
          <w:rFonts w:ascii="Times New Roman" w:hAnsi="Times New Roman" w:cs="Times New Roman"/>
          <w:sz w:val="28"/>
          <w:szCs w:val="28"/>
        </w:rPr>
      </w:pPr>
    </w:p>
    <w:p w14:paraId="0329FCB4" w14:textId="5D4DD5FD" w:rsidR="00C220B0" w:rsidRPr="00EF4F3E" w:rsidRDefault="00C220B0" w:rsidP="00C220B0">
      <w:pPr>
        <w:rPr>
          <w:rFonts w:ascii="Times New Roman" w:hAnsi="Times New Roman" w:cs="Times New Roman"/>
          <w:sz w:val="28"/>
          <w:szCs w:val="28"/>
        </w:rPr>
      </w:pPr>
      <w:r w:rsidRPr="00EF4F3E">
        <w:rPr>
          <w:rFonts w:ascii="Times New Roman" w:hAnsi="Times New Roman" w:cs="Times New Roman"/>
          <w:sz w:val="28"/>
          <w:szCs w:val="28"/>
        </w:rPr>
        <w:t>Serious and well organised criminal activities pose a danger to safety and security on a global scale</w:t>
      </w:r>
      <w:r w:rsidR="0012216A">
        <w:rPr>
          <w:rFonts w:ascii="Times New Roman" w:hAnsi="Times New Roman" w:cs="Times New Roman"/>
          <w:sz w:val="28"/>
          <w:szCs w:val="28"/>
        </w:rPr>
        <w:t xml:space="preserve"> (</w:t>
      </w:r>
      <w:r w:rsidR="0012216A" w:rsidRPr="00AE7009">
        <w:rPr>
          <w:rFonts w:ascii="Times New Roman" w:hAnsi="Times New Roman" w:cs="Times New Roman"/>
          <w:sz w:val="28"/>
          <w:szCs w:val="28"/>
        </w:rPr>
        <w:t>UNODC</w:t>
      </w:r>
      <w:r w:rsidR="0012216A">
        <w:rPr>
          <w:rFonts w:ascii="Times New Roman" w:hAnsi="Times New Roman" w:cs="Times New Roman"/>
          <w:sz w:val="28"/>
          <w:szCs w:val="28"/>
        </w:rPr>
        <w:t>, 2023</w:t>
      </w:r>
      <w:r w:rsidRPr="00EF4F3E">
        <w:rPr>
          <w:rFonts w:ascii="Times New Roman" w:hAnsi="Times New Roman" w:cs="Times New Roman"/>
          <w:sz w:val="28"/>
          <w:szCs w:val="28"/>
        </w:rPr>
        <w:t>.</w:t>
      </w:r>
      <w:r w:rsidR="0012216A">
        <w:rPr>
          <w:rFonts w:ascii="Times New Roman" w:hAnsi="Times New Roman" w:cs="Times New Roman"/>
          <w:sz w:val="28"/>
          <w:szCs w:val="28"/>
        </w:rPr>
        <w:t>)</w:t>
      </w:r>
      <w:r w:rsidRPr="00EF4F3E">
        <w:rPr>
          <w:rFonts w:ascii="Times New Roman" w:hAnsi="Times New Roman" w:cs="Times New Roman"/>
          <w:sz w:val="28"/>
          <w:szCs w:val="28"/>
        </w:rPr>
        <w:t xml:space="preserve"> Organised crime gangs cover a range of actions such as drug trafficking, human trafficking, cybercrime and fraudulent schemes. It is essential to understand the connections between crime and public protection issues in order to develop effective strategies for combating these crimes and protecting communities. This essay seeks to explore the relationships between organised crime and public safety concerns while also investigating the factors that make certain individuals more vulnerable to exploitation by these criminal networks.</w:t>
      </w:r>
    </w:p>
    <w:p w14:paraId="7CD04826" w14:textId="77777777" w:rsidR="00C220B0" w:rsidRPr="00EF4F3E" w:rsidRDefault="00C220B0" w:rsidP="00C220B0">
      <w:pPr>
        <w:rPr>
          <w:rFonts w:ascii="Times New Roman" w:hAnsi="Times New Roman" w:cs="Times New Roman"/>
          <w:sz w:val="28"/>
          <w:szCs w:val="28"/>
        </w:rPr>
      </w:pPr>
    </w:p>
    <w:p w14:paraId="5D6CD3F0" w14:textId="77777777" w:rsidR="00C220B0" w:rsidRPr="00EF4F3E" w:rsidRDefault="00C220B0" w:rsidP="00C220B0">
      <w:pPr>
        <w:rPr>
          <w:rFonts w:ascii="Times New Roman" w:hAnsi="Times New Roman" w:cs="Times New Roman"/>
          <w:sz w:val="28"/>
          <w:szCs w:val="28"/>
        </w:rPr>
      </w:pPr>
      <w:r w:rsidRPr="00EF4F3E">
        <w:rPr>
          <w:rFonts w:ascii="Times New Roman" w:hAnsi="Times New Roman" w:cs="Times New Roman"/>
          <w:sz w:val="28"/>
          <w:szCs w:val="28"/>
        </w:rPr>
        <w:t>Organised crime has an impact on public protection by destabilising society, fuelling violence and creating environments that foster further criminal behaviour. The presence of organised crime groups in communities often leads to increased levels of violence and fear disrupting public safety efforts and undermining trust in the police (Hobbs, 2013).</w:t>
      </w:r>
    </w:p>
    <w:p w14:paraId="330B91F4" w14:textId="77777777" w:rsidR="00C220B0" w:rsidRPr="00EF4F3E" w:rsidRDefault="00C220B0" w:rsidP="00C220B0">
      <w:pPr>
        <w:rPr>
          <w:rFonts w:ascii="Times New Roman" w:hAnsi="Times New Roman" w:cs="Times New Roman"/>
          <w:sz w:val="28"/>
          <w:szCs w:val="28"/>
        </w:rPr>
      </w:pPr>
    </w:p>
    <w:p w14:paraId="5DEB0977" w14:textId="77777777" w:rsidR="00C220B0" w:rsidRPr="00EF4F3E" w:rsidRDefault="00C220B0" w:rsidP="00C220B0">
      <w:pPr>
        <w:rPr>
          <w:rFonts w:ascii="Times New Roman" w:hAnsi="Times New Roman" w:cs="Times New Roman"/>
          <w:sz w:val="28"/>
          <w:szCs w:val="28"/>
        </w:rPr>
      </w:pPr>
      <w:r w:rsidRPr="00EF4F3E">
        <w:rPr>
          <w:rFonts w:ascii="Times New Roman" w:hAnsi="Times New Roman" w:cs="Times New Roman"/>
          <w:sz w:val="28"/>
          <w:szCs w:val="28"/>
        </w:rPr>
        <w:t>One of the links between organised crime and public protection is seen in drug trafficking. The widespread availability of drugs contributes to health crises such as addiction, overdoses and the spread of diseases (UNODC, 2021). Criminal networks involved in drug trafficking frequently resort to violence to protect their operations intensifying community violence and placing pressure on healthcare systems and policing resources (</w:t>
      </w:r>
      <w:proofErr w:type="spellStart"/>
      <w:r w:rsidRPr="00EF4F3E">
        <w:rPr>
          <w:rFonts w:ascii="Times New Roman" w:hAnsi="Times New Roman" w:cs="Times New Roman"/>
          <w:sz w:val="28"/>
          <w:szCs w:val="28"/>
        </w:rPr>
        <w:t>Morselli</w:t>
      </w:r>
      <w:proofErr w:type="spellEnd"/>
      <w:r w:rsidRPr="00EF4F3E">
        <w:rPr>
          <w:rFonts w:ascii="Times New Roman" w:hAnsi="Times New Roman" w:cs="Times New Roman"/>
          <w:sz w:val="28"/>
          <w:szCs w:val="28"/>
        </w:rPr>
        <w:t xml:space="preserve"> et al., 2010).</w:t>
      </w:r>
    </w:p>
    <w:p w14:paraId="1CD7138B" w14:textId="77777777" w:rsidR="00C220B0" w:rsidRPr="00EF4F3E" w:rsidRDefault="00C220B0" w:rsidP="00C220B0">
      <w:pPr>
        <w:rPr>
          <w:rFonts w:ascii="Times New Roman" w:hAnsi="Times New Roman" w:cs="Times New Roman"/>
          <w:sz w:val="28"/>
          <w:szCs w:val="28"/>
        </w:rPr>
      </w:pPr>
      <w:r w:rsidRPr="00EF4F3E">
        <w:rPr>
          <w:rFonts w:ascii="Times New Roman" w:hAnsi="Times New Roman" w:cs="Times New Roman"/>
          <w:sz w:val="28"/>
          <w:szCs w:val="28"/>
        </w:rPr>
        <w:t>Human trafficking is also a component of crime that directly violates the human rights of individuals and undermines public safety. Victims of trafficking endure forced labour, sexual abuse and harsh living conditions. This not only harms them but also creates broader societal risks such as the spread of STDs and the perpetuation of illegal labour markets (Shelley, 2010).</w:t>
      </w:r>
    </w:p>
    <w:p w14:paraId="021571E6" w14:textId="77777777" w:rsidR="00C220B0" w:rsidRPr="00EF4F3E" w:rsidRDefault="00C220B0" w:rsidP="00C220B0">
      <w:pPr>
        <w:rPr>
          <w:rFonts w:ascii="Times New Roman" w:hAnsi="Times New Roman" w:cs="Times New Roman"/>
          <w:sz w:val="28"/>
          <w:szCs w:val="28"/>
        </w:rPr>
      </w:pPr>
    </w:p>
    <w:p w14:paraId="0BBF3317" w14:textId="77777777" w:rsidR="00C220B0" w:rsidRPr="00EF4F3E" w:rsidRDefault="00C220B0" w:rsidP="00C220B0">
      <w:pPr>
        <w:rPr>
          <w:rFonts w:ascii="Times New Roman" w:hAnsi="Times New Roman" w:cs="Times New Roman"/>
          <w:sz w:val="28"/>
          <w:szCs w:val="28"/>
        </w:rPr>
      </w:pPr>
      <w:r w:rsidRPr="00EF4F3E">
        <w:rPr>
          <w:rFonts w:ascii="Times New Roman" w:hAnsi="Times New Roman" w:cs="Times New Roman"/>
          <w:sz w:val="28"/>
          <w:szCs w:val="28"/>
        </w:rPr>
        <w:lastRenderedPageBreak/>
        <w:t>Cybercrime is an escalating threat in the realm of organised crime posing challenges to public safety and national security. Cybercriminals exploit weaknesses to engage in fraud, steal information and disrupt critical infrastructure. These actions can result in financial losses, breaches of privacy and societal upheaval on a large scale (Holt &amp; Bossler 2014). The increasing complexity of cybercrime networks calls for cybersecurity measures and international collaboration to reduce these risks.</w:t>
      </w:r>
    </w:p>
    <w:p w14:paraId="4117A51E" w14:textId="77777777" w:rsidR="00C220B0" w:rsidRPr="00EF4F3E" w:rsidRDefault="00C220B0" w:rsidP="00C220B0">
      <w:pPr>
        <w:rPr>
          <w:rFonts w:ascii="Times New Roman" w:hAnsi="Times New Roman" w:cs="Times New Roman"/>
          <w:sz w:val="28"/>
          <w:szCs w:val="28"/>
        </w:rPr>
      </w:pPr>
    </w:p>
    <w:p w14:paraId="43263D5D" w14:textId="40C5465D" w:rsidR="00C220B0" w:rsidRPr="00EF4F3E" w:rsidRDefault="00C220B0" w:rsidP="00C220B0">
      <w:pPr>
        <w:rPr>
          <w:rFonts w:ascii="Times New Roman" w:hAnsi="Times New Roman" w:cs="Times New Roman"/>
          <w:sz w:val="28"/>
          <w:szCs w:val="28"/>
        </w:rPr>
      </w:pPr>
      <w:r w:rsidRPr="00EF4F3E">
        <w:rPr>
          <w:rFonts w:ascii="Times New Roman" w:hAnsi="Times New Roman" w:cs="Times New Roman"/>
          <w:sz w:val="28"/>
          <w:szCs w:val="28"/>
        </w:rPr>
        <w:t>Certain factors increase individuals’ vulnerability to exploitation by these organised crime groups. These factors often arise from socio-economic disparities, psychological vulnerabilities and environmental circumstances that criminal groups exploit for recruiting and manipulating victims</w:t>
      </w:r>
      <w:r w:rsidR="0012216A">
        <w:rPr>
          <w:rFonts w:ascii="Times New Roman" w:hAnsi="Times New Roman" w:cs="Times New Roman"/>
          <w:sz w:val="28"/>
          <w:szCs w:val="28"/>
        </w:rPr>
        <w:t xml:space="preserve"> (Fitzgibbon, 2018</w:t>
      </w:r>
      <w:r w:rsidRPr="00EF4F3E">
        <w:rPr>
          <w:rFonts w:ascii="Times New Roman" w:hAnsi="Times New Roman" w:cs="Times New Roman"/>
          <w:sz w:val="28"/>
          <w:szCs w:val="28"/>
        </w:rPr>
        <w:t>.</w:t>
      </w:r>
      <w:r w:rsidR="0012216A">
        <w:rPr>
          <w:rFonts w:ascii="Times New Roman" w:hAnsi="Times New Roman" w:cs="Times New Roman"/>
          <w:sz w:val="28"/>
          <w:szCs w:val="28"/>
        </w:rPr>
        <w:t>)</w:t>
      </w:r>
    </w:p>
    <w:p w14:paraId="2D0D02A9" w14:textId="77777777" w:rsidR="00C220B0" w:rsidRPr="00EF4F3E" w:rsidRDefault="00C220B0" w:rsidP="00C220B0">
      <w:pPr>
        <w:rPr>
          <w:rFonts w:ascii="Times New Roman" w:hAnsi="Times New Roman" w:cs="Times New Roman"/>
          <w:sz w:val="28"/>
          <w:szCs w:val="28"/>
        </w:rPr>
      </w:pPr>
    </w:p>
    <w:p w14:paraId="672BDA1E" w14:textId="77777777" w:rsidR="00C220B0" w:rsidRPr="00EF4F3E" w:rsidRDefault="00C220B0" w:rsidP="00C220B0">
      <w:pPr>
        <w:rPr>
          <w:rFonts w:ascii="Times New Roman" w:hAnsi="Times New Roman" w:cs="Times New Roman"/>
          <w:sz w:val="28"/>
          <w:szCs w:val="28"/>
        </w:rPr>
      </w:pPr>
      <w:r w:rsidRPr="00EF4F3E">
        <w:rPr>
          <w:rFonts w:ascii="Times New Roman" w:hAnsi="Times New Roman" w:cs="Times New Roman"/>
          <w:sz w:val="28"/>
          <w:szCs w:val="28"/>
        </w:rPr>
        <w:t xml:space="preserve">People from socio-economically disadvantaged backgrounds are particularly at risk of being exploited by organised crime groups. Poverty, access to education and limited employment opportunities may lead individuals to feel desperate and hopeless making them more susceptible to the promises of criminal organisations (Decker &amp; </w:t>
      </w:r>
      <w:proofErr w:type="spellStart"/>
      <w:r w:rsidRPr="00EF4F3E">
        <w:rPr>
          <w:rFonts w:ascii="Times New Roman" w:hAnsi="Times New Roman" w:cs="Times New Roman"/>
          <w:sz w:val="28"/>
          <w:szCs w:val="28"/>
        </w:rPr>
        <w:t>Pyrooz</w:t>
      </w:r>
      <w:proofErr w:type="spellEnd"/>
      <w:r w:rsidRPr="00EF4F3E">
        <w:rPr>
          <w:rFonts w:ascii="Times New Roman" w:hAnsi="Times New Roman" w:cs="Times New Roman"/>
          <w:sz w:val="28"/>
          <w:szCs w:val="28"/>
        </w:rPr>
        <w:t xml:space="preserve"> 2013). These groups often entice individuals with rewards or the prospect of a better life, therefore attracting those who feel they have no other viable choices.</w:t>
      </w:r>
    </w:p>
    <w:p w14:paraId="185BB11A" w14:textId="77777777" w:rsidR="00C220B0" w:rsidRPr="00EF4F3E" w:rsidRDefault="00C220B0" w:rsidP="00C220B0">
      <w:pPr>
        <w:rPr>
          <w:rFonts w:ascii="Times New Roman" w:hAnsi="Times New Roman" w:cs="Times New Roman"/>
          <w:sz w:val="28"/>
          <w:szCs w:val="28"/>
        </w:rPr>
      </w:pPr>
    </w:p>
    <w:p w14:paraId="10A6041F" w14:textId="77777777" w:rsidR="00C220B0" w:rsidRPr="00EF4F3E" w:rsidRDefault="00C220B0" w:rsidP="00C220B0">
      <w:pPr>
        <w:rPr>
          <w:rFonts w:ascii="Times New Roman" w:hAnsi="Times New Roman" w:cs="Times New Roman"/>
          <w:sz w:val="28"/>
          <w:szCs w:val="28"/>
        </w:rPr>
      </w:pPr>
      <w:r w:rsidRPr="00EF4F3E">
        <w:rPr>
          <w:rFonts w:ascii="Times New Roman" w:hAnsi="Times New Roman" w:cs="Times New Roman"/>
          <w:sz w:val="28"/>
          <w:szCs w:val="28"/>
        </w:rPr>
        <w:t>Moreover, feeling socially isolated and lacking any support systems can further increase susceptibility to exploitation. Individuals without family backing, peer connections or community bonds may seek belonging and security within criminal organisations. These groups tend to exploit the need for social connections and identity especially among young people (Gordon, 2000). The sense of camaraderie and acceptance offered by these groups can be compelling for isolated individuals.</w:t>
      </w:r>
    </w:p>
    <w:p w14:paraId="4BF8CC4A" w14:textId="77777777" w:rsidR="00C220B0" w:rsidRPr="00EF4F3E" w:rsidRDefault="00C220B0" w:rsidP="00C220B0">
      <w:pPr>
        <w:rPr>
          <w:rFonts w:ascii="Times New Roman" w:hAnsi="Times New Roman" w:cs="Times New Roman"/>
          <w:sz w:val="28"/>
          <w:szCs w:val="28"/>
        </w:rPr>
      </w:pPr>
    </w:p>
    <w:p w14:paraId="22C2011C" w14:textId="77777777" w:rsidR="00C220B0" w:rsidRPr="00EF4F3E" w:rsidRDefault="00C220B0" w:rsidP="00C220B0">
      <w:pPr>
        <w:rPr>
          <w:rFonts w:ascii="Times New Roman" w:hAnsi="Times New Roman" w:cs="Times New Roman"/>
          <w:sz w:val="28"/>
          <w:szCs w:val="28"/>
        </w:rPr>
      </w:pPr>
      <w:r w:rsidRPr="00EF4F3E">
        <w:rPr>
          <w:rFonts w:ascii="Times New Roman" w:hAnsi="Times New Roman" w:cs="Times New Roman"/>
          <w:sz w:val="28"/>
          <w:szCs w:val="28"/>
        </w:rPr>
        <w:t>Psychological elements such as trauma, mental health challenges and low self-esteem can also contribute to vulnerability. Those with a history of abuse, neglect or psychological conditions may be easily influenced by organisations that prey on their emotional vulnerabilities (Skarbek, 2014). The promise of stability, protection or an enhanced sense of self-worth can be particularly enticing for individuals dealing with issues.</w:t>
      </w:r>
    </w:p>
    <w:p w14:paraId="07B15AEE" w14:textId="77777777" w:rsidR="00C220B0" w:rsidRPr="00EF4F3E" w:rsidRDefault="00C220B0" w:rsidP="00C220B0">
      <w:pPr>
        <w:rPr>
          <w:rFonts w:ascii="Times New Roman" w:hAnsi="Times New Roman" w:cs="Times New Roman"/>
          <w:sz w:val="28"/>
          <w:szCs w:val="28"/>
        </w:rPr>
      </w:pPr>
    </w:p>
    <w:p w14:paraId="39FA0213" w14:textId="77777777" w:rsidR="00C220B0" w:rsidRPr="00EF4F3E" w:rsidRDefault="00C220B0" w:rsidP="00C220B0">
      <w:pPr>
        <w:rPr>
          <w:rFonts w:ascii="Times New Roman" w:hAnsi="Times New Roman" w:cs="Times New Roman"/>
          <w:sz w:val="28"/>
          <w:szCs w:val="28"/>
        </w:rPr>
      </w:pPr>
      <w:r w:rsidRPr="00EF4F3E">
        <w:rPr>
          <w:rFonts w:ascii="Times New Roman" w:hAnsi="Times New Roman" w:cs="Times New Roman"/>
          <w:sz w:val="28"/>
          <w:szCs w:val="28"/>
        </w:rPr>
        <w:t>Additionally geographic location and environmental conditions also play a role in increasing susceptibility to exploitation by criminal organisations. Communities with high crime rates, limited police presence and limited social services are at a risk of being targeted by organised crime groups. The lack of attention and order in these areas creates a setting for criminal activities to thrive impacting residents who can end up as both victims and perpetrators of crimes (Hagedorn, 2008).</w:t>
      </w:r>
    </w:p>
    <w:p w14:paraId="472E73C9" w14:textId="77777777" w:rsidR="00C220B0" w:rsidRPr="00EF4F3E" w:rsidRDefault="00C220B0" w:rsidP="00C220B0">
      <w:pPr>
        <w:rPr>
          <w:rFonts w:ascii="Times New Roman" w:hAnsi="Times New Roman" w:cs="Times New Roman"/>
          <w:sz w:val="28"/>
          <w:szCs w:val="28"/>
        </w:rPr>
      </w:pPr>
    </w:p>
    <w:p w14:paraId="5C1CBA8A" w14:textId="77777777" w:rsidR="00C220B0" w:rsidRPr="00EF4F3E" w:rsidRDefault="00C220B0" w:rsidP="00C220B0">
      <w:pPr>
        <w:rPr>
          <w:rFonts w:ascii="Times New Roman" w:hAnsi="Times New Roman" w:cs="Times New Roman"/>
          <w:sz w:val="28"/>
          <w:szCs w:val="28"/>
        </w:rPr>
      </w:pPr>
      <w:r w:rsidRPr="00EF4F3E">
        <w:rPr>
          <w:rFonts w:ascii="Times New Roman" w:hAnsi="Times New Roman" w:cs="Times New Roman"/>
          <w:sz w:val="28"/>
          <w:szCs w:val="28"/>
        </w:rPr>
        <w:t>In order to tackle the links between organised crime and public protection concerns it is crucial to implement a range of preventative measures and informed policies. This involves improving job opportunities, strengthening community support systems, offering mental health services and improving policing capabilities.</w:t>
      </w:r>
    </w:p>
    <w:p w14:paraId="552D15C6" w14:textId="77777777" w:rsidR="00C220B0" w:rsidRPr="00EF4F3E" w:rsidRDefault="00C220B0" w:rsidP="00C220B0">
      <w:pPr>
        <w:rPr>
          <w:rFonts w:ascii="Times New Roman" w:hAnsi="Times New Roman" w:cs="Times New Roman"/>
          <w:sz w:val="28"/>
          <w:szCs w:val="28"/>
        </w:rPr>
      </w:pPr>
    </w:p>
    <w:p w14:paraId="3DA93E5F" w14:textId="316A1659" w:rsidR="00C220B0" w:rsidRPr="00EF4F3E" w:rsidRDefault="00C220B0" w:rsidP="00C220B0">
      <w:pPr>
        <w:rPr>
          <w:rFonts w:ascii="Times New Roman" w:hAnsi="Times New Roman" w:cs="Times New Roman"/>
          <w:sz w:val="28"/>
          <w:szCs w:val="28"/>
        </w:rPr>
      </w:pPr>
      <w:r w:rsidRPr="00EF4F3E">
        <w:rPr>
          <w:rFonts w:ascii="Times New Roman" w:hAnsi="Times New Roman" w:cs="Times New Roman"/>
          <w:sz w:val="28"/>
          <w:szCs w:val="28"/>
        </w:rPr>
        <w:t xml:space="preserve">By creating economic prospects and increasing access to education and employment opportunities </w:t>
      </w:r>
      <w:r w:rsidR="00086D3D">
        <w:rPr>
          <w:rFonts w:ascii="Times New Roman" w:hAnsi="Times New Roman" w:cs="Times New Roman"/>
          <w:sz w:val="28"/>
          <w:szCs w:val="28"/>
        </w:rPr>
        <w:t>it is possible to</w:t>
      </w:r>
      <w:r w:rsidRPr="00EF4F3E">
        <w:rPr>
          <w:rFonts w:ascii="Times New Roman" w:hAnsi="Times New Roman" w:cs="Times New Roman"/>
          <w:sz w:val="28"/>
          <w:szCs w:val="28"/>
        </w:rPr>
        <w:t xml:space="preserve"> reduce the socio-economic vulnerabilities that organised crime gangs exploit. Programs focused on alleviating poverty, providing training and promoting growth offer individuals legitimate ways to enhance their lives without turning to criminal activities (Levitt and Venkatesh, 2000).</w:t>
      </w:r>
    </w:p>
    <w:p w14:paraId="20CA9C81" w14:textId="77777777" w:rsidR="00C220B0" w:rsidRPr="00EF4F3E" w:rsidRDefault="00C220B0" w:rsidP="00C220B0">
      <w:pPr>
        <w:rPr>
          <w:rFonts w:ascii="Times New Roman" w:hAnsi="Times New Roman" w:cs="Times New Roman"/>
          <w:sz w:val="28"/>
          <w:szCs w:val="28"/>
        </w:rPr>
      </w:pPr>
    </w:p>
    <w:p w14:paraId="17E2BA1C" w14:textId="77777777" w:rsidR="00C220B0" w:rsidRPr="00EF4F3E" w:rsidRDefault="00C220B0" w:rsidP="00C220B0">
      <w:pPr>
        <w:rPr>
          <w:rFonts w:ascii="Times New Roman" w:hAnsi="Times New Roman" w:cs="Times New Roman"/>
          <w:sz w:val="28"/>
          <w:szCs w:val="28"/>
        </w:rPr>
      </w:pPr>
      <w:r w:rsidRPr="00EF4F3E">
        <w:rPr>
          <w:rFonts w:ascii="Times New Roman" w:hAnsi="Times New Roman" w:cs="Times New Roman"/>
          <w:sz w:val="28"/>
          <w:szCs w:val="28"/>
        </w:rPr>
        <w:t>Investing in support networks within communities—such as family services, youth initiatives and community centres—can help combat isolation and provide alternatives to involvement with gangs. By fostering strong communities that offer support and protection, individuals are less likely to fall prey to the influences of crime (Howell, 2010).</w:t>
      </w:r>
    </w:p>
    <w:p w14:paraId="700A9551" w14:textId="77777777" w:rsidR="00C220B0" w:rsidRPr="00EF4F3E" w:rsidRDefault="00C220B0" w:rsidP="00C220B0">
      <w:pPr>
        <w:rPr>
          <w:rFonts w:ascii="Times New Roman" w:hAnsi="Times New Roman" w:cs="Times New Roman"/>
          <w:sz w:val="28"/>
          <w:szCs w:val="28"/>
        </w:rPr>
      </w:pPr>
    </w:p>
    <w:p w14:paraId="610F39C3" w14:textId="77777777" w:rsidR="00C220B0" w:rsidRPr="00EF4F3E" w:rsidRDefault="00C220B0" w:rsidP="00C220B0">
      <w:pPr>
        <w:rPr>
          <w:rFonts w:ascii="Times New Roman" w:hAnsi="Times New Roman" w:cs="Times New Roman"/>
          <w:sz w:val="28"/>
          <w:szCs w:val="28"/>
        </w:rPr>
      </w:pPr>
      <w:r w:rsidRPr="00EF4F3E">
        <w:rPr>
          <w:rFonts w:ascii="Times New Roman" w:hAnsi="Times New Roman" w:cs="Times New Roman"/>
          <w:sz w:val="28"/>
          <w:szCs w:val="28"/>
        </w:rPr>
        <w:t xml:space="preserve">Improving access to mental health services is essential for addressing the weaknesses that organised crime groups take advantage of. Providing support and assistance to individuals dealing with trauma, mental health challenges and low self-esteem can help lower their susceptibility to manipulation and exploitation (Dodge, 2006). Strengthening policing capacities through training, allocation of resources and international collaboration plays a role in the fight against crime. Employing tactics such as community policing and intelligence </w:t>
      </w:r>
      <w:r w:rsidRPr="00EF4F3E">
        <w:rPr>
          <w:rFonts w:ascii="Times New Roman" w:hAnsi="Times New Roman" w:cs="Times New Roman"/>
          <w:sz w:val="28"/>
          <w:szCs w:val="28"/>
        </w:rPr>
        <w:lastRenderedPageBreak/>
        <w:t>driven approaches can disrupt organised crime activities and safeguard those populations most at risk (Ratcliffe, 2008).</w:t>
      </w:r>
    </w:p>
    <w:p w14:paraId="2027D911" w14:textId="77777777" w:rsidR="00C220B0" w:rsidRPr="00EF4F3E" w:rsidRDefault="00C220B0" w:rsidP="00C220B0">
      <w:pPr>
        <w:rPr>
          <w:rFonts w:ascii="Times New Roman" w:hAnsi="Times New Roman" w:cs="Times New Roman"/>
          <w:sz w:val="28"/>
          <w:szCs w:val="28"/>
        </w:rPr>
      </w:pPr>
    </w:p>
    <w:p w14:paraId="33BF11E1" w14:textId="77777777" w:rsidR="00C220B0" w:rsidRPr="00EF4F3E" w:rsidRDefault="00C220B0" w:rsidP="00C220B0">
      <w:pPr>
        <w:rPr>
          <w:rFonts w:ascii="Times New Roman" w:hAnsi="Times New Roman" w:cs="Times New Roman"/>
          <w:sz w:val="28"/>
          <w:szCs w:val="28"/>
        </w:rPr>
      </w:pPr>
      <w:r w:rsidRPr="00EF4F3E">
        <w:rPr>
          <w:rFonts w:ascii="Times New Roman" w:hAnsi="Times New Roman" w:cs="Times New Roman"/>
          <w:sz w:val="28"/>
          <w:szCs w:val="28"/>
        </w:rPr>
        <w:t>The intricate links between organised crime and public protection pose challenges that require comprehensive strategies. Recognising the socio-economic, psychological, and environmental factors that make individuals prone to exploitation by organised crime gangs is key to devising successful prevention measures. Tackling the causes of vulnerability, strengthening policing capabilities and nurturing community resilience are aspects in combatting organised crime and ensuring public safety. By understanding the dynamics between crime and public protection issues, policymakers and practitioners can devise efficient strategies to prevent and mitigate the impact of organised crime on communities worldwide.</w:t>
      </w:r>
    </w:p>
    <w:p w14:paraId="441DC120" w14:textId="77777777" w:rsidR="00C220B0" w:rsidRPr="00EF4F3E" w:rsidRDefault="00C220B0" w:rsidP="00C220B0">
      <w:pPr>
        <w:shd w:val="clear" w:color="auto" w:fill="FFFFFF"/>
        <w:spacing w:after="0" w:line="240" w:lineRule="auto"/>
        <w:rPr>
          <w:rFonts w:ascii="Times New Roman" w:eastAsia="Times New Roman" w:hAnsi="Times New Roman" w:cs="Times New Roman"/>
          <w:color w:val="1D2228"/>
          <w:kern w:val="0"/>
          <w:sz w:val="28"/>
          <w:szCs w:val="28"/>
          <w:lang w:eastAsia="en-GB"/>
          <w14:ligatures w14:val="none"/>
        </w:rPr>
      </w:pPr>
    </w:p>
    <w:p w14:paraId="4486C10A" w14:textId="43C9F271" w:rsidR="00C220B0" w:rsidRPr="00EF4F3E" w:rsidRDefault="00C220B0" w:rsidP="00C220B0">
      <w:pPr>
        <w:shd w:val="clear" w:color="auto" w:fill="FFFFFF"/>
        <w:spacing w:after="0" w:line="240" w:lineRule="auto"/>
        <w:rPr>
          <w:rFonts w:ascii="Times New Roman" w:eastAsia="Times New Roman" w:hAnsi="Times New Roman" w:cs="Times New Roman"/>
          <w:color w:val="1D2228"/>
          <w:kern w:val="0"/>
          <w:sz w:val="28"/>
          <w:szCs w:val="28"/>
          <w:lang w:eastAsia="en-GB"/>
          <w14:ligatures w14:val="none"/>
        </w:rPr>
      </w:pPr>
      <w:r>
        <w:rPr>
          <w:rFonts w:ascii="Times New Roman" w:eastAsia="Times New Roman" w:hAnsi="Times New Roman" w:cs="Times New Roman"/>
          <w:color w:val="1D2228"/>
          <w:kern w:val="0"/>
          <w:sz w:val="28"/>
          <w:szCs w:val="28"/>
          <w:lang w:eastAsia="en-GB"/>
          <w14:ligatures w14:val="none"/>
        </w:rPr>
        <w:t xml:space="preserve">Word count: </w:t>
      </w:r>
      <w:r w:rsidRPr="00EF4F3E">
        <w:rPr>
          <w:rFonts w:ascii="Times New Roman" w:eastAsia="Times New Roman" w:hAnsi="Times New Roman" w:cs="Times New Roman"/>
          <w:color w:val="1D2228"/>
          <w:kern w:val="0"/>
          <w:sz w:val="28"/>
          <w:szCs w:val="28"/>
          <w:lang w:eastAsia="en-GB"/>
          <w14:ligatures w14:val="none"/>
        </w:rPr>
        <w:t>9</w:t>
      </w:r>
      <w:r w:rsidR="00FC56E6">
        <w:rPr>
          <w:rFonts w:ascii="Times New Roman" w:eastAsia="Times New Roman" w:hAnsi="Times New Roman" w:cs="Times New Roman"/>
          <w:color w:val="1D2228"/>
          <w:kern w:val="0"/>
          <w:sz w:val="28"/>
          <w:szCs w:val="28"/>
          <w:lang w:eastAsia="en-GB"/>
          <w14:ligatures w14:val="none"/>
        </w:rPr>
        <w:t>64</w:t>
      </w:r>
    </w:p>
    <w:p w14:paraId="00A8835D" w14:textId="77777777" w:rsidR="00C220B0" w:rsidRPr="00EF4F3E" w:rsidRDefault="00C220B0" w:rsidP="00C220B0">
      <w:pPr>
        <w:shd w:val="clear" w:color="auto" w:fill="FFFFFF"/>
        <w:spacing w:after="0" w:line="240" w:lineRule="auto"/>
        <w:rPr>
          <w:rFonts w:ascii="Times New Roman" w:eastAsia="Times New Roman" w:hAnsi="Times New Roman" w:cs="Times New Roman"/>
          <w:color w:val="1D2228"/>
          <w:kern w:val="0"/>
          <w:sz w:val="28"/>
          <w:szCs w:val="28"/>
          <w:lang w:eastAsia="en-GB"/>
          <w14:ligatures w14:val="none"/>
        </w:rPr>
      </w:pPr>
    </w:p>
    <w:p w14:paraId="5BC43B62" w14:textId="77777777" w:rsidR="00C220B0" w:rsidRPr="00EF4F3E" w:rsidRDefault="00C220B0" w:rsidP="00C220B0">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EF4F3E">
        <w:rPr>
          <w:rFonts w:ascii="Times New Roman" w:eastAsia="Times New Roman" w:hAnsi="Times New Roman" w:cs="Times New Roman"/>
          <w:kern w:val="0"/>
          <w:sz w:val="28"/>
          <w:szCs w:val="28"/>
          <w:lang w:eastAsia="en-GB"/>
          <w14:ligatures w14:val="none"/>
        </w:rPr>
        <w:t xml:space="preserve">Decker, S. H., &amp; </w:t>
      </w:r>
      <w:proofErr w:type="spellStart"/>
      <w:r w:rsidRPr="00EF4F3E">
        <w:rPr>
          <w:rFonts w:ascii="Times New Roman" w:eastAsia="Times New Roman" w:hAnsi="Times New Roman" w:cs="Times New Roman"/>
          <w:kern w:val="0"/>
          <w:sz w:val="28"/>
          <w:szCs w:val="28"/>
          <w:lang w:eastAsia="en-GB"/>
          <w14:ligatures w14:val="none"/>
        </w:rPr>
        <w:t>Pyrooz</w:t>
      </w:r>
      <w:proofErr w:type="spellEnd"/>
      <w:r w:rsidRPr="00EF4F3E">
        <w:rPr>
          <w:rFonts w:ascii="Times New Roman" w:eastAsia="Times New Roman" w:hAnsi="Times New Roman" w:cs="Times New Roman"/>
          <w:kern w:val="0"/>
          <w:sz w:val="28"/>
          <w:szCs w:val="28"/>
          <w:lang w:eastAsia="en-GB"/>
          <w14:ligatures w14:val="none"/>
        </w:rPr>
        <w:t>, D. C. (2013). Gangs: Continuity and change. Oxford University Press.</w:t>
      </w:r>
    </w:p>
    <w:p w14:paraId="12270C13" w14:textId="77777777" w:rsidR="00C220B0" w:rsidRPr="00EF4F3E" w:rsidRDefault="00C220B0" w:rsidP="00C220B0">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EF4F3E">
        <w:rPr>
          <w:rFonts w:ascii="Times New Roman" w:eastAsia="Times New Roman" w:hAnsi="Times New Roman" w:cs="Times New Roman"/>
          <w:kern w:val="0"/>
          <w:sz w:val="28"/>
          <w:szCs w:val="28"/>
          <w:lang w:eastAsia="en-GB"/>
          <w14:ligatures w14:val="none"/>
        </w:rPr>
        <w:t xml:space="preserve">Dodge, K. A. (2006). Community interventions to prevent serious and violent offending. In Farrington, D. P., Loeber, R., &amp; Welsh, B. C. (Eds.), </w:t>
      </w:r>
      <w:r w:rsidRPr="00EF4F3E">
        <w:rPr>
          <w:rFonts w:ascii="Times New Roman" w:eastAsia="Times New Roman" w:hAnsi="Times New Roman" w:cs="Times New Roman"/>
          <w:i/>
          <w:iCs/>
          <w:kern w:val="0"/>
          <w:sz w:val="28"/>
          <w:szCs w:val="28"/>
          <w:lang w:eastAsia="en-GB"/>
          <w14:ligatures w14:val="none"/>
        </w:rPr>
        <w:t>Preventing crime: What works for children, offenders, victims, and places</w:t>
      </w:r>
      <w:r w:rsidRPr="00EF4F3E">
        <w:rPr>
          <w:rFonts w:ascii="Times New Roman" w:eastAsia="Times New Roman" w:hAnsi="Times New Roman" w:cs="Times New Roman"/>
          <w:kern w:val="0"/>
          <w:sz w:val="28"/>
          <w:szCs w:val="28"/>
          <w:lang w:eastAsia="en-GB"/>
          <w14:ligatures w14:val="none"/>
        </w:rPr>
        <w:t xml:space="preserve"> (pp. 137-150). Springer.</w:t>
      </w:r>
    </w:p>
    <w:p w14:paraId="25567D2C" w14:textId="6D660596" w:rsidR="0012216A" w:rsidRDefault="0012216A" w:rsidP="00C220B0">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12216A">
        <w:rPr>
          <w:rFonts w:ascii="Times New Roman" w:eastAsia="Times New Roman" w:hAnsi="Times New Roman" w:cs="Times New Roman"/>
          <w:kern w:val="0"/>
          <w:sz w:val="28"/>
          <w:szCs w:val="28"/>
          <w:lang w:eastAsia="en-GB"/>
          <w14:ligatures w14:val="none"/>
        </w:rPr>
        <w:t xml:space="preserve">Fitzgibbon, W. (2018). </w:t>
      </w:r>
      <w:r w:rsidRPr="0012216A">
        <w:rPr>
          <w:rFonts w:ascii="Times New Roman" w:eastAsia="Times New Roman" w:hAnsi="Times New Roman" w:cs="Times New Roman"/>
          <w:i/>
          <w:iCs/>
          <w:kern w:val="0"/>
          <w:sz w:val="28"/>
          <w:szCs w:val="28"/>
          <w:lang w:eastAsia="en-GB"/>
          <w14:ligatures w14:val="none"/>
        </w:rPr>
        <w:t>Organised crime and vulnerability: A review of factors contributing to exploitation</w:t>
      </w:r>
      <w:r w:rsidRPr="0012216A">
        <w:rPr>
          <w:rFonts w:ascii="Times New Roman" w:eastAsia="Times New Roman" w:hAnsi="Times New Roman" w:cs="Times New Roman"/>
          <w:kern w:val="0"/>
          <w:sz w:val="28"/>
          <w:szCs w:val="28"/>
          <w:lang w:eastAsia="en-GB"/>
          <w14:ligatures w14:val="none"/>
        </w:rPr>
        <w:t xml:space="preserve">. </w:t>
      </w:r>
      <w:r w:rsidRPr="0012216A">
        <w:rPr>
          <w:rFonts w:ascii="Times New Roman" w:eastAsia="Times New Roman" w:hAnsi="Times New Roman" w:cs="Times New Roman"/>
          <w:i/>
          <w:iCs/>
          <w:kern w:val="0"/>
          <w:sz w:val="28"/>
          <w:szCs w:val="28"/>
          <w:lang w:eastAsia="en-GB"/>
          <w14:ligatures w14:val="none"/>
        </w:rPr>
        <w:t>Journal of Crime and Justice</w:t>
      </w:r>
      <w:r w:rsidRPr="0012216A">
        <w:rPr>
          <w:rFonts w:ascii="Times New Roman" w:eastAsia="Times New Roman" w:hAnsi="Times New Roman" w:cs="Times New Roman"/>
          <w:kern w:val="0"/>
          <w:sz w:val="28"/>
          <w:szCs w:val="28"/>
          <w:lang w:eastAsia="en-GB"/>
          <w14:ligatures w14:val="none"/>
        </w:rPr>
        <w:t>, 41(4), 487-502.</w:t>
      </w:r>
    </w:p>
    <w:p w14:paraId="7F07024D" w14:textId="6B292AA9" w:rsidR="00C220B0" w:rsidRPr="00EF4F3E" w:rsidRDefault="00C220B0" w:rsidP="00C220B0">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EF4F3E">
        <w:rPr>
          <w:rFonts w:ascii="Times New Roman" w:eastAsia="Times New Roman" w:hAnsi="Times New Roman" w:cs="Times New Roman"/>
          <w:kern w:val="0"/>
          <w:sz w:val="28"/>
          <w:szCs w:val="28"/>
          <w:lang w:eastAsia="en-GB"/>
          <w14:ligatures w14:val="none"/>
        </w:rPr>
        <w:t>Gordon, R. (2000). Criminal business organizations, street gangs and '</w:t>
      </w:r>
      <w:proofErr w:type="spellStart"/>
      <w:r w:rsidRPr="00EF4F3E">
        <w:rPr>
          <w:rFonts w:ascii="Times New Roman" w:eastAsia="Times New Roman" w:hAnsi="Times New Roman" w:cs="Times New Roman"/>
          <w:kern w:val="0"/>
          <w:sz w:val="28"/>
          <w:szCs w:val="28"/>
          <w:lang w:eastAsia="en-GB"/>
          <w14:ligatures w14:val="none"/>
        </w:rPr>
        <w:t>wanna</w:t>
      </w:r>
      <w:proofErr w:type="spellEnd"/>
      <w:r w:rsidRPr="00EF4F3E">
        <w:rPr>
          <w:rFonts w:ascii="Times New Roman" w:eastAsia="Times New Roman" w:hAnsi="Times New Roman" w:cs="Times New Roman"/>
          <w:kern w:val="0"/>
          <w:sz w:val="28"/>
          <w:szCs w:val="28"/>
          <w:lang w:eastAsia="en-GB"/>
          <w14:ligatures w14:val="none"/>
        </w:rPr>
        <w:t xml:space="preserve">-be' groups: A Vancouver perspective. </w:t>
      </w:r>
      <w:r w:rsidRPr="00EF4F3E">
        <w:rPr>
          <w:rFonts w:ascii="Times New Roman" w:eastAsia="Times New Roman" w:hAnsi="Times New Roman" w:cs="Times New Roman"/>
          <w:i/>
          <w:iCs/>
          <w:kern w:val="0"/>
          <w:sz w:val="28"/>
          <w:szCs w:val="28"/>
          <w:lang w:eastAsia="en-GB"/>
          <w14:ligatures w14:val="none"/>
        </w:rPr>
        <w:t>Canadian Journal of Criminology</w:t>
      </w:r>
      <w:r w:rsidRPr="00EF4F3E">
        <w:rPr>
          <w:rFonts w:ascii="Times New Roman" w:eastAsia="Times New Roman" w:hAnsi="Times New Roman" w:cs="Times New Roman"/>
          <w:kern w:val="0"/>
          <w:sz w:val="28"/>
          <w:szCs w:val="28"/>
          <w:lang w:eastAsia="en-GB"/>
          <w14:ligatures w14:val="none"/>
        </w:rPr>
        <w:t>, 42(1), 39-60.</w:t>
      </w:r>
    </w:p>
    <w:p w14:paraId="4AF0362A" w14:textId="77777777" w:rsidR="00C220B0" w:rsidRPr="00EF4F3E" w:rsidRDefault="00C220B0" w:rsidP="00C220B0">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EF4F3E">
        <w:rPr>
          <w:rFonts w:ascii="Times New Roman" w:eastAsia="Times New Roman" w:hAnsi="Times New Roman" w:cs="Times New Roman"/>
          <w:kern w:val="0"/>
          <w:sz w:val="28"/>
          <w:szCs w:val="28"/>
          <w:lang w:eastAsia="en-GB"/>
          <w14:ligatures w14:val="none"/>
        </w:rPr>
        <w:t xml:space="preserve">Hagedorn, J. M. (2008). </w:t>
      </w:r>
      <w:r w:rsidRPr="00EF4F3E">
        <w:rPr>
          <w:rFonts w:ascii="Times New Roman" w:eastAsia="Times New Roman" w:hAnsi="Times New Roman" w:cs="Times New Roman"/>
          <w:i/>
          <w:iCs/>
          <w:kern w:val="0"/>
          <w:sz w:val="28"/>
          <w:szCs w:val="28"/>
          <w:lang w:eastAsia="en-GB"/>
          <w14:ligatures w14:val="none"/>
        </w:rPr>
        <w:t xml:space="preserve">A world of gangs: Armed young men and </w:t>
      </w:r>
      <w:proofErr w:type="spellStart"/>
      <w:r w:rsidRPr="00EF4F3E">
        <w:rPr>
          <w:rFonts w:ascii="Times New Roman" w:eastAsia="Times New Roman" w:hAnsi="Times New Roman" w:cs="Times New Roman"/>
          <w:i/>
          <w:iCs/>
          <w:kern w:val="0"/>
          <w:sz w:val="28"/>
          <w:szCs w:val="28"/>
          <w:lang w:eastAsia="en-GB"/>
          <w14:ligatures w14:val="none"/>
        </w:rPr>
        <w:t>gangsta</w:t>
      </w:r>
      <w:proofErr w:type="spellEnd"/>
      <w:r w:rsidRPr="00EF4F3E">
        <w:rPr>
          <w:rFonts w:ascii="Times New Roman" w:eastAsia="Times New Roman" w:hAnsi="Times New Roman" w:cs="Times New Roman"/>
          <w:i/>
          <w:iCs/>
          <w:kern w:val="0"/>
          <w:sz w:val="28"/>
          <w:szCs w:val="28"/>
          <w:lang w:eastAsia="en-GB"/>
          <w14:ligatures w14:val="none"/>
        </w:rPr>
        <w:t xml:space="preserve"> culture</w:t>
      </w:r>
      <w:r w:rsidRPr="00EF4F3E">
        <w:rPr>
          <w:rFonts w:ascii="Times New Roman" w:eastAsia="Times New Roman" w:hAnsi="Times New Roman" w:cs="Times New Roman"/>
          <w:kern w:val="0"/>
          <w:sz w:val="28"/>
          <w:szCs w:val="28"/>
          <w:lang w:eastAsia="en-GB"/>
          <w14:ligatures w14:val="none"/>
        </w:rPr>
        <w:t>. University of Minnesota Press.</w:t>
      </w:r>
    </w:p>
    <w:p w14:paraId="7C5ABC33" w14:textId="77777777" w:rsidR="00C220B0" w:rsidRPr="00EF4F3E" w:rsidRDefault="00C220B0" w:rsidP="00C220B0">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EF4F3E">
        <w:rPr>
          <w:rFonts w:ascii="Times New Roman" w:eastAsia="Times New Roman" w:hAnsi="Times New Roman" w:cs="Times New Roman"/>
          <w:kern w:val="0"/>
          <w:sz w:val="28"/>
          <w:szCs w:val="28"/>
          <w:lang w:eastAsia="en-GB"/>
          <w14:ligatures w14:val="none"/>
        </w:rPr>
        <w:t xml:space="preserve">Hobbs, D. (2013). </w:t>
      </w:r>
      <w:r w:rsidRPr="00EF4F3E">
        <w:rPr>
          <w:rFonts w:ascii="Times New Roman" w:eastAsia="Times New Roman" w:hAnsi="Times New Roman" w:cs="Times New Roman"/>
          <w:i/>
          <w:iCs/>
          <w:kern w:val="0"/>
          <w:sz w:val="28"/>
          <w:szCs w:val="28"/>
          <w:lang w:eastAsia="en-GB"/>
          <w14:ligatures w14:val="none"/>
        </w:rPr>
        <w:t>Lush life: Constructing organized crime in the UK</w:t>
      </w:r>
      <w:r w:rsidRPr="00EF4F3E">
        <w:rPr>
          <w:rFonts w:ascii="Times New Roman" w:eastAsia="Times New Roman" w:hAnsi="Times New Roman" w:cs="Times New Roman"/>
          <w:kern w:val="0"/>
          <w:sz w:val="28"/>
          <w:szCs w:val="28"/>
          <w:lang w:eastAsia="en-GB"/>
          <w14:ligatures w14:val="none"/>
        </w:rPr>
        <w:t>. Oxford University Press.</w:t>
      </w:r>
    </w:p>
    <w:p w14:paraId="3FF2F3A7" w14:textId="77777777" w:rsidR="00C220B0" w:rsidRPr="00EF4F3E" w:rsidRDefault="00C220B0" w:rsidP="00C220B0">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EF4F3E">
        <w:rPr>
          <w:rFonts w:ascii="Times New Roman" w:eastAsia="Times New Roman" w:hAnsi="Times New Roman" w:cs="Times New Roman"/>
          <w:kern w:val="0"/>
          <w:sz w:val="28"/>
          <w:szCs w:val="28"/>
          <w:lang w:eastAsia="en-GB"/>
          <w14:ligatures w14:val="none"/>
        </w:rPr>
        <w:t xml:space="preserve">Holt, T. J., &amp; Bossler, A. M. (2014). </w:t>
      </w:r>
      <w:r w:rsidRPr="00EF4F3E">
        <w:rPr>
          <w:rFonts w:ascii="Times New Roman" w:eastAsia="Times New Roman" w:hAnsi="Times New Roman" w:cs="Times New Roman"/>
          <w:i/>
          <w:iCs/>
          <w:kern w:val="0"/>
          <w:sz w:val="28"/>
          <w:szCs w:val="28"/>
          <w:lang w:eastAsia="en-GB"/>
          <w14:ligatures w14:val="none"/>
        </w:rPr>
        <w:t>Cybercrime in progress: Theory and prevention of technology-enabled offenses</w:t>
      </w:r>
      <w:r w:rsidRPr="00EF4F3E">
        <w:rPr>
          <w:rFonts w:ascii="Times New Roman" w:eastAsia="Times New Roman" w:hAnsi="Times New Roman" w:cs="Times New Roman"/>
          <w:kern w:val="0"/>
          <w:sz w:val="28"/>
          <w:szCs w:val="28"/>
          <w:lang w:eastAsia="en-GB"/>
          <w14:ligatures w14:val="none"/>
        </w:rPr>
        <w:t>. Routledge.</w:t>
      </w:r>
    </w:p>
    <w:p w14:paraId="667A22B6" w14:textId="77777777" w:rsidR="00C220B0" w:rsidRPr="00EF4F3E" w:rsidRDefault="00C220B0" w:rsidP="00C220B0">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EF4F3E">
        <w:rPr>
          <w:rFonts w:ascii="Times New Roman" w:eastAsia="Times New Roman" w:hAnsi="Times New Roman" w:cs="Times New Roman"/>
          <w:kern w:val="0"/>
          <w:sz w:val="28"/>
          <w:szCs w:val="28"/>
          <w:lang w:eastAsia="en-GB"/>
          <w14:ligatures w14:val="none"/>
        </w:rPr>
        <w:lastRenderedPageBreak/>
        <w:t xml:space="preserve">Howell, J. C. (2010). </w:t>
      </w:r>
      <w:r w:rsidRPr="00EF4F3E">
        <w:rPr>
          <w:rFonts w:ascii="Times New Roman" w:eastAsia="Times New Roman" w:hAnsi="Times New Roman" w:cs="Times New Roman"/>
          <w:i/>
          <w:iCs/>
          <w:kern w:val="0"/>
          <w:sz w:val="28"/>
          <w:szCs w:val="28"/>
          <w:lang w:eastAsia="en-GB"/>
          <w14:ligatures w14:val="none"/>
        </w:rPr>
        <w:t>Gang prevention: An overview of research and programs</w:t>
      </w:r>
      <w:r w:rsidRPr="00EF4F3E">
        <w:rPr>
          <w:rFonts w:ascii="Times New Roman" w:eastAsia="Times New Roman" w:hAnsi="Times New Roman" w:cs="Times New Roman"/>
          <w:kern w:val="0"/>
          <w:sz w:val="28"/>
          <w:szCs w:val="28"/>
          <w:lang w:eastAsia="en-GB"/>
          <w14:ligatures w14:val="none"/>
        </w:rPr>
        <w:t>. DIANE Publishing.</w:t>
      </w:r>
    </w:p>
    <w:p w14:paraId="7692802C" w14:textId="77777777" w:rsidR="00C220B0" w:rsidRPr="00EF4F3E" w:rsidRDefault="00C220B0" w:rsidP="00C220B0">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EF4F3E">
        <w:rPr>
          <w:rFonts w:ascii="Times New Roman" w:eastAsia="Times New Roman" w:hAnsi="Times New Roman" w:cs="Times New Roman"/>
          <w:kern w:val="0"/>
          <w:sz w:val="28"/>
          <w:szCs w:val="28"/>
          <w:lang w:eastAsia="en-GB"/>
          <w14:ligatures w14:val="none"/>
        </w:rPr>
        <w:t xml:space="preserve">Levitt, S. D., &amp; Venkatesh, S. A. (2000). An economic analysis of a drug-selling gang's finances. </w:t>
      </w:r>
      <w:r w:rsidRPr="00EF4F3E">
        <w:rPr>
          <w:rFonts w:ascii="Times New Roman" w:eastAsia="Times New Roman" w:hAnsi="Times New Roman" w:cs="Times New Roman"/>
          <w:i/>
          <w:iCs/>
          <w:kern w:val="0"/>
          <w:sz w:val="28"/>
          <w:szCs w:val="28"/>
          <w:lang w:eastAsia="en-GB"/>
          <w14:ligatures w14:val="none"/>
        </w:rPr>
        <w:t>The Quarterly Journal of Economics</w:t>
      </w:r>
      <w:r w:rsidRPr="00EF4F3E">
        <w:rPr>
          <w:rFonts w:ascii="Times New Roman" w:eastAsia="Times New Roman" w:hAnsi="Times New Roman" w:cs="Times New Roman"/>
          <w:kern w:val="0"/>
          <w:sz w:val="28"/>
          <w:szCs w:val="28"/>
          <w:lang w:eastAsia="en-GB"/>
          <w14:ligatures w14:val="none"/>
        </w:rPr>
        <w:t>, 115(3), 755-789.</w:t>
      </w:r>
    </w:p>
    <w:p w14:paraId="6D4C12F0" w14:textId="77777777" w:rsidR="00C220B0" w:rsidRPr="00EF4F3E" w:rsidRDefault="00C220B0" w:rsidP="00C220B0">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proofErr w:type="spellStart"/>
      <w:r w:rsidRPr="00EF4F3E">
        <w:rPr>
          <w:rFonts w:ascii="Times New Roman" w:eastAsia="Times New Roman" w:hAnsi="Times New Roman" w:cs="Times New Roman"/>
          <w:kern w:val="0"/>
          <w:sz w:val="28"/>
          <w:szCs w:val="28"/>
          <w:lang w:eastAsia="en-GB"/>
          <w14:ligatures w14:val="none"/>
        </w:rPr>
        <w:t>Morselli</w:t>
      </w:r>
      <w:proofErr w:type="spellEnd"/>
      <w:r w:rsidRPr="00EF4F3E">
        <w:rPr>
          <w:rFonts w:ascii="Times New Roman" w:eastAsia="Times New Roman" w:hAnsi="Times New Roman" w:cs="Times New Roman"/>
          <w:kern w:val="0"/>
          <w:sz w:val="28"/>
          <w:szCs w:val="28"/>
          <w:lang w:eastAsia="en-GB"/>
          <w14:ligatures w14:val="none"/>
        </w:rPr>
        <w:t xml:space="preserve">, C., Turcotte, M., &amp; Tenti, V. (2010). The mobility of criminal groups. </w:t>
      </w:r>
      <w:r w:rsidRPr="00EF4F3E">
        <w:rPr>
          <w:rFonts w:ascii="Times New Roman" w:eastAsia="Times New Roman" w:hAnsi="Times New Roman" w:cs="Times New Roman"/>
          <w:i/>
          <w:iCs/>
          <w:kern w:val="0"/>
          <w:sz w:val="28"/>
          <w:szCs w:val="28"/>
          <w:lang w:eastAsia="en-GB"/>
          <w14:ligatures w14:val="none"/>
        </w:rPr>
        <w:t>Global Crime</w:t>
      </w:r>
      <w:r w:rsidRPr="00EF4F3E">
        <w:rPr>
          <w:rFonts w:ascii="Times New Roman" w:eastAsia="Times New Roman" w:hAnsi="Times New Roman" w:cs="Times New Roman"/>
          <w:kern w:val="0"/>
          <w:sz w:val="28"/>
          <w:szCs w:val="28"/>
          <w:lang w:eastAsia="en-GB"/>
          <w14:ligatures w14:val="none"/>
        </w:rPr>
        <w:t>, 11(4), 412-431.</w:t>
      </w:r>
    </w:p>
    <w:p w14:paraId="1A7F843D" w14:textId="77777777" w:rsidR="00C220B0" w:rsidRPr="00EF4F3E" w:rsidRDefault="00C220B0" w:rsidP="00C220B0">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EF4F3E">
        <w:rPr>
          <w:rFonts w:ascii="Times New Roman" w:eastAsia="Times New Roman" w:hAnsi="Times New Roman" w:cs="Times New Roman"/>
          <w:kern w:val="0"/>
          <w:sz w:val="28"/>
          <w:szCs w:val="28"/>
          <w:lang w:eastAsia="en-GB"/>
          <w14:ligatures w14:val="none"/>
        </w:rPr>
        <w:t xml:space="preserve">Ratcliffe, J. H. (2008). </w:t>
      </w:r>
      <w:r w:rsidRPr="00EF4F3E">
        <w:rPr>
          <w:rFonts w:ascii="Times New Roman" w:eastAsia="Times New Roman" w:hAnsi="Times New Roman" w:cs="Times New Roman"/>
          <w:i/>
          <w:iCs/>
          <w:kern w:val="0"/>
          <w:sz w:val="28"/>
          <w:szCs w:val="28"/>
          <w:lang w:eastAsia="en-GB"/>
          <w14:ligatures w14:val="none"/>
        </w:rPr>
        <w:t>Intelligence-led policing</w:t>
      </w:r>
      <w:r w:rsidRPr="00EF4F3E">
        <w:rPr>
          <w:rFonts w:ascii="Times New Roman" w:eastAsia="Times New Roman" w:hAnsi="Times New Roman" w:cs="Times New Roman"/>
          <w:kern w:val="0"/>
          <w:sz w:val="28"/>
          <w:szCs w:val="28"/>
          <w:lang w:eastAsia="en-GB"/>
          <w14:ligatures w14:val="none"/>
        </w:rPr>
        <w:t>. Routledge.</w:t>
      </w:r>
    </w:p>
    <w:p w14:paraId="2900E62A" w14:textId="77777777" w:rsidR="00C220B0" w:rsidRPr="00EF4F3E" w:rsidRDefault="00C220B0" w:rsidP="00C220B0">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EF4F3E">
        <w:rPr>
          <w:rFonts w:ascii="Times New Roman" w:eastAsia="Times New Roman" w:hAnsi="Times New Roman" w:cs="Times New Roman"/>
          <w:kern w:val="0"/>
          <w:sz w:val="28"/>
          <w:szCs w:val="28"/>
          <w:lang w:eastAsia="en-GB"/>
          <w14:ligatures w14:val="none"/>
        </w:rPr>
        <w:t xml:space="preserve">Shelley, L. (2010). </w:t>
      </w:r>
      <w:r w:rsidRPr="00EF4F3E">
        <w:rPr>
          <w:rFonts w:ascii="Times New Roman" w:eastAsia="Times New Roman" w:hAnsi="Times New Roman" w:cs="Times New Roman"/>
          <w:i/>
          <w:iCs/>
          <w:kern w:val="0"/>
          <w:sz w:val="28"/>
          <w:szCs w:val="28"/>
          <w:lang w:eastAsia="en-GB"/>
          <w14:ligatures w14:val="none"/>
        </w:rPr>
        <w:t>Human trafficking: A global perspective</w:t>
      </w:r>
      <w:r w:rsidRPr="00EF4F3E">
        <w:rPr>
          <w:rFonts w:ascii="Times New Roman" w:eastAsia="Times New Roman" w:hAnsi="Times New Roman" w:cs="Times New Roman"/>
          <w:kern w:val="0"/>
          <w:sz w:val="28"/>
          <w:szCs w:val="28"/>
          <w:lang w:eastAsia="en-GB"/>
          <w14:ligatures w14:val="none"/>
        </w:rPr>
        <w:t>. Cambridge University Press.</w:t>
      </w:r>
    </w:p>
    <w:p w14:paraId="228A901C" w14:textId="77777777" w:rsidR="00C220B0" w:rsidRPr="00EF4F3E" w:rsidRDefault="00C220B0" w:rsidP="00C220B0">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EF4F3E">
        <w:rPr>
          <w:rFonts w:ascii="Times New Roman" w:eastAsia="Times New Roman" w:hAnsi="Times New Roman" w:cs="Times New Roman"/>
          <w:kern w:val="0"/>
          <w:sz w:val="28"/>
          <w:szCs w:val="28"/>
          <w:lang w:eastAsia="en-GB"/>
          <w14:ligatures w14:val="none"/>
        </w:rPr>
        <w:t xml:space="preserve">Skarbek, D. (2014). </w:t>
      </w:r>
      <w:r w:rsidRPr="00EF4F3E">
        <w:rPr>
          <w:rFonts w:ascii="Times New Roman" w:eastAsia="Times New Roman" w:hAnsi="Times New Roman" w:cs="Times New Roman"/>
          <w:i/>
          <w:iCs/>
          <w:kern w:val="0"/>
          <w:sz w:val="28"/>
          <w:szCs w:val="28"/>
          <w:lang w:eastAsia="en-GB"/>
          <w14:ligatures w14:val="none"/>
        </w:rPr>
        <w:t>The social order of the underworld: How prison gangs govern the American penal system</w:t>
      </w:r>
      <w:r w:rsidRPr="00EF4F3E">
        <w:rPr>
          <w:rFonts w:ascii="Times New Roman" w:eastAsia="Times New Roman" w:hAnsi="Times New Roman" w:cs="Times New Roman"/>
          <w:kern w:val="0"/>
          <w:sz w:val="28"/>
          <w:szCs w:val="28"/>
          <w:lang w:eastAsia="en-GB"/>
          <w14:ligatures w14:val="none"/>
        </w:rPr>
        <w:t>. Oxford University Press.</w:t>
      </w:r>
    </w:p>
    <w:p w14:paraId="38C73426" w14:textId="77777777" w:rsidR="00C220B0" w:rsidRPr="00EF4F3E" w:rsidRDefault="00C220B0" w:rsidP="00C220B0">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EF4F3E">
        <w:rPr>
          <w:rFonts w:ascii="Times New Roman" w:eastAsia="Times New Roman" w:hAnsi="Times New Roman" w:cs="Times New Roman"/>
          <w:kern w:val="0"/>
          <w:sz w:val="28"/>
          <w:szCs w:val="28"/>
          <w:lang w:eastAsia="en-GB"/>
          <w14:ligatures w14:val="none"/>
        </w:rPr>
        <w:t xml:space="preserve">United Nations Office on Drugs and Crime (UNODC). (2021). </w:t>
      </w:r>
      <w:r w:rsidRPr="00EF4F3E">
        <w:rPr>
          <w:rFonts w:ascii="Times New Roman" w:eastAsia="Times New Roman" w:hAnsi="Times New Roman" w:cs="Times New Roman"/>
          <w:i/>
          <w:iCs/>
          <w:kern w:val="0"/>
          <w:sz w:val="28"/>
          <w:szCs w:val="28"/>
          <w:lang w:eastAsia="en-GB"/>
          <w14:ligatures w14:val="none"/>
        </w:rPr>
        <w:t>World drug report 2021</w:t>
      </w:r>
      <w:r w:rsidRPr="00EF4F3E">
        <w:rPr>
          <w:rFonts w:ascii="Times New Roman" w:eastAsia="Times New Roman" w:hAnsi="Times New Roman" w:cs="Times New Roman"/>
          <w:kern w:val="0"/>
          <w:sz w:val="28"/>
          <w:szCs w:val="28"/>
          <w:lang w:eastAsia="en-GB"/>
          <w14:ligatures w14:val="none"/>
        </w:rPr>
        <w:t>. UNODC.</w:t>
      </w:r>
    </w:p>
    <w:p w14:paraId="739E8B27" w14:textId="524D784B" w:rsidR="00C220B0" w:rsidRDefault="00AE7009" w:rsidP="001B6682">
      <w:pPr>
        <w:rPr>
          <w:rFonts w:ascii="Times New Roman" w:hAnsi="Times New Roman" w:cs="Times New Roman"/>
          <w:sz w:val="28"/>
          <w:szCs w:val="28"/>
        </w:rPr>
      </w:pPr>
      <w:r w:rsidRPr="00AE7009">
        <w:rPr>
          <w:rFonts w:ascii="Times New Roman" w:hAnsi="Times New Roman" w:cs="Times New Roman"/>
          <w:sz w:val="28"/>
          <w:szCs w:val="28"/>
        </w:rPr>
        <w:t>United Nations Office on Drugs and Crime</w:t>
      </w:r>
      <w:r>
        <w:rPr>
          <w:rFonts w:ascii="Times New Roman" w:hAnsi="Times New Roman" w:cs="Times New Roman"/>
          <w:sz w:val="28"/>
          <w:szCs w:val="28"/>
        </w:rPr>
        <w:t xml:space="preserve"> (</w:t>
      </w:r>
      <w:r w:rsidRPr="00AE7009">
        <w:rPr>
          <w:rFonts w:ascii="Times New Roman" w:hAnsi="Times New Roman" w:cs="Times New Roman"/>
          <w:sz w:val="28"/>
          <w:szCs w:val="28"/>
        </w:rPr>
        <w:t xml:space="preserve">UNODC). (2023). </w:t>
      </w:r>
      <w:r w:rsidRPr="00AE7009">
        <w:rPr>
          <w:rFonts w:ascii="Times New Roman" w:hAnsi="Times New Roman" w:cs="Times New Roman"/>
          <w:i/>
          <w:iCs/>
          <w:sz w:val="28"/>
          <w:szCs w:val="28"/>
        </w:rPr>
        <w:t>Global Report on Organized Crime</w:t>
      </w:r>
      <w:r w:rsidRPr="00AE7009">
        <w:rPr>
          <w:rFonts w:ascii="Times New Roman" w:hAnsi="Times New Roman" w:cs="Times New Roman"/>
          <w:sz w:val="28"/>
          <w:szCs w:val="28"/>
        </w:rPr>
        <w:t xml:space="preserve">. United Nations Office on Drugs and Crime. </w:t>
      </w:r>
    </w:p>
    <w:p w14:paraId="42ED4DFD" w14:textId="77777777" w:rsidR="00C220B0" w:rsidRDefault="00C220B0" w:rsidP="001B6682">
      <w:pPr>
        <w:rPr>
          <w:rFonts w:ascii="Times New Roman" w:hAnsi="Times New Roman" w:cs="Times New Roman"/>
          <w:sz w:val="28"/>
          <w:szCs w:val="28"/>
        </w:rPr>
      </w:pPr>
    </w:p>
    <w:p w14:paraId="34DC98C3" w14:textId="77777777" w:rsidR="00C220B0" w:rsidRDefault="00C220B0" w:rsidP="001B6682">
      <w:pPr>
        <w:rPr>
          <w:rFonts w:ascii="Times New Roman" w:hAnsi="Times New Roman" w:cs="Times New Roman"/>
          <w:sz w:val="28"/>
          <w:szCs w:val="28"/>
        </w:rPr>
      </w:pPr>
    </w:p>
    <w:p w14:paraId="7BE039E4" w14:textId="77777777" w:rsidR="00C220B0" w:rsidRDefault="00C220B0" w:rsidP="001B6682">
      <w:pPr>
        <w:rPr>
          <w:rFonts w:ascii="Times New Roman" w:hAnsi="Times New Roman" w:cs="Times New Roman"/>
          <w:sz w:val="28"/>
          <w:szCs w:val="28"/>
        </w:rPr>
      </w:pPr>
    </w:p>
    <w:p w14:paraId="0D8F1B50" w14:textId="77777777" w:rsidR="00C220B0" w:rsidRDefault="00C220B0" w:rsidP="001B6682">
      <w:pPr>
        <w:rPr>
          <w:rFonts w:ascii="Times New Roman" w:hAnsi="Times New Roman" w:cs="Times New Roman"/>
          <w:sz w:val="28"/>
          <w:szCs w:val="28"/>
        </w:rPr>
      </w:pPr>
    </w:p>
    <w:p w14:paraId="0CC716DB" w14:textId="77777777" w:rsidR="00C220B0" w:rsidRDefault="00C220B0" w:rsidP="001B6682">
      <w:pPr>
        <w:rPr>
          <w:rFonts w:ascii="Times New Roman" w:hAnsi="Times New Roman" w:cs="Times New Roman"/>
          <w:sz w:val="28"/>
          <w:szCs w:val="28"/>
        </w:rPr>
      </w:pPr>
    </w:p>
    <w:p w14:paraId="27CFF9DE" w14:textId="77777777" w:rsidR="00C220B0" w:rsidRDefault="00C220B0" w:rsidP="001B6682">
      <w:pPr>
        <w:rPr>
          <w:rFonts w:ascii="Times New Roman" w:hAnsi="Times New Roman" w:cs="Times New Roman"/>
          <w:sz w:val="28"/>
          <w:szCs w:val="28"/>
        </w:rPr>
      </w:pPr>
    </w:p>
    <w:p w14:paraId="66A7DD43" w14:textId="77777777" w:rsidR="00C220B0" w:rsidRDefault="00C220B0" w:rsidP="001B6682">
      <w:pPr>
        <w:rPr>
          <w:rFonts w:ascii="Times New Roman" w:hAnsi="Times New Roman" w:cs="Times New Roman"/>
          <w:sz w:val="28"/>
          <w:szCs w:val="28"/>
        </w:rPr>
      </w:pPr>
    </w:p>
    <w:p w14:paraId="46BE6684" w14:textId="77777777" w:rsidR="00C220B0" w:rsidRDefault="00C220B0" w:rsidP="001B6682">
      <w:pPr>
        <w:rPr>
          <w:rFonts w:ascii="Times New Roman" w:hAnsi="Times New Roman" w:cs="Times New Roman"/>
          <w:sz w:val="28"/>
          <w:szCs w:val="28"/>
        </w:rPr>
      </w:pPr>
    </w:p>
    <w:p w14:paraId="04F70D94" w14:textId="77777777" w:rsidR="00C220B0" w:rsidRDefault="00C220B0" w:rsidP="001B6682">
      <w:pPr>
        <w:rPr>
          <w:rFonts w:ascii="Times New Roman" w:hAnsi="Times New Roman" w:cs="Times New Roman"/>
          <w:sz w:val="28"/>
          <w:szCs w:val="28"/>
        </w:rPr>
      </w:pPr>
    </w:p>
    <w:p w14:paraId="1F922707" w14:textId="77777777" w:rsidR="00C220B0" w:rsidRDefault="00C220B0" w:rsidP="001B6682">
      <w:pPr>
        <w:rPr>
          <w:rFonts w:ascii="Times New Roman" w:hAnsi="Times New Roman" w:cs="Times New Roman"/>
          <w:sz w:val="28"/>
          <w:szCs w:val="28"/>
        </w:rPr>
      </w:pPr>
    </w:p>
    <w:p w14:paraId="469E87E1" w14:textId="77777777" w:rsidR="00C220B0" w:rsidRDefault="00C220B0" w:rsidP="001B6682">
      <w:pPr>
        <w:rPr>
          <w:rFonts w:ascii="Times New Roman" w:hAnsi="Times New Roman" w:cs="Times New Roman"/>
          <w:sz w:val="28"/>
          <w:szCs w:val="28"/>
        </w:rPr>
      </w:pPr>
    </w:p>
    <w:p w14:paraId="1B321A5E" w14:textId="77777777" w:rsidR="00C220B0" w:rsidRDefault="00C220B0" w:rsidP="001B6682">
      <w:pPr>
        <w:rPr>
          <w:rFonts w:ascii="Times New Roman" w:hAnsi="Times New Roman" w:cs="Times New Roman"/>
          <w:sz w:val="28"/>
          <w:szCs w:val="28"/>
        </w:rPr>
      </w:pPr>
    </w:p>
    <w:p w14:paraId="2FE44542" w14:textId="77777777" w:rsidR="00C220B0" w:rsidRDefault="00C220B0" w:rsidP="001B6682">
      <w:pPr>
        <w:rPr>
          <w:rFonts w:ascii="Times New Roman" w:hAnsi="Times New Roman" w:cs="Times New Roman"/>
          <w:sz w:val="28"/>
          <w:szCs w:val="28"/>
        </w:rPr>
      </w:pPr>
    </w:p>
    <w:p w14:paraId="6BDF19AB" w14:textId="77777777" w:rsidR="00C220B0" w:rsidRDefault="00C220B0" w:rsidP="001B6682">
      <w:pPr>
        <w:rPr>
          <w:rFonts w:ascii="Times New Roman" w:hAnsi="Times New Roman" w:cs="Times New Roman"/>
          <w:sz w:val="28"/>
          <w:szCs w:val="28"/>
        </w:rPr>
      </w:pPr>
    </w:p>
    <w:p w14:paraId="405EDB79" w14:textId="77777777" w:rsidR="00C220B0" w:rsidRDefault="00C220B0" w:rsidP="001B6682">
      <w:pPr>
        <w:rPr>
          <w:rFonts w:ascii="Times New Roman" w:hAnsi="Times New Roman" w:cs="Times New Roman"/>
          <w:sz w:val="28"/>
          <w:szCs w:val="28"/>
        </w:rPr>
      </w:pPr>
    </w:p>
    <w:p w14:paraId="036D8197" w14:textId="77777777" w:rsidR="00C220B0" w:rsidRDefault="00C220B0" w:rsidP="001B6682">
      <w:pPr>
        <w:rPr>
          <w:rFonts w:ascii="Times New Roman" w:hAnsi="Times New Roman" w:cs="Times New Roman"/>
          <w:sz w:val="28"/>
          <w:szCs w:val="28"/>
        </w:rPr>
      </w:pPr>
    </w:p>
    <w:p w14:paraId="527449D2" w14:textId="77777777" w:rsidR="00C220B0" w:rsidRDefault="00C220B0" w:rsidP="001B6682">
      <w:pPr>
        <w:rPr>
          <w:rFonts w:ascii="Times New Roman" w:hAnsi="Times New Roman" w:cs="Times New Roman"/>
          <w:sz w:val="28"/>
          <w:szCs w:val="28"/>
        </w:rPr>
      </w:pPr>
    </w:p>
    <w:p w14:paraId="4C4082BC" w14:textId="0E5AF4F6" w:rsidR="00696665" w:rsidRPr="00696665" w:rsidRDefault="00C220B0" w:rsidP="001B6682">
      <w:pPr>
        <w:rPr>
          <w:rFonts w:ascii="Times New Roman" w:hAnsi="Times New Roman" w:cs="Times New Roman"/>
          <w:sz w:val="28"/>
          <w:szCs w:val="28"/>
        </w:rPr>
      </w:pPr>
      <w:r>
        <w:rPr>
          <w:rFonts w:ascii="Times New Roman" w:hAnsi="Times New Roman" w:cs="Times New Roman"/>
          <w:sz w:val="28"/>
          <w:szCs w:val="28"/>
        </w:rPr>
        <w:t>How effective is early intervention an effective means of preventing young people from offending or re-offending?</w:t>
      </w:r>
    </w:p>
    <w:p w14:paraId="74559CEF" w14:textId="77777777" w:rsidR="00C220B0" w:rsidRDefault="00C220B0" w:rsidP="00696665">
      <w:pPr>
        <w:rPr>
          <w:rFonts w:ascii="Times New Roman" w:hAnsi="Times New Roman" w:cs="Times New Roman"/>
          <w:sz w:val="28"/>
          <w:szCs w:val="28"/>
        </w:rPr>
      </w:pPr>
    </w:p>
    <w:p w14:paraId="3613B9D0" w14:textId="6F64B231" w:rsidR="00696665" w:rsidRPr="00696665" w:rsidRDefault="00696665" w:rsidP="00696665">
      <w:pPr>
        <w:rPr>
          <w:rFonts w:ascii="Times New Roman" w:hAnsi="Times New Roman" w:cs="Times New Roman"/>
          <w:sz w:val="28"/>
          <w:szCs w:val="28"/>
        </w:rPr>
      </w:pPr>
      <w:r w:rsidRPr="00696665">
        <w:rPr>
          <w:rFonts w:ascii="Times New Roman" w:hAnsi="Times New Roman" w:cs="Times New Roman"/>
          <w:sz w:val="28"/>
          <w:szCs w:val="28"/>
        </w:rPr>
        <w:t>Early intervention has been widely acknowledged and accepted to play an important role in preventing young people from engaging in criminal activity. The aim of early intervention is to tackle the root causes that lead to criminal behaviour in young people with the goal of guiding vulnerable, young individuals away from getting involved in criminal behaviour and ultimately reducing crime rates and creating positive outcomes for society</w:t>
      </w:r>
      <w:r w:rsidR="00202081">
        <w:rPr>
          <w:rFonts w:ascii="Times New Roman" w:hAnsi="Times New Roman" w:cs="Times New Roman"/>
          <w:sz w:val="28"/>
          <w:szCs w:val="28"/>
        </w:rPr>
        <w:t>, (Moffitt and Caspi, 2001.)</w:t>
      </w:r>
      <w:r w:rsidRPr="00696665">
        <w:rPr>
          <w:rFonts w:ascii="Times New Roman" w:hAnsi="Times New Roman" w:cs="Times New Roman"/>
          <w:sz w:val="28"/>
          <w:szCs w:val="28"/>
        </w:rPr>
        <w:t xml:space="preserve"> This essay looks into how effective the intervention programs are by examining academic studies and real life examples to show how they impact on youth involvement in crime and repeat offending.</w:t>
      </w:r>
    </w:p>
    <w:p w14:paraId="2DCC3FAF" w14:textId="77777777" w:rsidR="00696665" w:rsidRPr="00696665" w:rsidRDefault="00696665" w:rsidP="00696665">
      <w:pPr>
        <w:rPr>
          <w:rFonts w:ascii="Times New Roman" w:hAnsi="Times New Roman" w:cs="Times New Roman"/>
          <w:sz w:val="28"/>
          <w:szCs w:val="28"/>
        </w:rPr>
      </w:pPr>
    </w:p>
    <w:p w14:paraId="0FB3F9F0" w14:textId="60D5FDF5" w:rsidR="00696665" w:rsidRPr="00696665" w:rsidRDefault="00696665" w:rsidP="00696665">
      <w:pPr>
        <w:rPr>
          <w:rFonts w:ascii="Times New Roman" w:hAnsi="Times New Roman" w:cs="Times New Roman"/>
          <w:sz w:val="28"/>
          <w:szCs w:val="28"/>
        </w:rPr>
      </w:pPr>
      <w:r w:rsidRPr="00696665">
        <w:rPr>
          <w:rFonts w:ascii="Times New Roman" w:hAnsi="Times New Roman" w:cs="Times New Roman"/>
          <w:sz w:val="28"/>
          <w:szCs w:val="28"/>
        </w:rPr>
        <w:t>Early intervention involves a variety of approaches aimed at recognising and addressing factors that put people at risk of committing crimes. These approaches may involve education, family therapy or counselling, mentoring and further community based projects. The idea behind these interventions is that by intervening at an early stage there is potential to change the course or behaviour for at risk young people and therefore steering them towards more constructive and positive life paths</w:t>
      </w:r>
      <w:r w:rsidR="00986CDD">
        <w:rPr>
          <w:rFonts w:ascii="Times New Roman" w:hAnsi="Times New Roman" w:cs="Times New Roman"/>
          <w:sz w:val="28"/>
          <w:szCs w:val="28"/>
        </w:rPr>
        <w:t>, (Lipsey and Cullen 2007</w:t>
      </w:r>
      <w:r w:rsidRPr="00696665">
        <w:rPr>
          <w:rFonts w:ascii="Times New Roman" w:hAnsi="Times New Roman" w:cs="Times New Roman"/>
          <w:sz w:val="28"/>
          <w:szCs w:val="28"/>
        </w:rPr>
        <w:t>.</w:t>
      </w:r>
      <w:r w:rsidR="00986CDD">
        <w:rPr>
          <w:rFonts w:ascii="Times New Roman" w:hAnsi="Times New Roman" w:cs="Times New Roman"/>
          <w:sz w:val="28"/>
          <w:szCs w:val="28"/>
        </w:rPr>
        <w:t>)</w:t>
      </w:r>
    </w:p>
    <w:p w14:paraId="06882C1B" w14:textId="77777777" w:rsidR="00696665" w:rsidRPr="00696665" w:rsidRDefault="00696665" w:rsidP="00696665">
      <w:pPr>
        <w:rPr>
          <w:rFonts w:ascii="Times New Roman" w:hAnsi="Times New Roman" w:cs="Times New Roman"/>
          <w:sz w:val="28"/>
          <w:szCs w:val="28"/>
        </w:rPr>
      </w:pPr>
    </w:p>
    <w:p w14:paraId="3110B8F6" w14:textId="77777777" w:rsidR="00696665" w:rsidRPr="00696665" w:rsidRDefault="00696665" w:rsidP="00696665">
      <w:pPr>
        <w:rPr>
          <w:rFonts w:ascii="Times New Roman" w:hAnsi="Times New Roman" w:cs="Times New Roman"/>
          <w:sz w:val="28"/>
          <w:szCs w:val="28"/>
        </w:rPr>
      </w:pPr>
      <w:r w:rsidRPr="00696665">
        <w:rPr>
          <w:rFonts w:ascii="Times New Roman" w:hAnsi="Times New Roman" w:cs="Times New Roman"/>
          <w:sz w:val="28"/>
          <w:szCs w:val="28"/>
        </w:rPr>
        <w:t xml:space="preserve">The theoretical basis of early intervention lies in the risk and protective factors framework. This theory highlights elements like low academic performance, family issues and association with delinquent peers, as factors that increase the chances of youths engaging in criminal behaviour (Farrington, 2003). </w:t>
      </w:r>
    </w:p>
    <w:p w14:paraId="69949533" w14:textId="11D0FA25" w:rsidR="00696665" w:rsidRPr="00696665" w:rsidRDefault="00696665" w:rsidP="00696665">
      <w:pPr>
        <w:rPr>
          <w:rFonts w:ascii="Times New Roman" w:hAnsi="Times New Roman" w:cs="Times New Roman"/>
          <w:sz w:val="28"/>
          <w:szCs w:val="28"/>
        </w:rPr>
      </w:pPr>
      <w:r w:rsidRPr="00696665">
        <w:rPr>
          <w:rFonts w:ascii="Times New Roman" w:hAnsi="Times New Roman" w:cs="Times New Roman"/>
          <w:sz w:val="28"/>
          <w:szCs w:val="28"/>
        </w:rPr>
        <w:t xml:space="preserve">Conversely, there are certain factors that offer protection for vulnerable </w:t>
      </w:r>
      <w:r w:rsidR="00A779B0" w:rsidRPr="00696665">
        <w:rPr>
          <w:rFonts w:ascii="Times New Roman" w:hAnsi="Times New Roman" w:cs="Times New Roman"/>
          <w:sz w:val="28"/>
          <w:szCs w:val="28"/>
        </w:rPr>
        <w:t>individuals</w:t>
      </w:r>
      <w:r w:rsidRPr="00696665">
        <w:rPr>
          <w:rFonts w:ascii="Times New Roman" w:hAnsi="Times New Roman" w:cs="Times New Roman"/>
          <w:sz w:val="28"/>
          <w:szCs w:val="28"/>
        </w:rPr>
        <w:t>, like constructive family connections, positive school experiences and support from the local community can help reduce these risks and increase resilience (Hawkins et al. 2000).</w:t>
      </w:r>
    </w:p>
    <w:p w14:paraId="042CAB95" w14:textId="77777777" w:rsidR="00696665" w:rsidRPr="00696665" w:rsidRDefault="00696665" w:rsidP="00696665">
      <w:pPr>
        <w:rPr>
          <w:rFonts w:ascii="Times New Roman" w:hAnsi="Times New Roman" w:cs="Times New Roman"/>
          <w:sz w:val="28"/>
          <w:szCs w:val="28"/>
        </w:rPr>
      </w:pPr>
    </w:p>
    <w:p w14:paraId="40BF35BE" w14:textId="77777777" w:rsidR="00696665" w:rsidRPr="00696665" w:rsidRDefault="00696665" w:rsidP="00696665">
      <w:pPr>
        <w:rPr>
          <w:rFonts w:ascii="Times New Roman" w:hAnsi="Times New Roman" w:cs="Times New Roman"/>
          <w:sz w:val="28"/>
          <w:szCs w:val="28"/>
        </w:rPr>
      </w:pPr>
      <w:r w:rsidRPr="00696665">
        <w:rPr>
          <w:rFonts w:ascii="Times New Roman" w:hAnsi="Times New Roman" w:cs="Times New Roman"/>
          <w:sz w:val="28"/>
          <w:szCs w:val="28"/>
        </w:rPr>
        <w:lastRenderedPageBreak/>
        <w:t>Several research studies have shown the early intervention programs to be effective in decreasing criminal behaviour and subsequent reoffending. For example, a study conducted by Farrington and Welsh (2007) revealed that early intervention programs aimed towards at risk youths significantly lowered instances of criminality. The researchers assessed and reviewed the intervention initiatives and found that those incorporating elements such as parental advice, cognitive behavioural therapy and educational support were particularly successful.</w:t>
      </w:r>
    </w:p>
    <w:p w14:paraId="027D7FDC" w14:textId="77777777" w:rsidR="00696665" w:rsidRPr="00696665" w:rsidRDefault="00696665" w:rsidP="00696665">
      <w:pPr>
        <w:rPr>
          <w:rFonts w:ascii="Times New Roman" w:hAnsi="Times New Roman" w:cs="Times New Roman"/>
          <w:sz w:val="28"/>
          <w:szCs w:val="28"/>
        </w:rPr>
      </w:pPr>
    </w:p>
    <w:p w14:paraId="239ED97D" w14:textId="77777777" w:rsidR="00696665" w:rsidRPr="00696665" w:rsidRDefault="00696665" w:rsidP="00696665">
      <w:pPr>
        <w:rPr>
          <w:rFonts w:ascii="Times New Roman" w:hAnsi="Times New Roman" w:cs="Times New Roman"/>
          <w:sz w:val="28"/>
          <w:szCs w:val="28"/>
        </w:rPr>
      </w:pPr>
      <w:r w:rsidRPr="00696665">
        <w:rPr>
          <w:rFonts w:ascii="Times New Roman" w:hAnsi="Times New Roman" w:cs="Times New Roman"/>
          <w:sz w:val="28"/>
          <w:szCs w:val="28"/>
        </w:rPr>
        <w:t>Additionally, a meta-analysis of several studies conducted by Piquero et al. (2009) showed that early intervention programs can lead to a substantial decrease in reoffending rates among young offenders. This analysis involved several types of interventions including programs aimed at helping the family, school based projects and local community services emphasising the wide reaching applicability and efficacy of early intervention initiatives.</w:t>
      </w:r>
    </w:p>
    <w:p w14:paraId="200A5D97" w14:textId="77777777" w:rsidR="00696665" w:rsidRPr="00696665" w:rsidRDefault="00696665" w:rsidP="00696665">
      <w:pPr>
        <w:rPr>
          <w:rFonts w:ascii="Times New Roman" w:hAnsi="Times New Roman" w:cs="Times New Roman"/>
          <w:sz w:val="28"/>
          <w:szCs w:val="28"/>
        </w:rPr>
      </w:pPr>
    </w:p>
    <w:p w14:paraId="48B537C8" w14:textId="77777777" w:rsidR="00696665" w:rsidRPr="00696665" w:rsidRDefault="00696665" w:rsidP="00696665">
      <w:pPr>
        <w:rPr>
          <w:rFonts w:ascii="Times New Roman" w:hAnsi="Times New Roman" w:cs="Times New Roman"/>
          <w:sz w:val="28"/>
          <w:szCs w:val="28"/>
        </w:rPr>
      </w:pPr>
      <w:r w:rsidRPr="00696665">
        <w:rPr>
          <w:rFonts w:ascii="Times New Roman" w:hAnsi="Times New Roman" w:cs="Times New Roman"/>
          <w:sz w:val="28"/>
          <w:szCs w:val="28"/>
        </w:rPr>
        <w:t>Cas Study 1: The Perry Preschool Project</w:t>
      </w:r>
    </w:p>
    <w:p w14:paraId="6B29C9E5" w14:textId="77777777" w:rsidR="00696665" w:rsidRPr="00696665" w:rsidRDefault="00696665" w:rsidP="00696665">
      <w:pPr>
        <w:rPr>
          <w:rFonts w:ascii="Times New Roman" w:hAnsi="Times New Roman" w:cs="Times New Roman"/>
          <w:sz w:val="28"/>
          <w:szCs w:val="28"/>
        </w:rPr>
      </w:pPr>
      <w:r w:rsidRPr="00696665">
        <w:rPr>
          <w:rFonts w:ascii="Times New Roman" w:hAnsi="Times New Roman" w:cs="Times New Roman"/>
          <w:sz w:val="28"/>
          <w:szCs w:val="28"/>
        </w:rPr>
        <w:t xml:space="preserve">The Perry Preschool Project is a well-known early intervention initiative that has been extensively researched for its lasting impact on youth outcomes. The project was conducted in the 1960s. The project involved delivering quality pre-school education to disadvantaged African American children. The project involved a highly structured school curriculum, frequent home visits and active parental engagement (Schweinhart et al., 2005). </w:t>
      </w:r>
    </w:p>
    <w:p w14:paraId="3D335904" w14:textId="77777777" w:rsidR="00696665" w:rsidRPr="00696665" w:rsidRDefault="00696665" w:rsidP="00696665">
      <w:pPr>
        <w:rPr>
          <w:rFonts w:ascii="Times New Roman" w:hAnsi="Times New Roman" w:cs="Times New Roman"/>
          <w:sz w:val="28"/>
          <w:szCs w:val="28"/>
        </w:rPr>
      </w:pPr>
    </w:p>
    <w:p w14:paraId="75EACDFC" w14:textId="77777777" w:rsidR="00696665" w:rsidRPr="00696665" w:rsidRDefault="00696665" w:rsidP="00696665">
      <w:pPr>
        <w:rPr>
          <w:rFonts w:ascii="Times New Roman" w:hAnsi="Times New Roman" w:cs="Times New Roman"/>
          <w:sz w:val="28"/>
          <w:szCs w:val="28"/>
        </w:rPr>
      </w:pPr>
      <w:r w:rsidRPr="00696665">
        <w:rPr>
          <w:rFonts w:ascii="Times New Roman" w:hAnsi="Times New Roman" w:cs="Times New Roman"/>
          <w:sz w:val="28"/>
          <w:szCs w:val="28"/>
        </w:rPr>
        <w:t>Further studies that tracked the Perry Preschool Project over time have demonstrated that individuals who took part in the project had far fewer instances of being involved in criminal activity compared to a control group. By the age of 40 those involved in the study were less likely to have been arrested for any violent crimes, criminal damage or drug related offenses (Schweinhart et al., 2005). In addition to this, the participants showed higher levels of educational attainment, evidence of higher earnings and greater overall life fulfilment. This highlights the lasting, longer term benefits of early intervention initiatives.</w:t>
      </w:r>
    </w:p>
    <w:p w14:paraId="4BED2D17" w14:textId="77777777" w:rsidR="00696665" w:rsidRPr="00696665" w:rsidRDefault="00696665" w:rsidP="00696665">
      <w:pPr>
        <w:rPr>
          <w:rFonts w:ascii="Times New Roman" w:hAnsi="Times New Roman" w:cs="Times New Roman"/>
          <w:sz w:val="28"/>
          <w:szCs w:val="28"/>
        </w:rPr>
      </w:pPr>
    </w:p>
    <w:p w14:paraId="64E79E99" w14:textId="77777777" w:rsidR="00696665" w:rsidRPr="00696665" w:rsidRDefault="00696665" w:rsidP="00696665">
      <w:pPr>
        <w:rPr>
          <w:rFonts w:ascii="Times New Roman" w:hAnsi="Times New Roman" w:cs="Times New Roman"/>
          <w:sz w:val="28"/>
          <w:szCs w:val="28"/>
        </w:rPr>
      </w:pPr>
      <w:r w:rsidRPr="00696665">
        <w:rPr>
          <w:rFonts w:ascii="Times New Roman" w:hAnsi="Times New Roman" w:cs="Times New Roman"/>
          <w:sz w:val="28"/>
          <w:szCs w:val="28"/>
        </w:rPr>
        <w:t>Case Study 2: The Cambridge Somerville Youth Study</w:t>
      </w:r>
    </w:p>
    <w:p w14:paraId="24BC4C38" w14:textId="77777777" w:rsidR="00696665" w:rsidRPr="00696665" w:rsidRDefault="00696665" w:rsidP="00696665">
      <w:pPr>
        <w:rPr>
          <w:rFonts w:ascii="Times New Roman" w:hAnsi="Times New Roman" w:cs="Times New Roman"/>
          <w:sz w:val="28"/>
          <w:szCs w:val="28"/>
        </w:rPr>
      </w:pPr>
      <w:r w:rsidRPr="00696665">
        <w:rPr>
          <w:rFonts w:ascii="Times New Roman" w:hAnsi="Times New Roman" w:cs="Times New Roman"/>
          <w:sz w:val="28"/>
          <w:szCs w:val="28"/>
        </w:rPr>
        <w:lastRenderedPageBreak/>
        <w:t>An interesting case study is the Cambridge Somerville Youth Study which started in the 1930s. It is reported to be one of the earliest interventions aimed at vulnerable young people. This study focused on providing mentoring, recreational opportunities and family support to boys identified as being at risk of becoming involved in criminal behaviour (McCord, 1978).</w:t>
      </w:r>
    </w:p>
    <w:p w14:paraId="66C4C4C0" w14:textId="77777777" w:rsidR="00696665" w:rsidRPr="00696665" w:rsidRDefault="00696665" w:rsidP="00696665">
      <w:pPr>
        <w:rPr>
          <w:rFonts w:ascii="Times New Roman" w:hAnsi="Times New Roman" w:cs="Times New Roman"/>
          <w:sz w:val="28"/>
          <w:szCs w:val="28"/>
        </w:rPr>
      </w:pPr>
    </w:p>
    <w:p w14:paraId="25BCF3BC" w14:textId="77777777" w:rsidR="00696665" w:rsidRPr="00696665" w:rsidRDefault="00696665" w:rsidP="00696665">
      <w:pPr>
        <w:rPr>
          <w:rFonts w:ascii="Times New Roman" w:hAnsi="Times New Roman" w:cs="Times New Roman"/>
          <w:sz w:val="28"/>
          <w:szCs w:val="28"/>
        </w:rPr>
      </w:pPr>
      <w:r w:rsidRPr="00696665">
        <w:rPr>
          <w:rFonts w:ascii="Times New Roman" w:hAnsi="Times New Roman" w:cs="Times New Roman"/>
          <w:sz w:val="28"/>
          <w:szCs w:val="28"/>
        </w:rPr>
        <w:t>While the initial findings from the Cambridge Somerville Youth Study suggested some positive impacts; follow up assessments revealed more mixed results. A reassessment of the study by McCord (2003) revealed that some participants exhibited higher rates of criminal behaviour than the control group, especially those who received inconsistent or low quality mentoring.</w:t>
      </w:r>
    </w:p>
    <w:p w14:paraId="5CDF420C" w14:textId="77777777" w:rsidR="00696665" w:rsidRPr="00696665" w:rsidRDefault="00696665" w:rsidP="00696665">
      <w:pPr>
        <w:rPr>
          <w:rFonts w:ascii="Times New Roman" w:hAnsi="Times New Roman" w:cs="Times New Roman"/>
          <w:sz w:val="28"/>
          <w:szCs w:val="28"/>
        </w:rPr>
      </w:pPr>
      <w:r w:rsidRPr="00696665">
        <w:rPr>
          <w:rFonts w:ascii="Times New Roman" w:hAnsi="Times New Roman" w:cs="Times New Roman"/>
          <w:sz w:val="28"/>
          <w:szCs w:val="28"/>
        </w:rPr>
        <w:t>This case study emphasises how the quality and consistency of the initiatives and programs play an important role in determining the success of the early intervention efforts.</w:t>
      </w:r>
    </w:p>
    <w:p w14:paraId="7BF59C86" w14:textId="77777777" w:rsidR="00696665" w:rsidRPr="00696665" w:rsidRDefault="00696665" w:rsidP="00696665">
      <w:pPr>
        <w:rPr>
          <w:rFonts w:ascii="Times New Roman" w:hAnsi="Times New Roman" w:cs="Times New Roman"/>
          <w:sz w:val="28"/>
          <w:szCs w:val="28"/>
        </w:rPr>
      </w:pPr>
    </w:p>
    <w:p w14:paraId="1882BC8A" w14:textId="77777777" w:rsidR="00696665" w:rsidRPr="00696665" w:rsidRDefault="00696665" w:rsidP="00696665">
      <w:pPr>
        <w:rPr>
          <w:rFonts w:ascii="Times New Roman" w:hAnsi="Times New Roman" w:cs="Times New Roman"/>
          <w:sz w:val="28"/>
          <w:szCs w:val="28"/>
        </w:rPr>
      </w:pPr>
      <w:r w:rsidRPr="00696665">
        <w:rPr>
          <w:rFonts w:ascii="Times New Roman" w:hAnsi="Times New Roman" w:cs="Times New Roman"/>
          <w:sz w:val="28"/>
          <w:szCs w:val="28"/>
        </w:rPr>
        <w:t>While there is encouraging evidence supporting the benefits of early intervention initiatives, there are various challenges that need to be addressed to maximise the impact. One key challenge is accurately identifying at risk and vulnerable young people to ensure that those who do require support are not overlooked, while also avoiding including individuals who may not necessarily benefit from the early intervention (</w:t>
      </w:r>
      <w:proofErr w:type="spellStart"/>
      <w:r w:rsidRPr="00696665">
        <w:rPr>
          <w:rFonts w:ascii="Times New Roman" w:hAnsi="Times New Roman" w:cs="Times New Roman"/>
          <w:sz w:val="28"/>
          <w:szCs w:val="28"/>
        </w:rPr>
        <w:t>Lösel</w:t>
      </w:r>
      <w:proofErr w:type="spellEnd"/>
      <w:r w:rsidRPr="00696665">
        <w:rPr>
          <w:rFonts w:ascii="Times New Roman" w:hAnsi="Times New Roman" w:cs="Times New Roman"/>
          <w:sz w:val="28"/>
          <w:szCs w:val="28"/>
        </w:rPr>
        <w:t xml:space="preserve"> and Farrington 2012).</w:t>
      </w:r>
    </w:p>
    <w:p w14:paraId="6A87B759" w14:textId="77777777" w:rsidR="00696665" w:rsidRPr="00696665" w:rsidRDefault="00696665" w:rsidP="00696665">
      <w:pPr>
        <w:rPr>
          <w:rFonts w:ascii="Times New Roman" w:hAnsi="Times New Roman" w:cs="Times New Roman"/>
          <w:sz w:val="28"/>
          <w:szCs w:val="28"/>
        </w:rPr>
      </w:pPr>
    </w:p>
    <w:p w14:paraId="7391BA87" w14:textId="77777777" w:rsidR="00696665" w:rsidRPr="00696665" w:rsidRDefault="00696665" w:rsidP="00696665">
      <w:pPr>
        <w:rPr>
          <w:rFonts w:ascii="Times New Roman" w:hAnsi="Times New Roman" w:cs="Times New Roman"/>
          <w:sz w:val="28"/>
          <w:szCs w:val="28"/>
        </w:rPr>
      </w:pPr>
      <w:r w:rsidRPr="00696665">
        <w:rPr>
          <w:rFonts w:ascii="Times New Roman" w:hAnsi="Times New Roman" w:cs="Times New Roman"/>
          <w:sz w:val="28"/>
          <w:szCs w:val="28"/>
        </w:rPr>
        <w:t>Furthermore, the successful implementation and sustainability of early intervention programs demand considerable resources such as funding, trained staff and community backing. It is essential for these programs to be culturally sensitive and tailored to meet the individual needs of the target population for them to be effective (Catalano et al., 2012).</w:t>
      </w:r>
    </w:p>
    <w:p w14:paraId="38ADCE25" w14:textId="77777777" w:rsidR="00696665" w:rsidRPr="00696665" w:rsidRDefault="00696665" w:rsidP="00696665">
      <w:pPr>
        <w:rPr>
          <w:rFonts w:ascii="Times New Roman" w:hAnsi="Times New Roman" w:cs="Times New Roman"/>
          <w:sz w:val="28"/>
          <w:szCs w:val="28"/>
        </w:rPr>
      </w:pPr>
    </w:p>
    <w:p w14:paraId="7ECA3A14" w14:textId="77777777" w:rsidR="00696665" w:rsidRPr="00696665" w:rsidRDefault="00696665" w:rsidP="00696665">
      <w:pPr>
        <w:rPr>
          <w:rFonts w:ascii="Times New Roman" w:hAnsi="Times New Roman" w:cs="Times New Roman"/>
          <w:sz w:val="28"/>
          <w:szCs w:val="28"/>
        </w:rPr>
      </w:pPr>
      <w:r w:rsidRPr="00696665">
        <w:rPr>
          <w:rFonts w:ascii="Times New Roman" w:hAnsi="Times New Roman" w:cs="Times New Roman"/>
          <w:sz w:val="28"/>
          <w:szCs w:val="28"/>
        </w:rPr>
        <w:t>The evidence that supports the intervention initiatives carries certain policy implications. Governments, both local and national, and policymakers should prioritise funding for these early intervention programs given their potential in reducing long term costs related to criminal involvement, social services and losses in productivity. By integrating the early intervention initiatives into existing education, health and social services it is possible to also broaden their impact and effectiveness.</w:t>
      </w:r>
    </w:p>
    <w:p w14:paraId="2F230CE6" w14:textId="77777777" w:rsidR="00696665" w:rsidRPr="00696665" w:rsidRDefault="00696665" w:rsidP="00696665">
      <w:pPr>
        <w:rPr>
          <w:rFonts w:ascii="Times New Roman" w:hAnsi="Times New Roman" w:cs="Times New Roman"/>
          <w:sz w:val="28"/>
          <w:szCs w:val="28"/>
        </w:rPr>
      </w:pPr>
    </w:p>
    <w:p w14:paraId="6EB2A24D" w14:textId="77777777" w:rsidR="00696665" w:rsidRPr="00696665" w:rsidRDefault="00696665" w:rsidP="00696665">
      <w:pPr>
        <w:rPr>
          <w:rFonts w:ascii="Times New Roman" w:hAnsi="Times New Roman" w:cs="Times New Roman"/>
          <w:sz w:val="28"/>
          <w:szCs w:val="28"/>
        </w:rPr>
      </w:pPr>
      <w:r w:rsidRPr="00696665">
        <w:rPr>
          <w:rFonts w:ascii="Times New Roman" w:hAnsi="Times New Roman" w:cs="Times New Roman"/>
          <w:sz w:val="28"/>
          <w:szCs w:val="28"/>
        </w:rPr>
        <w:t>Early intervention can be seen to help as a strategy in preventing young people from engaging in criminal behaviour or reoffending.</w:t>
      </w:r>
    </w:p>
    <w:p w14:paraId="56096081" w14:textId="77777777" w:rsidR="00696665" w:rsidRPr="00696665" w:rsidRDefault="00696665" w:rsidP="00696665">
      <w:pPr>
        <w:rPr>
          <w:rFonts w:ascii="Times New Roman" w:hAnsi="Times New Roman" w:cs="Times New Roman"/>
          <w:sz w:val="28"/>
          <w:szCs w:val="28"/>
        </w:rPr>
      </w:pPr>
      <w:r w:rsidRPr="00696665">
        <w:rPr>
          <w:rFonts w:ascii="Times New Roman" w:hAnsi="Times New Roman" w:cs="Times New Roman"/>
          <w:sz w:val="28"/>
          <w:szCs w:val="28"/>
        </w:rPr>
        <w:t>Academic research and real life examples like the Perry Preschool Project and the Cambridge Somerville Youth Study offer support to the lasting advantages of early intervention. Nevertheless, the actual effectiveness of these initiatives relies on identifying at risk young people accurately, maintaining high standards and ensuring there are always sufficient resources in order to be consistent. By tackling these challenges, policymakers can unlock the power of early intervention to build safer and more resilient communities.</w:t>
      </w:r>
    </w:p>
    <w:p w14:paraId="27E51DAD" w14:textId="77777777" w:rsidR="00C220B0" w:rsidRDefault="00C220B0" w:rsidP="00696665">
      <w:pPr>
        <w:rPr>
          <w:rFonts w:ascii="Times New Roman" w:hAnsi="Times New Roman" w:cs="Times New Roman"/>
          <w:sz w:val="28"/>
          <w:szCs w:val="28"/>
        </w:rPr>
      </w:pPr>
    </w:p>
    <w:p w14:paraId="40C80A82" w14:textId="3C0176E5" w:rsidR="00696665" w:rsidRPr="00696665" w:rsidRDefault="00C220B0" w:rsidP="00696665">
      <w:pPr>
        <w:rPr>
          <w:rFonts w:ascii="Times New Roman" w:hAnsi="Times New Roman" w:cs="Times New Roman"/>
          <w:sz w:val="28"/>
          <w:szCs w:val="28"/>
        </w:rPr>
      </w:pPr>
      <w:r>
        <w:rPr>
          <w:rFonts w:ascii="Times New Roman" w:hAnsi="Times New Roman" w:cs="Times New Roman"/>
          <w:sz w:val="28"/>
          <w:szCs w:val="28"/>
        </w:rPr>
        <w:t xml:space="preserve">Word count: </w:t>
      </w:r>
      <w:r w:rsidR="00696665" w:rsidRPr="00696665">
        <w:rPr>
          <w:rFonts w:ascii="Times New Roman" w:hAnsi="Times New Roman" w:cs="Times New Roman"/>
          <w:sz w:val="28"/>
          <w:szCs w:val="28"/>
        </w:rPr>
        <w:t>97</w:t>
      </w:r>
      <w:r w:rsidR="00DB0407">
        <w:rPr>
          <w:rFonts w:ascii="Times New Roman" w:hAnsi="Times New Roman" w:cs="Times New Roman"/>
          <w:sz w:val="28"/>
          <w:szCs w:val="28"/>
        </w:rPr>
        <w:t>9</w:t>
      </w:r>
    </w:p>
    <w:p w14:paraId="42A7D253" w14:textId="77777777" w:rsidR="00696665" w:rsidRPr="00696665" w:rsidRDefault="00696665" w:rsidP="00696665">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696665">
        <w:rPr>
          <w:rFonts w:ascii="Times New Roman" w:eastAsia="Times New Roman" w:hAnsi="Times New Roman" w:cs="Times New Roman"/>
          <w:kern w:val="0"/>
          <w:sz w:val="28"/>
          <w:szCs w:val="28"/>
          <w:lang w:eastAsia="en-GB"/>
          <w14:ligatures w14:val="none"/>
        </w:rPr>
        <w:t xml:space="preserve">Catalano, R. F., Fagan, A. A., Gavin, L. E., Greenberg, M. T., Irwin Jr, C. E., Ross, D. A., &amp; Shek, D. T. (2012). Worldwide application of prevention science in adolescent health. </w:t>
      </w:r>
      <w:r w:rsidRPr="00696665">
        <w:rPr>
          <w:rFonts w:ascii="Times New Roman" w:eastAsia="Times New Roman" w:hAnsi="Times New Roman" w:cs="Times New Roman"/>
          <w:i/>
          <w:iCs/>
          <w:kern w:val="0"/>
          <w:sz w:val="28"/>
          <w:szCs w:val="28"/>
          <w:lang w:eastAsia="en-GB"/>
          <w14:ligatures w14:val="none"/>
        </w:rPr>
        <w:t>The Lancet</w:t>
      </w:r>
      <w:r w:rsidRPr="00696665">
        <w:rPr>
          <w:rFonts w:ascii="Times New Roman" w:eastAsia="Times New Roman" w:hAnsi="Times New Roman" w:cs="Times New Roman"/>
          <w:kern w:val="0"/>
          <w:sz w:val="28"/>
          <w:szCs w:val="28"/>
          <w:lang w:eastAsia="en-GB"/>
          <w14:ligatures w14:val="none"/>
        </w:rPr>
        <w:t>, 379(9826), 1653-1664.</w:t>
      </w:r>
    </w:p>
    <w:p w14:paraId="3B3C99C3" w14:textId="77777777" w:rsidR="00696665" w:rsidRPr="00696665" w:rsidRDefault="00696665" w:rsidP="00696665">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696665">
        <w:rPr>
          <w:rFonts w:ascii="Times New Roman" w:eastAsia="Times New Roman" w:hAnsi="Times New Roman" w:cs="Times New Roman"/>
          <w:kern w:val="0"/>
          <w:sz w:val="28"/>
          <w:szCs w:val="28"/>
          <w:lang w:eastAsia="en-GB"/>
          <w14:ligatures w14:val="none"/>
        </w:rPr>
        <w:t xml:space="preserve">Farrington, D. P. (2003). Developmental and life-course criminology: Key theoretical and empirical issues—The 2002 Sutherland Award Address. </w:t>
      </w:r>
      <w:r w:rsidRPr="00696665">
        <w:rPr>
          <w:rFonts w:ascii="Times New Roman" w:eastAsia="Times New Roman" w:hAnsi="Times New Roman" w:cs="Times New Roman"/>
          <w:i/>
          <w:iCs/>
          <w:kern w:val="0"/>
          <w:sz w:val="28"/>
          <w:szCs w:val="28"/>
          <w:lang w:eastAsia="en-GB"/>
          <w14:ligatures w14:val="none"/>
        </w:rPr>
        <w:t>Criminology</w:t>
      </w:r>
      <w:r w:rsidRPr="00696665">
        <w:rPr>
          <w:rFonts w:ascii="Times New Roman" w:eastAsia="Times New Roman" w:hAnsi="Times New Roman" w:cs="Times New Roman"/>
          <w:kern w:val="0"/>
          <w:sz w:val="28"/>
          <w:szCs w:val="28"/>
          <w:lang w:eastAsia="en-GB"/>
          <w14:ligatures w14:val="none"/>
        </w:rPr>
        <w:t>, 41(2), 221-225.</w:t>
      </w:r>
    </w:p>
    <w:p w14:paraId="1EE39EFD" w14:textId="77777777" w:rsidR="00696665" w:rsidRPr="00696665" w:rsidRDefault="00696665" w:rsidP="00696665">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696665">
        <w:rPr>
          <w:rFonts w:ascii="Times New Roman" w:eastAsia="Times New Roman" w:hAnsi="Times New Roman" w:cs="Times New Roman"/>
          <w:kern w:val="0"/>
          <w:sz w:val="28"/>
          <w:szCs w:val="28"/>
          <w:lang w:eastAsia="en-GB"/>
          <w14:ligatures w14:val="none"/>
        </w:rPr>
        <w:t xml:space="preserve">Farrington, D. P., &amp; Welsh, B. C. (2007). Saving children from a life of crime: Early risk factors and effective interventions. </w:t>
      </w:r>
      <w:r w:rsidRPr="00696665">
        <w:rPr>
          <w:rFonts w:ascii="Times New Roman" w:eastAsia="Times New Roman" w:hAnsi="Times New Roman" w:cs="Times New Roman"/>
          <w:i/>
          <w:iCs/>
          <w:kern w:val="0"/>
          <w:sz w:val="28"/>
          <w:szCs w:val="28"/>
          <w:lang w:eastAsia="en-GB"/>
          <w14:ligatures w14:val="none"/>
        </w:rPr>
        <w:t>Oxford University Press</w:t>
      </w:r>
      <w:r w:rsidRPr="00696665">
        <w:rPr>
          <w:rFonts w:ascii="Times New Roman" w:eastAsia="Times New Roman" w:hAnsi="Times New Roman" w:cs="Times New Roman"/>
          <w:kern w:val="0"/>
          <w:sz w:val="28"/>
          <w:szCs w:val="28"/>
          <w:lang w:eastAsia="en-GB"/>
          <w14:ligatures w14:val="none"/>
        </w:rPr>
        <w:t>.</w:t>
      </w:r>
    </w:p>
    <w:p w14:paraId="1D571EE3" w14:textId="77777777" w:rsidR="00696665" w:rsidRDefault="00696665" w:rsidP="00696665">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696665">
        <w:rPr>
          <w:rFonts w:ascii="Times New Roman" w:eastAsia="Times New Roman" w:hAnsi="Times New Roman" w:cs="Times New Roman"/>
          <w:kern w:val="0"/>
          <w:sz w:val="28"/>
          <w:szCs w:val="28"/>
          <w:lang w:eastAsia="en-GB"/>
          <w14:ligatures w14:val="none"/>
        </w:rPr>
        <w:t xml:space="preserve">Hawkins, J. D., </w:t>
      </w:r>
      <w:proofErr w:type="spellStart"/>
      <w:r w:rsidRPr="00696665">
        <w:rPr>
          <w:rFonts w:ascii="Times New Roman" w:eastAsia="Times New Roman" w:hAnsi="Times New Roman" w:cs="Times New Roman"/>
          <w:kern w:val="0"/>
          <w:sz w:val="28"/>
          <w:szCs w:val="28"/>
          <w:lang w:eastAsia="en-GB"/>
          <w14:ligatures w14:val="none"/>
        </w:rPr>
        <w:t>Herrenkohl</w:t>
      </w:r>
      <w:proofErr w:type="spellEnd"/>
      <w:r w:rsidRPr="00696665">
        <w:rPr>
          <w:rFonts w:ascii="Times New Roman" w:eastAsia="Times New Roman" w:hAnsi="Times New Roman" w:cs="Times New Roman"/>
          <w:kern w:val="0"/>
          <w:sz w:val="28"/>
          <w:szCs w:val="28"/>
          <w:lang w:eastAsia="en-GB"/>
          <w14:ligatures w14:val="none"/>
        </w:rPr>
        <w:t xml:space="preserve">, T. I., Farrington, D. P., Brewer, D., Catalano, R. F., </w:t>
      </w:r>
      <w:proofErr w:type="spellStart"/>
      <w:r w:rsidRPr="00696665">
        <w:rPr>
          <w:rFonts w:ascii="Times New Roman" w:eastAsia="Times New Roman" w:hAnsi="Times New Roman" w:cs="Times New Roman"/>
          <w:kern w:val="0"/>
          <w:sz w:val="28"/>
          <w:szCs w:val="28"/>
          <w:lang w:eastAsia="en-GB"/>
          <w14:ligatures w14:val="none"/>
        </w:rPr>
        <w:t>Harachi</w:t>
      </w:r>
      <w:proofErr w:type="spellEnd"/>
      <w:r w:rsidRPr="00696665">
        <w:rPr>
          <w:rFonts w:ascii="Times New Roman" w:eastAsia="Times New Roman" w:hAnsi="Times New Roman" w:cs="Times New Roman"/>
          <w:kern w:val="0"/>
          <w:sz w:val="28"/>
          <w:szCs w:val="28"/>
          <w:lang w:eastAsia="en-GB"/>
          <w14:ligatures w14:val="none"/>
        </w:rPr>
        <w:t xml:space="preserve">, T. W., &amp; Cothern, L. (2000). Predictors of youth violence. </w:t>
      </w:r>
      <w:r w:rsidRPr="00696665">
        <w:rPr>
          <w:rFonts w:ascii="Times New Roman" w:eastAsia="Times New Roman" w:hAnsi="Times New Roman" w:cs="Times New Roman"/>
          <w:i/>
          <w:iCs/>
          <w:kern w:val="0"/>
          <w:sz w:val="28"/>
          <w:szCs w:val="28"/>
          <w:lang w:eastAsia="en-GB"/>
          <w14:ligatures w14:val="none"/>
        </w:rPr>
        <w:t>Juvenile Justice Bulletin</w:t>
      </w:r>
      <w:r w:rsidRPr="00696665">
        <w:rPr>
          <w:rFonts w:ascii="Times New Roman" w:eastAsia="Times New Roman" w:hAnsi="Times New Roman" w:cs="Times New Roman"/>
          <w:kern w:val="0"/>
          <w:sz w:val="28"/>
          <w:szCs w:val="28"/>
          <w:lang w:eastAsia="en-GB"/>
          <w14:ligatures w14:val="none"/>
        </w:rPr>
        <w:t>, 1-11.</w:t>
      </w:r>
    </w:p>
    <w:p w14:paraId="225D56F9" w14:textId="0AF10375" w:rsidR="00986CDD" w:rsidRPr="00696665" w:rsidRDefault="00986CDD" w:rsidP="00696665">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86CDD">
        <w:rPr>
          <w:rFonts w:ascii="Times New Roman" w:eastAsia="Times New Roman" w:hAnsi="Times New Roman" w:cs="Times New Roman"/>
          <w:kern w:val="0"/>
          <w:sz w:val="28"/>
          <w:szCs w:val="28"/>
          <w:lang w:eastAsia="en-GB"/>
          <w14:ligatures w14:val="none"/>
        </w:rPr>
        <w:t xml:space="preserve">Lipsey, M. W., &amp; Cullen, F. T. (2007). </w:t>
      </w:r>
      <w:r w:rsidRPr="00986CDD">
        <w:rPr>
          <w:rFonts w:ascii="Times New Roman" w:eastAsia="Times New Roman" w:hAnsi="Times New Roman" w:cs="Times New Roman"/>
          <w:i/>
          <w:iCs/>
          <w:kern w:val="0"/>
          <w:sz w:val="28"/>
          <w:szCs w:val="28"/>
          <w:lang w:eastAsia="en-GB"/>
          <w14:ligatures w14:val="none"/>
        </w:rPr>
        <w:t>The effectiveness of interventions for reducing juvenile delinquency: A meta-analysis</w:t>
      </w:r>
      <w:r w:rsidRPr="00986CDD">
        <w:rPr>
          <w:rFonts w:ascii="Times New Roman" w:eastAsia="Times New Roman" w:hAnsi="Times New Roman" w:cs="Times New Roman"/>
          <w:kern w:val="0"/>
          <w:sz w:val="28"/>
          <w:szCs w:val="28"/>
          <w:lang w:eastAsia="en-GB"/>
          <w14:ligatures w14:val="none"/>
        </w:rPr>
        <w:t xml:space="preserve">. </w:t>
      </w:r>
      <w:r w:rsidRPr="00986CDD">
        <w:rPr>
          <w:rFonts w:ascii="Times New Roman" w:eastAsia="Times New Roman" w:hAnsi="Times New Roman" w:cs="Times New Roman"/>
          <w:i/>
          <w:iCs/>
          <w:kern w:val="0"/>
          <w:sz w:val="28"/>
          <w:szCs w:val="28"/>
          <w:lang w:eastAsia="en-GB"/>
          <w14:ligatures w14:val="none"/>
        </w:rPr>
        <w:t>Criminal Justice Review</w:t>
      </w:r>
      <w:r w:rsidRPr="00986CDD">
        <w:rPr>
          <w:rFonts w:ascii="Times New Roman" w:eastAsia="Times New Roman" w:hAnsi="Times New Roman" w:cs="Times New Roman"/>
          <w:kern w:val="0"/>
          <w:sz w:val="28"/>
          <w:szCs w:val="28"/>
          <w:lang w:eastAsia="en-GB"/>
          <w14:ligatures w14:val="none"/>
        </w:rPr>
        <w:t>, 32(4), 303-324.</w:t>
      </w:r>
    </w:p>
    <w:p w14:paraId="3248AF2D" w14:textId="77777777" w:rsidR="00696665" w:rsidRPr="00696665" w:rsidRDefault="00696665" w:rsidP="00696665">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proofErr w:type="spellStart"/>
      <w:r w:rsidRPr="00696665">
        <w:rPr>
          <w:rFonts w:ascii="Times New Roman" w:eastAsia="Times New Roman" w:hAnsi="Times New Roman" w:cs="Times New Roman"/>
          <w:kern w:val="0"/>
          <w:sz w:val="28"/>
          <w:szCs w:val="28"/>
          <w:lang w:eastAsia="en-GB"/>
          <w14:ligatures w14:val="none"/>
        </w:rPr>
        <w:t>Lösel</w:t>
      </w:r>
      <w:proofErr w:type="spellEnd"/>
      <w:r w:rsidRPr="00696665">
        <w:rPr>
          <w:rFonts w:ascii="Times New Roman" w:eastAsia="Times New Roman" w:hAnsi="Times New Roman" w:cs="Times New Roman"/>
          <w:kern w:val="0"/>
          <w:sz w:val="28"/>
          <w:szCs w:val="28"/>
          <w:lang w:eastAsia="en-GB"/>
          <w14:ligatures w14:val="none"/>
        </w:rPr>
        <w:t xml:space="preserve">, F., &amp; Farrington, D. P. (2012). Direct protective and buffering protective factors in the development of youth violence. </w:t>
      </w:r>
      <w:r w:rsidRPr="00696665">
        <w:rPr>
          <w:rFonts w:ascii="Times New Roman" w:eastAsia="Times New Roman" w:hAnsi="Times New Roman" w:cs="Times New Roman"/>
          <w:i/>
          <w:iCs/>
          <w:kern w:val="0"/>
          <w:sz w:val="28"/>
          <w:szCs w:val="28"/>
          <w:lang w:eastAsia="en-GB"/>
          <w14:ligatures w14:val="none"/>
        </w:rPr>
        <w:t>American Journal of Preventive Medicine</w:t>
      </w:r>
      <w:r w:rsidRPr="00696665">
        <w:rPr>
          <w:rFonts w:ascii="Times New Roman" w:eastAsia="Times New Roman" w:hAnsi="Times New Roman" w:cs="Times New Roman"/>
          <w:kern w:val="0"/>
          <w:sz w:val="28"/>
          <w:szCs w:val="28"/>
          <w:lang w:eastAsia="en-GB"/>
          <w14:ligatures w14:val="none"/>
        </w:rPr>
        <w:t>, 43(2), S8-S23.</w:t>
      </w:r>
    </w:p>
    <w:p w14:paraId="29751A7B" w14:textId="77777777" w:rsidR="00696665" w:rsidRPr="00696665" w:rsidRDefault="00696665" w:rsidP="00696665">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696665">
        <w:rPr>
          <w:rFonts w:ascii="Times New Roman" w:eastAsia="Times New Roman" w:hAnsi="Times New Roman" w:cs="Times New Roman"/>
          <w:kern w:val="0"/>
          <w:sz w:val="28"/>
          <w:szCs w:val="28"/>
          <w:lang w:eastAsia="en-GB"/>
          <w14:ligatures w14:val="none"/>
        </w:rPr>
        <w:t xml:space="preserve">McCord, J. (1978). A thirty-year follow-up of treatment effects. </w:t>
      </w:r>
      <w:r w:rsidRPr="00696665">
        <w:rPr>
          <w:rFonts w:ascii="Times New Roman" w:eastAsia="Times New Roman" w:hAnsi="Times New Roman" w:cs="Times New Roman"/>
          <w:i/>
          <w:iCs/>
          <w:kern w:val="0"/>
          <w:sz w:val="28"/>
          <w:szCs w:val="28"/>
          <w:lang w:eastAsia="en-GB"/>
          <w14:ligatures w14:val="none"/>
        </w:rPr>
        <w:t>American Psychologist</w:t>
      </w:r>
      <w:r w:rsidRPr="00696665">
        <w:rPr>
          <w:rFonts w:ascii="Times New Roman" w:eastAsia="Times New Roman" w:hAnsi="Times New Roman" w:cs="Times New Roman"/>
          <w:kern w:val="0"/>
          <w:sz w:val="28"/>
          <w:szCs w:val="28"/>
          <w:lang w:eastAsia="en-GB"/>
          <w14:ligatures w14:val="none"/>
        </w:rPr>
        <w:t>, 33(3), 284-289.</w:t>
      </w:r>
    </w:p>
    <w:p w14:paraId="0C859EF4" w14:textId="77777777" w:rsidR="00696665" w:rsidRPr="00696665" w:rsidRDefault="00696665" w:rsidP="00696665">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696665">
        <w:rPr>
          <w:rFonts w:ascii="Times New Roman" w:eastAsia="Times New Roman" w:hAnsi="Times New Roman" w:cs="Times New Roman"/>
          <w:kern w:val="0"/>
          <w:sz w:val="28"/>
          <w:szCs w:val="28"/>
          <w:lang w:eastAsia="en-GB"/>
          <w14:ligatures w14:val="none"/>
        </w:rPr>
        <w:lastRenderedPageBreak/>
        <w:t xml:space="preserve">McCord, J. (2003). Cures that harm: Unanticipated outcomes of crime prevention programs. </w:t>
      </w:r>
      <w:r w:rsidRPr="00696665">
        <w:rPr>
          <w:rFonts w:ascii="Times New Roman" w:eastAsia="Times New Roman" w:hAnsi="Times New Roman" w:cs="Times New Roman"/>
          <w:i/>
          <w:iCs/>
          <w:kern w:val="0"/>
          <w:sz w:val="28"/>
          <w:szCs w:val="28"/>
          <w:lang w:eastAsia="en-GB"/>
          <w14:ligatures w14:val="none"/>
        </w:rPr>
        <w:t>The Annals of the American Academy of Political and Social Science</w:t>
      </w:r>
      <w:r w:rsidRPr="00696665">
        <w:rPr>
          <w:rFonts w:ascii="Times New Roman" w:eastAsia="Times New Roman" w:hAnsi="Times New Roman" w:cs="Times New Roman"/>
          <w:kern w:val="0"/>
          <w:sz w:val="28"/>
          <w:szCs w:val="28"/>
          <w:lang w:eastAsia="en-GB"/>
          <w14:ligatures w14:val="none"/>
        </w:rPr>
        <w:t>, 587(1), 16-30.</w:t>
      </w:r>
    </w:p>
    <w:p w14:paraId="73016FE1" w14:textId="675715C4" w:rsidR="00202081" w:rsidRDefault="00202081" w:rsidP="00696665">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202081">
        <w:rPr>
          <w:rFonts w:ascii="Times New Roman" w:eastAsia="Times New Roman" w:hAnsi="Times New Roman" w:cs="Times New Roman"/>
          <w:kern w:val="0"/>
          <w:sz w:val="28"/>
          <w:szCs w:val="28"/>
          <w:lang w:eastAsia="en-GB"/>
          <w14:ligatures w14:val="none"/>
        </w:rPr>
        <w:t xml:space="preserve">Moffitt, T. E., &amp; Caspi, A. (2001). </w:t>
      </w:r>
      <w:r w:rsidRPr="00202081">
        <w:rPr>
          <w:rFonts w:ascii="Times New Roman" w:eastAsia="Times New Roman" w:hAnsi="Times New Roman" w:cs="Times New Roman"/>
          <w:i/>
          <w:iCs/>
          <w:kern w:val="0"/>
          <w:sz w:val="28"/>
          <w:szCs w:val="28"/>
          <w:lang w:eastAsia="en-GB"/>
          <w14:ligatures w14:val="none"/>
        </w:rPr>
        <w:t xml:space="preserve">The role of clinical assessment in early intervention: Reducing criminal </w:t>
      </w:r>
      <w:proofErr w:type="spellStart"/>
      <w:r w:rsidRPr="00202081">
        <w:rPr>
          <w:rFonts w:ascii="Times New Roman" w:eastAsia="Times New Roman" w:hAnsi="Times New Roman" w:cs="Times New Roman"/>
          <w:i/>
          <w:iCs/>
          <w:kern w:val="0"/>
          <w:sz w:val="28"/>
          <w:szCs w:val="28"/>
          <w:lang w:eastAsia="en-GB"/>
          <w14:ligatures w14:val="none"/>
        </w:rPr>
        <w:t>behavior</w:t>
      </w:r>
      <w:proofErr w:type="spellEnd"/>
      <w:r w:rsidRPr="00202081">
        <w:rPr>
          <w:rFonts w:ascii="Times New Roman" w:eastAsia="Times New Roman" w:hAnsi="Times New Roman" w:cs="Times New Roman"/>
          <w:i/>
          <w:iCs/>
          <w:kern w:val="0"/>
          <w:sz w:val="28"/>
          <w:szCs w:val="28"/>
          <w:lang w:eastAsia="en-GB"/>
          <w14:ligatures w14:val="none"/>
        </w:rPr>
        <w:t xml:space="preserve"> among youth</w:t>
      </w:r>
      <w:r w:rsidRPr="00202081">
        <w:rPr>
          <w:rFonts w:ascii="Times New Roman" w:eastAsia="Times New Roman" w:hAnsi="Times New Roman" w:cs="Times New Roman"/>
          <w:kern w:val="0"/>
          <w:sz w:val="28"/>
          <w:szCs w:val="28"/>
          <w:lang w:eastAsia="en-GB"/>
          <w14:ligatures w14:val="none"/>
        </w:rPr>
        <w:t xml:space="preserve">. </w:t>
      </w:r>
      <w:r w:rsidRPr="00202081">
        <w:rPr>
          <w:rFonts w:ascii="Times New Roman" w:eastAsia="Times New Roman" w:hAnsi="Times New Roman" w:cs="Times New Roman"/>
          <w:i/>
          <w:iCs/>
          <w:kern w:val="0"/>
          <w:sz w:val="28"/>
          <w:szCs w:val="28"/>
          <w:lang w:eastAsia="en-GB"/>
          <w14:ligatures w14:val="none"/>
        </w:rPr>
        <w:t>Journal of Child Psychology and Psychiatry</w:t>
      </w:r>
      <w:r w:rsidRPr="00202081">
        <w:rPr>
          <w:rFonts w:ascii="Times New Roman" w:eastAsia="Times New Roman" w:hAnsi="Times New Roman" w:cs="Times New Roman"/>
          <w:kern w:val="0"/>
          <w:sz w:val="28"/>
          <w:szCs w:val="28"/>
          <w:lang w:eastAsia="en-GB"/>
          <w14:ligatures w14:val="none"/>
        </w:rPr>
        <w:t>, 42(3), 287-305.</w:t>
      </w:r>
    </w:p>
    <w:p w14:paraId="7D2FA7F1" w14:textId="286CDA5A" w:rsidR="00696665" w:rsidRPr="00696665" w:rsidRDefault="00696665" w:rsidP="00696665">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696665">
        <w:rPr>
          <w:rFonts w:ascii="Times New Roman" w:eastAsia="Times New Roman" w:hAnsi="Times New Roman" w:cs="Times New Roman"/>
          <w:kern w:val="0"/>
          <w:sz w:val="28"/>
          <w:szCs w:val="28"/>
          <w:lang w:eastAsia="en-GB"/>
          <w14:ligatures w14:val="none"/>
        </w:rPr>
        <w:t xml:space="preserve">Piquero, A. R., Farrington, D. P., Welsh, B. C., Tremblay, R., &amp; Jennings, W. G. (2009). Effects of early family/parent training programs on antisocial </w:t>
      </w:r>
      <w:proofErr w:type="spellStart"/>
      <w:r w:rsidRPr="00696665">
        <w:rPr>
          <w:rFonts w:ascii="Times New Roman" w:eastAsia="Times New Roman" w:hAnsi="Times New Roman" w:cs="Times New Roman"/>
          <w:kern w:val="0"/>
          <w:sz w:val="28"/>
          <w:szCs w:val="28"/>
          <w:lang w:eastAsia="en-GB"/>
          <w14:ligatures w14:val="none"/>
        </w:rPr>
        <w:t>behavior</w:t>
      </w:r>
      <w:proofErr w:type="spellEnd"/>
      <w:r w:rsidRPr="00696665">
        <w:rPr>
          <w:rFonts w:ascii="Times New Roman" w:eastAsia="Times New Roman" w:hAnsi="Times New Roman" w:cs="Times New Roman"/>
          <w:kern w:val="0"/>
          <w:sz w:val="28"/>
          <w:szCs w:val="28"/>
          <w:lang w:eastAsia="en-GB"/>
          <w14:ligatures w14:val="none"/>
        </w:rPr>
        <w:t xml:space="preserve"> and delinquency. </w:t>
      </w:r>
      <w:r w:rsidRPr="00696665">
        <w:rPr>
          <w:rFonts w:ascii="Times New Roman" w:eastAsia="Times New Roman" w:hAnsi="Times New Roman" w:cs="Times New Roman"/>
          <w:i/>
          <w:iCs/>
          <w:kern w:val="0"/>
          <w:sz w:val="28"/>
          <w:szCs w:val="28"/>
          <w:lang w:eastAsia="en-GB"/>
          <w14:ligatures w14:val="none"/>
        </w:rPr>
        <w:t>Journal of Experimental Criminology</w:t>
      </w:r>
      <w:r w:rsidRPr="00696665">
        <w:rPr>
          <w:rFonts w:ascii="Times New Roman" w:eastAsia="Times New Roman" w:hAnsi="Times New Roman" w:cs="Times New Roman"/>
          <w:kern w:val="0"/>
          <w:sz w:val="28"/>
          <w:szCs w:val="28"/>
          <w:lang w:eastAsia="en-GB"/>
          <w14:ligatures w14:val="none"/>
        </w:rPr>
        <w:t>, 5(2), 83-120.</w:t>
      </w:r>
    </w:p>
    <w:p w14:paraId="284AB653" w14:textId="77777777" w:rsidR="00696665" w:rsidRPr="00696665" w:rsidRDefault="00696665" w:rsidP="00696665">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696665">
        <w:rPr>
          <w:rFonts w:ascii="Times New Roman" w:eastAsia="Times New Roman" w:hAnsi="Times New Roman" w:cs="Times New Roman"/>
          <w:kern w:val="0"/>
          <w:sz w:val="28"/>
          <w:szCs w:val="28"/>
          <w:lang w:eastAsia="en-GB"/>
          <w14:ligatures w14:val="none"/>
        </w:rPr>
        <w:t xml:space="preserve">Schweinhart, L. J., Montie, J., Xiang, Z., Barnett, W. S., Belfield, C. R., &amp; Nores, M. (2005). Lifetime effects: The High/Scope Perry Preschool Study through age 40. </w:t>
      </w:r>
      <w:r w:rsidRPr="00696665">
        <w:rPr>
          <w:rFonts w:ascii="Times New Roman" w:eastAsia="Times New Roman" w:hAnsi="Times New Roman" w:cs="Times New Roman"/>
          <w:i/>
          <w:iCs/>
          <w:kern w:val="0"/>
          <w:sz w:val="28"/>
          <w:szCs w:val="28"/>
          <w:lang w:eastAsia="en-GB"/>
          <w14:ligatures w14:val="none"/>
        </w:rPr>
        <w:t>High/Scope Press</w:t>
      </w:r>
      <w:r w:rsidRPr="00696665">
        <w:rPr>
          <w:rFonts w:ascii="Times New Roman" w:eastAsia="Times New Roman" w:hAnsi="Times New Roman" w:cs="Times New Roman"/>
          <w:kern w:val="0"/>
          <w:sz w:val="28"/>
          <w:szCs w:val="28"/>
          <w:lang w:eastAsia="en-GB"/>
          <w14:ligatures w14:val="none"/>
        </w:rPr>
        <w:t>.</w:t>
      </w:r>
    </w:p>
    <w:p w14:paraId="3B963F32" w14:textId="77777777" w:rsidR="00696665" w:rsidRPr="00696665" w:rsidRDefault="00696665" w:rsidP="001B6682">
      <w:pPr>
        <w:rPr>
          <w:rFonts w:ascii="Times New Roman" w:hAnsi="Times New Roman" w:cs="Times New Roman"/>
          <w:sz w:val="28"/>
          <w:szCs w:val="28"/>
        </w:rPr>
      </w:pPr>
    </w:p>
    <w:sectPr w:rsidR="00696665" w:rsidRPr="006966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FF259AC"/>
    <w:multiLevelType w:val="multilevel"/>
    <w:tmpl w:val="EC146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98894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DB0"/>
    <w:rsid w:val="00086D3D"/>
    <w:rsid w:val="00112DBC"/>
    <w:rsid w:val="0012216A"/>
    <w:rsid w:val="001B6682"/>
    <w:rsid w:val="00202081"/>
    <w:rsid w:val="00361520"/>
    <w:rsid w:val="003B0208"/>
    <w:rsid w:val="003D6C2B"/>
    <w:rsid w:val="00446619"/>
    <w:rsid w:val="00514CED"/>
    <w:rsid w:val="00563073"/>
    <w:rsid w:val="005F356A"/>
    <w:rsid w:val="00696665"/>
    <w:rsid w:val="00720E90"/>
    <w:rsid w:val="008561A8"/>
    <w:rsid w:val="00882076"/>
    <w:rsid w:val="008F337A"/>
    <w:rsid w:val="00986CDD"/>
    <w:rsid w:val="00A779B0"/>
    <w:rsid w:val="00AE7009"/>
    <w:rsid w:val="00B33C91"/>
    <w:rsid w:val="00B610BB"/>
    <w:rsid w:val="00BD1D5E"/>
    <w:rsid w:val="00C05CA6"/>
    <w:rsid w:val="00C220B0"/>
    <w:rsid w:val="00CB42CB"/>
    <w:rsid w:val="00CC37F6"/>
    <w:rsid w:val="00DB0407"/>
    <w:rsid w:val="00DB7BDD"/>
    <w:rsid w:val="00E4040E"/>
    <w:rsid w:val="00F05EDA"/>
    <w:rsid w:val="00F16E85"/>
    <w:rsid w:val="00F358BB"/>
    <w:rsid w:val="00F73DB0"/>
    <w:rsid w:val="00FB73DC"/>
    <w:rsid w:val="00FC56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8DFA0"/>
  <w15:chartTrackingRefBased/>
  <w15:docId w15:val="{5E278024-DFA8-439F-B5C1-46EA66237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3D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73D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73D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3D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3D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3D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3D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3D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3D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3D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73D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73D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3D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3D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3D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3D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3D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3DB0"/>
    <w:rPr>
      <w:rFonts w:eastAsiaTheme="majorEastAsia" w:cstheme="majorBidi"/>
      <w:color w:val="272727" w:themeColor="text1" w:themeTint="D8"/>
    </w:rPr>
  </w:style>
  <w:style w:type="paragraph" w:styleId="Title">
    <w:name w:val="Title"/>
    <w:basedOn w:val="Normal"/>
    <w:next w:val="Normal"/>
    <w:link w:val="TitleChar"/>
    <w:uiPriority w:val="10"/>
    <w:qFormat/>
    <w:rsid w:val="00F73D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3D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3D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3D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3DB0"/>
    <w:pPr>
      <w:spacing w:before="160"/>
      <w:jc w:val="center"/>
    </w:pPr>
    <w:rPr>
      <w:i/>
      <w:iCs/>
      <w:color w:val="404040" w:themeColor="text1" w:themeTint="BF"/>
    </w:rPr>
  </w:style>
  <w:style w:type="character" w:customStyle="1" w:styleId="QuoteChar">
    <w:name w:val="Quote Char"/>
    <w:basedOn w:val="DefaultParagraphFont"/>
    <w:link w:val="Quote"/>
    <w:uiPriority w:val="29"/>
    <w:rsid w:val="00F73DB0"/>
    <w:rPr>
      <w:i/>
      <w:iCs/>
      <w:color w:val="404040" w:themeColor="text1" w:themeTint="BF"/>
    </w:rPr>
  </w:style>
  <w:style w:type="paragraph" w:styleId="ListParagraph">
    <w:name w:val="List Paragraph"/>
    <w:basedOn w:val="Normal"/>
    <w:uiPriority w:val="34"/>
    <w:qFormat/>
    <w:rsid w:val="00F73DB0"/>
    <w:pPr>
      <w:ind w:left="720"/>
      <w:contextualSpacing/>
    </w:pPr>
  </w:style>
  <w:style w:type="character" w:styleId="IntenseEmphasis">
    <w:name w:val="Intense Emphasis"/>
    <w:basedOn w:val="DefaultParagraphFont"/>
    <w:uiPriority w:val="21"/>
    <w:qFormat/>
    <w:rsid w:val="00F73DB0"/>
    <w:rPr>
      <w:i/>
      <w:iCs/>
      <w:color w:val="0F4761" w:themeColor="accent1" w:themeShade="BF"/>
    </w:rPr>
  </w:style>
  <w:style w:type="paragraph" w:styleId="IntenseQuote">
    <w:name w:val="Intense Quote"/>
    <w:basedOn w:val="Normal"/>
    <w:next w:val="Normal"/>
    <w:link w:val="IntenseQuoteChar"/>
    <w:uiPriority w:val="30"/>
    <w:qFormat/>
    <w:rsid w:val="00F73D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3DB0"/>
    <w:rPr>
      <w:i/>
      <w:iCs/>
      <w:color w:val="0F4761" w:themeColor="accent1" w:themeShade="BF"/>
    </w:rPr>
  </w:style>
  <w:style w:type="character" w:styleId="IntenseReference">
    <w:name w:val="Intense Reference"/>
    <w:basedOn w:val="DefaultParagraphFont"/>
    <w:uiPriority w:val="32"/>
    <w:qFormat/>
    <w:rsid w:val="00F73DB0"/>
    <w:rPr>
      <w:b/>
      <w:bCs/>
      <w:smallCaps/>
      <w:color w:val="0F4761" w:themeColor="accent1" w:themeShade="BF"/>
      <w:spacing w:val="5"/>
    </w:rPr>
  </w:style>
  <w:style w:type="character" w:styleId="Hyperlink">
    <w:name w:val="Hyperlink"/>
    <w:basedOn w:val="DefaultParagraphFont"/>
    <w:uiPriority w:val="99"/>
    <w:semiHidden/>
    <w:unhideWhenUsed/>
    <w:rsid w:val="00F73DB0"/>
    <w:rPr>
      <w:color w:val="0000FF"/>
      <w:u w:val="single"/>
    </w:rPr>
  </w:style>
  <w:style w:type="paragraph" w:styleId="NormalWeb">
    <w:name w:val="Normal (Web)"/>
    <w:basedOn w:val="Normal"/>
    <w:uiPriority w:val="99"/>
    <w:unhideWhenUsed/>
    <w:rsid w:val="008F337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3460548">
      <w:bodyDiv w:val="1"/>
      <w:marLeft w:val="0"/>
      <w:marRight w:val="0"/>
      <w:marTop w:val="0"/>
      <w:marBottom w:val="0"/>
      <w:divBdr>
        <w:top w:val="none" w:sz="0" w:space="0" w:color="auto"/>
        <w:left w:val="none" w:sz="0" w:space="0" w:color="auto"/>
        <w:bottom w:val="none" w:sz="0" w:space="0" w:color="auto"/>
        <w:right w:val="none" w:sz="0" w:space="0" w:color="auto"/>
      </w:divBdr>
      <w:divsChild>
        <w:div w:id="1309898466">
          <w:marLeft w:val="0"/>
          <w:marRight w:val="0"/>
          <w:marTop w:val="0"/>
          <w:marBottom w:val="0"/>
          <w:divBdr>
            <w:top w:val="none" w:sz="0" w:space="0" w:color="auto"/>
            <w:left w:val="none" w:sz="0" w:space="0" w:color="auto"/>
            <w:bottom w:val="none" w:sz="0" w:space="0" w:color="auto"/>
            <w:right w:val="none" w:sz="0" w:space="0" w:color="auto"/>
          </w:divBdr>
        </w:div>
        <w:div w:id="2055931028">
          <w:marLeft w:val="0"/>
          <w:marRight w:val="0"/>
          <w:marTop w:val="0"/>
          <w:marBottom w:val="0"/>
          <w:divBdr>
            <w:top w:val="none" w:sz="0" w:space="0" w:color="auto"/>
            <w:left w:val="none" w:sz="0" w:space="0" w:color="auto"/>
            <w:bottom w:val="none" w:sz="0" w:space="0" w:color="auto"/>
            <w:right w:val="none" w:sz="0" w:space="0" w:color="auto"/>
          </w:divBdr>
        </w:div>
        <w:div w:id="589042971">
          <w:marLeft w:val="0"/>
          <w:marRight w:val="0"/>
          <w:marTop w:val="0"/>
          <w:marBottom w:val="0"/>
          <w:divBdr>
            <w:top w:val="none" w:sz="0" w:space="0" w:color="auto"/>
            <w:left w:val="none" w:sz="0" w:space="0" w:color="auto"/>
            <w:bottom w:val="none" w:sz="0" w:space="0" w:color="auto"/>
            <w:right w:val="none" w:sz="0" w:space="0" w:color="auto"/>
          </w:divBdr>
        </w:div>
        <w:div w:id="1127355520">
          <w:marLeft w:val="0"/>
          <w:marRight w:val="0"/>
          <w:marTop w:val="0"/>
          <w:marBottom w:val="0"/>
          <w:divBdr>
            <w:top w:val="none" w:sz="0" w:space="0" w:color="auto"/>
            <w:left w:val="none" w:sz="0" w:space="0" w:color="auto"/>
            <w:bottom w:val="none" w:sz="0" w:space="0" w:color="auto"/>
            <w:right w:val="none" w:sz="0" w:space="0" w:color="auto"/>
          </w:divBdr>
        </w:div>
        <w:div w:id="110711951">
          <w:marLeft w:val="0"/>
          <w:marRight w:val="0"/>
          <w:marTop w:val="0"/>
          <w:marBottom w:val="0"/>
          <w:divBdr>
            <w:top w:val="none" w:sz="0" w:space="0" w:color="auto"/>
            <w:left w:val="none" w:sz="0" w:space="0" w:color="auto"/>
            <w:bottom w:val="none" w:sz="0" w:space="0" w:color="auto"/>
            <w:right w:val="none" w:sz="0" w:space="0" w:color="auto"/>
          </w:divBdr>
        </w:div>
        <w:div w:id="403529304">
          <w:marLeft w:val="0"/>
          <w:marRight w:val="0"/>
          <w:marTop w:val="0"/>
          <w:marBottom w:val="0"/>
          <w:divBdr>
            <w:top w:val="none" w:sz="0" w:space="0" w:color="auto"/>
            <w:left w:val="none" w:sz="0" w:space="0" w:color="auto"/>
            <w:bottom w:val="none" w:sz="0" w:space="0" w:color="auto"/>
            <w:right w:val="none" w:sz="0" w:space="0" w:color="auto"/>
          </w:divBdr>
        </w:div>
        <w:div w:id="2003383871">
          <w:marLeft w:val="0"/>
          <w:marRight w:val="0"/>
          <w:marTop w:val="0"/>
          <w:marBottom w:val="0"/>
          <w:divBdr>
            <w:top w:val="none" w:sz="0" w:space="0" w:color="auto"/>
            <w:left w:val="none" w:sz="0" w:space="0" w:color="auto"/>
            <w:bottom w:val="none" w:sz="0" w:space="0" w:color="auto"/>
            <w:right w:val="none" w:sz="0" w:space="0" w:color="auto"/>
          </w:divBdr>
        </w:div>
        <w:div w:id="389891356">
          <w:marLeft w:val="0"/>
          <w:marRight w:val="0"/>
          <w:marTop w:val="0"/>
          <w:marBottom w:val="0"/>
          <w:divBdr>
            <w:top w:val="none" w:sz="0" w:space="0" w:color="auto"/>
            <w:left w:val="none" w:sz="0" w:space="0" w:color="auto"/>
            <w:bottom w:val="none" w:sz="0" w:space="0" w:color="auto"/>
            <w:right w:val="none" w:sz="0" w:space="0" w:color="auto"/>
          </w:divBdr>
        </w:div>
        <w:div w:id="1595166695">
          <w:marLeft w:val="0"/>
          <w:marRight w:val="0"/>
          <w:marTop w:val="0"/>
          <w:marBottom w:val="0"/>
          <w:divBdr>
            <w:top w:val="none" w:sz="0" w:space="0" w:color="auto"/>
            <w:left w:val="none" w:sz="0" w:space="0" w:color="auto"/>
            <w:bottom w:val="none" w:sz="0" w:space="0" w:color="auto"/>
            <w:right w:val="none" w:sz="0" w:space="0" w:color="auto"/>
          </w:divBdr>
        </w:div>
        <w:div w:id="1871871129">
          <w:marLeft w:val="0"/>
          <w:marRight w:val="0"/>
          <w:marTop w:val="0"/>
          <w:marBottom w:val="0"/>
          <w:divBdr>
            <w:top w:val="none" w:sz="0" w:space="0" w:color="auto"/>
            <w:left w:val="none" w:sz="0" w:space="0" w:color="auto"/>
            <w:bottom w:val="none" w:sz="0" w:space="0" w:color="auto"/>
            <w:right w:val="none" w:sz="0" w:space="0" w:color="auto"/>
          </w:divBdr>
        </w:div>
        <w:div w:id="795175723">
          <w:marLeft w:val="0"/>
          <w:marRight w:val="0"/>
          <w:marTop w:val="0"/>
          <w:marBottom w:val="0"/>
          <w:divBdr>
            <w:top w:val="none" w:sz="0" w:space="0" w:color="auto"/>
            <w:left w:val="none" w:sz="0" w:space="0" w:color="auto"/>
            <w:bottom w:val="none" w:sz="0" w:space="0" w:color="auto"/>
            <w:right w:val="none" w:sz="0" w:space="0" w:color="auto"/>
          </w:divBdr>
        </w:div>
        <w:div w:id="64573558">
          <w:marLeft w:val="0"/>
          <w:marRight w:val="0"/>
          <w:marTop w:val="0"/>
          <w:marBottom w:val="0"/>
          <w:divBdr>
            <w:top w:val="none" w:sz="0" w:space="0" w:color="auto"/>
            <w:left w:val="none" w:sz="0" w:space="0" w:color="auto"/>
            <w:bottom w:val="none" w:sz="0" w:space="0" w:color="auto"/>
            <w:right w:val="none" w:sz="0" w:space="0" w:color="auto"/>
          </w:divBdr>
        </w:div>
        <w:div w:id="1767650227">
          <w:marLeft w:val="0"/>
          <w:marRight w:val="0"/>
          <w:marTop w:val="0"/>
          <w:marBottom w:val="0"/>
          <w:divBdr>
            <w:top w:val="none" w:sz="0" w:space="0" w:color="auto"/>
            <w:left w:val="none" w:sz="0" w:space="0" w:color="auto"/>
            <w:bottom w:val="none" w:sz="0" w:space="0" w:color="auto"/>
            <w:right w:val="none" w:sz="0" w:space="0" w:color="auto"/>
          </w:divBdr>
        </w:div>
        <w:div w:id="1628659976">
          <w:marLeft w:val="0"/>
          <w:marRight w:val="0"/>
          <w:marTop w:val="0"/>
          <w:marBottom w:val="0"/>
          <w:divBdr>
            <w:top w:val="none" w:sz="0" w:space="0" w:color="auto"/>
            <w:left w:val="none" w:sz="0" w:space="0" w:color="auto"/>
            <w:bottom w:val="none" w:sz="0" w:space="0" w:color="auto"/>
            <w:right w:val="none" w:sz="0" w:space="0" w:color="auto"/>
          </w:divBdr>
        </w:div>
        <w:div w:id="600064608">
          <w:marLeft w:val="0"/>
          <w:marRight w:val="0"/>
          <w:marTop w:val="0"/>
          <w:marBottom w:val="0"/>
          <w:divBdr>
            <w:top w:val="none" w:sz="0" w:space="0" w:color="auto"/>
            <w:left w:val="none" w:sz="0" w:space="0" w:color="auto"/>
            <w:bottom w:val="none" w:sz="0" w:space="0" w:color="auto"/>
            <w:right w:val="none" w:sz="0" w:space="0" w:color="auto"/>
          </w:divBdr>
        </w:div>
        <w:div w:id="2122218882">
          <w:marLeft w:val="0"/>
          <w:marRight w:val="0"/>
          <w:marTop w:val="0"/>
          <w:marBottom w:val="0"/>
          <w:divBdr>
            <w:top w:val="none" w:sz="0" w:space="0" w:color="auto"/>
            <w:left w:val="none" w:sz="0" w:space="0" w:color="auto"/>
            <w:bottom w:val="none" w:sz="0" w:space="0" w:color="auto"/>
            <w:right w:val="none" w:sz="0" w:space="0" w:color="auto"/>
          </w:divBdr>
        </w:div>
        <w:div w:id="277176682">
          <w:marLeft w:val="0"/>
          <w:marRight w:val="0"/>
          <w:marTop w:val="0"/>
          <w:marBottom w:val="0"/>
          <w:divBdr>
            <w:top w:val="none" w:sz="0" w:space="0" w:color="auto"/>
            <w:left w:val="none" w:sz="0" w:space="0" w:color="auto"/>
            <w:bottom w:val="none" w:sz="0" w:space="0" w:color="auto"/>
            <w:right w:val="none" w:sz="0" w:space="0" w:color="auto"/>
          </w:divBdr>
        </w:div>
        <w:div w:id="1116171033">
          <w:marLeft w:val="0"/>
          <w:marRight w:val="0"/>
          <w:marTop w:val="0"/>
          <w:marBottom w:val="0"/>
          <w:divBdr>
            <w:top w:val="none" w:sz="0" w:space="0" w:color="auto"/>
            <w:left w:val="none" w:sz="0" w:space="0" w:color="auto"/>
            <w:bottom w:val="none" w:sz="0" w:space="0" w:color="auto"/>
            <w:right w:val="none" w:sz="0" w:space="0" w:color="auto"/>
          </w:divBdr>
        </w:div>
        <w:div w:id="953706340">
          <w:marLeft w:val="0"/>
          <w:marRight w:val="0"/>
          <w:marTop w:val="0"/>
          <w:marBottom w:val="0"/>
          <w:divBdr>
            <w:top w:val="none" w:sz="0" w:space="0" w:color="auto"/>
            <w:left w:val="none" w:sz="0" w:space="0" w:color="auto"/>
            <w:bottom w:val="none" w:sz="0" w:space="0" w:color="auto"/>
            <w:right w:val="none" w:sz="0" w:space="0" w:color="auto"/>
          </w:divBdr>
        </w:div>
        <w:div w:id="508064240">
          <w:marLeft w:val="0"/>
          <w:marRight w:val="0"/>
          <w:marTop w:val="0"/>
          <w:marBottom w:val="0"/>
          <w:divBdr>
            <w:top w:val="none" w:sz="0" w:space="0" w:color="auto"/>
            <w:left w:val="none" w:sz="0" w:space="0" w:color="auto"/>
            <w:bottom w:val="none" w:sz="0" w:space="0" w:color="auto"/>
            <w:right w:val="none" w:sz="0" w:space="0" w:color="auto"/>
          </w:divBdr>
        </w:div>
        <w:div w:id="659701761">
          <w:marLeft w:val="0"/>
          <w:marRight w:val="0"/>
          <w:marTop w:val="0"/>
          <w:marBottom w:val="0"/>
          <w:divBdr>
            <w:top w:val="none" w:sz="0" w:space="0" w:color="auto"/>
            <w:left w:val="none" w:sz="0" w:space="0" w:color="auto"/>
            <w:bottom w:val="none" w:sz="0" w:space="0" w:color="auto"/>
            <w:right w:val="none" w:sz="0" w:space="0" w:color="auto"/>
          </w:divBdr>
        </w:div>
        <w:div w:id="175968931">
          <w:marLeft w:val="0"/>
          <w:marRight w:val="0"/>
          <w:marTop w:val="0"/>
          <w:marBottom w:val="0"/>
          <w:divBdr>
            <w:top w:val="none" w:sz="0" w:space="0" w:color="auto"/>
            <w:left w:val="none" w:sz="0" w:space="0" w:color="auto"/>
            <w:bottom w:val="none" w:sz="0" w:space="0" w:color="auto"/>
            <w:right w:val="none" w:sz="0" w:space="0" w:color="auto"/>
          </w:divBdr>
        </w:div>
        <w:div w:id="31730366">
          <w:marLeft w:val="0"/>
          <w:marRight w:val="0"/>
          <w:marTop w:val="0"/>
          <w:marBottom w:val="0"/>
          <w:divBdr>
            <w:top w:val="none" w:sz="0" w:space="0" w:color="auto"/>
            <w:left w:val="none" w:sz="0" w:space="0" w:color="auto"/>
            <w:bottom w:val="none" w:sz="0" w:space="0" w:color="auto"/>
            <w:right w:val="none" w:sz="0" w:space="0" w:color="auto"/>
          </w:divBdr>
        </w:div>
        <w:div w:id="1448164522">
          <w:marLeft w:val="0"/>
          <w:marRight w:val="0"/>
          <w:marTop w:val="0"/>
          <w:marBottom w:val="0"/>
          <w:divBdr>
            <w:top w:val="none" w:sz="0" w:space="0" w:color="auto"/>
            <w:left w:val="none" w:sz="0" w:space="0" w:color="auto"/>
            <w:bottom w:val="none" w:sz="0" w:space="0" w:color="auto"/>
            <w:right w:val="none" w:sz="0" w:space="0" w:color="auto"/>
          </w:divBdr>
        </w:div>
        <w:div w:id="1577933904">
          <w:marLeft w:val="0"/>
          <w:marRight w:val="0"/>
          <w:marTop w:val="0"/>
          <w:marBottom w:val="0"/>
          <w:divBdr>
            <w:top w:val="none" w:sz="0" w:space="0" w:color="auto"/>
            <w:left w:val="none" w:sz="0" w:space="0" w:color="auto"/>
            <w:bottom w:val="none" w:sz="0" w:space="0" w:color="auto"/>
            <w:right w:val="none" w:sz="0" w:space="0" w:color="auto"/>
          </w:divBdr>
        </w:div>
        <w:div w:id="288896693">
          <w:marLeft w:val="0"/>
          <w:marRight w:val="0"/>
          <w:marTop w:val="0"/>
          <w:marBottom w:val="0"/>
          <w:divBdr>
            <w:top w:val="none" w:sz="0" w:space="0" w:color="auto"/>
            <w:left w:val="none" w:sz="0" w:space="0" w:color="auto"/>
            <w:bottom w:val="none" w:sz="0" w:space="0" w:color="auto"/>
            <w:right w:val="none" w:sz="0" w:space="0" w:color="auto"/>
          </w:divBdr>
        </w:div>
        <w:div w:id="1608655901">
          <w:marLeft w:val="0"/>
          <w:marRight w:val="0"/>
          <w:marTop w:val="0"/>
          <w:marBottom w:val="0"/>
          <w:divBdr>
            <w:top w:val="none" w:sz="0" w:space="0" w:color="auto"/>
            <w:left w:val="none" w:sz="0" w:space="0" w:color="auto"/>
            <w:bottom w:val="none" w:sz="0" w:space="0" w:color="auto"/>
            <w:right w:val="none" w:sz="0" w:space="0" w:color="auto"/>
          </w:divBdr>
        </w:div>
        <w:div w:id="5980963">
          <w:marLeft w:val="0"/>
          <w:marRight w:val="0"/>
          <w:marTop w:val="0"/>
          <w:marBottom w:val="0"/>
          <w:divBdr>
            <w:top w:val="none" w:sz="0" w:space="0" w:color="auto"/>
            <w:left w:val="none" w:sz="0" w:space="0" w:color="auto"/>
            <w:bottom w:val="none" w:sz="0" w:space="0" w:color="auto"/>
            <w:right w:val="none" w:sz="0" w:space="0" w:color="auto"/>
          </w:divBdr>
        </w:div>
        <w:div w:id="1110247201">
          <w:marLeft w:val="0"/>
          <w:marRight w:val="0"/>
          <w:marTop w:val="0"/>
          <w:marBottom w:val="0"/>
          <w:divBdr>
            <w:top w:val="none" w:sz="0" w:space="0" w:color="auto"/>
            <w:left w:val="none" w:sz="0" w:space="0" w:color="auto"/>
            <w:bottom w:val="none" w:sz="0" w:space="0" w:color="auto"/>
            <w:right w:val="none" w:sz="0" w:space="0" w:color="auto"/>
          </w:divBdr>
        </w:div>
        <w:div w:id="133375889">
          <w:marLeft w:val="0"/>
          <w:marRight w:val="0"/>
          <w:marTop w:val="0"/>
          <w:marBottom w:val="0"/>
          <w:divBdr>
            <w:top w:val="none" w:sz="0" w:space="0" w:color="auto"/>
            <w:left w:val="none" w:sz="0" w:space="0" w:color="auto"/>
            <w:bottom w:val="none" w:sz="0" w:space="0" w:color="auto"/>
            <w:right w:val="none" w:sz="0" w:space="0" w:color="auto"/>
          </w:divBdr>
        </w:div>
        <w:div w:id="1961453067">
          <w:marLeft w:val="0"/>
          <w:marRight w:val="0"/>
          <w:marTop w:val="0"/>
          <w:marBottom w:val="0"/>
          <w:divBdr>
            <w:top w:val="none" w:sz="0" w:space="0" w:color="auto"/>
            <w:left w:val="none" w:sz="0" w:space="0" w:color="auto"/>
            <w:bottom w:val="none" w:sz="0" w:space="0" w:color="auto"/>
            <w:right w:val="none" w:sz="0" w:space="0" w:color="auto"/>
          </w:divBdr>
        </w:div>
        <w:div w:id="1669551815">
          <w:marLeft w:val="0"/>
          <w:marRight w:val="0"/>
          <w:marTop w:val="0"/>
          <w:marBottom w:val="0"/>
          <w:divBdr>
            <w:top w:val="none" w:sz="0" w:space="0" w:color="auto"/>
            <w:left w:val="none" w:sz="0" w:space="0" w:color="auto"/>
            <w:bottom w:val="none" w:sz="0" w:space="0" w:color="auto"/>
            <w:right w:val="none" w:sz="0" w:space="0" w:color="auto"/>
          </w:divBdr>
        </w:div>
        <w:div w:id="1076320402">
          <w:marLeft w:val="0"/>
          <w:marRight w:val="0"/>
          <w:marTop w:val="0"/>
          <w:marBottom w:val="0"/>
          <w:divBdr>
            <w:top w:val="none" w:sz="0" w:space="0" w:color="auto"/>
            <w:left w:val="none" w:sz="0" w:space="0" w:color="auto"/>
            <w:bottom w:val="none" w:sz="0" w:space="0" w:color="auto"/>
            <w:right w:val="none" w:sz="0" w:space="0" w:color="auto"/>
          </w:divBdr>
        </w:div>
        <w:div w:id="2144078199">
          <w:marLeft w:val="0"/>
          <w:marRight w:val="0"/>
          <w:marTop w:val="0"/>
          <w:marBottom w:val="0"/>
          <w:divBdr>
            <w:top w:val="none" w:sz="0" w:space="0" w:color="auto"/>
            <w:left w:val="none" w:sz="0" w:space="0" w:color="auto"/>
            <w:bottom w:val="none" w:sz="0" w:space="0" w:color="auto"/>
            <w:right w:val="none" w:sz="0" w:space="0" w:color="auto"/>
          </w:divBdr>
        </w:div>
        <w:div w:id="718016539">
          <w:marLeft w:val="0"/>
          <w:marRight w:val="0"/>
          <w:marTop w:val="0"/>
          <w:marBottom w:val="0"/>
          <w:divBdr>
            <w:top w:val="none" w:sz="0" w:space="0" w:color="auto"/>
            <w:left w:val="none" w:sz="0" w:space="0" w:color="auto"/>
            <w:bottom w:val="none" w:sz="0" w:space="0" w:color="auto"/>
            <w:right w:val="none" w:sz="0" w:space="0" w:color="auto"/>
          </w:divBdr>
        </w:div>
        <w:div w:id="1802309928">
          <w:marLeft w:val="0"/>
          <w:marRight w:val="0"/>
          <w:marTop w:val="0"/>
          <w:marBottom w:val="0"/>
          <w:divBdr>
            <w:top w:val="none" w:sz="0" w:space="0" w:color="auto"/>
            <w:left w:val="none" w:sz="0" w:space="0" w:color="auto"/>
            <w:bottom w:val="none" w:sz="0" w:space="0" w:color="auto"/>
            <w:right w:val="none" w:sz="0" w:space="0" w:color="auto"/>
          </w:divBdr>
        </w:div>
      </w:divsChild>
    </w:div>
    <w:div w:id="827744572">
      <w:bodyDiv w:val="1"/>
      <w:marLeft w:val="0"/>
      <w:marRight w:val="0"/>
      <w:marTop w:val="0"/>
      <w:marBottom w:val="0"/>
      <w:divBdr>
        <w:top w:val="none" w:sz="0" w:space="0" w:color="auto"/>
        <w:left w:val="none" w:sz="0" w:space="0" w:color="auto"/>
        <w:bottom w:val="none" w:sz="0" w:space="0" w:color="auto"/>
        <w:right w:val="none" w:sz="0" w:space="0" w:color="auto"/>
      </w:divBdr>
    </w:div>
    <w:div w:id="1896118869">
      <w:bodyDiv w:val="1"/>
      <w:marLeft w:val="0"/>
      <w:marRight w:val="0"/>
      <w:marTop w:val="0"/>
      <w:marBottom w:val="0"/>
      <w:divBdr>
        <w:top w:val="none" w:sz="0" w:space="0" w:color="auto"/>
        <w:left w:val="none" w:sz="0" w:space="0" w:color="auto"/>
        <w:bottom w:val="none" w:sz="0" w:space="0" w:color="auto"/>
        <w:right w:val="none" w:sz="0" w:space="0" w:color="auto"/>
      </w:divBdr>
    </w:div>
    <w:div w:id="2010717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132</TotalTime>
  <Pages>19</Pages>
  <Words>5529</Words>
  <Characters>31520</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Gilbert</dc:creator>
  <cp:keywords/>
  <dc:description/>
  <cp:lastModifiedBy>Matthew Gilbert</cp:lastModifiedBy>
  <cp:revision>15</cp:revision>
  <dcterms:created xsi:type="dcterms:W3CDTF">2024-05-22T08:45:00Z</dcterms:created>
  <dcterms:modified xsi:type="dcterms:W3CDTF">2024-09-02T09:06:00Z</dcterms:modified>
</cp:coreProperties>
</file>